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9840C">
      <w:pPr>
        <w:spacing w:line="240" w:lineRule="auto"/>
        <w:ind w:firstLine="0" w:firstLineChars="0"/>
        <w:jc w:val="both"/>
        <w:rPr>
          <w:rFonts w:hint="eastAsia" w:ascii="Times New Roman" w:hAnsi="Times New Roman" w:eastAsia="仿宋_GB2312" w:cs="Times New Roman"/>
          <w:color w:val="auto"/>
          <w:sz w:val="36"/>
          <w:szCs w:val="36"/>
          <w:highlight w:val="none"/>
          <w:lang w:eastAsia="zh-CN"/>
        </w:rPr>
      </w:pPr>
    </w:p>
    <w:p w14:paraId="2B78EED5">
      <w:pPr>
        <w:spacing w:line="240" w:lineRule="auto"/>
        <w:ind w:firstLine="0" w:firstLineChars="0"/>
        <w:jc w:val="both"/>
        <w:rPr>
          <w:rFonts w:hint="default" w:ascii="Times New Roman" w:hAnsi="Times New Roman" w:eastAsia="仿宋_GB2312" w:cs="Times New Roman"/>
          <w:color w:val="auto"/>
          <w:sz w:val="36"/>
          <w:szCs w:val="36"/>
          <w:highlight w:val="none"/>
        </w:rPr>
      </w:pPr>
    </w:p>
    <w:p w14:paraId="0DD0C33A">
      <w:pPr>
        <w:spacing w:line="240" w:lineRule="auto"/>
        <w:ind w:firstLine="0" w:firstLineChars="0"/>
        <w:jc w:val="both"/>
        <w:rPr>
          <w:rFonts w:hint="default" w:ascii="Times New Roman" w:hAnsi="Times New Roman" w:eastAsia="仿宋_GB2312" w:cs="Times New Roman"/>
          <w:color w:val="auto"/>
          <w:sz w:val="36"/>
          <w:szCs w:val="36"/>
          <w:highlight w:val="none"/>
        </w:rPr>
      </w:pPr>
    </w:p>
    <w:p w14:paraId="6A88329D">
      <w:pPr>
        <w:spacing w:line="240" w:lineRule="auto"/>
        <w:ind w:firstLine="0" w:firstLineChars="0"/>
        <w:jc w:val="both"/>
        <w:rPr>
          <w:rFonts w:hint="default" w:ascii="Times New Roman" w:hAnsi="Times New Roman" w:eastAsia="仿宋_GB2312" w:cs="Times New Roman"/>
          <w:color w:val="auto"/>
          <w:sz w:val="36"/>
          <w:szCs w:val="36"/>
          <w:highlight w:val="none"/>
        </w:rPr>
      </w:pPr>
    </w:p>
    <w:p w14:paraId="025936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4439657E">
      <w:pPr>
        <w:adjustRightInd w:val="0"/>
        <w:snapToGrid w:val="0"/>
        <w:spacing w:before="192" w:beforeLines="80" w:line="240" w:lineRule="auto"/>
        <w:ind w:firstLine="0" w:firstLineChars="0"/>
        <w:jc w:val="center"/>
        <w:rPr>
          <w:rFonts w:hint="eastAsia" w:ascii="Times New Roman" w:hAnsi="Times New Roman" w:eastAsia="楷体_GB2312" w:cs="Times New Roman"/>
          <w:bCs/>
          <w:color w:val="auto"/>
          <w:sz w:val="48"/>
          <w:szCs w:val="48"/>
          <w:highlight w:val="none"/>
          <w:lang w:eastAsia="zh-CN"/>
        </w:rPr>
      </w:pPr>
      <w:r>
        <w:rPr>
          <w:rFonts w:hint="default" w:ascii="Times New Roman" w:hAnsi="Times New Roman" w:eastAsia="楷体_GB2312" w:cs="Times New Roman"/>
          <w:bCs/>
          <w:color w:val="auto"/>
          <w:sz w:val="48"/>
          <w:szCs w:val="48"/>
          <w:highlight w:val="none"/>
        </w:rPr>
        <w:t>（污染影响类</w:t>
      </w:r>
      <w:r>
        <w:rPr>
          <w:rFonts w:hint="eastAsia" w:eastAsia="楷体_GB2312" w:cs="Times New Roman"/>
          <w:bCs/>
          <w:color w:val="auto"/>
          <w:sz w:val="48"/>
          <w:szCs w:val="48"/>
          <w:highlight w:val="none"/>
          <w:lang w:eastAsia="zh-CN"/>
        </w:rPr>
        <w:t>）</w:t>
      </w:r>
    </w:p>
    <w:p w14:paraId="1AAD2993">
      <w:pPr>
        <w:adjustRightInd w:val="0"/>
        <w:snapToGrid w:val="0"/>
        <w:spacing w:before="192" w:beforeLines="80" w:line="240" w:lineRule="auto"/>
        <w:ind w:firstLine="0" w:firstLineChars="0"/>
        <w:jc w:val="center"/>
        <w:rPr>
          <w:rFonts w:hint="default" w:ascii="Times New Roman" w:hAnsi="Times New Roman" w:eastAsia="楷体_GB2312" w:cs="Times New Roman"/>
          <w:bCs/>
          <w:color w:val="auto"/>
          <w:sz w:val="48"/>
          <w:szCs w:val="48"/>
          <w:highlight w:val="none"/>
        </w:rPr>
      </w:pPr>
      <w:r>
        <w:rPr>
          <w:rFonts w:hint="eastAsia" w:eastAsia="楷体_GB2312" w:cs="Times New Roman"/>
          <w:bCs/>
          <w:color w:val="auto"/>
          <w:sz w:val="48"/>
          <w:szCs w:val="48"/>
          <w:highlight w:val="none"/>
          <w:lang w:val="en-US" w:eastAsia="zh-CN"/>
        </w:rPr>
        <w:t>（承诺制公示本</w:t>
      </w:r>
      <w:r>
        <w:rPr>
          <w:rFonts w:hint="default" w:ascii="Times New Roman" w:hAnsi="Times New Roman" w:eastAsia="楷体_GB2312" w:cs="Times New Roman"/>
          <w:bCs/>
          <w:color w:val="auto"/>
          <w:sz w:val="48"/>
          <w:szCs w:val="48"/>
          <w:highlight w:val="none"/>
        </w:rPr>
        <w:t>）</w:t>
      </w:r>
    </w:p>
    <w:p w14:paraId="4F97E508">
      <w:pPr>
        <w:pStyle w:val="2"/>
        <w:ind w:left="0" w:leftChars="0" w:firstLine="0" w:firstLineChars="0"/>
        <w:rPr>
          <w:rFonts w:hint="default" w:ascii="Times New Roman" w:hAnsi="Times New Roman" w:eastAsia="仿宋" w:cs="Times New Roman"/>
          <w:color w:val="auto"/>
          <w:sz w:val="44"/>
          <w:szCs w:val="44"/>
          <w:highlight w:val="none"/>
        </w:rPr>
      </w:pPr>
    </w:p>
    <w:p w14:paraId="7146E211">
      <w:pPr>
        <w:spacing w:line="240" w:lineRule="auto"/>
        <w:ind w:firstLine="1040" w:firstLineChars="0"/>
        <w:jc w:val="both"/>
        <w:rPr>
          <w:rFonts w:hint="default" w:ascii="Times New Roman" w:hAnsi="Times New Roman" w:eastAsia="仿宋" w:cs="Times New Roman"/>
          <w:color w:val="auto"/>
          <w:sz w:val="44"/>
          <w:szCs w:val="44"/>
          <w:highlight w:val="none"/>
        </w:rPr>
      </w:pPr>
    </w:p>
    <w:p w14:paraId="54B8F0E7">
      <w:pPr>
        <w:pStyle w:val="27"/>
        <w:rPr>
          <w:rFonts w:hint="default"/>
          <w:color w:val="auto"/>
          <w:highlight w:val="none"/>
        </w:rPr>
      </w:pPr>
    </w:p>
    <w:p w14:paraId="5A406BDB">
      <w:pPr>
        <w:spacing w:line="240" w:lineRule="auto"/>
        <w:ind w:firstLine="1040" w:firstLineChars="0"/>
        <w:jc w:val="both"/>
        <w:rPr>
          <w:rFonts w:hint="default" w:ascii="Times New Roman" w:hAnsi="Times New Roman" w:eastAsia="仿宋" w:cs="Times New Roman"/>
          <w:color w:val="auto"/>
          <w:sz w:val="44"/>
          <w:szCs w:val="44"/>
          <w:highlight w:val="none"/>
        </w:rPr>
      </w:pPr>
    </w:p>
    <w:p w14:paraId="198B6A6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仿宋_GB2312" w:cs="Times New Roman"/>
          <w:b/>
          <w:bCs/>
          <w:color w:val="auto"/>
          <w:sz w:val="36"/>
          <w:szCs w:val="36"/>
          <w:highlight w:val="none"/>
          <w:u w:val="single"/>
        </w:rPr>
      </w:pPr>
      <w:r>
        <w:rPr>
          <w:rFonts w:hint="default" w:ascii="Times New Roman" w:hAnsi="Times New Roman" w:eastAsia="仿宋_GB2312" w:cs="Times New Roman"/>
          <w:b/>
          <w:bCs/>
          <w:color w:val="auto"/>
          <w:sz w:val="36"/>
          <w:szCs w:val="36"/>
          <w:highlight w:val="none"/>
        </w:rPr>
        <w:t>项目名称</w:t>
      </w:r>
      <w:r>
        <w:rPr>
          <w:rFonts w:hint="default" w:ascii="Times New Roman" w:hAnsi="Times New Roman" w:eastAsia="仿宋_GB2312" w:cs="Times New Roman"/>
          <w:b/>
          <w:bCs/>
          <w:color w:val="auto"/>
          <w:sz w:val="36"/>
          <w:szCs w:val="36"/>
          <w:highlight w:val="none"/>
          <w:u w:val="none"/>
        </w:rPr>
        <w:t>：</w:t>
      </w:r>
      <w:r>
        <w:rPr>
          <w:rFonts w:hint="eastAsia" w:eastAsia="仿宋_GB2312" w:cs="Times New Roman"/>
          <w:b/>
          <w:bCs/>
          <w:color w:val="auto"/>
          <w:sz w:val="36"/>
          <w:szCs w:val="36"/>
          <w:highlight w:val="none"/>
          <w:u w:val="single"/>
          <w:lang w:val="en-US" w:eastAsia="zh-CN"/>
        </w:rPr>
        <w:t>遂宁市安居区果蔬和冻干副食品建设项目</w:t>
      </w:r>
    </w:p>
    <w:p w14:paraId="5FE56F25">
      <w:pPr>
        <w:keepNext w:val="0"/>
        <w:keepLines w:val="0"/>
        <w:pageBreakBefore w:val="0"/>
        <w:widowControl w:val="0"/>
        <w:kinsoku/>
        <w:wordWrap/>
        <w:overflowPunct/>
        <w:topLinePunct w:val="0"/>
        <w:autoSpaceDE w:val="0"/>
        <w:autoSpaceDN w:val="0"/>
        <w:bidi w:val="0"/>
        <w:adjustRightInd w:val="0"/>
        <w:snapToGrid w:val="0"/>
        <w:spacing w:line="360" w:lineRule="auto"/>
        <w:ind w:left="3253" w:hanging="3253" w:hangingChars="900"/>
        <w:jc w:val="both"/>
        <w:textAlignment w:val="auto"/>
        <w:rPr>
          <w:rFonts w:hint="default" w:ascii="Times New Roman" w:hAnsi="Times New Roman" w:eastAsia="仿宋_GB2312" w:cs="Times New Roman"/>
          <w:b/>
          <w:bCs/>
          <w:color w:val="auto"/>
          <w:sz w:val="36"/>
          <w:szCs w:val="36"/>
          <w:highlight w:val="none"/>
          <w:u w:val="single"/>
          <w:lang w:val="en-US"/>
        </w:rPr>
      </w:pPr>
      <w:r>
        <w:rPr>
          <w:rFonts w:hint="default" w:ascii="Times New Roman" w:hAnsi="Times New Roman" w:eastAsia="仿宋_GB2312" w:cs="Times New Roman"/>
          <w:b/>
          <w:bCs/>
          <w:color w:val="auto"/>
          <w:sz w:val="36"/>
          <w:szCs w:val="36"/>
          <w:highlight w:val="none"/>
        </w:rPr>
        <w:t>建设单位（盖章）：</w:t>
      </w:r>
      <w:r>
        <w:rPr>
          <w:rFonts w:hint="eastAsia" w:eastAsia="仿宋_GB2312" w:cs="Times New Roman"/>
          <w:b/>
          <w:bCs/>
          <w:color w:val="auto"/>
          <w:sz w:val="36"/>
          <w:szCs w:val="36"/>
          <w:highlight w:val="none"/>
          <w:u w:val="single"/>
          <w:lang w:val="en-US" w:eastAsia="zh-CN"/>
        </w:rPr>
        <w:t xml:space="preserve">   遂宁乐诚食品有限公司</w:t>
      </w:r>
      <w:r>
        <w:rPr>
          <w:rFonts w:hint="eastAsia" w:eastAsia="仿宋_GB2312" w:cs="Times New Roman"/>
          <w:b/>
          <w:bCs/>
          <w:color w:val="auto"/>
          <w:sz w:val="32"/>
          <w:szCs w:val="32"/>
          <w:highlight w:val="none"/>
          <w:u w:val="single"/>
          <w:lang w:val="en-US" w:eastAsia="zh-CN"/>
        </w:rPr>
        <w:t xml:space="preserve">      </w:t>
      </w:r>
    </w:p>
    <w:p w14:paraId="4E313C27">
      <w:pPr>
        <w:adjustRightInd w:val="0"/>
        <w:snapToGrid w:val="0"/>
        <w:spacing w:line="360" w:lineRule="auto"/>
        <w:ind w:left="0" w:leftChars="0" w:firstLine="0" w:firstLineChars="0"/>
        <w:jc w:val="both"/>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b/>
          <w:bCs/>
          <w:color w:val="auto"/>
          <w:sz w:val="36"/>
          <w:szCs w:val="36"/>
          <w:highlight w:val="none"/>
        </w:rPr>
        <w:t>编制日期：</w:t>
      </w:r>
      <w:r>
        <w:rPr>
          <w:rFonts w:hint="default" w:ascii="Times New Roman" w:hAnsi="Times New Roman" w:eastAsia="仿宋_GB2312" w:cs="Times New Roman"/>
          <w:b/>
          <w:bCs/>
          <w:color w:val="auto"/>
          <w:sz w:val="36"/>
          <w:szCs w:val="36"/>
          <w:highlight w:val="none"/>
          <w:u w:val="single"/>
        </w:rPr>
        <w:t xml:space="preserve">       </w:t>
      </w:r>
      <w:r>
        <w:rPr>
          <w:rFonts w:hint="eastAsia" w:eastAsia="仿宋_GB2312" w:cs="Times New Roman"/>
          <w:b/>
          <w:bCs/>
          <w:color w:val="auto"/>
          <w:sz w:val="36"/>
          <w:szCs w:val="36"/>
          <w:highlight w:val="none"/>
          <w:u w:val="single"/>
          <w:lang w:val="en-US" w:eastAsia="zh-CN"/>
        </w:rPr>
        <w:t xml:space="preserve">  </w:t>
      </w:r>
      <w:r>
        <w:rPr>
          <w:rFonts w:hint="default" w:ascii="Times New Roman" w:hAnsi="Times New Roman" w:eastAsia="仿宋_GB2312" w:cs="Times New Roman"/>
          <w:b/>
          <w:bCs/>
          <w:color w:val="auto"/>
          <w:sz w:val="36"/>
          <w:szCs w:val="36"/>
          <w:highlight w:val="none"/>
          <w:u w:val="single"/>
        </w:rPr>
        <w:t xml:space="preserve">   202</w:t>
      </w:r>
      <w:r>
        <w:rPr>
          <w:rFonts w:hint="eastAsia" w:eastAsia="仿宋_GB2312" w:cs="Times New Roman"/>
          <w:b/>
          <w:bCs/>
          <w:color w:val="auto"/>
          <w:sz w:val="36"/>
          <w:szCs w:val="36"/>
          <w:highlight w:val="none"/>
          <w:u w:val="single"/>
          <w:lang w:val="en-US" w:eastAsia="zh-CN"/>
        </w:rPr>
        <w:t>5</w:t>
      </w:r>
      <w:r>
        <w:rPr>
          <w:rFonts w:hint="default" w:ascii="Times New Roman" w:hAnsi="Times New Roman" w:eastAsia="仿宋_GB2312" w:cs="Times New Roman"/>
          <w:b/>
          <w:bCs/>
          <w:color w:val="auto"/>
          <w:sz w:val="36"/>
          <w:szCs w:val="36"/>
          <w:highlight w:val="none"/>
          <w:u w:val="single"/>
        </w:rPr>
        <w:t>年</w:t>
      </w:r>
      <w:r>
        <w:rPr>
          <w:rFonts w:hint="eastAsia" w:eastAsia="仿宋_GB2312" w:cs="Times New Roman"/>
          <w:b/>
          <w:bCs/>
          <w:color w:val="auto"/>
          <w:sz w:val="36"/>
          <w:szCs w:val="36"/>
          <w:highlight w:val="none"/>
          <w:u w:val="single"/>
          <w:lang w:val="en-US" w:eastAsia="zh-CN"/>
        </w:rPr>
        <w:t>8</w:t>
      </w:r>
      <w:r>
        <w:rPr>
          <w:rFonts w:hint="default" w:ascii="Times New Roman" w:hAnsi="Times New Roman" w:eastAsia="仿宋_GB2312" w:cs="Times New Roman"/>
          <w:b/>
          <w:bCs/>
          <w:color w:val="auto"/>
          <w:sz w:val="36"/>
          <w:szCs w:val="36"/>
          <w:highlight w:val="none"/>
          <w:u w:val="single"/>
        </w:rPr>
        <w:t xml:space="preserve">月  </w:t>
      </w:r>
      <w:r>
        <w:rPr>
          <w:rFonts w:hint="eastAsia" w:eastAsia="仿宋_GB2312" w:cs="Times New Roman"/>
          <w:b/>
          <w:bCs/>
          <w:color w:val="auto"/>
          <w:sz w:val="36"/>
          <w:szCs w:val="36"/>
          <w:highlight w:val="none"/>
          <w:u w:val="single"/>
          <w:lang w:val="en-US" w:eastAsia="zh-CN"/>
        </w:rPr>
        <w:t xml:space="preserve">   </w:t>
      </w:r>
      <w:r>
        <w:rPr>
          <w:rFonts w:hint="default" w:ascii="Times New Roman" w:hAnsi="Times New Roman" w:eastAsia="仿宋_GB2312" w:cs="Times New Roman"/>
          <w:b/>
          <w:bCs/>
          <w:color w:val="auto"/>
          <w:sz w:val="36"/>
          <w:szCs w:val="36"/>
          <w:highlight w:val="none"/>
          <w:u w:val="single"/>
        </w:rPr>
        <w:t xml:space="preserve">         </w:t>
      </w:r>
    </w:p>
    <w:p w14:paraId="0B6F5857">
      <w:pPr>
        <w:adjustRightInd w:val="0"/>
        <w:snapToGrid w:val="0"/>
        <w:spacing w:line="288" w:lineRule="auto"/>
        <w:ind w:firstLine="1040" w:firstLineChars="0"/>
        <w:jc w:val="both"/>
        <w:rPr>
          <w:rFonts w:hint="default" w:ascii="Times New Roman" w:hAnsi="Times New Roman" w:eastAsia="仿宋_GB2312" w:cs="Times New Roman"/>
          <w:color w:val="auto"/>
          <w:sz w:val="36"/>
          <w:szCs w:val="36"/>
          <w:highlight w:val="none"/>
          <w:u w:val="single"/>
        </w:rPr>
      </w:pPr>
    </w:p>
    <w:p w14:paraId="08FB61DE">
      <w:pPr>
        <w:adjustRightInd w:val="0"/>
        <w:snapToGrid w:val="0"/>
        <w:spacing w:line="288" w:lineRule="auto"/>
        <w:ind w:right="-98" w:rightChars="-41" w:firstLine="1040" w:firstLineChars="0"/>
        <w:jc w:val="both"/>
        <w:rPr>
          <w:rFonts w:hint="default" w:ascii="Times New Roman" w:hAnsi="Times New Roman" w:eastAsia="仿宋_GB2312" w:cs="Times New Roman"/>
          <w:color w:val="auto"/>
          <w:sz w:val="36"/>
          <w:szCs w:val="36"/>
          <w:highlight w:val="none"/>
        </w:rPr>
      </w:pPr>
    </w:p>
    <w:p w14:paraId="79BDE53F">
      <w:pPr>
        <w:adjustRightInd w:val="0"/>
        <w:snapToGrid w:val="0"/>
        <w:spacing w:line="288" w:lineRule="auto"/>
        <w:ind w:firstLine="1040" w:firstLineChars="0"/>
        <w:jc w:val="both"/>
        <w:rPr>
          <w:rFonts w:hint="default" w:ascii="Times New Roman" w:hAnsi="Times New Roman" w:eastAsia="仿宋_GB2312" w:cs="Times New Roman"/>
          <w:color w:val="auto"/>
          <w:sz w:val="36"/>
          <w:szCs w:val="36"/>
          <w:highlight w:val="none"/>
        </w:rPr>
      </w:pPr>
    </w:p>
    <w:p w14:paraId="1C482411">
      <w:pPr>
        <w:pStyle w:val="2"/>
        <w:rPr>
          <w:rFonts w:hint="default" w:ascii="Times New Roman" w:hAnsi="Times New Roman" w:eastAsia="仿宋_GB2312" w:cs="Times New Roman"/>
          <w:color w:val="auto"/>
          <w:sz w:val="36"/>
          <w:szCs w:val="36"/>
          <w:highlight w:val="none"/>
        </w:rPr>
      </w:pPr>
    </w:p>
    <w:p w14:paraId="070F837D">
      <w:pPr>
        <w:pStyle w:val="2"/>
        <w:rPr>
          <w:rFonts w:hint="default" w:ascii="Times New Roman" w:hAnsi="Times New Roman" w:eastAsia="仿宋_GB2312" w:cs="Times New Roman"/>
          <w:color w:val="auto"/>
          <w:sz w:val="36"/>
          <w:szCs w:val="36"/>
          <w:highlight w:val="none"/>
        </w:rPr>
      </w:pPr>
    </w:p>
    <w:p w14:paraId="1CE128B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outlineLvl w:val="9"/>
        <w:rPr>
          <w:rFonts w:hint="default" w:ascii="Times New Roman" w:hAnsi="Times New Roman" w:eastAsia="楷体_GB2312" w:cs="Times New Roman"/>
          <w:color w:val="auto"/>
          <w:sz w:val="36"/>
          <w:szCs w:val="36"/>
          <w:highlight w:val="none"/>
        </w:rPr>
        <w:sectPr>
          <w:headerReference r:id="rId5" w:type="default"/>
          <w:footerReference r:id="rId6" w:type="default"/>
          <w:pgSz w:w="11905"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楷体_GB2312" w:cs="Times New Roman"/>
          <w:color w:val="auto"/>
          <w:sz w:val="36"/>
          <w:szCs w:val="36"/>
          <w:highlight w:val="none"/>
        </w:rPr>
        <w:t>中华人民共和国生态环境部制</w:t>
      </w:r>
    </w:p>
    <w:sdt>
      <w:sdtPr>
        <w:rPr>
          <w:rFonts w:hint="default" w:ascii="Times New Roman" w:hAnsi="Times New Roman" w:eastAsia="宋体" w:cs="Times New Roman"/>
          <w:b/>
          <w:bCs/>
          <w:color w:val="auto"/>
          <w:kern w:val="2"/>
          <w:sz w:val="28"/>
          <w:szCs w:val="28"/>
          <w:highlight w:val="none"/>
          <w:lang w:val="en-US" w:eastAsia="zh-CN" w:bidi="ar-SA"/>
        </w:rPr>
        <w:id w:val="147481685"/>
        <w15:color w:val="DBDBDB"/>
        <w:docPartObj>
          <w:docPartGallery w:val="Table of Contents"/>
          <w:docPartUnique/>
        </w:docPartObj>
      </w:sdtPr>
      <w:sdtEndPr>
        <w:rPr>
          <w:rFonts w:hint="default" w:ascii="Times New Roman" w:hAnsi="Times New Roman" w:eastAsia="楷体_GB2312" w:cs="Times New Roman"/>
          <w:b/>
          <w:bCs/>
          <w:color w:val="auto"/>
          <w:kern w:val="2"/>
          <w:sz w:val="21"/>
          <w:szCs w:val="36"/>
          <w:highlight w:val="none"/>
          <w:lang w:val="en-US" w:eastAsia="zh-CN" w:bidi="ar-SA"/>
        </w:rPr>
      </w:sdtEndPr>
      <w:sdtContent>
        <w:p w14:paraId="45ED14FF">
          <w:pPr>
            <w:keepNext w:val="0"/>
            <w:keepLines w:val="0"/>
            <w:pageBreakBefore/>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目录</w:t>
          </w:r>
        </w:p>
        <w:p w14:paraId="36C9D0A0">
          <w:pPr>
            <w:pStyle w:val="24"/>
            <w:tabs>
              <w:tab w:val="right" w:leader="dot" w:pos="8844"/>
            </w:tabs>
            <w:rPr>
              <w:b/>
              <w:bCs/>
              <w:color w:val="auto"/>
              <w:highlight w:val="none"/>
            </w:rPr>
          </w:pPr>
          <w:r>
            <w:rPr>
              <w:color w:val="auto"/>
              <w:sz w:val="24"/>
              <w:szCs w:val="24"/>
              <w:highlight w:val="none"/>
            </w:rPr>
            <w:fldChar w:fldCharType="begin"/>
          </w:r>
          <w:r>
            <w:rPr>
              <w:color w:val="auto"/>
              <w:sz w:val="24"/>
              <w:szCs w:val="24"/>
              <w:highlight w:val="none"/>
            </w:rPr>
            <w:instrText xml:space="preserve">TOC \o "1-3" \h \u </w:instrText>
          </w:r>
          <w:r>
            <w:rPr>
              <w:color w:val="auto"/>
              <w:sz w:val="24"/>
              <w:szCs w:val="24"/>
              <w:highlight w:val="none"/>
            </w:rPr>
            <w:fldChar w:fldCharType="separate"/>
          </w:r>
          <w:r>
            <w:rPr>
              <w:b/>
              <w:bCs/>
              <w:color w:val="auto"/>
              <w:szCs w:val="24"/>
              <w:highlight w:val="none"/>
            </w:rPr>
            <w:fldChar w:fldCharType="begin"/>
          </w:r>
          <w:r>
            <w:rPr>
              <w:b/>
              <w:bCs/>
              <w:color w:val="auto"/>
              <w:szCs w:val="24"/>
              <w:highlight w:val="none"/>
            </w:rPr>
            <w:instrText xml:space="preserve"> HYPERLINK \l _Toc29892 </w:instrText>
          </w:r>
          <w:r>
            <w:rPr>
              <w:b/>
              <w:bCs/>
              <w:color w:val="auto"/>
              <w:szCs w:val="24"/>
              <w:highlight w:val="none"/>
            </w:rPr>
            <w:fldChar w:fldCharType="separate"/>
          </w:r>
          <w:r>
            <w:rPr>
              <w:rFonts w:ascii="Times New Roman" w:hAnsi="Times New Roman" w:eastAsia="黑体"/>
              <w:b/>
              <w:bCs/>
              <w:snapToGrid w:val="0"/>
              <w:color w:val="auto"/>
              <w:szCs w:val="30"/>
              <w:highlight w:val="none"/>
            </w:rPr>
            <w:t>一、建设项目基本情况</w:t>
          </w:r>
          <w:r>
            <w:rPr>
              <w:b/>
              <w:bCs/>
              <w:color w:val="auto"/>
              <w:highlight w:val="none"/>
            </w:rPr>
            <w:tab/>
          </w:r>
          <w:r>
            <w:rPr>
              <w:b/>
              <w:bCs/>
              <w:color w:val="auto"/>
              <w:highlight w:val="none"/>
            </w:rPr>
            <w:fldChar w:fldCharType="begin"/>
          </w:r>
          <w:r>
            <w:rPr>
              <w:b/>
              <w:bCs/>
              <w:color w:val="auto"/>
              <w:highlight w:val="none"/>
            </w:rPr>
            <w:instrText xml:space="preserve"> PAGEREF _Toc29892 \h </w:instrText>
          </w:r>
          <w:r>
            <w:rPr>
              <w:b/>
              <w:bCs/>
              <w:color w:val="auto"/>
              <w:highlight w:val="none"/>
            </w:rPr>
            <w:fldChar w:fldCharType="separate"/>
          </w:r>
          <w:r>
            <w:rPr>
              <w:b/>
              <w:bCs/>
              <w:color w:val="auto"/>
              <w:highlight w:val="none"/>
            </w:rPr>
            <w:t>1</w:t>
          </w:r>
          <w:r>
            <w:rPr>
              <w:b/>
              <w:bCs/>
              <w:color w:val="auto"/>
              <w:highlight w:val="none"/>
            </w:rPr>
            <w:fldChar w:fldCharType="end"/>
          </w:r>
          <w:r>
            <w:rPr>
              <w:b/>
              <w:bCs/>
              <w:color w:val="auto"/>
              <w:szCs w:val="24"/>
              <w:highlight w:val="none"/>
            </w:rPr>
            <w:fldChar w:fldCharType="end"/>
          </w:r>
        </w:p>
        <w:p w14:paraId="348953BB">
          <w:pPr>
            <w:pStyle w:val="24"/>
            <w:tabs>
              <w:tab w:val="right" w:leader="dot" w:pos="8844"/>
            </w:tabs>
            <w:rPr>
              <w:b/>
              <w:bCs/>
              <w:color w:val="auto"/>
              <w:highlight w:val="none"/>
            </w:rPr>
          </w:pPr>
          <w:r>
            <w:rPr>
              <w:b/>
              <w:bCs/>
              <w:color w:val="auto"/>
              <w:szCs w:val="24"/>
              <w:highlight w:val="none"/>
            </w:rPr>
            <w:fldChar w:fldCharType="begin"/>
          </w:r>
          <w:r>
            <w:rPr>
              <w:b/>
              <w:bCs/>
              <w:color w:val="auto"/>
              <w:szCs w:val="24"/>
              <w:highlight w:val="none"/>
            </w:rPr>
            <w:instrText xml:space="preserve"> HYPERLINK \l _Toc13668 </w:instrText>
          </w:r>
          <w:r>
            <w:rPr>
              <w:b/>
              <w:bCs/>
              <w:color w:val="auto"/>
              <w:szCs w:val="24"/>
              <w:highlight w:val="none"/>
            </w:rPr>
            <w:fldChar w:fldCharType="separate"/>
          </w:r>
          <w:r>
            <w:rPr>
              <w:rFonts w:ascii="Times New Roman" w:hAnsi="Times New Roman" w:eastAsia="黑体"/>
              <w:b/>
              <w:bCs/>
              <w:snapToGrid w:val="0"/>
              <w:color w:val="auto"/>
              <w:szCs w:val="30"/>
              <w:highlight w:val="none"/>
            </w:rPr>
            <w:t>二、建设项目工程分析</w:t>
          </w:r>
          <w:r>
            <w:rPr>
              <w:b/>
              <w:bCs/>
              <w:color w:val="auto"/>
              <w:highlight w:val="none"/>
            </w:rPr>
            <w:tab/>
          </w:r>
          <w:r>
            <w:rPr>
              <w:b/>
              <w:bCs/>
              <w:color w:val="auto"/>
              <w:highlight w:val="none"/>
            </w:rPr>
            <w:fldChar w:fldCharType="begin"/>
          </w:r>
          <w:r>
            <w:rPr>
              <w:b/>
              <w:bCs/>
              <w:color w:val="auto"/>
              <w:highlight w:val="none"/>
            </w:rPr>
            <w:instrText xml:space="preserve"> PAGEREF _Toc13668 \h </w:instrText>
          </w:r>
          <w:r>
            <w:rPr>
              <w:b/>
              <w:bCs/>
              <w:color w:val="auto"/>
              <w:highlight w:val="none"/>
            </w:rPr>
            <w:fldChar w:fldCharType="separate"/>
          </w:r>
          <w:r>
            <w:rPr>
              <w:b/>
              <w:bCs/>
              <w:color w:val="auto"/>
              <w:highlight w:val="none"/>
            </w:rPr>
            <w:t>33</w:t>
          </w:r>
          <w:r>
            <w:rPr>
              <w:b/>
              <w:bCs/>
              <w:color w:val="auto"/>
              <w:highlight w:val="none"/>
            </w:rPr>
            <w:fldChar w:fldCharType="end"/>
          </w:r>
          <w:r>
            <w:rPr>
              <w:b/>
              <w:bCs/>
              <w:color w:val="auto"/>
              <w:szCs w:val="24"/>
              <w:highlight w:val="none"/>
            </w:rPr>
            <w:fldChar w:fldCharType="end"/>
          </w:r>
        </w:p>
        <w:p w14:paraId="01BAA0B6">
          <w:pPr>
            <w:pStyle w:val="24"/>
            <w:tabs>
              <w:tab w:val="right" w:leader="dot" w:pos="8844"/>
            </w:tabs>
            <w:rPr>
              <w:b/>
              <w:bCs/>
              <w:color w:val="auto"/>
              <w:highlight w:val="none"/>
            </w:rPr>
          </w:pPr>
          <w:r>
            <w:rPr>
              <w:b/>
              <w:bCs/>
              <w:color w:val="auto"/>
              <w:szCs w:val="24"/>
              <w:highlight w:val="none"/>
            </w:rPr>
            <w:fldChar w:fldCharType="begin"/>
          </w:r>
          <w:r>
            <w:rPr>
              <w:b/>
              <w:bCs/>
              <w:color w:val="auto"/>
              <w:szCs w:val="24"/>
              <w:highlight w:val="none"/>
            </w:rPr>
            <w:instrText xml:space="preserve"> HYPERLINK \l _Toc10183 </w:instrText>
          </w:r>
          <w:r>
            <w:rPr>
              <w:b/>
              <w:bCs/>
              <w:color w:val="auto"/>
              <w:szCs w:val="24"/>
              <w:highlight w:val="none"/>
            </w:rPr>
            <w:fldChar w:fldCharType="separate"/>
          </w:r>
          <w:r>
            <w:rPr>
              <w:rFonts w:ascii="Times New Roman" w:hAnsi="Times New Roman" w:eastAsia="黑体"/>
              <w:b/>
              <w:bCs/>
              <w:snapToGrid w:val="0"/>
              <w:color w:val="auto"/>
              <w:szCs w:val="30"/>
              <w:highlight w:val="none"/>
            </w:rPr>
            <w:t>三、区域环境质量现状、环境保护目标及评价标准</w:t>
          </w:r>
          <w:r>
            <w:rPr>
              <w:b/>
              <w:bCs/>
              <w:color w:val="auto"/>
              <w:highlight w:val="none"/>
            </w:rPr>
            <w:tab/>
          </w:r>
          <w:r>
            <w:rPr>
              <w:b/>
              <w:bCs/>
              <w:color w:val="auto"/>
              <w:highlight w:val="none"/>
            </w:rPr>
            <w:fldChar w:fldCharType="begin"/>
          </w:r>
          <w:r>
            <w:rPr>
              <w:b/>
              <w:bCs/>
              <w:color w:val="auto"/>
              <w:highlight w:val="none"/>
            </w:rPr>
            <w:instrText xml:space="preserve"> PAGEREF _Toc10183 \h </w:instrText>
          </w:r>
          <w:r>
            <w:rPr>
              <w:b/>
              <w:bCs/>
              <w:color w:val="auto"/>
              <w:highlight w:val="none"/>
            </w:rPr>
            <w:fldChar w:fldCharType="separate"/>
          </w:r>
          <w:r>
            <w:rPr>
              <w:b/>
              <w:bCs/>
              <w:color w:val="auto"/>
              <w:highlight w:val="none"/>
            </w:rPr>
            <w:t>60</w:t>
          </w:r>
          <w:r>
            <w:rPr>
              <w:b/>
              <w:bCs/>
              <w:color w:val="auto"/>
              <w:highlight w:val="none"/>
            </w:rPr>
            <w:fldChar w:fldCharType="end"/>
          </w:r>
          <w:r>
            <w:rPr>
              <w:b/>
              <w:bCs/>
              <w:color w:val="auto"/>
              <w:szCs w:val="24"/>
              <w:highlight w:val="none"/>
            </w:rPr>
            <w:fldChar w:fldCharType="end"/>
          </w:r>
        </w:p>
        <w:p w14:paraId="127B2525">
          <w:pPr>
            <w:pStyle w:val="24"/>
            <w:tabs>
              <w:tab w:val="right" w:leader="dot" w:pos="8844"/>
            </w:tabs>
            <w:rPr>
              <w:b/>
              <w:bCs/>
              <w:color w:val="auto"/>
              <w:highlight w:val="none"/>
            </w:rPr>
          </w:pPr>
          <w:r>
            <w:rPr>
              <w:b/>
              <w:bCs/>
              <w:color w:val="auto"/>
              <w:szCs w:val="24"/>
              <w:highlight w:val="none"/>
            </w:rPr>
            <w:fldChar w:fldCharType="begin"/>
          </w:r>
          <w:r>
            <w:rPr>
              <w:b/>
              <w:bCs/>
              <w:color w:val="auto"/>
              <w:szCs w:val="24"/>
              <w:highlight w:val="none"/>
            </w:rPr>
            <w:instrText xml:space="preserve"> HYPERLINK \l _Toc30092 </w:instrText>
          </w:r>
          <w:r>
            <w:rPr>
              <w:b/>
              <w:bCs/>
              <w:color w:val="auto"/>
              <w:szCs w:val="24"/>
              <w:highlight w:val="none"/>
            </w:rPr>
            <w:fldChar w:fldCharType="separate"/>
          </w:r>
          <w:r>
            <w:rPr>
              <w:rFonts w:ascii="Times New Roman" w:hAnsi="Times New Roman" w:eastAsia="黑体"/>
              <w:b/>
              <w:bCs/>
              <w:snapToGrid w:val="0"/>
              <w:color w:val="auto"/>
              <w:szCs w:val="30"/>
              <w:highlight w:val="none"/>
            </w:rPr>
            <w:t>四、主要环境影响和保护措施</w:t>
          </w:r>
          <w:r>
            <w:rPr>
              <w:b/>
              <w:bCs/>
              <w:color w:val="auto"/>
              <w:highlight w:val="none"/>
            </w:rPr>
            <w:tab/>
          </w:r>
          <w:r>
            <w:rPr>
              <w:b/>
              <w:bCs/>
              <w:color w:val="auto"/>
              <w:highlight w:val="none"/>
            </w:rPr>
            <w:fldChar w:fldCharType="begin"/>
          </w:r>
          <w:r>
            <w:rPr>
              <w:b/>
              <w:bCs/>
              <w:color w:val="auto"/>
              <w:highlight w:val="none"/>
            </w:rPr>
            <w:instrText xml:space="preserve"> PAGEREF _Toc30092 \h </w:instrText>
          </w:r>
          <w:r>
            <w:rPr>
              <w:b/>
              <w:bCs/>
              <w:color w:val="auto"/>
              <w:highlight w:val="none"/>
            </w:rPr>
            <w:fldChar w:fldCharType="separate"/>
          </w:r>
          <w:r>
            <w:rPr>
              <w:b/>
              <w:bCs/>
              <w:color w:val="auto"/>
              <w:highlight w:val="none"/>
            </w:rPr>
            <w:t>68</w:t>
          </w:r>
          <w:r>
            <w:rPr>
              <w:b/>
              <w:bCs/>
              <w:color w:val="auto"/>
              <w:highlight w:val="none"/>
            </w:rPr>
            <w:fldChar w:fldCharType="end"/>
          </w:r>
          <w:r>
            <w:rPr>
              <w:b/>
              <w:bCs/>
              <w:color w:val="auto"/>
              <w:szCs w:val="24"/>
              <w:highlight w:val="none"/>
            </w:rPr>
            <w:fldChar w:fldCharType="end"/>
          </w:r>
        </w:p>
        <w:p w14:paraId="344A0F99">
          <w:pPr>
            <w:pStyle w:val="24"/>
            <w:tabs>
              <w:tab w:val="right" w:leader="dot" w:pos="8844"/>
            </w:tabs>
            <w:rPr>
              <w:b/>
              <w:bCs/>
              <w:color w:val="auto"/>
              <w:highlight w:val="none"/>
            </w:rPr>
          </w:pPr>
          <w:r>
            <w:rPr>
              <w:b/>
              <w:bCs/>
              <w:color w:val="auto"/>
              <w:szCs w:val="24"/>
              <w:highlight w:val="none"/>
            </w:rPr>
            <w:fldChar w:fldCharType="begin"/>
          </w:r>
          <w:r>
            <w:rPr>
              <w:b/>
              <w:bCs/>
              <w:color w:val="auto"/>
              <w:szCs w:val="24"/>
              <w:highlight w:val="none"/>
            </w:rPr>
            <w:instrText xml:space="preserve"> HYPERLINK \l _Toc14176 </w:instrText>
          </w:r>
          <w:r>
            <w:rPr>
              <w:b/>
              <w:bCs/>
              <w:color w:val="auto"/>
              <w:szCs w:val="24"/>
              <w:highlight w:val="none"/>
            </w:rPr>
            <w:fldChar w:fldCharType="separate"/>
          </w:r>
          <w:r>
            <w:rPr>
              <w:rFonts w:ascii="Times New Roman" w:hAnsi="Times New Roman" w:eastAsia="黑体"/>
              <w:b/>
              <w:bCs/>
              <w:snapToGrid w:val="0"/>
              <w:color w:val="auto"/>
              <w:szCs w:val="30"/>
              <w:highlight w:val="none"/>
            </w:rPr>
            <w:t>五、环境保护措施监督检查清单</w:t>
          </w:r>
          <w:r>
            <w:rPr>
              <w:b/>
              <w:bCs/>
              <w:color w:val="auto"/>
              <w:highlight w:val="none"/>
            </w:rPr>
            <w:tab/>
          </w:r>
          <w:r>
            <w:rPr>
              <w:b/>
              <w:bCs/>
              <w:color w:val="auto"/>
              <w:highlight w:val="none"/>
            </w:rPr>
            <w:fldChar w:fldCharType="begin"/>
          </w:r>
          <w:r>
            <w:rPr>
              <w:b/>
              <w:bCs/>
              <w:color w:val="auto"/>
              <w:highlight w:val="none"/>
            </w:rPr>
            <w:instrText xml:space="preserve"> PAGEREF _Toc14176 \h </w:instrText>
          </w:r>
          <w:r>
            <w:rPr>
              <w:b/>
              <w:bCs/>
              <w:color w:val="auto"/>
              <w:highlight w:val="none"/>
            </w:rPr>
            <w:fldChar w:fldCharType="separate"/>
          </w:r>
          <w:r>
            <w:rPr>
              <w:b/>
              <w:bCs/>
              <w:color w:val="auto"/>
              <w:highlight w:val="none"/>
            </w:rPr>
            <w:t>111</w:t>
          </w:r>
          <w:r>
            <w:rPr>
              <w:b/>
              <w:bCs/>
              <w:color w:val="auto"/>
              <w:highlight w:val="none"/>
            </w:rPr>
            <w:fldChar w:fldCharType="end"/>
          </w:r>
          <w:r>
            <w:rPr>
              <w:b/>
              <w:bCs/>
              <w:color w:val="auto"/>
              <w:szCs w:val="24"/>
              <w:highlight w:val="none"/>
            </w:rPr>
            <w:fldChar w:fldCharType="end"/>
          </w:r>
        </w:p>
        <w:p w14:paraId="26690B47">
          <w:pPr>
            <w:pStyle w:val="24"/>
            <w:tabs>
              <w:tab w:val="right" w:leader="dot" w:pos="8844"/>
            </w:tabs>
            <w:rPr>
              <w:b/>
              <w:bCs/>
              <w:color w:val="auto"/>
              <w:highlight w:val="none"/>
            </w:rPr>
          </w:pPr>
          <w:r>
            <w:rPr>
              <w:b/>
              <w:bCs/>
              <w:color w:val="auto"/>
              <w:szCs w:val="24"/>
              <w:highlight w:val="none"/>
            </w:rPr>
            <w:fldChar w:fldCharType="begin"/>
          </w:r>
          <w:r>
            <w:rPr>
              <w:b/>
              <w:bCs/>
              <w:color w:val="auto"/>
              <w:szCs w:val="24"/>
              <w:highlight w:val="none"/>
            </w:rPr>
            <w:instrText xml:space="preserve"> HYPERLINK \l _Toc29483 </w:instrText>
          </w:r>
          <w:r>
            <w:rPr>
              <w:b/>
              <w:bCs/>
              <w:color w:val="auto"/>
              <w:szCs w:val="24"/>
              <w:highlight w:val="none"/>
            </w:rPr>
            <w:fldChar w:fldCharType="separate"/>
          </w:r>
          <w:r>
            <w:rPr>
              <w:rFonts w:ascii="Times New Roman" w:hAnsi="Times New Roman" w:eastAsia="黑体"/>
              <w:b/>
              <w:bCs/>
              <w:snapToGrid w:val="0"/>
              <w:color w:val="auto"/>
              <w:szCs w:val="30"/>
              <w:highlight w:val="none"/>
            </w:rPr>
            <w:t>六、结论</w:t>
          </w:r>
          <w:r>
            <w:rPr>
              <w:b/>
              <w:bCs/>
              <w:color w:val="auto"/>
              <w:highlight w:val="none"/>
            </w:rPr>
            <w:tab/>
          </w:r>
          <w:r>
            <w:rPr>
              <w:b/>
              <w:bCs/>
              <w:color w:val="auto"/>
              <w:highlight w:val="none"/>
            </w:rPr>
            <w:fldChar w:fldCharType="begin"/>
          </w:r>
          <w:r>
            <w:rPr>
              <w:b/>
              <w:bCs/>
              <w:color w:val="auto"/>
              <w:highlight w:val="none"/>
            </w:rPr>
            <w:instrText xml:space="preserve"> PAGEREF _Toc29483 \h </w:instrText>
          </w:r>
          <w:r>
            <w:rPr>
              <w:b/>
              <w:bCs/>
              <w:color w:val="auto"/>
              <w:highlight w:val="none"/>
            </w:rPr>
            <w:fldChar w:fldCharType="separate"/>
          </w:r>
          <w:r>
            <w:rPr>
              <w:b/>
              <w:bCs/>
              <w:color w:val="auto"/>
              <w:highlight w:val="none"/>
            </w:rPr>
            <w:t>113</w:t>
          </w:r>
          <w:r>
            <w:rPr>
              <w:b/>
              <w:bCs/>
              <w:color w:val="auto"/>
              <w:highlight w:val="none"/>
            </w:rPr>
            <w:fldChar w:fldCharType="end"/>
          </w:r>
          <w:r>
            <w:rPr>
              <w:b/>
              <w:bCs/>
              <w:color w:val="auto"/>
              <w:szCs w:val="24"/>
              <w:highlight w:val="none"/>
            </w:rPr>
            <w:fldChar w:fldCharType="end"/>
          </w:r>
        </w:p>
        <w:p w14:paraId="298F8AE9">
          <w:pPr>
            <w:pStyle w:val="24"/>
            <w:tabs>
              <w:tab w:val="right" w:leader="dot" w:pos="8844"/>
            </w:tabs>
            <w:rPr>
              <w:color w:val="auto"/>
              <w:highlight w:val="none"/>
            </w:rPr>
          </w:pPr>
          <w:r>
            <w:rPr>
              <w:b/>
              <w:bCs/>
              <w:color w:val="auto"/>
              <w:szCs w:val="24"/>
              <w:highlight w:val="none"/>
            </w:rPr>
            <w:fldChar w:fldCharType="begin"/>
          </w:r>
          <w:r>
            <w:rPr>
              <w:b/>
              <w:bCs/>
              <w:color w:val="auto"/>
              <w:szCs w:val="24"/>
              <w:highlight w:val="none"/>
            </w:rPr>
            <w:instrText xml:space="preserve"> HYPERLINK \l _Toc21212 </w:instrText>
          </w:r>
          <w:r>
            <w:rPr>
              <w:b/>
              <w:bCs/>
              <w:color w:val="auto"/>
              <w:szCs w:val="24"/>
              <w:highlight w:val="none"/>
            </w:rPr>
            <w:fldChar w:fldCharType="separate"/>
          </w:r>
          <w:r>
            <w:rPr>
              <w:rFonts w:ascii="Times New Roman" w:hAnsi="Times New Roman" w:eastAsia="方正小标宋_GBK"/>
              <w:b/>
              <w:bCs/>
              <w:snapToGrid w:val="0"/>
              <w:color w:val="auto"/>
              <w:szCs w:val="38"/>
              <w:highlight w:val="none"/>
            </w:rPr>
            <w:t>建设项目污染物排放量汇总表</w:t>
          </w:r>
          <w:r>
            <w:rPr>
              <w:b/>
              <w:bCs/>
              <w:color w:val="auto"/>
              <w:highlight w:val="none"/>
            </w:rPr>
            <w:tab/>
          </w:r>
          <w:r>
            <w:rPr>
              <w:b/>
              <w:bCs/>
              <w:color w:val="auto"/>
              <w:highlight w:val="none"/>
            </w:rPr>
            <w:fldChar w:fldCharType="begin"/>
          </w:r>
          <w:r>
            <w:rPr>
              <w:b/>
              <w:bCs/>
              <w:color w:val="auto"/>
              <w:highlight w:val="none"/>
            </w:rPr>
            <w:instrText xml:space="preserve"> PAGEREF _Toc21212 \h </w:instrText>
          </w:r>
          <w:r>
            <w:rPr>
              <w:b/>
              <w:bCs/>
              <w:color w:val="auto"/>
              <w:highlight w:val="none"/>
            </w:rPr>
            <w:fldChar w:fldCharType="separate"/>
          </w:r>
          <w:r>
            <w:rPr>
              <w:b/>
              <w:bCs/>
              <w:color w:val="auto"/>
              <w:highlight w:val="none"/>
            </w:rPr>
            <w:t>114</w:t>
          </w:r>
          <w:r>
            <w:rPr>
              <w:b/>
              <w:bCs/>
              <w:color w:val="auto"/>
              <w:highlight w:val="none"/>
            </w:rPr>
            <w:fldChar w:fldCharType="end"/>
          </w:r>
          <w:r>
            <w:rPr>
              <w:b/>
              <w:bCs/>
              <w:color w:val="auto"/>
              <w:szCs w:val="24"/>
              <w:highlight w:val="none"/>
            </w:rPr>
            <w:fldChar w:fldCharType="end"/>
          </w:r>
        </w:p>
        <w:p w14:paraId="10751F87">
          <w:pPr>
            <w:keepNext w:val="0"/>
            <w:keepLines w:val="0"/>
            <w:pageBreakBefore w:val="0"/>
            <w:kinsoku/>
            <w:wordWrap/>
            <w:overflowPunct/>
            <w:topLinePunct w:val="0"/>
            <w:autoSpaceDE/>
            <w:autoSpaceDN/>
            <w:bidi w:val="0"/>
            <w:adjustRightInd/>
            <w:snapToGrid/>
            <w:spacing w:before="0" w:beforeLines="0" w:line="360" w:lineRule="auto"/>
            <w:ind w:left="0" w:leftChars="0" w:firstLine="0" w:firstLineChars="0"/>
            <w:textAlignment w:val="auto"/>
            <w:rPr>
              <w:rFonts w:hint="default" w:ascii="Times New Roman" w:hAnsi="Times New Roman" w:eastAsia="楷体_GB2312" w:cs="Times New Roman"/>
              <w:color w:val="auto"/>
              <w:kern w:val="2"/>
              <w:sz w:val="21"/>
              <w:szCs w:val="36"/>
              <w:highlight w:val="none"/>
              <w:lang w:val="en-US" w:eastAsia="zh-CN" w:bidi="ar-SA"/>
            </w:rPr>
          </w:pPr>
          <w:r>
            <w:rPr>
              <w:color w:val="auto"/>
              <w:szCs w:val="24"/>
              <w:highlight w:val="none"/>
            </w:rPr>
            <w:fldChar w:fldCharType="end"/>
          </w:r>
        </w:p>
      </w:sdtContent>
    </w:sdt>
    <w:p w14:paraId="30B69190">
      <w:pPr>
        <w:pStyle w:val="17"/>
        <w:autoSpaceDE/>
        <w:autoSpaceDN/>
        <w:spacing w:line="240" w:lineRule="auto"/>
        <w:ind w:firstLine="422"/>
        <w:rPr>
          <w:b/>
          <w:bCs/>
          <w:color w:val="auto"/>
          <w:kern w:val="2"/>
          <w:sz w:val="21"/>
          <w:szCs w:val="21"/>
          <w:highlight w:val="none"/>
        </w:rPr>
      </w:pPr>
      <w:r>
        <w:rPr>
          <w:rFonts w:hint="eastAsia"/>
          <w:b/>
          <w:bCs/>
          <w:color w:val="auto"/>
          <w:kern w:val="2"/>
          <w:sz w:val="21"/>
          <w:szCs w:val="21"/>
          <w:highlight w:val="none"/>
        </w:rPr>
        <w:t>附图：</w:t>
      </w:r>
    </w:p>
    <w:p w14:paraId="4F29F792">
      <w:pPr>
        <w:pStyle w:val="71"/>
        <w:numPr>
          <w:ilvl w:val="0"/>
          <w:numId w:val="3"/>
        </w:numPr>
        <w:autoSpaceDE/>
        <w:autoSpaceDN/>
        <w:ind w:firstLine="200" w:firstLineChars="0"/>
        <w:jc w:val="both"/>
        <w:rPr>
          <w:color w:val="auto"/>
          <w:sz w:val="21"/>
          <w:szCs w:val="21"/>
          <w:highlight w:val="none"/>
        </w:rPr>
      </w:pPr>
      <w:r>
        <w:rPr>
          <w:rFonts w:hint="eastAsia"/>
          <w:color w:val="auto"/>
          <w:sz w:val="21"/>
          <w:szCs w:val="21"/>
          <w:highlight w:val="none"/>
        </w:rPr>
        <w:t xml:space="preserve"> 建设项目地理位置图</w:t>
      </w:r>
    </w:p>
    <w:p w14:paraId="0B6514EE">
      <w:pPr>
        <w:pStyle w:val="71"/>
        <w:numPr>
          <w:ilvl w:val="0"/>
          <w:numId w:val="3"/>
        </w:numPr>
        <w:autoSpaceDE/>
        <w:autoSpaceDN/>
        <w:ind w:firstLine="200" w:firstLineChars="0"/>
        <w:jc w:val="both"/>
        <w:rPr>
          <w:color w:val="auto"/>
          <w:sz w:val="21"/>
          <w:szCs w:val="21"/>
          <w:highlight w:val="none"/>
        </w:rPr>
      </w:pPr>
      <w:r>
        <w:rPr>
          <w:rFonts w:hint="eastAsia"/>
          <w:color w:val="auto"/>
          <w:sz w:val="21"/>
          <w:szCs w:val="21"/>
          <w:highlight w:val="none"/>
        </w:rPr>
        <w:t xml:space="preserve"> </w:t>
      </w:r>
      <w:r>
        <w:rPr>
          <w:rFonts w:hint="eastAsia"/>
          <w:color w:val="auto"/>
          <w:sz w:val="21"/>
          <w:szCs w:val="21"/>
          <w:highlight w:val="none"/>
          <w:lang w:val="en-US" w:eastAsia="zh-CN"/>
        </w:rPr>
        <w:t>遂宁市</w:t>
      </w:r>
      <w:r>
        <w:rPr>
          <w:rFonts w:hint="eastAsia"/>
          <w:color w:val="auto"/>
          <w:sz w:val="21"/>
          <w:szCs w:val="21"/>
          <w:highlight w:val="none"/>
        </w:rPr>
        <w:t>环境管控单元图</w:t>
      </w:r>
    </w:p>
    <w:p w14:paraId="7DC31BE2">
      <w:pPr>
        <w:pStyle w:val="71"/>
        <w:numPr>
          <w:ilvl w:val="0"/>
          <w:numId w:val="3"/>
        </w:numPr>
        <w:autoSpaceDE/>
        <w:autoSpaceDN/>
        <w:ind w:firstLine="200" w:firstLineChars="0"/>
        <w:jc w:val="both"/>
        <w:rPr>
          <w:color w:val="auto"/>
          <w:sz w:val="21"/>
          <w:szCs w:val="21"/>
          <w:highlight w:val="none"/>
        </w:rPr>
      </w:pPr>
      <w:r>
        <w:rPr>
          <w:rFonts w:hint="eastAsia"/>
          <w:color w:val="auto"/>
          <w:sz w:val="21"/>
          <w:szCs w:val="21"/>
          <w:highlight w:val="none"/>
        </w:rPr>
        <w:t xml:space="preserve"> </w:t>
      </w:r>
      <w:r>
        <w:rPr>
          <w:rFonts w:hint="eastAsia"/>
          <w:color w:val="auto"/>
          <w:sz w:val="21"/>
          <w:szCs w:val="21"/>
          <w:highlight w:val="none"/>
          <w:lang w:val="en-US" w:eastAsia="zh-CN"/>
        </w:rPr>
        <w:t>遂宁市</w:t>
      </w:r>
      <w:r>
        <w:rPr>
          <w:rFonts w:hint="eastAsia"/>
          <w:color w:val="auto"/>
          <w:sz w:val="21"/>
          <w:szCs w:val="21"/>
          <w:highlight w:val="none"/>
        </w:rPr>
        <w:t>生态保护红线图</w:t>
      </w:r>
    </w:p>
    <w:p w14:paraId="68382ABE">
      <w:pPr>
        <w:pStyle w:val="71"/>
        <w:numPr>
          <w:ilvl w:val="0"/>
          <w:numId w:val="3"/>
        </w:numPr>
        <w:autoSpaceDE/>
        <w:autoSpaceDN/>
        <w:ind w:firstLine="200" w:firstLineChars="0"/>
        <w:jc w:val="both"/>
        <w:rPr>
          <w:color w:val="auto"/>
          <w:sz w:val="21"/>
          <w:szCs w:val="21"/>
          <w:highlight w:val="none"/>
        </w:rPr>
      </w:pPr>
      <w:r>
        <w:rPr>
          <w:rFonts w:hint="eastAsia"/>
          <w:color w:val="auto"/>
          <w:sz w:val="21"/>
          <w:szCs w:val="21"/>
          <w:highlight w:val="none"/>
        </w:rPr>
        <w:t xml:space="preserve"> 遂宁市安居区工业集中发展区控制性详细规划图</w:t>
      </w:r>
    </w:p>
    <w:p w14:paraId="0C78F206">
      <w:pPr>
        <w:pStyle w:val="71"/>
        <w:numPr>
          <w:ilvl w:val="0"/>
          <w:numId w:val="3"/>
        </w:numPr>
        <w:autoSpaceDE/>
        <w:autoSpaceDN/>
        <w:ind w:firstLine="200" w:firstLineChars="0"/>
        <w:jc w:val="both"/>
        <w:rPr>
          <w:color w:val="auto"/>
          <w:sz w:val="21"/>
          <w:szCs w:val="21"/>
          <w:highlight w:val="none"/>
        </w:rPr>
      </w:pPr>
      <w:r>
        <w:rPr>
          <w:rFonts w:hint="eastAsia"/>
          <w:color w:val="auto"/>
          <w:sz w:val="21"/>
          <w:szCs w:val="21"/>
          <w:highlight w:val="none"/>
          <w:lang w:val="en-US" w:eastAsia="zh-CN"/>
        </w:rPr>
        <w:t xml:space="preserve"> </w:t>
      </w:r>
      <w:r>
        <w:rPr>
          <w:rFonts w:hint="eastAsia"/>
          <w:color w:val="auto"/>
          <w:sz w:val="21"/>
          <w:szCs w:val="21"/>
          <w:highlight w:val="none"/>
        </w:rPr>
        <w:t>项目外环境关系</w:t>
      </w:r>
      <w:r>
        <w:rPr>
          <w:rFonts w:hint="eastAsia"/>
          <w:color w:val="auto"/>
          <w:sz w:val="21"/>
          <w:szCs w:val="21"/>
          <w:highlight w:val="none"/>
          <w:lang w:val="en-US" w:eastAsia="zh-CN"/>
        </w:rPr>
        <w:t>与</w:t>
      </w:r>
      <w:r>
        <w:rPr>
          <w:rFonts w:hint="eastAsia"/>
          <w:color w:val="auto"/>
          <w:sz w:val="21"/>
          <w:szCs w:val="21"/>
          <w:highlight w:val="none"/>
        </w:rPr>
        <w:t>环境保护目标分布图</w:t>
      </w:r>
    </w:p>
    <w:p w14:paraId="2E7E8B9D">
      <w:pPr>
        <w:pStyle w:val="71"/>
        <w:numPr>
          <w:ilvl w:val="0"/>
          <w:numId w:val="3"/>
        </w:numPr>
        <w:autoSpaceDE/>
        <w:autoSpaceDN/>
        <w:ind w:firstLine="200" w:firstLineChars="0"/>
        <w:jc w:val="both"/>
        <w:rPr>
          <w:color w:val="auto"/>
          <w:sz w:val="21"/>
          <w:szCs w:val="21"/>
          <w:highlight w:val="none"/>
        </w:rPr>
      </w:pPr>
      <w:r>
        <w:rPr>
          <w:rFonts w:hint="eastAsia"/>
          <w:color w:val="auto"/>
          <w:sz w:val="21"/>
          <w:szCs w:val="21"/>
          <w:highlight w:val="none"/>
        </w:rPr>
        <w:t xml:space="preserve"> 项目</w:t>
      </w:r>
      <w:r>
        <w:rPr>
          <w:rFonts w:hint="eastAsia"/>
          <w:color w:val="auto"/>
          <w:sz w:val="21"/>
          <w:szCs w:val="21"/>
          <w:highlight w:val="none"/>
          <w:lang w:val="en-US" w:eastAsia="zh-CN"/>
        </w:rPr>
        <w:t>总</w:t>
      </w:r>
      <w:r>
        <w:rPr>
          <w:rFonts w:hint="eastAsia"/>
          <w:color w:val="auto"/>
          <w:sz w:val="21"/>
          <w:szCs w:val="21"/>
          <w:highlight w:val="none"/>
        </w:rPr>
        <w:t>平面布置</w:t>
      </w:r>
      <w:r>
        <w:rPr>
          <w:rFonts w:hint="eastAsia"/>
          <w:color w:val="auto"/>
          <w:sz w:val="21"/>
          <w:szCs w:val="21"/>
          <w:highlight w:val="none"/>
          <w:lang w:val="en-US" w:eastAsia="zh-CN"/>
        </w:rPr>
        <w:t>及分区防渗</w:t>
      </w:r>
      <w:r>
        <w:rPr>
          <w:rFonts w:hint="eastAsia"/>
          <w:color w:val="auto"/>
          <w:sz w:val="21"/>
          <w:szCs w:val="21"/>
          <w:highlight w:val="none"/>
        </w:rPr>
        <w:t>图</w:t>
      </w:r>
    </w:p>
    <w:p w14:paraId="100E5671">
      <w:pPr>
        <w:pStyle w:val="71"/>
        <w:numPr>
          <w:ilvl w:val="0"/>
          <w:numId w:val="3"/>
        </w:numPr>
        <w:autoSpaceDE/>
        <w:autoSpaceDN/>
        <w:ind w:firstLine="200" w:firstLineChars="0"/>
        <w:jc w:val="both"/>
        <w:rPr>
          <w:color w:val="auto"/>
          <w:sz w:val="21"/>
          <w:szCs w:val="21"/>
          <w:highlight w:val="none"/>
        </w:rPr>
      </w:pPr>
      <w:r>
        <w:rPr>
          <w:rFonts w:hint="eastAsia"/>
          <w:color w:val="auto"/>
          <w:sz w:val="21"/>
          <w:szCs w:val="21"/>
          <w:highlight w:val="none"/>
        </w:rPr>
        <w:t xml:space="preserve"> 项目</w:t>
      </w:r>
      <w:r>
        <w:rPr>
          <w:rFonts w:hint="eastAsia"/>
          <w:color w:val="auto"/>
          <w:sz w:val="21"/>
          <w:szCs w:val="21"/>
          <w:highlight w:val="none"/>
          <w:lang w:val="en-US" w:eastAsia="zh-CN"/>
        </w:rPr>
        <w:t>一车间平面布置</w:t>
      </w:r>
      <w:r>
        <w:rPr>
          <w:rFonts w:hint="eastAsia"/>
          <w:color w:val="auto"/>
          <w:sz w:val="21"/>
          <w:szCs w:val="21"/>
          <w:highlight w:val="none"/>
        </w:rPr>
        <w:t>图</w:t>
      </w:r>
    </w:p>
    <w:p w14:paraId="284FC956">
      <w:pPr>
        <w:pStyle w:val="71"/>
        <w:numPr>
          <w:ilvl w:val="0"/>
          <w:numId w:val="3"/>
        </w:numPr>
        <w:autoSpaceDE/>
        <w:autoSpaceDN/>
        <w:ind w:firstLine="200" w:firstLineChars="0"/>
        <w:jc w:val="both"/>
        <w:rPr>
          <w:color w:val="auto"/>
          <w:sz w:val="21"/>
          <w:szCs w:val="21"/>
          <w:highlight w:val="none"/>
        </w:rPr>
      </w:pPr>
      <w:r>
        <w:rPr>
          <w:rFonts w:hint="eastAsia"/>
          <w:color w:val="auto"/>
          <w:sz w:val="21"/>
          <w:szCs w:val="21"/>
          <w:highlight w:val="none"/>
          <w:lang w:val="en-US" w:eastAsia="zh-CN"/>
        </w:rPr>
        <w:t xml:space="preserve"> </w:t>
      </w:r>
      <w:r>
        <w:rPr>
          <w:rFonts w:hint="eastAsia"/>
          <w:color w:val="auto"/>
          <w:sz w:val="21"/>
          <w:szCs w:val="21"/>
          <w:highlight w:val="none"/>
        </w:rPr>
        <w:t>项目</w:t>
      </w:r>
      <w:r>
        <w:rPr>
          <w:rFonts w:hint="eastAsia"/>
          <w:color w:val="auto"/>
          <w:sz w:val="21"/>
          <w:szCs w:val="21"/>
          <w:highlight w:val="none"/>
          <w:lang w:val="en-US" w:eastAsia="zh-CN"/>
        </w:rPr>
        <w:t>二车间一层平面布置</w:t>
      </w:r>
      <w:r>
        <w:rPr>
          <w:rFonts w:hint="eastAsia"/>
          <w:color w:val="auto"/>
          <w:sz w:val="21"/>
          <w:szCs w:val="21"/>
          <w:highlight w:val="none"/>
        </w:rPr>
        <w:t>图</w:t>
      </w:r>
    </w:p>
    <w:p w14:paraId="163A706D">
      <w:pPr>
        <w:pStyle w:val="71"/>
        <w:numPr>
          <w:ilvl w:val="0"/>
          <w:numId w:val="3"/>
        </w:numPr>
        <w:autoSpaceDE/>
        <w:autoSpaceDN/>
        <w:ind w:firstLine="200" w:firstLineChars="0"/>
        <w:jc w:val="both"/>
        <w:rPr>
          <w:color w:val="auto"/>
          <w:sz w:val="21"/>
          <w:szCs w:val="21"/>
          <w:highlight w:val="none"/>
        </w:rPr>
      </w:pPr>
      <w:r>
        <w:rPr>
          <w:rFonts w:hint="eastAsia"/>
          <w:color w:val="auto"/>
          <w:sz w:val="21"/>
          <w:szCs w:val="21"/>
          <w:highlight w:val="none"/>
          <w:lang w:val="en-US" w:eastAsia="zh-CN"/>
        </w:rPr>
        <w:t xml:space="preserve"> </w:t>
      </w:r>
      <w:r>
        <w:rPr>
          <w:rFonts w:hint="eastAsia"/>
          <w:color w:val="auto"/>
          <w:sz w:val="21"/>
          <w:szCs w:val="21"/>
          <w:highlight w:val="none"/>
        </w:rPr>
        <w:t>项目</w:t>
      </w:r>
      <w:r>
        <w:rPr>
          <w:rFonts w:hint="eastAsia"/>
          <w:color w:val="auto"/>
          <w:sz w:val="21"/>
          <w:szCs w:val="21"/>
          <w:highlight w:val="none"/>
          <w:lang w:val="en-US" w:eastAsia="zh-CN"/>
        </w:rPr>
        <w:t>二车间二层平面布置</w:t>
      </w:r>
      <w:r>
        <w:rPr>
          <w:rFonts w:hint="eastAsia"/>
          <w:color w:val="auto"/>
          <w:sz w:val="21"/>
          <w:szCs w:val="21"/>
          <w:highlight w:val="none"/>
        </w:rPr>
        <w:t>图</w:t>
      </w:r>
    </w:p>
    <w:p w14:paraId="305D0500">
      <w:pPr>
        <w:pStyle w:val="71"/>
        <w:numPr>
          <w:ilvl w:val="0"/>
          <w:numId w:val="3"/>
        </w:numPr>
        <w:autoSpaceDE/>
        <w:autoSpaceDN/>
        <w:ind w:firstLine="200" w:firstLineChars="0"/>
        <w:jc w:val="both"/>
        <w:rPr>
          <w:color w:val="auto"/>
          <w:sz w:val="21"/>
          <w:szCs w:val="21"/>
          <w:highlight w:val="none"/>
        </w:rPr>
      </w:pPr>
      <w:r>
        <w:rPr>
          <w:rFonts w:hint="eastAsia"/>
          <w:color w:val="auto"/>
          <w:sz w:val="21"/>
          <w:szCs w:val="21"/>
          <w:highlight w:val="none"/>
          <w:lang w:val="en-US" w:eastAsia="zh-CN"/>
        </w:rPr>
        <w:t>项目环境空气质量现状监测布点图</w:t>
      </w:r>
    </w:p>
    <w:p w14:paraId="0ACAEFE3">
      <w:pPr>
        <w:autoSpaceDE/>
        <w:autoSpaceDN/>
        <w:ind w:firstLine="422"/>
        <w:rPr>
          <w:b/>
          <w:bCs/>
          <w:color w:val="auto"/>
          <w:sz w:val="21"/>
          <w:szCs w:val="21"/>
          <w:highlight w:val="none"/>
        </w:rPr>
      </w:pPr>
      <w:r>
        <w:rPr>
          <w:rFonts w:hint="eastAsia"/>
          <w:color w:val="auto"/>
          <w:sz w:val="21"/>
          <w:szCs w:val="21"/>
          <w:highlight w:val="none"/>
          <w:lang w:val="en-US" w:eastAsia="zh-CN"/>
        </w:rPr>
        <w:t xml:space="preserve"> </w:t>
      </w:r>
      <w:r>
        <w:rPr>
          <w:rFonts w:hint="eastAsia"/>
          <w:b/>
          <w:bCs/>
          <w:color w:val="auto"/>
          <w:sz w:val="21"/>
          <w:szCs w:val="21"/>
          <w:highlight w:val="none"/>
        </w:rPr>
        <w:t>附件：</w:t>
      </w:r>
    </w:p>
    <w:p w14:paraId="5A386073">
      <w:pPr>
        <w:pStyle w:val="71"/>
        <w:numPr>
          <w:ilvl w:val="0"/>
          <w:numId w:val="4"/>
        </w:numPr>
        <w:autoSpaceDE/>
        <w:autoSpaceDN/>
        <w:ind w:firstLine="200" w:firstLineChars="0"/>
        <w:jc w:val="both"/>
        <w:rPr>
          <w:color w:val="auto"/>
          <w:sz w:val="21"/>
          <w:szCs w:val="21"/>
          <w:highlight w:val="none"/>
        </w:rPr>
      </w:pPr>
      <w:r>
        <w:rPr>
          <w:rFonts w:hint="eastAsia"/>
          <w:color w:val="auto"/>
          <w:sz w:val="21"/>
          <w:szCs w:val="21"/>
          <w:highlight w:val="none"/>
        </w:rPr>
        <w:t xml:space="preserve"> </w:t>
      </w:r>
      <w:r>
        <w:rPr>
          <w:rFonts w:hint="eastAsia"/>
          <w:color w:val="auto"/>
          <w:sz w:val="21"/>
          <w:szCs w:val="21"/>
          <w:highlight w:val="none"/>
          <w:lang w:val="en-US" w:eastAsia="zh-CN"/>
        </w:rPr>
        <w:t>环评</w:t>
      </w:r>
      <w:r>
        <w:rPr>
          <w:rFonts w:hint="eastAsia"/>
          <w:color w:val="auto"/>
          <w:sz w:val="21"/>
          <w:szCs w:val="21"/>
          <w:highlight w:val="none"/>
        </w:rPr>
        <w:t>委托书</w:t>
      </w:r>
    </w:p>
    <w:p w14:paraId="6345DEF0">
      <w:pPr>
        <w:pStyle w:val="71"/>
        <w:numPr>
          <w:ilvl w:val="0"/>
          <w:numId w:val="4"/>
        </w:numPr>
        <w:autoSpaceDE/>
        <w:autoSpaceDN/>
        <w:ind w:firstLine="200" w:firstLineChars="0"/>
        <w:jc w:val="both"/>
        <w:rPr>
          <w:color w:val="auto"/>
          <w:sz w:val="21"/>
          <w:szCs w:val="21"/>
          <w:highlight w:val="none"/>
        </w:rPr>
      </w:pPr>
      <w:r>
        <w:rPr>
          <w:rFonts w:hint="eastAsia"/>
          <w:color w:val="auto"/>
          <w:sz w:val="21"/>
          <w:szCs w:val="21"/>
          <w:highlight w:val="none"/>
          <w:lang w:val="en-US" w:eastAsia="zh-CN"/>
        </w:rPr>
        <w:t xml:space="preserve"> </w:t>
      </w:r>
      <w:r>
        <w:rPr>
          <w:rFonts w:hint="eastAsia"/>
          <w:color w:val="auto"/>
          <w:sz w:val="21"/>
          <w:szCs w:val="21"/>
          <w:highlight w:val="none"/>
        </w:rPr>
        <w:t>项目备案表</w:t>
      </w:r>
    </w:p>
    <w:p w14:paraId="57816A49">
      <w:pPr>
        <w:pStyle w:val="71"/>
        <w:numPr>
          <w:ilvl w:val="0"/>
          <w:numId w:val="4"/>
        </w:numPr>
        <w:autoSpaceDE/>
        <w:autoSpaceDN/>
        <w:ind w:firstLine="200" w:firstLineChars="0"/>
        <w:jc w:val="both"/>
        <w:rPr>
          <w:color w:val="auto"/>
          <w:sz w:val="21"/>
          <w:szCs w:val="21"/>
          <w:highlight w:val="none"/>
        </w:rPr>
      </w:pPr>
      <w:r>
        <w:rPr>
          <w:rFonts w:hint="eastAsia"/>
          <w:color w:val="auto"/>
          <w:sz w:val="21"/>
          <w:szCs w:val="21"/>
          <w:highlight w:val="none"/>
        </w:rPr>
        <w:t xml:space="preserve"> 项目营业执照</w:t>
      </w:r>
      <w:r>
        <w:rPr>
          <w:rFonts w:hint="eastAsia"/>
          <w:color w:val="auto"/>
          <w:sz w:val="21"/>
          <w:szCs w:val="21"/>
          <w:highlight w:val="none"/>
          <w:lang w:val="en-US" w:eastAsia="zh-CN"/>
        </w:rPr>
        <w:t>和法人身份证</w:t>
      </w:r>
    </w:p>
    <w:p w14:paraId="4CC99BBB">
      <w:pPr>
        <w:pStyle w:val="71"/>
        <w:numPr>
          <w:ilvl w:val="0"/>
          <w:numId w:val="4"/>
        </w:numPr>
        <w:autoSpaceDE/>
        <w:autoSpaceDN/>
        <w:ind w:firstLine="200" w:firstLineChars="0"/>
        <w:jc w:val="both"/>
        <w:rPr>
          <w:color w:val="auto"/>
          <w:sz w:val="21"/>
          <w:szCs w:val="21"/>
          <w:highlight w:val="none"/>
        </w:rPr>
      </w:pPr>
      <w:r>
        <w:rPr>
          <w:rFonts w:hint="eastAsia"/>
          <w:color w:val="auto"/>
          <w:sz w:val="21"/>
          <w:szCs w:val="21"/>
          <w:highlight w:val="none"/>
        </w:rPr>
        <w:t xml:space="preserve"> </w:t>
      </w:r>
      <w:r>
        <w:rPr>
          <w:rFonts w:hint="eastAsia"/>
          <w:color w:val="auto"/>
          <w:sz w:val="21"/>
          <w:szCs w:val="21"/>
          <w:highlight w:val="none"/>
          <w:lang w:val="en-US" w:eastAsia="zh-CN"/>
        </w:rPr>
        <w:t>项目不动产权证</w:t>
      </w:r>
    </w:p>
    <w:p w14:paraId="78BBA60E">
      <w:pPr>
        <w:pStyle w:val="71"/>
        <w:numPr>
          <w:ilvl w:val="0"/>
          <w:numId w:val="4"/>
        </w:numPr>
        <w:autoSpaceDE/>
        <w:autoSpaceDN/>
        <w:ind w:firstLine="200" w:firstLineChars="0"/>
        <w:jc w:val="both"/>
        <w:rPr>
          <w:color w:val="auto"/>
          <w:sz w:val="21"/>
          <w:szCs w:val="21"/>
          <w:highlight w:val="none"/>
        </w:rPr>
      </w:pPr>
      <w:r>
        <w:rPr>
          <w:rFonts w:hint="eastAsia"/>
          <w:color w:val="auto"/>
          <w:sz w:val="21"/>
          <w:szCs w:val="21"/>
          <w:highlight w:val="none"/>
          <w:lang w:val="en-US" w:eastAsia="zh-CN"/>
        </w:rPr>
        <w:t xml:space="preserve"> 投资协议书</w:t>
      </w:r>
    </w:p>
    <w:p w14:paraId="7C010F5E">
      <w:pPr>
        <w:pStyle w:val="71"/>
        <w:numPr>
          <w:ilvl w:val="0"/>
          <w:numId w:val="4"/>
        </w:numPr>
        <w:autoSpaceDE/>
        <w:autoSpaceDN/>
        <w:ind w:firstLine="200" w:firstLineChars="0"/>
        <w:jc w:val="both"/>
        <w:rPr>
          <w:color w:val="auto"/>
          <w:sz w:val="21"/>
          <w:szCs w:val="21"/>
          <w:highlight w:val="none"/>
        </w:rPr>
      </w:pPr>
      <w:r>
        <w:rPr>
          <w:rFonts w:hint="eastAsia"/>
          <w:color w:val="auto"/>
          <w:sz w:val="21"/>
          <w:szCs w:val="21"/>
          <w:highlight w:val="none"/>
        </w:rPr>
        <w:t xml:space="preserve"> 遂宁高新技术产业园区规划环境影响报告审查意见的函</w:t>
      </w:r>
    </w:p>
    <w:p w14:paraId="18146500">
      <w:pPr>
        <w:pStyle w:val="71"/>
        <w:numPr>
          <w:ilvl w:val="0"/>
          <w:numId w:val="4"/>
        </w:numPr>
        <w:autoSpaceDE/>
        <w:autoSpaceDN/>
        <w:ind w:firstLine="200" w:firstLineChars="0"/>
        <w:jc w:val="both"/>
        <w:rPr>
          <w:color w:val="auto"/>
          <w:sz w:val="21"/>
          <w:szCs w:val="21"/>
          <w:highlight w:val="none"/>
        </w:rPr>
      </w:pPr>
      <w:r>
        <w:rPr>
          <w:rFonts w:hint="eastAsia"/>
          <w:color w:val="auto"/>
          <w:sz w:val="21"/>
          <w:szCs w:val="21"/>
          <w:highlight w:val="none"/>
          <w:lang w:val="en-US" w:eastAsia="zh-CN"/>
        </w:rPr>
        <w:t xml:space="preserve"> 项目环境质量现状监测报告</w:t>
      </w:r>
    </w:p>
    <w:p w14:paraId="4647FB38">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line="360" w:lineRule="auto"/>
        <w:ind w:lef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sectPr>
          <w:headerReference r:id="rId7" w:type="default"/>
          <w:footerReference r:id="rId8" w:type="default"/>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527A45D6">
      <w:pPr>
        <w:pStyle w:val="25"/>
        <w:keepNext w:val="0"/>
        <w:keepLines w:val="0"/>
        <w:pageBreakBefore w:val="0"/>
        <w:widowControl w:val="0"/>
        <w:kinsoku/>
        <w:wordWrap/>
        <w:overflowPunct/>
        <w:topLinePunct w:val="0"/>
        <w:autoSpaceDE/>
        <w:autoSpaceDN/>
        <w:bidi w:val="0"/>
        <w:adjustRightInd/>
        <w:snapToGrid/>
        <w:spacing w:beforeAutospacing="0" w:after="0" w:afterAutospacing="0"/>
        <w:ind w:firstLine="0" w:firstLineChars="0"/>
        <w:jc w:val="center"/>
        <w:textAlignment w:val="auto"/>
        <w:outlineLvl w:val="0"/>
        <w:rPr>
          <w:rFonts w:ascii="Times New Roman" w:hAnsi="Times New Roman" w:eastAsia="黑体"/>
          <w:snapToGrid w:val="0"/>
          <w:color w:val="auto"/>
          <w:sz w:val="28"/>
          <w:szCs w:val="28"/>
          <w:highlight w:val="none"/>
        </w:rPr>
      </w:pPr>
      <w:bookmarkStart w:id="0" w:name="_Toc6670"/>
      <w:bookmarkStart w:id="1" w:name="_Toc29892"/>
      <w:bookmarkStart w:id="2" w:name="_Toc16734"/>
      <w:r>
        <w:rPr>
          <w:rFonts w:ascii="Times New Roman" w:hAnsi="Times New Roman" w:eastAsia="黑体"/>
          <w:snapToGrid w:val="0"/>
          <w:color w:val="auto"/>
          <w:sz w:val="28"/>
          <w:szCs w:val="28"/>
          <w:highlight w:val="none"/>
        </w:rPr>
        <w:t>一、建设项目基本情况</w:t>
      </w:r>
      <w:bookmarkEnd w:id="0"/>
      <w:bookmarkEnd w:id="1"/>
      <w:bookmarkEnd w:id="2"/>
    </w:p>
    <w:tbl>
      <w:tblPr>
        <w:tblStyle w:val="28"/>
        <w:tblW w:w="92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29"/>
        <w:gridCol w:w="2734"/>
        <w:gridCol w:w="1557"/>
        <w:gridCol w:w="3776"/>
      </w:tblGrid>
      <w:tr w14:paraId="1A56DE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9" w:type="dxa"/>
            <w:tcMar>
              <w:top w:w="16" w:type="dxa"/>
              <w:left w:w="16" w:type="dxa"/>
              <w:right w:w="16" w:type="dxa"/>
            </w:tcMar>
            <w:vAlign w:val="center"/>
          </w:tcPr>
          <w:p w14:paraId="5FCB97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建设项目名称</w:t>
            </w:r>
          </w:p>
        </w:tc>
        <w:tc>
          <w:tcPr>
            <w:tcW w:w="8067" w:type="dxa"/>
            <w:gridSpan w:val="3"/>
            <w:vAlign w:val="center"/>
          </w:tcPr>
          <w:p w14:paraId="2BB3E3B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auto"/>
                <w:highlight w:val="none"/>
                <w:lang w:eastAsia="zh-CN"/>
              </w:rPr>
            </w:pPr>
            <w:r>
              <w:rPr>
                <w:rFonts w:hint="eastAsia"/>
                <w:color w:val="auto"/>
                <w:highlight w:val="none"/>
                <w:lang w:eastAsia="zh-CN"/>
              </w:rPr>
              <w:t>遂宁市安居区果蔬和冻干副食品建设项目</w:t>
            </w:r>
          </w:p>
        </w:tc>
      </w:tr>
      <w:tr w14:paraId="5A24E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9" w:type="dxa"/>
            <w:tcMar>
              <w:top w:w="16" w:type="dxa"/>
              <w:left w:w="16" w:type="dxa"/>
              <w:right w:w="16" w:type="dxa"/>
            </w:tcMar>
            <w:vAlign w:val="center"/>
          </w:tcPr>
          <w:p w14:paraId="711FD59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项目代码</w:t>
            </w:r>
          </w:p>
        </w:tc>
        <w:tc>
          <w:tcPr>
            <w:tcW w:w="8067" w:type="dxa"/>
            <w:gridSpan w:val="3"/>
            <w:vAlign w:val="center"/>
          </w:tcPr>
          <w:p w14:paraId="28AC27A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auto"/>
                <w:highlight w:val="none"/>
                <w:lang w:eastAsia="zh-CN"/>
              </w:rPr>
            </w:pPr>
            <w:r>
              <w:rPr>
                <w:rFonts w:hint="eastAsia"/>
                <w:color w:val="auto"/>
                <w:highlight w:val="none"/>
                <w:lang w:eastAsia="zh-CN"/>
              </w:rPr>
              <w:t>2405-510904-04-01-510318</w:t>
            </w:r>
          </w:p>
        </w:tc>
      </w:tr>
      <w:tr w14:paraId="66175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9" w:type="dxa"/>
            <w:tcMar>
              <w:top w:w="16" w:type="dxa"/>
              <w:left w:w="16" w:type="dxa"/>
              <w:right w:w="16" w:type="dxa"/>
            </w:tcMar>
            <w:vAlign w:val="center"/>
          </w:tcPr>
          <w:p w14:paraId="13DAD84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建设单位联系人</w:t>
            </w:r>
          </w:p>
        </w:tc>
        <w:tc>
          <w:tcPr>
            <w:tcW w:w="2734" w:type="dxa"/>
            <w:vAlign w:val="center"/>
          </w:tcPr>
          <w:p w14:paraId="1295C47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w:t>
            </w:r>
          </w:p>
        </w:tc>
        <w:tc>
          <w:tcPr>
            <w:tcW w:w="1557" w:type="dxa"/>
            <w:vAlign w:val="center"/>
          </w:tcPr>
          <w:p w14:paraId="0CA41C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highlight w:val="none"/>
              </w:rPr>
            </w:pPr>
            <w:r>
              <w:rPr>
                <w:b/>
                <w:bCs/>
                <w:color w:val="auto"/>
                <w:highlight w:val="none"/>
              </w:rPr>
              <w:t>联系方式</w:t>
            </w:r>
          </w:p>
        </w:tc>
        <w:tc>
          <w:tcPr>
            <w:tcW w:w="3776" w:type="dxa"/>
            <w:vAlign w:val="center"/>
          </w:tcPr>
          <w:p w14:paraId="525A51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w:t>
            </w:r>
          </w:p>
        </w:tc>
      </w:tr>
      <w:tr w14:paraId="2DAE8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9" w:type="dxa"/>
            <w:tcMar>
              <w:top w:w="16" w:type="dxa"/>
              <w:left w:w="16" w:type="dxa"/>
              <w:right w:w="16" w:type="dxa"/>
            </w:tcMar>
            <w:vAlign w:val="center"/>
          </w:tcPr>
          <w:p w14:paraId="1341DB6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建设地点</w:t>
            </w:r>
          </w:p>
        </w:tc>
        <w:tc>
          <w:tcPr>
            <w:tcW w:w="8067" w:type="dxa"/>
            <w:gridSpan w:val="3"/>
            <w:vAlign w:val="center"/>
          </w:tcPr>
          <w:p w14:paraId="55F4755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auto"/>
                <w:highlight w:val="none"/>
                <w:lang w:eastAsia="zh-CN"/>
              </w:rPr>
            </w:pPr>
            <w:r>
              <w:rPr>
                <w:rFonts w:hint="eastAsia" w:cs="Times New Roman"/>
                <w:color w:val="auto"/>
                <w:sz w:val="24"/>
                <w:szCs w:val="24"/>
                <w:highlight w:val="none"/>
                <w:lang w:eastAsia="zh-CN"/>
              </w:rPr>
              <w:t>四川省遂宁市安居区省级经济开发区现代装备制造产业园区4-5</w:t>
            </w:r>
          </w:p>
        </w:tc>
      </w:tr>
      <w:tr w14:paraId="71931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9" w:type="dxa"/>
            <w:tcMar>
              <w:top w:w="16" w:type="dxa"/>
              <w:left w:w="16" w:type="dxa"/>
              <w:right w:w="16" w:type="dxa"/>
            </w:tcMar>
            <w:vAlign w:val="center"/>
          </w:tcPr>
          <w:p w14:paraId="7A659B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地理坐标</w:t>
            </w:r>
          </w:p>
        </w:tc>
        <w:tc>
          <w:tcPr>
            <w:tcW w:w="8067" w:type="dxa"/>
            <w:gridSpan w:val="3"/>
            <w:vAlign w:val="center"/>
          </w:tcPr>
          <w:p w14:paraId="52C5A74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highlight w:val="none"/>
              </w:rPr>
            </w:pPr>
            <w:r>
              <w:rPr>
                <w:rFonts w:hint="default"/>
                <w:color w:val="auto"/>
                <w:highlight w:val="none"/>
              </w:rPr>
              <w:t>（</w:t>
            </w:r>
            <w:r>
              <w:rPr>
                <w:rFonts w:hint="eastAsia"/>
                <w:color w:val="auto"/>
                <w:highlight w:val="none"/>
                <w:lang w:val="en-US" w:eastAsia="zh-CN"/>
              </w:rPr>
              <w:t>经度105</w:t>
            </w:r>
            <w:r>
              <w:rPr>
                <w:rFonts w:hint="default"/>
                <w:color w:val="auto"/>
                <w:highlight w:val="none"/>
              </w:rPr>
              <w:t>度</w:t>
            </w:r>
            <w:r>
              <w:rPr>
                <w:rFonts w:hint="eastAsia"/>
                <w:color w:val="auto"/>
                <w:highlight w:val="none"/>
                <w:lang w:val="en-US" w:eastAsia="zh-CN"/>
              </w:rPr>
              <w:t>29</w:t>
            </w:r>
            <w:r>
              <w:rPr>
                <w:rFonts w:hint="default"/>
                <w:color w:val="auto"/>
                <w:highlight w:val="none"/>
              </w:rPr>
              <w:t>分</w:t>
            </w:r>
            <w:r>
              <w:rPr>
                <w:rFonts w:hint="eastAsia"/>
                <w:color w:val="auto"/>
                <w:highlight w:val="none"/>
                <w:lang w:val="en-US" w:eastAsia="zh-CN"/>
              </w:rPr>
              <w:t>49.930</w:t>
            </w:r>
            <w:r>
              <w:rPr>
                <w:rFonts w:hint="default"/>
                <w:color w:val="auto"/>
                <w:highlight w:val="none"/>
              </w:rPr>
              <w:t>秒，</w:t>
            </w:r>
            <w:r>
              <w:rPr>
                <w:rFonts w:hint="eastAsia"/>
                <w:color w:val="auto"/>
                <w:highlight w:val="none"/>
                <w:lang w:val="en-US" w:eastAsia="zh-CN"/>
              </w:rPr>
              <w:t>纬度30</w:t>
            </w:r>
            <w:r>
              <w:rPr>
                <w:rFonts w:hint="default"/>
                <w:color w:val="auto"/>
                <w:highlight w:val="none"/>
              </w:rPr>
              <w:t>度</w:t>
            </w:r>
            <w:r>
              <w:rPr>
                <w:rFonts w:hint="eastAsia"/>
                <w:color w:val="auto"/>
                <w:highlight w:val="none"/>
                <w:lang w:val="en-US" w:eastAsia="zh-CN"/>
              </w:rPr>
              <w:t>21</w:t>
            </w:r>
            <w:r>
              <w:rPr>
                <w:rFonts w:hint="default"/>
                <w:color w:val="auto"/>
                <w:highlight w:val="none"/>
              </w:rPr>
              <w:t>分</w:t>
            </w:r>
            <w:r>
              <w:rPr>
                <w:rFonts w:hint="eastAsia"/>
                <w:color w:val="auto"/>
                <w:highlight w:val="none"/>
                <w:lang w:val="en-US" w:eastAsia="zh-CN"/>
              </w:rPr>
              <w:t>49.093</w:t>
            </w:r>
            <w:r>
              <w:rPr>
                <w:rFonts w:hint="default"/>
                <w:color w:val="auto"/>
                <w:highlight w:val="none"/>
              </w:rPr>
              <w:t>秒）</w:t>
            </w:r>
          </w:p>
        </w:tc>
      </w:tr>
      <w:tr w14:paraId="280E2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9" w:type="dxa"/>
            <w:tcMar>
              <w:top w:w="16" w:type="dxa"/>
              <w:left w:w="16" w:type="dxa"/>
              <w:right w:w="16" w:type="dxa"/>
            </w:tcMar>
            <w:vAlign w:val="center"/>
          </w:tcPr>
          <w:p w14:paraId="4DF0A2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国民经济</w:t>
            </w:r>
          </w:p>
          <w:p w14:paraId="5D309D0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行业类别</w:t>
            </w:r>
          </w:p>
        </w:tc>
        <w:tc>
          <w:tcPr>
            <w:tcW w:w="2734" w:type="dxa"/>
            <w:vAlign w:val="center"/>
          </w:tcPr>
          <w:p w14:paraId="32D1480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highlight w:val="none"/>
                <w:lang w:val="en-US" w:eastAsia="zh-CN"/>
              </w:rPr>
            </w:pPr>
            <w:r>
              <w:rPr>
                <w:rFonts w:hint="eastAsia"/>
                <w:color w:val="auto"/>
                <w:highlight w:val="none"/>
              </w:rPr>
              <w:t>C</w:t>
            </w:r>
            <w:r>
              <w:rPr>
                <w:rFonts w:hint="eastAsia"/>
                <w:color w:val="auto"/>
                <w:highlight w:val="none"/>
                <w:lang w:val="en-US" w:eastAsia="zh-CN"/>
              </w:rPr>
              <w:t>1371蔬菜加工</w:t>
            </w:r>
          </w:p>
          <w:p w14:paraId="077CC7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highlight w:val="none"/>
                <w:lang w:val="en-US" w:eastAsia="zh-CN"/>
              </w:rPr>
            </w:pPr>
            <w:r>
              <w:rPr>
                <w:rFonts w:hint="eastAsia"/>
                <w:color w:val="auto"/>
                <w:highlight w:val="none"/>
                <w:lang w:val="en-US" w:eastAsia="zh-CN"/>
              </w:rPr>
              <w:t>C1451肉、禽类罐头制造</w:t>
            </w:r>
          </w:p>
          <w:p w14:paraId="5207DF6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lang w:val="en-US" w:eastAsia="zh-CN"/>
              </w:rPr>
            </w:pPr>
            <w:r>
              <w:rPr>
                <w:rFonts w:hint="eastAsia"/>
                <w:color w:val="auto"/>
                <w:highlight w:val="none"/>
                <w:lang w:val="en-US" w:eastAsia="zh-CN"/>
              </w:rPr>
              <w:t>C2223加工纸制造</w:t>
            </w:r>
          </w:p>
        </w:tc>
        <w:tc>
          <w:tcPr>
            <w:tcW w:w="1557" w:type="dxa"/>
            <w:vAlign w:val="center"/>
          </w:tcPr>
          <w:p w14:paraId="6E561DA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bookmarkStart w:id="3" w:name="_Hlk49843745"/>
            <w:r>
              <w:rPr>
                <w:b/>
                <w:bCs/>
                <w:color w:val="auto"/>
                <w:highlight w:val="none"/>
              </w:rPr>
              <w:t>建设项目</w:t>
            </w:r>
          </w:p>
          <w:p w14:paraId="269D566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行业类别</w:t>
            </w:r>
            <w:bookmarkEnd w:id="3"/>
          </w:p>
        </w:tc>
        <w:tc>
          <w:tcPr>
            <w:tcW w:w="3776" w:type="dxa"/>
            <w:vAlign w:val="center"/>
          </w:tcPr>
          <w:p w14:paraId="7EA3C5B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highlight w:val="none"/>
              </w:rPr>
            </w:pPr>
            <w:r>
              <w:rPr>
                <w:rFonts w:hint="eastAsia"/>
                <w:color w:val="auto"/>
                <w:highlight w:val="none"/>
                <w:lang w:val="en-US" w:eastAsia="zh-CN"/>
              </w:rPr>
              <w:t>十一</w:t>
            </w:r>
            <w:r>
              <w:rPr>
                <w:rFonts w:hint="eastAsia"/>
                <w:color w:val="auto"/>
                <w:highlight w:val="none"/>
              </w:rPr>
              <w:t>、</w:t>
            </w:r>
            <w:r>
              <w:rPr>
                <w:rFonts w:hint="eastAsia"/>
                <w:color w:val="auto"/>
                <w:highlight w:val="none"/>
                <w:lang w:val="en-US" w:eastAsia="zh-CN"/>
              </w:rPr>
              <w:t>食品制造业</w:t>
            </w:r>
            <w:r>
              <w:rPr>
                <w:rFonts w:hint="eastAsia"/>
                <w:color w:val="auto"/>
                <w:highlight w:val="none"/>
              </w:rPr>
              <w:t>（</w:t>
            </w:r>
            <w:r>
              <w:rPr>
                <w:rFonts w:hint="eastAsia"/>
                <w:color w:val="auto"/>
                <w:highlight w:val="none"/>
                <w:lang w:val="en-US" w:eastAsia="zh-CN"/>
              </w:rPr>
              <w:t>14</w:t>
            </w:r>
            <w:r>
              <w:rPr>
                <w:rFonts w:hint="eastAsia"/>
                <w:color w:val="auto"/>
                <w:highlight w:val="none"/>
              </w:rPr>
              <w:t>）</w:t>
            </w:r>
            <w:r>
              <w:rPr>
                <w:rFonts w:hint="eastAsia"/>
                <w:color w:val="auto"/>
                <w:highlight w:val="none"/>
                <w:lang w:val="en-US" w:eastAsia="zh-CN"/>
              </w:rPr>
              <w:t>21罐头食品制造（145*）除单纯分装外的</w:t>
            </w:r>
          </w:p>
        </w:tc>
      </w:tr>
      <w:tr w14:paraId="22800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9" w:type="dxa"/>
            <w:tcMar>
              <w:top w:w="16" w:type="dxa"/>
              <w:left w:w="16" w:type="dxa"/>
              <w:right w:w="16" w:type="dxa"/>
            </w:tcMar>
            <w:vAlign w:val="center"/>
          </w:tcPr>
          <w:p w14:paraId="19EC3625">
            <w:pPr>
              <w:pStyle w:val="4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b/>
                <w:bCs/>
                <w:color w:val="auto"/>
                <w:highlight w:val="none"/>
              </w:rPr>
            </w:pPr>
            <w:r>
              <w:rPr>
                <w:rFonts w:ascii="Times New Roman" w:hAnsi="Times New Roman"/>
                <w:b/>
                <w:bCs/>
                <w:color w:val="auto"/>
                <w:sz w:val="24"/>
                <w:szCs w:val="24"/>
                <w:highlight w:val="none"/>
              </w:rPr>
              <w:t>建设性质</w:t>
            </w:r>
          </w:p>
        </w:tc>
        <w:tc>
          <w:tcPr>
            <w:tcW w:w="2734" w:type="dxa"/>
            <w:vAlign w:val="center"/>
          </w:tcPr>
          <w:p w14:paraId="470697A0">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color w:val="auto"/>
                <w:highlight w:val="none"/>
              </w:rPr>
            </w:pPr>
            <w:r>
              <w:rPr>
                <w:color w:val="auto"/>
                <w:highlight w:val="none"/>
              </w:rPr>
              <w:sym w:font="Wingdings" w:char="00FE"/>
            </w:r>
            <w:r>
              <w:rPr>
                <w:color w:val="auto"/>
                <w:highlight w:val="none"/>
              </w:rPr>
              <w:t>新建（迁建）</w:t>
            </w:r>
          </w:p>
          <w:p w14:paraId="0904B2C9">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color w:val="auto"/>
                <w:highlight w:val="none"/>
              </w:rPr>
            </w:pPr>
            <w:r>
              <w:rPr>
                <w:color w:val="auto"/>
                <w:highlight w:val="none"/>
              </w:rPr>
              <w:sym w:font="Wingdings" w:char="00A8"/>
            </w:r>
            <w:r>
              <w:rPr>
                <w:color w:val="auto"/>
                <w:highlight w:val="none"/>
              </w:rPr>
              <w:t>改建</w:t>
            </w:r>
          </w:p>
          <w:p w14:paraId="75E2EA38">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color w:val="auto"/>
                <w:highlight w:val="none"/>
              </w:rPr>
            </w:pPr>
            <w:r>
              <w:rPr>
                <w:color w:val="auto"/>
                <w:highlight w:val="none"/>
              </w:rPr>
              <w:sym w:font="Wingdings" w:char="00A8"/>
            </w:r>
            <w:r>
              <w:rPr>
                <w:color w:val="auto"/>
                <w:highlight w:val="none"/>
              </w:rPr>
              <w:t>扩建</w:t>
            </w:r>
          </w:p>
          <w:p w14:paraId="5FDC9175">
            <w:pPr>
              <w:pStyle w:val="44"/>
              <w:keepNext w:val="0"/>
              <w:keepLines w:val="0"/>
              <w:pageBreakBefore w:val="0"/>
              <w:widowControl w:val="0"/>
              <w:kinsoku/>
              <w:wordWrap/>
              <w:overflowPunct/>
              <w:topLinePunct w:val="0"/>
              <w:bidi w:val="0"/>
              <w:spacing w:line="240" w:lineRule="auto"/>
              <w:ind w:left="0" w:leftChars="0" w:firstLine="0" w:firstLineChars="0"/>
              <w:jc w:val="left"/>
              <w:textAlignment w:val="auto"/>
              <w:rPr>
                <w:color w:val="auto"/>
                <w:highlight w:val="none"/>
              </w:rPr>
            </w:pPr>
            <w:r>
              <w:rPr>
                <w:rFonts w:ascii="Times New Roman" w:hAnsi="Times New Roman"/>
                <w:color w:val="auto"/>
                <w:sz w:val="24"/>
                <w:szCs w:val="24"/>
                <w:highlight w:val="none"/>
              </w:rPr>
              <w:sym w:font="Wingdings" w:char="00A8"/>
            </w:r>
            <w:r>
              <w:rPr>
                <w:rFonts w:ascii="Times New Roman" w:hAnsi="Times New Roman"/>
                <w:color w:val="auto"/>
                <w:sz w:val="24"/>
                <w:szCs w:val="24"/>
                <w:highlight w:val="none"/>
              </w:rPr>
              <w:t>技术改造</w:t>
            </w:r>
          </w:p>
        </w:tc>
        <w:tc>
          <w:tcPr>
            <w:tcW w:w="1557" w:type="dxa"/>
            <w:vAlign w:val="center"/>
          </w:tcPr>
          <w:p w14:paraId="31DFA39C">
            <w:pPr>
              <w:pStyle w:val="44"/>
              <w:keepNext w:val="0"/>
              <w:keepLines w:val="0"/>
              <w:pageBreakBefore w:val="0"/>
              <w:widowControl w:val="0"/>
              <w:kinsoku/>
              <w:wordWrap/>
              <w:overflowPunct/>
              <w:topLinePunct w:val="0"/>
              <w:bidi w:val="0"/>
              <w:spacing w:line="240" w:lineRule="auto"/>
              <w:ind w:firstLine="0" w:firstLineChars="0"/>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建设项目</w:t>
            </w:r>
          </w:p>
          <w:p w14:paraId="5F0E797F">
            <w:pPr>
              <w:pStyle w:val="44"/>
              <w:keepNext w:val="0"/>
              <w:keepLines w:val="0"/>
              <w:pageBreakBefore w:val="0"/>
              <w:widowControl w:val="0"/>
              <w:kinsoku/>
              <w:wordWrap/>
              <w:overflowPunct/>
              <w:topLinePunct w:val="0"/>
              <w:bidi w:val="0"/>
              <w:spacing w:line="240" w:lineRule="auto"/>
              <w:ind w:firstLine="0" w:firstLineChars="0"/>
              <w:textAlignment w:val="auto"/>
              <w:rPr>
                <w:b/>
                <w:bCs/>
                <w:color w:val="auto"/>
                <w:highlight w:val="none"/>
              </w:rPr>
            </w:pPr>
            <w:r>
              <w:rPr>
                <w:rFonts w:ascii="Times New Roman" w:hAnsi="Times New Roman"/>
                <w:b/>
                <w:bCs/>
                <w:color w:val="auto"/>
                <w:sz w:val="24"/>
                <w:szCs w:val="24"/>
                <w:highlight w:val="none"/>
              </w:rPr>
              <w:t>申报情形</w:t>
            </w:r>
          </w:p>
        </w:tc>
        <w:tc>
          <w:tcPr>
            <w:tcW w:w="3776" w:type="dxa"/>
            <w:vAlign w:val="center"/>
          </w:tcPr>
          <w:p w14:paraId="58DAA82F">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color w:val="auto"/>
                <w:highlight w:val="none"/>
              </w:rPr>
            </w:pPr>
            <w:r>
              <w:rPr>
                <w:color w:val="auto"/>
                <w:highlight w:val="none"/>
              </w:rPr>
              <w:sym w:font="Wingdings" w:char="00FE"/>
            </w:r>
            <w:r>
              <w:rPr>
                <w:color w:val="auto"/>
                <w:highlight w:val="none"/>
              </w:rPr>
              <w:t>首次申报项目</w:t>
            </w:r>
          </w:p>
          <w:p w14:paraId="70393FDF">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color w:val="auto"/>
                <w:highlight w:val="none"/>
              </w:rPr>
            </w:pPr>
            <w:r>
              <w:rPr>
                <w:color w:val="auto"/>
                <w:highlight w:val="none"/>
              </w:rPr>
              <w:sym w:font="Wingdings" w:char="00A8"/>
            </w:r>
            <w:r>
              <w:rPr>
                <w:color w:val="auto"/>
                <w:highlight w:val="none"/>
              </w:rPr>
              <w:t>不予批准后再次申报项目</w:t>
            </w:r>
          </w:p>
          <w:p w14:paraId="321E7A82">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color w:val="auto"/>
                <w:highlight w:val="none"/>
              </w:rPr>
            </w:pPr>
            <w:r>
              <w:rPr>
                <w:color w:val="auto"/>
                <w:highlight w:val="none"/>
              </w:rPr>
              <w:sym w:font="Wingdings" w:char="00A8"/>
            </w:r>
            <w:r>
              <w:rPr>
                <w:color w:val="auto"/>
                <w:highlight w:val="none"/>
              </w:rPr>
              <w:t>超五年重新审核项目</w:t>
            </w:r>
          </w:p>
          <w:p w14:paraId="6BE8974B">
            <w:pPr>
              <w:pStyle w:val="44"/>
              <w:keepNext w:val="0"/>
              <w:keepLines w:val="0"/>
              <w:pageBreakBefore w:val="0"/>
              <w:widowControl w:val="0"/>
              <w:kinsoku/>
              <w:wordWrap/>
              <w:overflowPunct/>
              <w:topLinePunct w:val="0"/>
              <w:bidi w:val="0"/>
              <w:spacing w:line="240" w:lineRule="auto"/>
              <w:ind w:left="0" w:leftChars="0" w:firstLine="0" w:firstLineChars="0"/>
              <w:jc w:val="left"/>
              <w:textAlignment w:val="auto"/>
              <w:rPr>
                <w:color w:val="auto"/>
                <w:highlight w:val="none"/>
              </w:rPr>
            </w:pPr>
            <w:r>
              <w:rPr>
                <w:rFonts w:ascii="Times New Roman" w:hAnsi="Times New Roman"/>
                <w:color w:val="auto"/>
                <w:sz w:val="24"/>
                <w:szCs w:val="24"/>
                <w:highlight w:val="none"/>
              </w:rPr>
              <w:sym w:font="Wingdings" w:char="00A8"/>
            </w:r>
            <w:r>
              <w:rPr>
                <w:rFonts w:ascii="Times New Roman" w:hAnsi="Times New Roman"/>
                <w:color w:val="auto"/>
                <w:sz w:val="24"/>
                <w:szCs w:val="24"/>
                <w:highlight w:val="none"/>
              </w:rPr>
              <w:t>重大变动重新报批项目</w:t>
            </w:r>
          </w:p>
        </w:tc>
      </w:tr>
      <w:tr w14:paraId="19B5B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9" w:type="dxa"/>
            <w:tcMar>
              <w:top w:w="16" w:type="dxa"/>
              <w:left w:w="16" w:type="dxa"/>
              <w:right w:w="16" w:type="dxa"/>
            </w:tcMar>
            <w:vAlign w:val="center"/>
          </w:tcPr>
          <w:p w14:paraId="07CA93D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项目审批（核准/备案）部门（选填）</w:t>
            </w:r>
          </w:p>
        </w:tc>
        <w:tc>
          <w:tcPr>
            <w:tcW w:w="2734" w:type="dxa"/>
            <w:vAlign w:val="center"/>
          </w:tcPr>
          <w:p w14:paraId="28CB1F0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auto"/>
                <w:highlight w:val="none"/>
                <w:lang w:eastAsia="zh-CN"/>
              </w:rPr>
            </w:pPr>
            <w:r>
              <w:rPr>
                <w:rFonts w:hint="eastAsia"/>
                <w:color w:val="auto"/>
                <w:highlight w:val="none"/>
                <w:lang w:val="en-US" w:eastAsia="zh-CN"/>
              </w:rPr>
              <w:t>安居区发展和改革</w:t>
            </w:r>
            <w:r>
              <w:rPr>
                <w:rFonts w:hint="eastAsia"/>
                <w:color w:val="auto"/>
                <w:highlight w:val="none"/>
                <w:lang w:eastAsia="zh-CN"/>
              </w:rPr>
              <w:t>局</w:t>
            </w:r>
          </w:p>
        </w:tc>
        <w:tc>
          <w:tcPr>
            <w:tcW w:w="1557" w:type="dxa"/>
            <w:vAlign w:val="center"/>
          </w:tcPr>
          <w:p w14:paraId="3DB62C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项目审批（核准/</w:t>
            </w:r>
          </w:p>
          <w:p w14:paraId="73CEB0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备案）文号（选填）</w:t>
            </w:r>
          </w:p>
        </w:tc>
        <w:tc>
          <w:tcPr>
            <w:tcW w:w="3776" w:type="dxa"/>
            <w:vAlign w:val="center"/>
          </w:tcPr>
          <w:p w14:paraId="761FAA1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highlight w:val="none"/>
                <w:lang w:val="en-US" w:eastAsia="zh-CN"/>
              </w:rPr>
            </w:pPr>
            <w:r>
              <w:rPr>
                <w:color w:val="auto"/>
                <w:highlight w:val="none"/>
              </w:rPr>
              <w:t>川投资备</w:t>
            </w:r>
            <w:r>
              <w:rPr>
                <w:rFonts w:hint="eastAsia"/>
                <w:color w:val="auto"/>
                <w:highlight w:val="none"/>
                <w:lang w:eastAsia="zh-CN"/>
              </w:rPr>
              <w:t>【2405-510904-04-01-510318</w:t>
            </w:r>
            <w:r>
              <w:rPr>
                <w:color w:val="auto"/>
                <w:highlight w:val="none"/>
              </w:rPr>
              <w:t>】</w:t>
            </w:r>
            <w:r>
              <w:rPr>
                <w:rFonts w:hint="eastAsia"/>
                <w:color w:val="auto"/>
                <w:highlight w:val="none"/>
                <w:lang w:eastAsia="zh-CN"/>
              </w:rPr>
              <w:t>FGQB-0064</w:t>
            </w:r>
            <w:r>
              <w:rPr>
                <w:rFonts w:hint="eastAsia"/>
                <w:color w:val="auto"/>
                <w:highlight w:val="none"/>
                <w:lang w:val="en-US" w:eastAsia="zh-CN"/>
              </w:rPr>
              <w:t>号</w:t>
            </w:r>
          </w:p>
        </w:tc>
      </w:tr>
      <w:tr w14:paraId="49927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9" w:type="dxa"/>
            <w:tcMar>
              <w:top w:w="16" w:type="dxa"/>
              <w:left w:w="16" w:type="dxa"/>
              <w:right w:w="16" w:type="dxa"/>
            </w:tcMar>
            <w:vAlign w:val="center"/>
          </w:tcPr>
          <w:p w14:paraId="51D7BE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总投资（万元）</w:t>
            </w:r>
          </w:p>
        </w:tc>
        <w:tc>
          <w:tcPr>
            <w:tcW w:w="2734" w:type="dxa"/>
            <w:vAlign w:val="center"/>
          </w:tcPr>
          <w:p w14:paraId="24E9AC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20000</w:t>
            </w:r>
          </w:p>
        </w:tc>
        <w:tc>
          <w:tcPr>
            <w:tcW w:w="1557" w:type="dxa"/>
            <w:tcMar>
              <w:top w:w="16" w:type="dxa"/>
              <w:left w:w="16" w:type="dxa"/>
              <w:right w:w="16" w:type="dxa"/>
            </w:tcMar>
            <w:vAlign w:val="center"/>
          </w:tcPr>
          <w:p w14:paraId="6094E3A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环保投资（万元）</w:t>
            </w:r>
          </w:p>
        </w:tc>
        <w:tc>
          <w:tcPr>
            <w:tcW w:w="3776" w:type="dxa"/>
            <w:vAlign w:val="center"/>
          </w:tcPr>
          <w:p w14:paraId="7D291A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66.0</w:t>
            </w:r>
          </w:p>
        </w:tc>
      </w:tr>
      <w:tr w14:paraId="1AE1B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9" w:type="dxa"/>
            <w:tcMar>
              <w:top w:w="16" w:type="dxa"/>
              <w:left w:w="16" w:type="dxa"/>
              <w:right w:w="16" w:type="dxa"/>
            </w:tcMar>
            <w:vAlign w:val="center"/>
          </w:tcPr>
          <w:p w14:paraId="6443EAA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环保投资占比（%）</w:t>
            </w:r>
          </w:p>
        </w:tc>
        <w:tc>
          <w:tcPr>
            <w:tcW w:w="2734" w:type="dxa"/>
            <w:vAlign w:val="center"/>
          </w:tcPr>
          <w:p w14:paraId="2706F91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highlight w:val="none"/>
                <w:lang w:val="en-US" w:eastAsia="zh-CN"/>
              </w:rPr>
            </w:pPr>
            <w:r>
              <w:rPr>
                <w:rFonts w:hint="eastAsia"/>
                <w:color w:val="auto"/>
                <w:highlight w:val="none"/>
                <w:lang w:val="en-US" w:eastAsia="zh-CN"/>
              </w:rPr>
              <w:t>0.33</w:t>
            </w:r>
          </w:p>
        </w:tc>
        <w:tc>
          <w:tcPr>
            <w:tcW w:w="1557" w:type="dxa"/>
            <w:tcMar>
              <w:top w:w="16" w:type="dxa"/>
              <w:left w:w="16" w:type="dxa"/>
              <w:right w:w="16" w:type="dxa"/>
            </w:tcMar>
            <w:vAlign w:val="center"/>
          </w:tcPr>
          <w:p w14:paraId="4CF6A9B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施工工期</w:t>
            </w:r>
          </w:p>
        </w:tc>
        <w:tc>
          <w:tcPr>
            <w:tcW w:w="3776" w:type="dxa"/>
            <w:vAlign w:val="center"/>
          </w:tcPr>
          <w:p w14:paraId="3DB8C9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highlight w:val="none"/>
              </w:rPr>
            </w:pPr>
            <w:r>
              <w:rPr>
                <w:rFonts w:hint="eastAsia"/>
                <w:color w:val="auto"/>
                <w:highlight w:val="none"/>
                <w:lang w:val="en-US" w:eastAsia="zh-CN"/>
              </w:rPr>
              <w:t>6</w:t>
            </w:r>
            <w:r>
              <w:rPr>
                <w:color w:val="auto"/>
                <w:highlight w:val="none"/>
              </w:rPr>
              <w:t>个月</w:t>
            </w:r>
          </w:p>
        </w:tc>
      </w:tr>
      <w:tr w14:paraId="3B24E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29" w:type="dxa"/>
            <w:tcMar>
              <w:top w:w="16" w:type="dxa"/>
              <w:left w:w="16" w:type="dxa"/>
              <w:right w:w="16" w:type="dxa"/>
            </w:tcMar>
            <w:vAlign w:val="center"/>
          </w:tcPr>
          <w:p w14:paraId="7B65ED3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是否开工建设</w:t>
            </w:r>
          </w:p>
        </w:tc>
        <w:tc>
          <w:tcPr>
            <w:tcW w:w="2734" w:type="dxa"/>
            <w:vAlign w:val="center"/>
          </w:tcPr>
          <w:p w14:paraId="720D45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highlight w:val="none"/>
              </w:rPr>
            </w:pPr>
            <w:r>
              <w:rPr>
                <w:color w:val="auto"/>
                <w:highlight w:val="none"/>
              </w:rPr>
              <w:sym w:font="Wingdings 2" w:char="F052"/>
            </w:r>
            <w:r>
              <w:rPr>
                <w:color w:val="auto"/>
                <w:highlight w:val="none"/>
              </w:rPr>
              <w:t>否</w:t>
            </w:r>
          </w:p>
          <w:p w14:paraId="2542389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highlight w:val="none"/>
              </w:rPr>
            </w:pPr>
            <w:r>
              <w:rPr>
                <w:rFonts w:ascii="Times New Roman" w:hAnsi="Times New Roman"/>
                <w:color w:val="auto"/>
                <w:sz w:val="24"/>
                <w:szCs w:val="24"/>
                <w:highlight w:val="none"/>
              </w:rPr>
              <w:sym w:font="Wingdings" w:char="00A8"/>
            </w:r>
            <w:r>
              <w:rPr>
                <w:color w:val="auto"/>
                <w:highlight w:val="none"/>
              </w:rPr>
              <w:t>是：</w:t>
            </w:r>
          </w:p>
        </w:tc>
        <w:tc>
          <w:tcPr>
            <w:tcW w:w="1557" w:type="dxa"/>
            <w:tcMar>
              <w:top w:w="16" w:type="dxa"/>
              <w:left w:w="16" w:type="dxa"/>
              <w:right w:w="16" w:type="dxa"/>
            </w:tcMar>
            <w:vAlign w:val="center"/>
          </w:tcPr>
          <w:p w14:paraId="7355B1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用地（用海）</w:t>
            </w:r>
          </w:p>
          <w:p w14:paraId="1A4598F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b/>
                <w:bCs/>
                <w:color w:val="auto"/>
                <w:highlight w:val="none"/>
              </w:rPr>
              <w:t>面积（m</w:t>
            </w:r>
            <w:r>
              <w:rPr>
                <w:rFonts w:hint="eastAsia"/>
                <w:b/>
                <w:bCs/>
                <w:color w:val="auto"/>
                <w:highlight w:val="none"/>
                <w:vertAlign w:val="superscript"/>
                <w:lang w:val="en-US" w:eastAsia="zh-CN"/>
              </w:rPr>
              <w:t>2</w:t>
            </w:r>
            <w:r>
              <w:rPr>
                <w:b/>
                <w:bCs/>
                <w:color w:val="auto"/>
                <w:highlight w:val="none"/>
              </w:rPr>
              <w:t>）</w:t>
            </w:r>
          </w:p>
        </w:tc>
        <w:tc>
          <w:tcPr>
            <w:tcW w:w="3776" w:type="dxa"/>
            <w:vAlign w:val="center"/>
          </w:tcPr>
          <w:p w14:paraId="7EC0D5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27814.79</w:t>
            </w:r>
          </w:p>
        </w:tc>
      </w:tr>
      <w:tr w14:paraId="26D74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9" w:type="dxa"/>
            <w:vAlign w:val="center"/>
          </w:tcPr>
          <w:p w14:paraId="7112E289">
            <w:pPr>
              <w:pStyle w:val="93"/>
              <w:bidi w:val="0"/>
              <w:rPr>
                <w:rFonts w:ascii="Times New Roman" w:hAnsi="Times New Roman"/>
                <w:color w:val="auto"/>
                <w:szCs w:val="24"/>
                <w:highlight w:val="none"/>
              </w:rPr>
            </w:pPr>
            <w:bookmarkStart w:id="4" w:name="_Toc14287"/>
            <w:r>
              <w:rPr>
                <w:b/>
                <w:bCs/>
                <w:color w:val="auto"/>
                <w:highlight w:val="none"/>
              </w:rPr>
              <w:t>专项评价设置情况</w:t>
            </w:r>
            <w:bookmarkEnd w:id="4"/>
          </w:p>
        </w:tc>
        <w:tc>
          <w:tcPr>
            <w:tcW w:w="8067" w:type="dxa"/>
            <w:gridSpan w:val="3"/>
            <w:vAlign w:val="center"/>
          </w:tcPr>
          <w:p w14:paraId="0F648D97">
            <w:pPr>
              <w:bidi w:val="0"/>
              <w:jc w:val="both"/>
              <w:rPr>
                <w:color w:val="auto"/>
                <w:highlight w:val="none"/>
              </w:rPr>
            </w:pPr>
            <w:r>
              <w:rPr>
                <w:color w:val="auto"/>
                <w:highlight w:val="none"/>
              </w:rPr>
              <w:t>根据《建设项目环境影响报告表编制技术指南（污染影响类）（试行）》，建设项目产生的环境影响需要深入论证的，应按照环境影响评价相关技术导则开展专项评价工作。根据建设项目排污情况及所涉环境敏感程度，确定专项评价的类别。</w:t>
            </w:r>
          </w:p>
          <w:p w14:paraId="64DEB0EC">
            <w:pPr>
              <w:keepNext w:val="0"/>
              <w:keepLines w:val="0"/>
              <w:pageBreakBefore w:val="0"/>
              <w:widowControl w:val="0"/>
              <w:kinsoku/>
              <w:wordWrap/>
              <w:overflowPunct/>
              <w:topLinePunct w:val="0"/>
              <w:autoSpaceDE w:val="0"/>
              <w:autoSpaceDN w:val="0"/>
              <w:bidi w:val="0"/>
              <w:adjustRightInd w:val="0"/>
              <w:snapToGrid w:val="0"/>
              <w:spacing w:before="0" w:beforeLines="0"/>
              <w:jc w:val="both"/>
              <w:textAlignment w:val="auto"/>
              <w:rPr>
                <w:rFonts w:hint="eastAsia"/>
                <w:color w:val="auto"/>
                <w:highlight w:val="none"/>
                <w:lang w:eastAsia="zh-CN"/>
              </w:rPr>
            </w:pPr>
            <w:r>
              <w:rPr>
                <w:rFonts w:hint="eastAsia"/>
                <w:color w:val="auto"/>
                <w:highlight w:val="none"/>
                <w:lang w:eastAsia="zh-CN"/>
              </w:rPr>
              <w:t>本项目</w:t>
            </w:r>
            <w:r>
              <w:rPr>
                <w:color w:val="auto"/>
                <w:highlight w:val="none"/>
              </w:rPr>
              <w:t>大气、地表水、环境风险、生态和海洋专项评价具体设置情况见表1-1</w:t>
            </w:r>
            <w:r>
              <w:rPr>
                <w:rFonts w:hint="eastAsia"/>
                <w:color w:val="auto"/>
                <w:highlight w:val="none"/>
                <w:lang w:eastAsia="zh-CN"/>
              </w:rPr>
              <w:t>。</w:t>
            </w:r>
          </w:p>
          <w:p w14:paraId="1DCAD452">
            <w:pPr>
              <w:pStyle w:val="27"/>
              <w:rPr>
                <w:rFonts w:hint="eastAsia"/>
                <w:color w:val="auto"/>
                <w:highlight w:val="none"/>
                <w:lang w:eastAsia="zh-CN"/>
              </w:rPr>
            </w:pPr>
          </w:p>
          <w:p w14:paraId="22D86655">
            <w:pPr>
              <w:rPr>
                <w:rFonts w:hint="eastAsia"/>
                <w:color w:val="auto"/>
                <w:highlight w:val="none"/>
                <w:lang w:eastAsia="zh-CN"/>
              </w:rPr>
            </w:pPr>
          </w:p>
          <w:p w14:paraId="1E74791D">
            <w:pPr>
              <w:pStyle w:val="2"/>
              <w:rPr>
                <w:rFonts w:hint="eastAsia"/>
                <w:color w:val="auto"/>
                <w:highlight w:val="none"/>
                <w:lang w:eastAsia="zh-CN"/>
              </w:rPr>
            </w:pPr>
          </w:p>
          <w:p w14:paraId="1D0FEF95">
            <w:pPr>
              <w:pStyle w:val="2"/>
              <w:rPr>
                <w:rFonts w:hint="eastAsia"/>
                <w:color w:val="auto"/>
                <w:highlight w:val="none"/>
                <w:lang w:eastAsia="zh-CN"/>
              </w:rPr>
            </w:pPr>
          </w:p>
          <w:p w14:paraId="4DFEC775">
            <w:pPr>
              <w:pStyle w:val="14"/>
              <w:bidi w:val="0"/>
              <w:rPr>
                <w:color w:val="auto"/>
                <w:highlight w:val="none"/>
              </w:rPr>
            </w:pPr>
            <w:r>
              <w:rPr>
                <w:color w:val="auto"/>
                <w:highlight w:val="none"/>
              </w:rPr>
              <w:t xml:space="preserve">表1- </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w:t>
            </w:r>
            <w:r>
              <w:rPr>
                <w:rFonts w:hint="eastAsia"/>
                <w:color w:val="auto"/>
                <w:highlight w:val="none"/>
                <w:lang w:eastAsia="zh-CN"/>
              </w:rPr>
              <w:t>本项目</w:t>
            </w:r>
            <w:r>
              <w:rPr>
                <w:rFonts w:hint="eastAsia"/>
                <w:color w:val="auto"/>
                <w:highlight w:val="none"/>
              </w:rPr>
              <w:t>专项评价设置一览表</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4"/>
              <w:gridCol w:w="3276"/>
              <w:gridCol w:w="2412"/>
              <w:gridCol w:w="1058"/>
            </w:tblGrid>
            <w:tr w14:paraId="3B338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3" w:type="pct"/>
                  <w:tcBorders>
                    <w:bottom w:val="single" w:color="auto" w:sz="4" w:space="0"/>
                  </w:tcBorders>
                  <w:vAlign w:val="center"/>
                </w:tcPr>
                <w:p w14:paraId="57AF2973">
                  <w:pPr>
                    <w:pStyle w:val="94"/>
                    <w:bidi w:val="0"/>
                    <w:rPr>
                      <w:b/>
                      <w:bCs w:val="0"/>
                      <w:color w:val="auto"/>
                      <w:highlight w:val="none"/>
                    </w:rPr>
                  </w:pPr>
                  <w:r>
                    <w:rPr>
                      <w:b/>
                      <w:bCs w:val="0"/>
                      <w:color w:val="auto"/>
                      <w:highlight w:val="none"/>
                    </w:rPr>
                    <w:t>专项评价的类别</w:t>
                  </w:r>
                </w:p>
              </w:tc>
              <w:tc>
                <w:tcPr>
                  <w:tcW w:w="2086" w:type="pct"/>
                  <w:tcBorders>
                    <w:bottom w:val="single" w:color="auto" w:sz="4" w:space="0"/>
                  </w:tcBorders>
                  <w:vAlign w:val="center"/>
                </w:tcPr>
                <w:p w14:paraId="1A2FD64A">
                  <w:pPr>
                    <w:pStyle w:val="94"/>
                    <w:bidi w:val="0"/>
                    <w:rPr>
                      <w:b/>
                      <w:bCs w:val="0"/>
                      <w:color w:val="auto"/>
                      <w:highlight w:val="none"/>
                    </w:rPr>
                  </w:pPr>
                  <w:r>
                    <w:rPr>
                      <w:b/>
                      <w:bCs w:val="0"/>
                      <w:color w:val="auto"/>
                      <w:highlight w:val="none"/>
                    </w:rPr>
                    <w:t>设置原则</w:t>
                  </w:r>
                </w:p>
              </w:tc>
              <w:tc>
                <w:tcPr>
                  <w:tcW w:w="1536" w:type="pct"/>
                  <w:tcBorders>
                    <w:bottom w:val="single" w:color="auto" w:sz="4" w:space="0"/>
                  </w:tcBorders>
                  <w:vAlign w:val="center"/>
                </w:tcPr>
                <w:p w14:paraId="07144FB9">
                  <w:pPr>
                    <w:pStyle w:val="94"/>
                    <w:bidi w:val="0"/>
                    <w:rPr>
                      <w:rFonts w:hint="eastAsia" w:eastAsia="宋体"/>
                      <w:b/>
                      <w:bCs w:val="0"/>
                      <w:color w:val="auto"/>
                      <w:highlight w:val="none"/>
                      <w:lang w:eastAsia="zh-CN"/>
                    </w:rPr>
                  </w:pPr>
                  <w:r>
                    <w:rPr>
                      <w:rFonts w:hint="eastAsia"/>
                      <w:b/>
                      <w:bCs w:val="0"/>
                      <w:color w:val="auto"/>
                      <w:highlight w:val="none"/>
                      <w:lang w:eastAsia="zh-CN"/>
                    </w:rPr>
                    <w:t>本项目</w:t>
                  </w:r>
                </w:p>
              </w:tc>
              <w:tc>
                <w:tcPr>
                  <w:tcW w:w="673" w:type="pct"/>
                  <w:tcBorders>
                    <w:bottom w:val="single" w:color="auto" w:sz="4" w:space="0"/>
                  </w:tcBorders>
                  <w:vAlign w:val="center"/>
                </w:tcPr>
                <w:p w14:paraId="6540650D">
                  <w:pPr>
                    <w:pStyle w:val="94"/>
                    <w:bidi w:val="0"/>
                    <w:rPr>
                      <w:b/>
                      <w:bCs w:val="0"/>
                      <w:color w:val="auto"/>
                      <w:highlight w:val="none"/>
                    </w:rPr>
                  </w:pPr>
                  <w:r>
                    <w:rPr>
                      <w:b/>
                      <w:bCs w:val="0"/>
                      <w:color w:val="auto"/>
                      <w:highlight w:val="none"/>
                    </w:rPr>
                    <w:t>是否设置</w:t>
                  </w:r>
                </w:p>
              </w:tc>
            </w:tr>
            <w:tr w14:paraId="2D301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3" w:type="pct"/>
                  <w:tcBorders>
                    <w:top w:val="single" w:color="auto" w:sz="4" w:space="0"/>
                    <w:tl2br w:val="nil"/>
                    <w:tr2bl w:val="nil"/>
                  </w:tcBorders>
                  <w:vAlign w:val="center"/>
                </w:tcPr>
                <w:p w14:paraId="653BA150">
                  <w:pPr>
                    <w:pStyle w:val="94"/>
                    <w:bidi w:val="0"/>
                    <w:rPr>
                      <w:color w:val="auto"/>
                      <w:highlight w:val="none"/>
                    </w:rPr>
                  </w:pPr>
                  <w:r>
                    <w:rPr>
                      <w:color w:val="auto"/>
                      <w:highlight w:val="none"/>
                    </w:rPr>
                    <w:t>大气</w:t>
                  </w:r>
                </w:p>
              </w:tc>
              <w:tc>
                <w:tcPr>
                  <w:tcW w:w="2086" w:type="pct"/>
                  <w:tcBorders>
                    <w:top w:val="single" w:color="auto" w:sz="4" w:space="0"/>
                    <w:tl2br w:val="nil"/>
                    <w:tr2bl w:val="nil"/>
                  </w:tcBorders>
                  <w:vAlign w:val="center"/>
                </w:tcPr>
                <w:p w14:paraId="72028E6C">
                  <w:pPr>
                    <w:pStyle w:val="94"/>
                    <w:bidi w:val="0"/>
                    <w:rPr>
                      <w:color w:val="auto"/>
                      <w:highlight w:val="none"/>
                    </w:rPr>
                  </w:pPr>
                  <w:r>
                    <w:rPr>
                      <w:color w:val="auto"/>
                      <w:highlight w:val="none"/>
                    </w:rPr>
                    <w:t>排放废气含有毒有害污染物</w:t>
                  </w:r>
                  <w:r>
                    <w:rPr>
                      <w:color w:val="auto"/>
                      <w:highlight w:val="none"/>
                      <w:vertAlign w:val="superscript"/>
                    </w:rPr>
                    <w:t>1</w:t>
                  </w:r>
                  <w:r>
                    <w:rPr>
                      <w:color w:val="auto"/>
                      <w:highlight w:val="none"/>
                    </w:rPr>
                    <w:t>、二</w:t>
                  </w:r>
                  <w:r>
                    <w:rPr>
                      <w:rFonts w:hint="eastAsia"/>
                      <w:color w:val="auto"/>
                      <w:highlight w:val="none"/>
                      <w:lang w:eastAsia="zh-CN"/>
                    </w:rPr>
                    <w:t>噁</w:t>
                  </w:r>
                  <w:r>
                    <w:rPr>
                      <w:color w:val="auto"/>
                      <w:highlight w:val="none"/>
                    </w:rPr>
                    <w:t>英、苯并[a]芘、氰化物、氯气且厂界外500米范围内有环境空气保护目标</w:t>
                  </w:r>
                  <w:r>
                    <w:rPr>
                      <w:color w:val="auto"/>
                      <w:highlight w:val="none"/>
                      <w:vertAlign w:val="superscript"/>
                    </w:rPr>
                    <w:t>2</w:t>
                  </w:r>
                  <w:r>
                    <w:rPr>
                      <w:color w:val="auto"/>
                      <w:highlight w:val="none"/>
                    </w:rPr>
                    <w:t>的建设项目</w:t>
                  </w:r>
                </w:p>
              </w:tc>
              <w:tc>
                <w:tcPr>
                  <w:tcW w:w="1536" w:type="pct"/>
                  <w:tcBorders>
                    <w:top w:val="single" w:color="auto" w:sz="4" w:space="0"/>
                    <w:tl2br w:val="nil"/>
                    <w:tr2bl w:val="nil"/>
                  </w:tcBorders>
                  <w:vAlign w:val="center"/>
                </w:tcPr>
                <w:p w14:paraId="6464D140">
                  <w:pPr>
                    <w:pStyle w:val="94"/>
                    <w:bidi w:val="0"/>
                    <w:rPr>
                      <w:rFonts w:hint="default" w:eastAsia="宋体"/>
                      <w:b/>
                      <w:bCs w:val="0"/>
                      <w:color w:val="auto"/>
                      <w:highlight w:val="none"/>
                      <w:lang w:val="en-US" w:eastAsia="zh-CN"/>
                    </w:rPr>
                  </w:pPr>
                  <w:r>
                    <w:rPr>
                      <w:rFonts w:hint="eastAsia"/>
                      <w:b w:val="0"/>
                      <w:bCs/>
                      <w:color w:val="auto"/>
                      <w:highlight w:val="none"/>
                      <w:lang w:eastAsia="zh-CN"/>
                    </w:rPr>
                    <w:t>本项目</w:t>
                  </w:r>
                  <w:r>
                    <w:rPr>
                      <w:rFonts w:hint="eastAsia"/>
                      <w:b w:val="0"/>
                      <w:bCs/>
                      <w:color w:val="auto"/>
                      <w:highlight w:val="none"/>
                      <w:lang w:val="en-US" w:eastAsia="zh-CN"/>
                    </w:rPr>
                    <w:t>无上述废气排放，具体见后文分析</w:t>
                  </w:r>
                </w:p>
              </w:tc>
              <w:tc>
                <w:tcPr>
                  <w:tcW w:w="673" w:type="pct"/>
                  <w:tcBorders>
                    <w:top w:val="single" w:color="auto" w:sz="4" w:space="0"/>
                    <w:tl2br w:val="nil"/>
                    <w:tr2bl w:val="nil"/>
                  </w:tcBorders>
                  <w:vAlign w:val="center"/>
                </w:tcPr>
                <w:p w14:paraId="0F7ED6A0">
                  <w:pPr>
                    <w:pStyle w:val="94"/>
                    <w:bidi w:val="0"/>
                    <w:rPr>
                      <w:rFonts w:hint="default" w:eastAsia="宋体"/>
                      <w:b/>
                      <w:bCs w:val="0"/>
                      <w:color w:val="auto"/>
                      <w:highlight w:val="none"/>
                      <w:lang w:val="en-US" w:eastAsia="zh-CN"/>
                    </w:rPr>
                  </w:pPr>
                  <w:r>
                    <w:rPr>
                      <w:color w:val="auto"/>
                      <w:highlight w:val="none"/>
                    </w:rPr>
                    <w:t>否</w:t>
                  </w:r>
                </w:p>
              </w:tc>
            </w:tr>
            <w:tr w14:paraId="1F287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3" w:type="pct"/>
                  <w:tcBorders>
                    <w:tl2br w:val="nil"/>
                    <w:tr2bl w:val="nil"/>
                  </w:tcBorders>
                  <w:vAlign w:val="center"/>
                </w:tcPr>
                <w:p w14:paraId="6DC1471B">
                  <w:pPr>
                    <w:pStyle w:val="94"/>
                    <w:bidi w:val="0"/>
                    <w:rPr>
                      <w:color w:val="auto"/>
                      <w:highlight w:val="none"/>
                    </w:rPr>
                  </w:pPr>
                  <w:r>
                    <w:rPr>
                      <w:color w:val="auto"/>
                      <w:highlight w:val="none"/>
                    </w:rPr>
                    <w:t>地表水</w:t>
                  </w:r>
                </w:p>
              </w:tc>
              <w:tc>
                <w:tcPr>
                  <w:tcW w:w="2086" w:type="pct"/>
                  <w:tcBorders>
                    <w:tl2br w:val="nil"/>
                    <w:tr2bl w:val="nil"/>
                  </w:tcBorders>
                  <w:vAlign w:val="center"/>
                </w:tcPr>
                <w:p w14:paraId="25331FC2">
                  <w:pPr>
                    <w:pStyle w:val="94"/>
                    <w:bidi w:val="0"/>
                    <w:rPr>
                      <w:color w:val="auto"/>
                      <w:highlight w:val="none"/>
                    </w:rPr>
                  </w:pPr>
                  <w:r>
                    <w:rPr>
                      <w:color w:val="auto"/>
                      <w:highlight w:val="none"/>
                    </w:rPr>
                    <w:t>新增工业废水直排建设项目（槽罐车外送污水处理厂的除外）；新增废水直排的污水集中处理厂</w:t>
                  </w:r>
                </w:p>
              </w:tc>
              <w:tc>
                <w:tcPr>
                  <w:tcW w:w="1536" w:type="pct"/>
                  <w:tcBorders>
                    <w:tl2br w:val="nil"/>
                    <w:tr2bl w:val="nil"/>
                  </w:tcBorders>
                  <w:vAlign w:val="center"/>
                </w:tcPr>
                <w:p w14:paraId="723BDBDD">
                  <w:pPr>
                    <w:pStyle w:val="94"/>
                    <w:bidi w:val="0"/>
                    <w:rPr>
                      <w:color w:val="auto"/>
                      <w:highlight w:val="none"/>
                    </w:rPr>
                  </w:pPr>
                  <w:r>
                    <w:rPr>
                      <w:rFonts w:hint="eastAsia"/>
                      <w:color w:val="auto"/>
                      <w:highlight w:val="none"/>
                      <w:lang w:eastAsia="zh-CN"/>
                    </w:rPr>
                    <w:t>本项目</w:t>
                  </w:r>
                  <w:r>
                    <w:rPr>
                      <w:color w:val="auto"/>
                      <w:highlight w:val="none"/>
                    </w:rPr>
                    <w:t>不属于新增工业废水直排建设项目</w:t>
                  </w:r>
                </w:p>
              </w:tc>
              <w:tc>
                <w:tcPr>
                  <w:tcW w:w="673" w:type="pct"/>
                  <w:tcBorders>
                    <w:tl2br w:val="nil"/>
                    <w:tr2bl w:val="nil"/>
                  </w:tcBorders>
                  <w:vAlign w:val="center"/>
                </w:tcPr>
                <w:p w14:paraId="1B080465">
                  <w:pPr>
                    <w:pStyle w:val="94"/>
                    <w:bidi w:val="0"/>
                    <w:rPr>
                      <w:color w:val="auto"/>
                      <w:highlight w:val="none"/>
                    </w:rPr>
                  </w:pPr>
                  <w:r>
                    <w:rPr>
                      <w:color w:val="auto"/>
                      <w:highlight w:val="none"/>
                    </w:rPr>
                    <w:t>否</w:t>
                  </w:r>
                </w:p>
              </w:tc>
            </w:tr>
            <w:tr w14:paraId="6FDDD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3" w:type="pct"/>
                  <w:tcBorders>
                    <w:tl2br w:val="nil"/>
                    <w:tr2bl w:val="nil"/>
                  </w:tcBorders>
                  <w:vAlign w:val="center"/>
                </w:tcPr>
                <w:p w14:paraId="3396BF39">
                  <w:pPr>
                    <w:pStyle w:val="94"/>
                    <w:bidi w:val="0"/>
                    <w:rPr>
                      <w:color w:val="auto"/>
                      <w:highlight w:val="none"/>
                    </w:rPr>
                  </w:pPr>
                  <w:r>
                    <w:rPr>
                      <w:color w:val="auto"/>
                      <w:highlight w:val="none"/>
                    </w:rPr>
                    <w:t>环境风险</w:t>
                  </w:r>
                </w:p>
              </w:tc>
              <w:tc>
                <w:tcPr>
                  <w:tcW w:w="2086" w:type="pct"/>
                  <w:tcBorders>
                    <w:tl2br w:val="nil"/>
                    <w:tr2bl w:val="nil"/>
                  </w:tcBorders>
                  <w:vAlign w:val="center"/>
                </w:tcPr>
                <w:p w14:paraId="6CFE8A45">
                  <w:pPr>
                    <w:pStyle w:val="94"/>
                    <w:bidi w:val="0"/>
                    <w:rPr>
                      <w:color w:val="auto"/>
                      <w:highlight w:val="none"/>
                    </w:rPr>
                  </w:pPr>
                  <w:r>
                    <w:rPr>
                      <w:color w:val="auto"/>
                      <w:highlight w:val="none"/>
                    </w:rPr>
                    <w:t>有毒有害和易燃易爆危险物质存储量超过临界量</w:t>
                  </w:r>
                  <w:r>
                    <w:rPr>
                      <w:color w:val="auto"/>
                      <w:highlight w:val="none"/>
                      <w:vertAlign w:val="superscript"/>
                    </w:rPr>
                    <w:t>3</w:t>
                  </w:r>
                  <w:r>
                    <w:rPr>
                      <w:color w:val="auto"/>
                      <w:highlight w:val="none"/>
                    </w:rPr>
                    <w:t>的建设项目</w:t>
                  </w:r>
                </w:p>
              </w:tc>
              <w:tc>
                <w:tcPr>
                  <w:tcW w:w="1536" w:type="pct"/>
                  <w:tcBorders>
                    <w:tl2br w:val="nil"/>
                    <w:tr2bl w:val="nil"/>
                  </w:tcBorders>
                  <w:vAlign w:val="center"/>
                </w:tcPr>
                <w:p w14:paraId="20BE6119">
                  <w:pPr>
                    <w:pStyle w:val="94"/>
                    <w:bidi w:val="0"/>
                    <w:rPr>
                      <w:color w:val="auto"/>
                      <w:highlight w:val="none"/>
                    </w:rPr>
                  </w:pPr>
                  <w:r>
                    <w:rPr>
                      <w:rFonts w:hint="eastAsia"/>
                      <w:color w:val="auto"/>
                      <w:highlight w:val="none"/>
                      <w:lang w:eastAsia="zh-CN"/>
                    </w:rPr>
                    <w:t>本项目</w:t>
                  </w:r>
                  <w:r>
                    <w:rPr>
                      <w:color w:val="auto"/>
                      <w:highlight w:val="none"/>
                    </w:rPr>
                    <w:t>不属于有毒有害和易燃易爆危险物质存储量超过临界量的建设项目</w:t>
                  </w:r>
                </w:p>
              </w:tc>
              <w:tc>
                <w:tcPr>
                  <w:tcW w:w="673" w:type="pct"/>
                  <w:tcBorders>
                    <w:tl2br w:val="nil"/>
                    <w:tr2bl w:val="nil"/>
                  </w:tcBorders>
                  <w:vAlign w:val="center"/>
                </w:tcPr>
                <w:p w14:paraId="34C8738E">
                  <w:pPr>
                    <w:pStyle w:val="94"/>
                    <w:bidi w:val="0"/>
                    <w:rPr>
                      <w:color w:val="auto"/>
                      <w:highlight w:val="none"/>
                    </w:rPr>
                  </w:pPr>
                  <w:r>
                    <w:rPr>
                      <w:color w:val="auto"/>
                      <w:highlight w:val="none"/>
                    </w:rPr>
                    <w:t>否</w:t>
                  </w:r>
                </w:p>
              </w:tc>
            </w:tr>
            <w:tr w14:paraId="3E6C8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3" w:type="pct"/>
                  <w:tcBorders>
                    <w:tl2br w:val="nil"/>
                    <w:tr2bl w:val="nil"/>
                  </w:tcBorders>
                  <w:vAlign w:val="center"/>
                </w:tcPr>
                <w:p w14:paraId="123761F8">
                  <w:pPr>
                    <w:pStyle w:val="94"/>
                    <w:bidi w:val="0"/>
                    <w:rPr>
                      <w:color w:val="auto"/>
                      <w:highlight w:val="none"/>
                    </w:rPr>
                  </w:pPr>
                  <w:r>
                    <w:rPr>
                      <w:color w:val="auto"/>
                      <w:highlight w:val="none"/>
                    </w:rPr>
                    <w:t>生态</w:t>
                  </w:r>
                </w:p>
              </w:tc>
              <w:tc>
                <w:tcPr>
                  <w:tcW w:w="2086" w:type="pct"/>
                  <w:tcBorders>
                    <w:tl2br w:val="nil"/>
                    <w:tr2bl w:val="nil"/>
                  </w:tcBorders>
                  <w:vAlign w:val="center"/>
                </w:tcPr>
                <w:p w14:paraId="15633458">
                  <w:pPr>
                    <w:pStyle w:val="94"/>
                    <w:bidi w:val="0"/>
                    <w:rPr>
                      <w:color w:val="auto"/>
                      <w:highlight w:val="none"/>
                    </w:rPr>
                  </w:pPr>
                  <w:r>
                    <w:rPr>
                      <w:color w:val="auto"/>
                      <w:highlight w:val="none"/>
                    </w:rPr>
                    <w:t>取水口下游500米范围内有重要水生生物的自然产卵场、索饵场、越冬场和洄游通道的新增河道取水的污染类建设项目</w:t>
                  </w:r>
                </w:p>
              </w:tc>
              <w:tc>
                <w:tcPr>
                  <w:tcW w:w="1536" w:type="pct"/>
                  <w:tcBorders>
                    <w:tl2br w:val="nil"/>
                    <w:tr2bl w:val="nil"/>
                  </w:tcBorders>
                  <w:vAlign w:val="center"/>
                </w:tcPr>
                <w:p w14:paraId="40B01613">
                  <w:pPr>
                    <w:pStyle w:val="94"/>
                    <w:bidi w:val="0"/>
                    <w:rPr>
                      <w:color w:val="auto"/>
                      <w:highlight w:val="none"/>
                    </w:rPr>
                  </w:pPr>
                  <w:r>
                    <w:rPr>
                      <w:rFonts w:hint="eastAsia"/>
                      <w:color w:val="auto"/>
                      <w:highlight w:val="none"/>
                      <w:lang w:eastAsia="zh-CN"/>
                    </w:rPr>
                    <w:t>本项目</w:t>
                  </w:r>
                  <w:r>
                    <w:rPr>
                      <w:color w:val="auto"/>
                      <w:highlight w:val="none"/>
                    </w:rPr>
                    <w:t>不属于新增河道取水的污染类建设项目</w:t>
                  </w:r>
                </w:p>
              </w:tc>
              <w:tc>
                <w:tcPr>
                  <w:tcW w:w="673" w:type="pct"/>
                  <w:tcBorders>
                    <w:tl2br w:val="nil"/>
                    <w:tr2bl w:val="nil"/>
                  </w:tcBorders>
                  <w:vAlign w:val="center"/>
                </w:tcPr>
                <w:p w14:paraId="1BD0A178">
                  <w:pPr>
                    <w:pStyle w:val="94"/>
                    <w:bidi w:val="0"/>
                    <w:rPr>
                      <w:color w:val="auto"/>
                      <w:highlight w:val="none"/>
                    </w:rPr>
                  </w:pPr>
                  <w:r>
                    <w:rPr>
                      <w:color w:val="auto"/>
                      <w:highlight w:val="none"/>
                    </w:rPr>
                    <w:t>否</w:t>
                  </w:r>
                </w:p>
              </w:tc>
            </w:tr>
            <w:tr w14:paraId="5758F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3" w:type="pct"/>
                  <w:tcBorders>
                    <w:tl2br w:val="nil"/>
                    <w:tr2bl w:val="nil"/>
                  </w:tcBorders>
                  <w:vAlign w:val="center"/>
                </w:tcPr>
                <w:p w14:paraId="017931C0">
                  <w:pPr>
                    <w:pStyle w:val="94"/>
                    <w:bidi w:val="0"/>
                    <w:rPr>
                      <w:color w:val="auto"/>
                      <w:highlight w:val="none"/>
                    </w:rPr>
                  </w:pPr>
                  <w:r>
                    <w:rPr>
                      <w:color w:val="auto"/>
                      <w:highlight w:val="none"/>
                    </w:rPr>
                    <w:t>海洋</w:t>
                  </w:r>
                </w:p>
              </w:tc>
              <w:tc>
                <w:tcPr>
                  <w:tcW w:w="2086" w:type="pct"/>
                  <w:tcBorders>
                    <w:tl2br w:val="nil"/>
                    <w:tr2bl w:val="nil"/>
                  </w:tcBorders>
                  <w:vAlign w:val="center"/>
                </w:tcPr>
                <w:p w14:paraId="376F327B">
                  <w:pPr>
                    <w:pStyle w:val="94"/>
                    <w:bidi w:val="0"/>
                    <w:rPr>
                      <w:color w:val="auto"/>
                      <w:highlight w:val="none"/>
                    </w:rPr>
                  </w:pPr>
                  <w:r>
                    <w:rPr>
                      <w:color w:val="auto"/>
                      <w:highlight w:val="none"/>
                    </w:rPr>
                    <w:t>直接向海排放污染物的海洋工程建设项目</w:t>
                  </w:r>
                </w:p>
              </w:tc>
              <w:tc>
                <w:tcPr>
                  <w:tcW w:w="1536" w:type="pct"/>
                  <w:tcBorders>
                    <w:tl2br w:val="nil"/>
                    <w:tr2bl w:val="nil"/>
                  </w:tcBorders>
                  <w:vAlign w:val="center"/>
                </w:tcPr>
                <w:p w14:paraId="66D713F0">
                  <w:pPr>
                    <w:pStyle w:val="94"/>
                    <w:bidi w:val="0"/>
                    <w:rPr>
                      <w:color w:val="auto"/>
                      <w:highlight w:val="none"/>
                    </w:rPr>
                  </w:pPr>
                  <w:r>
                    <w:rPr>
                      <w:rFonts w:hint="eastAsia"/>
                      <w:color w:val="auto"/>
                      <w:highlight w:val="none"/>
                      <w:lang w:eastAsia="zh-CN"/>
                    </w:rPr>
                    <w:t>本项目</w:t>
                  </w:r>
                  <w:r>
                    <w:rPr>
                      <w:color w:val="auto"/>
                      <w:highlight w:val="none"/>
                    </w:rPr>
                    <w:t>不属于海洋工程建设项目</w:t>
                  </w:r>
                </w:p>
              </w:tc>
              <w:tc>
                <w:tcPr>
                  <w:tcW w:w="673" w:type="pct"/>
                  <w:tcBorders>
                    <w:tl2br w:val="nil"/>
                    <w:tr2bl w:val="nil"/>
                  </w:tcBorders>
                  <w:vAlign w:val="center"/>
                </w:tcPr>
                <w:p w14:paraId="3B2CC17B">
                  <w:pPr>
                    <w:pStyle w:val="94"/>
                    <w:bidi w:val="0"/>
                    <w:rPr>
                      <w:color w:val="auto"/>
                      <w:highlight w:val="none"/>
                    </w:rPr>
                  </w:pPr>
                  <w:r>
                    <w:rPr>
                      <w:color w:val="auto"/>
                      <w:highlight w:val="none"/>
                    </w:rPr>
                    <w:t>否</w:t>
                  </w:r>
                </w:p>
              </w:tc>
            </w:tr>
          </w:tbl>
          <w:p w14:paraId="3C98AA3C">
            <w:pPr>
              <w:keepNext w:val="0"/>
              <w:keepLines w:val="0"/>
              <w:pageBreakBefore w:val="0"/>
              <w:widowControl w:val="0"/>
              <w:kinsoku/>
              <w:wordWrap/>
              <w:overflowPunct/>
              <w:topLinePunct w:val="0"/>
              <w:autoSpaceDE w:val="0"/>
              <w:autoSpaceDN w:val="0"/>
              <w:bidi w:val="0"/>
              <w:adjustRightInd w:val="0"/>
              <w:snapToGrid w:val="0"/>
              <w:spacing w:before="120" w:line="240" w:lineRule="auto"/>
              <w:textAlignment w:val="auto"/>
              <w:rPr>
                <w:rFonts w:hint="default"/>
                <w:color w:val="auto"/>
                <w:sz w:val="21"/>
                <w:szCs w:val="21"/>
                <w:highlight w:val="none"/>
              </w:rPr>
            </w:pPr>
            <w:r>
              <w:rPr>
                <w:rFonts w:hint="default"/>
                <w:color w:val="auto"/>
                <w:sz w:val="21"/>
                <w:szCs w:val="21"/>
                <w:highlight w:val="none"/>
              </w:rPr>
              <w:t>注：1、废气中有毒有害污染物指纳入《有毒有害大气污染物名录》的污染物（不包括无排放标准的污染物）。</w:t>
            </w:r>
          </w:p>
          <w:p w14:paraId="4E0A1ABB">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color w:val="auto"/>
                <w:sz w:val="21"/>
                <w:szCs w:val="21"/>
                <w:highlight w:val="none"/>
              </w:rPr>
            </w:pPr>
            <w:r>
              <w:rPr>
                <w:rFonts w:hint="default"/>
                <w:color w:val="auto"/>
                <w:sz w:val="21"/>
                <w:szCs w:val="21"/>
                <w:highlight w:val="none"/>
              </w:rPr>
              <w:t>2、环境空气保护目标指自然保护区、风景名胜区、居住区、文化区和农村地区中人群较集中的区域。</w:t>
            </w:r>
          </w:p>
          <w:p w14:paraId="37A57263">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color w:val="auto"/>
                <w:highlight w:val="none"/>
              </w:rPr>
            </w:pPr>
            <w:r>
              <w:rPr>
                <w:rFonts w:hint="default"/>
                <w:color w:val="auto"/>
                <w:sz w:val="21"/>
                <w:szCs w:val="21"/>
                <w:highlight w:val="none"/>
              </w:rPr>
              <w:t>3、临界量及其计算方法可参考《建设项目环境风险评价技术导则》（HJ 169）附录 B、附录 C。</w:t>
            </w:r>
          </w:p>
        </w:tc>
      </w:tr>
      <w:tr w14:paraId="18BFB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9" w:type="dxa"/>
            <w:vAlign w:val="center"/>
          </w:tcPr>
          <w:p w14:paraId="7B2E0214">
            <w:pPr>
              <w:pStyle w:val="93"/>
              <w:bidi w:val="0"/>
              <w:rPr>
                <w:b/>
                <w:bCs/>
                <w:color w:val="auto"/>
                <w:highlight w:val="none"/>
              </w:rPr>
            </w:pPr>
            <w:bookmarkStart w:id="5" w:name="_Toc28797"/>
            <w:r>
              <w:rPr>
                <w:b/>
                <w:bCs/>
                <w:color w:val="auto"/>
                <w:highlight w:val="none"/>
              </w:rPr>
              <w:t>规划情况</w:t>
            </w:r>
            <w:bookmarkEnd w:id="5"/>
          </w:p>
        </w:tc>
        <w:tc>
          <w:tcPr>
            <w:tcW w:w="8067" w:type="dxa"/>
            <w:gridSpan w:val="3"/>
            <w:vAlign w:val="center"/>
          </w:tcPr>
          <w:p w14:paraId="0871959A">
            <w:pPr>
              <w:bidi w:val="0"/>
              <w:rPr>
                <w:rFonts w:hint="eastAsia" w:eastAsia="宋体"/>
                <w:color w:val="auto"/>
                <w:highlight w:val="none"/>
                <w:lang w:eastAsia="zh-CN"/>
              </w:rPr>
            </w:pPr>
            <w:r>
              <w:rPr>
                <w:rFonts w:hint="default"/>
                <w:b/>
                <w:bCs/>
                <w:color w:val="auto"/>
                <w:highlight w:val="none"/>
              </w:rPr>
              <w:t>规划名称：</w:t>
            </w:r>
            <w:r>
              <w:rPr>
                <w:rFonts w:hint="eastAsia"/>
                <w:color w:val="auto"/>
                <w:highlight w:val="none"/>
                <w:lang w:eastAsia="zh-CN"/>
              </w:rPr>
              <w:t>《遂宁市安居区工业集中发展区（含经开区）规划》</w:t>
            </w:r>
          </w:p>
          <w:p w14:paraId="18842730">
            <w:pPr>
              <w:bidi w:val="0"/>
              <w:rPr>
                <w:rFonts w:hint="default"/>
                <w:color w:val="auto"/>
                <w:highlight w:val="none"/>
              </w:rPr>
            </w:pPr>
            <w:r>
              <w:rPr>
                <w:rFonts w:hint="default"/>
                <w:b/>
                <w:bCs/>
                <w:color w:val="auto"/>
                <w:highlight w:val="none"/>
              </w:rPr>
              <w:t>审批机关：</w:t>
            </w:r>
            <w:r>
              <w:rPr>
                <w:rFonts w:hint="eastAsia"/>
                <w:b w:val="0"/>
                <w:bCs w:val="0"/>
                <w:color w:val="auto"/>
                <w:highlight w:val="none"/>
                <w:lang w:val="en-US" w:eastAsia="zh-CN"/>
              </w:rPr>
              <w:t>四川省人民政府</w:t>
            </w:r>
          </w:p>
          <w:p w14:paraId="2B2BFF1E">
            <w:pPr>
              <w:bidi w:val="0"/>
              <w:rPr>
                <w:color w:val="auto"/>
                <w:kern w:val="0"/>
                <w:highlight w:val="none"/>
              </w:rPr>
            </w:pPr>
            <w:r>
              <w:rPr>
                <w:rFonts w:hint="eastAsia"/>
                <w:b/>
                <w:bCs/>
                <w:color w:val="auto"/>
                <w:highlight w:val="none"/>
                <w:lang w:val="en-US" w:eastAsia="zh-CN"/>
              </w:rPr>
              <w:t>审批文件名称及文号：</w:t>
            </w:r>
            <w:r>
              <w:rPr>
                <w:rFonts w:hint="eastAsia"/>
                <w:b w:val="0"/>
                <w:bCs w:val="0"/>
                <w:color w:val="auto"/>
                <w:highlight w:val="none"/>
                <w:lang w:val="en-US" w:eastAsia="zh-CN"/>
              </w:rPr>
              <w:t>《四川省人民政府关于设立四川蒲江经济开发区等省级开发区的批复》（川府函〔2019〕20号）</w:t>
            </w:r>
          </w:p>
        </w:tc>
      </w:tr>
      <w:tr w14:paraId="49A8F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9" w:type="dxa"/>
            <w:vAlign w:val="center"/>
          </w:tcPr>
          <w:p w14:paraId="43463BBC">
            <w:pPr>
              <w:pStyle w:val="93"/>
              <w:bidi w:val="0"/>
              <w:rPr>
                <w:b/>
                <w:bCs/>
                <w:color w:val="auto"/>
                <w:highlight w:val="none"/>
              </w:rPr>
            </w:pPr>
            <w:bookmarkStart w:id="6" w:name="_Toc32370"/>
            <w:r>
              <w:rPr>
                <w:b/>
                <w:bCs/>
                <w:color w:val="auto"/>
                <w:highlight w:val="none"/>
              </w:rPr>
              <w:t>规划环境影响评价情况</w:t>
            </w:r>
            <w:bookmarkEnd w:id="6"/>
          </w:p>
        </w:tc>
        <w:tc>
          <w:tcPr>
            <w:tcW w:w="8067" w:type="dxa"/>
            <w:gridSpan w:val="3"/>
            <w:vAlign w:val="center"/>
          </w:tcPr>
          <w:p w14:paraId="4667CA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eastAsia="宋体"/>
                <w:color w:val="auto"/>
                <w:kern w:val="0"/>
                <w:sz w:val="24"/>
                <w:highlight w:val="none"/>
                <w:lang w:eastAsia="zh-CN" w:bidi="ar"/>
              </w:rPr>
            </w:pPr>
            <w:r>
              <w:rPr>
                <w:rFonts w:hint="eastAsia"/>
                <w:b/>
                <w:bCs/>
                <w:color w:val="auto"/>
                <w:kern w:val="0"/>
                <w:sz w:val="24"/>
                <w:highlight w:val="none"/>
                <w:lang w:bidi="ar"/>
              </w:rPr>
              <w:t>规划环境影响评价名称</w:t>
            </w:r>
            <w:r>
              <w:rPr>
                <w:rFonts w:hint="eastAsia"/>
                <w:color w:val="auto"/>
                <w:kern w:val="0"/>
                <w:sz w:val="24"/>
                <w:highlight w:val="none"/>
                <w:lang w:bidi="ar"/>
              </w:rPr>
              <w:t>：</w:t>
            </w:r>
            <w:r>
              <w:rPr>
                <w:rFonts w:hint="eastAsia" w:cs="宋体"/>
                <w:color w:val="auto"/>
                <w:kern w:val="0"/>
                <w:sz w:val="24"/>
                <w:highlight w:val="none"/>
                <w:lang w:eastAsia="zh-CN"/>
              </w:rPr>
              <w:t>《遂宁高新技术产业园区规划(2023-2035)环境影响报告书》</w:t>
            </w:r>
          </w:p>
          <w:p w14:paraId="2E07A4A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color w:val="auto"/>
                <w:sz w:val="24"/>
                <w:szCs w:val="24"/>
                <w:highlight w:val="none"/>
                <w:lang w:val="en-US" w:eastAsia="zh-CN"/>
              </w:rPr>
            </w:pPr>
            <w:r>
              <w:rPr>
                <w:rFonts w:hint="eastAsia"/>
                <w:b/>
                <w:bCs/>
                <w:color w:val="auto"/>
                <w:sz w:val="24"/>
                <w:szCs w:val="24"/>
                <w:highlight w:val="none"/>
              </w:rPr>
              <w:t>审批机关：</w:t>
            </w:r>
            <w:r>
              <w:rPr>
                <w:rFonts w:hint="eastAsia" w:cs="宋体"/>
                <w:color w:val="auto"/>
                <w:kern w:val="0"/>
                <w:sz w:val="24"/>
                <w:highlight w:val="none"/>
                <w:lang w:val="en-US" w:eastAsia="zh-CN"/>
              </w:rPr>
              <w:t>四川省</w:t>
            </w:r>
            <w:r>
              <w:rPr>
                <w:rFonts w:hint="eastAsia" w:ascii="Times New Roman" w:hAnsi="Times New Roman" w:eastAsia="宋体" w:cs="宋体"/>
                <w:color w:val="auto"/>
                <w:kern w:val="0"/>
                <w:sz w:val="24"/>
                <w:highlight w:val="none"/>
              </w:rPr>
              <w:t>生态环境</w:t>
            </w:r>
            <w:r>
              <w:rPr>
                <w:rFonts w:hint="eastAsia" w:cs="宋体"/>
                <w:color w:val="auto"/>
                <w:kern w:val="0"/>
                <w:sz w:val="24"/>
                <w:highlight w:val="none"/>
                <w:lang w:val="en-US" w:eastAsia="zh-CN"/>
              </w:rPr>
              <w:t>厅</w:t>
            </w:r>
          </w:p>
          <w:p w14:paraId="609FCC9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color w:val="auto"/>
                <w:kern w:val="0"/>
                <w:sz w:val="24"/>
                <w:highlight w:val="none"/>
              </w:rPr>
            </w:pPr>
            <w:r>
              <w:rPr>
                <w:rFonts w:hint="eastAsia"/>
                <w:b/>
                <w:bCs/>
                <w:color w:val="auto"/>
                <w:sz w:val="24"/>
                <w:szCs w:val="24"/>
                <w:highlight w:val="none"/>
              </w:rPr>
              <w:t>审批文件名称及文号：</w:t>
            </w:r>
            <w:r>
              <w:rPr>
                <w:rFonts w:hint="eastAsia"/>
                <w:b w:val="0"/>
                <w:bCs w:val="0"/>
                <w:color w:val="auto"/>
                <w:sz w:val="24"/>
                <w:szCs w:val="24"/>
                <w:highlight w:val="none"/>
              </w:rPr>
              <w:t>《四川省生态环境厅关于印发</w:t>
            </w:r>
            <w:r>
              <w:rPr>
                <w:rFonts w:hint="eastAsia"/>
                <w:b w:val="0"/>
                <w:bCs w:val="0"/>
                <w:color w:val="auto"/>
                <w:sz w:val="24"/>
                <w:szCs w:val="24"/>
                <w:highlight w:val="none"/>
                <w:lang w:eastAsia="zh-CN"/>
              </w:rPr>
              <w:t>遂宁高新技术产业园区规划(2023-2035)环境影响报告书</w:t>
            </w:r>
            <w:r>
              <w:rPr>
                <w:rFonts w:hint="eastAsia"/>
                <w:b w:val="0"/>
                <w:bCs w:val="0"/>
                <w:color w:val="auto"/>
                <w:sz w:val="24"/>
                <w:szCs w:val="24"/>
                <w:highlight w:val="none"/>
              </w:rPr>
              <w:t>审查意见的函》</w:t>
            </w:r>
            <w:r>
              <w:rPr>
                <w:rFonts w:hint="eastAsia" w:ascii="Times New Roman" w:hAnsi="Times New Roman" w:eastAsia="宋体" w:cs="宋体"/>
                <w:color w:val="auto"/>
                <w:kern w:val="0"/>
                <w:sz w:val="24"/>
                <w:highlight w:val="none"/>
              </w:rPr>
              <w:t>（</w:t>
            </w:r>
            <w:r>
              <w:rPr>
                <w:rFonts w:hint="eastAsia" w:cs="宋体"/>
                <w:color w:val="auto"/>
                <w:kern w:val="0"/>
                <w:sz w:val="24"/>
                <w:highlight w:val="none"/>
                <w:lang w:eastAsia="zh-CN"/>
              </w:rPr>
              <w:t>川环建函〔202</w:t>
            </w:r>
            <w:r>
              <w:rPr>
                <w:rFonts w:hint="eastAsia" w:cs="宋体"/>
                <w:color w:val="auto"/>
                <w:kern w:val="0"/>
                <w:sz w:val="24"/>
                <w:highlight w:val="none"/>
                <w:lang w:val="en-US" w:eastAsia="zh-CN"/>
              </w:rPr>
              <w:t>5</w:t>
            </w:r>
            <w:r>
              <w:rPr>
                <w:rFonts w:hint="eastAsia" w:cs="宋体"/>
                <w:color w:val="auto"/>
                <w:kern w:val="0"/>
                <w:sz w:val="24"/>
                <w:highlight w:val="none"/>
                <w:lang w:eastAsia="zh-CN"/>
              </w:rPr>
              <w:t>〕</w:t>
            </w:r>
            <w:r>
              <w:rPr>
                <w:rFonts w:hint="eastAsia" w:cs="宋体"/>
                <w:color w:val="auto"/>
                <w:kern w:val="0"/>
                <w:sz w:val="24"/>
                <w:highlight w:val="none"/>
                <w:lang w:val="en-US" w:eastAsia="zh-CN"/>
              </w:rPr>
              <w:t>25</w:t>
            </w:r>
            <w:r>
              <w:rPr>
                <w:rFonts w:hint="eastAsia" w:cs="宋体"/>
                <w:color w:val="auto"/>
                <w:kern w:val="0"/>
                <w:sz w:val="24"/>
                <w:highlight w:val="none"/>
                <w:lang w:eastAsia="zh-CN"/>
              </w:rPr>
              <w:t>号</w:t>
            </w:r>
            <w:r>
              <w:rPr>
                <w:rFonts w:hint="eastAsia" w:ascii="Times New Roman" w:hAnsi="Times New Roman" w:eastAsia="宋体" w:cs="宋体"/>
                <w:color w:val="auto"/>
                <w:kern w:val="0"/>
                <w:sz w:val="24"/>
                <w:highlight w:val="none"/>
              </w:rPr>
              <w:t>）</w:t>
            </w:r>
          </w:p>
          <w:p w14:paraId="10327390">
            <w:pPr>
              <w:pStyle w:val="2"/>
              <w:rPr>
                <w:rFonts w:hint="default" w:ascii="Times New Roman" w:hAnsi="Times New Roman" w:eastAsia="宋体" w:cs="宋体"/>
                <w:color w:val="auto"/>
                <w:kern w:val="0"/>
                <w:sz w:val="24"/>
                <w:highlight w:val="none"/>
                <w:lang w:val="en-US" w:eastAsia="zh-CN"/>
              </w:rPr>
            </w:pPr>
          </w:p>
          <w:p w14:paraId="27280C6B">
            <w:pPr>
              <w:pStyle w:val="2"/>
              <w:rPr>
                <w:rFonts w:hint="default" w:ascii="Times New Roman" w:hAnsi="Times New Roman" w:eastAsia="宋体" w:cs="宋体"/>
                <w:color w:val="auto"/>
                <w:kern w:val="0"/>
                <w:sz w:val="24"/>
                <w:highlight w:val="none"/>
                <w:lang w:val="en-US" w:eastAsia="zh-CN"/>
              </w:rPr>
            </w:pPr>
          </w:p>
          <w:p w14:paraId="0AED0DD5">
            <w:pPr>
              <w:pStyle w:val="2"/>
              <w:ind w:left="0" w:leftChars="0" w:firstLine="0" w:firstLineChars="0"/>
              <w:rPr>
                <w:rFonts w:hint="default" w:ascii="Times New Roman" w:hAnsi="Times New Roman" w:eastAsia="宋体" w:cs="宋体"/>
                <w:color w:val="auto"/>
                <w:kern w:val="0"/>
                <w:sz w:val="24"/>
                <w:highlight w:val="none"/>
                <w:lang w:val="en-US" w:eastAsia="zh-CN"/>
              </w:rPr>
            </w:pPr>
          </w:p>
        </w:tc>
      </w:tr>
      <w:tr w14:paraId="656C0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1229" w:type="dxa"/>
            <w:vAlign w:val="center"/>
          </w:tcPr>
          <w:p w14:paraId="7B6F462C">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规划及规划环境影响评价符合性分析</w:t>
            </w:r>
          </w:p>
        </w:tc>
        <w:tc>
          <w:tcPr>
            <w:tcW w:w="8067" w:type="dxa"/>
            <w:gridSpan w:val="3"/>
            <w:vAlign w:val="center"/>
          </w:tcPr>
          <w:p w14:paraId="2B53D41B">
            <w:pPr>
              <w:spacing w:line="360" w:lineRule="auto"/>
              <w:ind w:firstLine="482" w:firstLineChars="200"/>
              <w:rPr>
                <w:rFonts w:hint="eastAsia" w:ascii="黑体" w:hAnsi="黑体" w:eastAsia="黑体" w:cs="黑体"/>
                <w:b/>
                <w:bCs/>
                <w:color w:val="auto"/>
                <w:kern w:val="0"/>
                <w:sz w:val="24"/>
                <w:highlight w:val="none"/>
                <w:lang w:bidi="ar"/>
              </w:rPr>
            </w:pPr>
            <w:r>
              <w:rPr>
                <w:rFonts w:hint="eastAsia" w:ascii="黑体" w:hAnsi="黑体" w:eastAsia="黑体" w:cs="黑体"/>
                <w:b/>
                <w:bCs/>
                <w:color w:val="auto"/>
                <w:highlight w:val="none"/>
                <w:lang w:val="en-US" w:eastAsia="zh-CN"/>
              </w:rPr>
              <w:t>1、</w:t>
            </w:r>
            <w:r>
              <w:rPr>
                <w:rFonts w:hint="eastAsia" w:ascii="黑体" w:hAnsi="黑体" w:eastAsia="黑体" w:cs="黑体"/>
                <w:b/>
                <w:bCs/>
                <w:color w:val="auto"/>
                <w:kern w:val="0"/>
                <w:sz w:val="24"/>
                <w:highlight w:val="none"/>
                <w:lang w:bidi="ar"/>
              </w:rPr>
              <w:t>与</w:t>
            </w:r>
            <w:r>
              <w:rPr>
                <w:rFonts w:hint="eastAsia" w:ascii="黑体" w:hAnsi="黑体" w:eastAsia="黑体" w:cs="黑体"/>
                <w:b/>
                <w:bCs/>
                <w:color w:val="auto"/>
                <w:kern w:val="0"/>
                <w:sz w:val="24"/>
                <w:highlight w:val="none"/>
                <w:lang w:val="en-US" w:eastAsia="zh-CN" w:bidi="ar"/>
              </w:rPr>
              <w:t>遂宁市</w:t>
            </w:r>
            <w:r>
              <w:rPr>
                <w:rFonts w:hint="eastAsia" w:ascii="黑体" w:hAnsi="黑体" w:eastAsia="黑体" w:cs="黑体"/>
                <w:b/>
                <w:bCs/>
                <w:color w:val="auto"/>
                <w:kern w:val="0"/>
                <w:sz w:val="24"/>
                <w:highlight w:val="none"/>
                <w:lang w:bidi="ar"/>
              </w:rPr>
              <w:t>城市总体规划和土地利用规划的符合性分析</w:t>
            </w:r>
          </w:p>
          <w:p w14:paraId="718DA5C5">
            <w:pPr>
              <w:bidi w:val="0"/>
              <w:rPr>
                <w:rFonts w:hint="eastAsia"/>
                <w:b/>
                <w:bCs/>
                <w:color w:val="auto"/>
                <w:highlight w:val="none"/>
                <w:lang w:val="en-US" w:eastAsia="zh-CN"/>
              </w:rPr>
            </w:pPr>
            <w:r>
              <w:rPr>
                <w:rFonts w:hint="eastAsia" w:ascii="Times New Roman" w:hAnsi="Times New Roman" w:eastAsia="宋体" w:cs="Times New Roman"/>
                <w:color w:val="auto"/>
                <w:kern w:val="0"/>
                <w:sz w:val="24"/>
                <w:highlight w:val="none"/>
                <w:lang w:val="en-US" w:eastAsia="zh-CN" w:bidi="ar"/>
              </w:rPr>
              <w:t>本项目位于</w:t>
            </w:r>
            <w:r>
              <w:rPr>
                <w:rFonts w:hint="eastAsia" w:cs="Times New Roman"/>
                <w:color w:val="auto"/>
                <w:kern w:val="0"/>
                <w:sz w:val="24"/>
                <w:highlight w:val="none"/>
                <w:lang w:val="en-US" w:eastAsia="zh-CN" w:bidi="ar"/>
              </w:rPr>
              <w:t>四川省遂宁市安居区省级经济开发区现代装备制造产业园区4-5</w:t>
            </w:r>
            <w:r>
              <w:rPr>
                <w:rFonts w:hint="eastAsia" w:ascii="Times New Roman" w:hAnsi="Times New Roman" w:eastAsia="宋体" w:cs="Times New Roman"/>
                <w:color w:val="auto"/>
                <w:kern w:val="0"/>
                <w:sz w:val="24"/>
                <w:highlight w:val="none"/>
                <w:lang w:eastAsia="zh-CN" w:bidi="ar"/>
              </w:rPr>
              <w:t>，</w:t>
            </w:r>
            <w:r>
              <w:rPr>
                <w:rFonts w:hint="eastAsia" w:cs="Times New Roman"/>
                <w:color w:val="auto"/>
                <w:kern w:val="0"/>
                <w:sz w:val="24"/>
                <w:highlight w:val="none"/>
                <w:lang w:val="en-US" w:eastAsia="zh-CN" w:bidi="ar"/>
              </w:rPr>
              <w:t>为购买此地块</w:t>
            </w:r>
            <w:r>
              <w:rPr>
                <w:rFonts w:hint="eastAsia" w:ascii="Times New Roman" w:hAnsi="Times New Roman" w:eastAsia="宋体" w:cs="Times New Roman"/>
                <w:color w:val="auto"/>
                <w:kern w:val="0"/>
                <w:sz w:val="24"/>
                <w:highlight w:val="none"/>
                <w:lang w:val="en-US" w:eastAsia="zh-CN" w:bidi="ar"/>
              </w:rPr>
              <w:t>进行项目建设</w:t>
            </w:r>
            <w:r>
              <w:rPr>
                <w:rFonts w:hint="eastAsia" w:ascii="Times New Roman" w:hAnsi="Times New Roman" w:eastAsia="宋体" w:cs="Times New Roman"/>
                <w:color w:val="auto"/>
                <w:kern w:val="0"/>
                <w:sz w:val="24"/>
                <w:highlight w:val="none"/>
                <w:lang w:eastAsia="zh-CN" w:bidi="ar"/>
              </w:rPr>
              <w:t>。</w:t>
            </w:r>
            <w:r>
              <w:rPr>
                <w:rFonts w:hint="eastAsia" w:cs="Times New Roman"/>
                <w:color w:val="auto"/>
                <w:kern w:val="0"/>
                <w:sz w:val="24"/>
                <w:highlight w:val="none"/>
                <w:lang w:val="en-US" w:eastAsia="zh-CN" w:bidi="ar"/>
              </w:rPr>
              <w:t>根据遂宁市安居区工业集中发展区控制性详细规划（附图4），本项目所占地块为二类工业用地；</w:t>
            </w:r>
            <w:r>
              <w:rPr>
                <w:rFonts w:hint="eastAsia" w:ascii="Times New Roman" w:hAnsi="Times New Roman" w:eastAsia="宋体" w:cs="Times New Roman"/>
                <w:color w:val="auto"/>
                <w:kern w:val="0"/>
                <w:sz w:val="24"/>
                <w:highlight w:val="none"/>
                <w:lang w:bidi="ar"/>
              </w:rPr>
              <w:t>根据</w:t>
            </w:r>
            <w:r>
              <w:rPr>
                <w:rFonts w:hint="eastAsia" w:cs="Times New Roman"/>
                <w:color w:val="auto"/>
                <w:kern w:val="0"/>
                <w:sz w:val="24"/>
                <w:highlight w:val="none"/>
                <w:lang w:val="en-US" w:eastAsia="zh-CN" w:bidi="ar"/>
              </w:rPr>
              <w:t>遂宁市安居区行政审批和数据局颁发的建设项目规划许可证</w:t>
            </w:r>
            <w:r>
              <w:rPr>
                <w:rFonts w:hint="eastAsia" w:ascii="Times New Roman" w:hAnsi="Times New Roman" w:eastAsia="宋体" w:cs="Times New Roman"/>
                <w:color w:val="auto"/>
                <w:kern w:val="0"/>
                <w:sz w:val="24"/>
                <w:highlight w:val="none"/>
                <w:lang w:eastAsia="zh-CN" w:bidi="ar"/>
              </w:rPr>
              <w:t>（</w:t>
            </w:r>
            <w:r>
              <w:rPr>
                <w:rFonts w:hint="eastAsia" w:cs="Times New Roman"/>
                <w:color w:val="auto"/>
                <w:kern w:val="0"/>
                <w:sz w:val="24"/>
                <w:highlight w:val="none"/>
                <w:lang w:val="en-US" w:eastAsia="zh-CN" w:bidi="ar"/>
              </w:rPr>
              <w:t>附件5</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kern w:val="0"/>
                <w:sz w:val="24"/>
                <w:highlight w:val="none"/>
                <w:lang w:val="en-US" w:eastAsia="zh-CN" w:bidi="ar"/>
              </w:rPr>
              <w:t>本项目用地类型为</w:t>
            </w:r>
            <w:r>
              <w:rPr>
                <w:rFonts w:hint="eastAsia" w:cs="Times New Roman"/>
                <w:color w:val="auto"/>
                <w:kern w:val="0"/>
                <w:sz w:val="24"/>
                <w:highlight w:val="none"/>
                <w:lang w:val="en-US" w:eastAsia="zh-CN" w:bidi="ar"/>
              </w:rPr>
              <w:t>二类</w:t>
            </w:r>
            <w:r>
              <w:rPr>
                <w:rFonts w:hint="eastAsia" w:ascii="Times New Roman" w:hAnsi="Times New Roman" w:eastAsia="宋体" w:cs="Times New Roman"/>
                <w:color w:val="auto"/>
                <w:kern w:val="0"/>
                <w:sz w:val="24"/>
                <w:highlight w:val="none"/>
                <w:lang w:val="en-US" w:eastAsia="zh-CN" w:bidi="ar"/>
              </w:rPr>
              <w:t>工业用地</w:t>
            </w:r>
            <w:r>
              <w:rPr>
                <w:rFonts w:hint="eastAsia" w:ascii="Times New Roman" w:hAnsi="Times New Roman" w:eastAsia="宋体" w:cs="Times New Roman"/>
                <w:color w:val="auto"/>
                <w:kern w:val="0"/>
                <w:sz w:val="24"/>
                <w:highlight w:val="none"/>
                <w:lang w:bidi="ar"/>
              </w:rPr>
              <w:t>。</w:t>
            </w:r>
          </w:p>
          <w:p w14:paraId="1D0B8402">
            <w:pPr>
              <w:spacing w:line="360" w:lineRule="auto"/>
              <w:ind w:firstLine="482" w:firstLineChars="200"/>
              <w:rPr>
                <w:rFonts w:hint="eastAsia" w:ascii="Times New Roman" w:hAnsi="Times New Roman" w:eastAsia="宋体"/>
                <w:b/>
                <w:bCs/>
                <w:color w:val="auto"/>
                <w:sz w:val="24"/>
                <w:highlight w:val="none"/>
              </w:rPr>
            </w:pPr>
            <w:r>
              <w:rPr>
                <w:rFonts w:hint="eastAsia" w:ascii="Times New Roman" w:hAnsi="Times New Roman" w:eastAsia="宋体" w:cs="Times New Roman"/>
                <w:b/>
                <w:bCs/>
                <w:color w:val="auto"/>
                <w:kern w:val="0"/>
                <w:sz w:val="24"/>
                <w:highlight w:val="none"/>
                <w:lang w:bidi="ar"/>
              </w:rPr>
              <w:t>因此，本项目符合</w:t>
            </w:r>
            <w:r>
              <w:rPr>
                <w:rFonts w:hint="eastAsia" w:cs="Times New Roman"/>
                <w:b/>
                <w:bCs/>
                <w:color w:val="auto"/>
                <w:kern w:val="0"/>
                <w:sz w:val="24"/>
                <w:highlight w:val="none"/>
                <w:lang w:val="en-US" w:eastAsia="zh-CN" w:bidi="ar"/>
              </w:rPr>
              <w:t>遂宁市</w:t>
            </w:r>
            <w:r>
              <w:rPr>
                <w:rFonts w:hint="eastAsia" w:ascii="Times New Roman" w:hAnsi="Times New Roman" w:eastAsia="宋体" w:cs="Times New Roman"/>
                <w:b/>
                <w:bCs/>
                <w:color w:val="auto"/>
                <w:kern w:val="0"/>
                <w:sz w:val="24"/>
                <w:highlight w:val="none"/>
                <w:lang w:bidi="ar"/>
              </w:rPr>
              <w:t>城市总体规划和土地利用规划。</w:t>
            </w:r>
          </w:p>
          <w:p w14:paraId="294EF698">
            <w:pPr>
              <w:spacing w:line="360" w:lineRule="auto"/>
              <w:ind w:firstLine="482" w:firstLineChars="200"/>
              <w:rPr>
                <w:rFonts w:hint="default"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2</w:t>
            </w:r>
            <w:r>
              <w:rPr>
                <w:rFonts w:hint="default" w:ascii="黑体" w:hAnsi="黑体" w:eastAsia="黑体" w:cs="黑体"/>
                <w:b/>
                <w:bCs/>
                <w:color w:val="auto"/>
                <w:highlight w:val="none"/>
                <w:lang w:val="en-US" w:eastAsia="zh-CN"/>
              </w:rPr>
              <w:t>、与</w:t>
            </w:r>
            <w:r>
              <w:rPr>
                <w:rFonts w:hint="eastAsia" w:ascii="黑体" w:hAnsi="黑体" w:eastAsia="黑体" w:cs="黑体"/>
                <w:b/>
                <w:bCs/>
                <w:color w:val="auto"/>
                <w:highlight w:val="none"/>
                <w:lang w:val="en-US" w:eastAsia="zh-CN"/>
              </w:rPr>
              <w:t>《遂宁市安居区工业集中发展区（含经开区）规划》</w:t>
            </w:r>
            <w:r>
              <w:rPr>
                <w:rFonts w:hint="default" w:ascii="黑体" w:hAnsi="黑体" w:eastAsia="黑体" w:cs="黑体"/>
                <w:b/>
                <w:bCs/>
                <w:color w:val="auto"/>
                <w:highlight w:val="none"/>
                <w:lang w:val="en-US" w:eastAsia="zh-CN"/>
              </w:rPr>
              <w:t>的符合性分析</w:t>
            </w:r>
          </w:p>
          <w:p w14:paraId="48CF6DC7">
            <w:pPr>
              <w:bidi w:val="0"/>
              <w:rPr>
                <w:rFonts w:hint="default"/>
                <w:color w:val="auto"/>
                <w:highlight w:val="none"/>
              </w:rPr>
            </w:pPr>
            <w:r>
              <w:rPr>
                <w:rFonts w:hint="default"/>
                <w:color w:val="auto"/>
                <w:highlight w:val="none"/>
              </w:rPr>
              <w:t>四川省遂宁市安居区工业集中发展区（以下简称“工业集中区”）成立于2007年，包括遂宁市安居区化工工业园（以下简称“化工园”）和遂宁市安居区东部新城工业区（以下简称“新城工业区”）；其中化工园规划面积为5.75平方公里，重点发展天然气化工、盐化工以及各类精细化工下游产业，其规划环境影响报告书于2008年10月通过原四川省环境保护厅组织的审查（川环建函〔2008〕941号）；新城工业区规划面积为13.33km</w:t>
            </w:r>
            <w:r>
              <w:rPr>
                <w:rFonts w:hint="default"/>
                <w:color w:val="auto"/>
                <w:highlight w:val="none"/>
                <w:vertAlign w:val="superscript"/>
              </w:rPr>
              <w:t>2</w:t>
            </w:r>
            <w:r>
              <w:rPr>
                <w:rFonts w:hint="default"/>
                <w:color w:val="auto"/>
                <w:highlight w:val="none"/>
              </w:rPr>
              <w:t>，主要发展机械电子、纺织及食品产业，其规划环境影响报告书于2012年4月通过原四川省环境保护厅组织的审查（川环建函〔2012〕79号）。</w:t>
            </w:r>
          </w:p>
          <w:p w14:paraId="393AD3AB">
            <w:pPr>
              <w:bidi w:val="0"/>
              <w:rPr>
                <w:rFonts w:hint="default"/>
                <w:color w:val="auto"/>
                <w:highlight w:val="none"/>
              </w:rPr>
            </w:pPr>
            <w:r>
              <w:rPr>
                <w:rFonts w:hint="default"/>
                <w:color w:val="auto"/>
                <w:highlight w:val="none"/>
              </w:rPr>
              <w:t>2019年，遂宁市安居区人民政府对工业集中区进行调整，并组织相关单位编制了《</w:t>
            </w:r>
            <w:r>
              <w:rPr>
                <w:rFonts w:hint="eastAsia"/>
                <w:color w:val="auto"/>
                <w:highlight w:val="none"/>
                <w:lang w:eastAsia="zh-CN"/>
              </w:rPr>
              <w:t>遂宁高新技术产业园区规划(2023-2035)环境影响报告书</w:t>
            </w:r>
            <w:r>
              <w:rPr>
                <w:rFonts w:hint="default"/>
                <w:color w:val="auto"/>
                <w:highlight w:val="none"/>
              </w:rPr>
              <w:t>》，根据《四川省生态环境厅关于〈</w:t>
            </w:r>
            <w:r>
              <w:rPr>
                <w:rFonts w:hint="eastAsia"/>
                <w:color w:val="auto"/>
                <w:highlight w:val="none"/>
                <w:lang w:eastAsia="zh-CN"/>
              </w:rPr>
              <w:t>遂宁高新技术产业园区规划(2023-2035)环境影响报告书</w:t>
            </w:r>
            <w:r>
              <w:rPr>
                <w:rFonts w:hint="default"/>
                <w:color w:val="auto"/>
                <w:highlight w:val="none"/>
              </w:rPr>
              <w:t>〉审查意见的函》（川环建函〔2020〕39号）：规划面积22.76平方公里（包括四川遂宁安居经济开发区规划范围，该经开区于2019年1月由四川省人民政府以川府函〔2019〕20号文批准设立为省级开发区，核准面积为8.086平方公里），四至范围为东至遂内高速，北接国道318，西靠中心城区，南临琼江，重点发展机械装备制造、精细化工产业，辅助发展食品加工、新材料产业。</w:t>
            </w:r>
          </w:p>
          <w:p w14:paraId="0DD6A352">
            <w:pPr>
              <w:bidi w:val="0"/>
              <w:rPr>
                <w:rFonts w:hint="default"/>
                <w:color w:val="auto"/>
                <w:highlight w:val="none"/>
              </w:rPr>
            </w:pPr>
            <w:r>
              <w:rPr>
                <w:rFonts w:hint="default"/>
                <w:color w:val="auto"/>
                <w:highlight w:val="none"/>
              </w:rPr>
              <w:t>本项目位于</w:t>
            </w:r>
            <w:r>
              <w:rPr>
                <w:rFonts w:hint="eastAsia" w:cs="Times New Roman"/>
                <w:color w:val="auto"/>
                <w:kern w:val="0"/>
                <w:sz w:val="24"/>
                <w:highlight w:val="none"/>
                <w:lang w:val="en-US" w:eastAsia="zh-CN" w:bidi="ar"/>
              </w:rPr>
              <w:t>四川省遂宁市安居区省级经济开发区现代装备制造产业园区4-5</w:t>
            </w:r>
            <w:r>
              <w:rPr>
                <w:rFonts w:hint="default"/>
                <w:color w:val="auto"/>
                <w:highlight w:val="none"/>
              </w:rPr>
              <w:t>，用地性质为</w:t>
            </w:r>
            <w:r>
              <w:rPr>
                <w:rFonts w:hint="eastAsia"/>
                <w:color w:val="auto"/>
                <w:highlight w:val="none"/>
                <w:lang w:val="en-US" w:eastAsia="zh-CN"/>
              </w:rPr>
              <w:t>二类</w:t>
            </w:r>
            <w:r>
              <w:rPr>
                <w:rFonts w:hint="default"/>
                <w:color w:val="auto"/>
                <w:highlight w:val="none"/>
              </w:rPr>
              <w:t>工业用地，主要进行</w:t>
            </w:r>
            <w:r>
              <w:rPr>
                <w:rFonts w:hint="eastAsia"/>
                <w:color w:val="auto"/>
                <w:highlight w:val="none"/>
                <w:lang w:val="en-US" w:eastAsia="zh-CN"/>
              </w:rPr>
              <w:t>食品</w:t>
            </w:r>
            <w:r>
              <w:rPr>
                <w:rFonts w:hint="default"/>
                <w:color w:val="auto"/>
                <w:highlight w:val="none"/>
              </w:rPr>
              <w:t>制造，所属行业属于园区中的主导产业（</w:t>
            </w:r>
            <w:r>
              <w:rPr>
                <w:rFonts w:hint="eastAsia"/>
                <w:color w:val="auto"/>
                <w:highlight w:val="none"/>
                <w:lang w:val="en-US" w:eastAsia="zh-CN"/>
              </w:rPr>
              <w:t>食品加工</w:t>
            </w:r>
            <w:r>
              <w:rPr>
                <w:rFonts w:hint="default"/>
                <w:color w:val="auto"/>
                <w:highlight w:val="none"/>
              </w:rPr>
              <w:t>），符合遂宁市安居区工业集中发展区控制性详细规划产业规划及用地要求。</w:t>
            </w:r>
          </w:p>
          <w:p w14:paraId="01064E0E">
            <w:pPr>
              <w:spacing w:line="360" w:lineRule="auto"/>
              <w:ind w:firstLine="482" w:firstLineChars="200"/>
              <w:rPr>
                <w:rFonts w:hint="default"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3</w:t>
            </w:r>
            <w:r>
              <w:rPr>
                <w:rFonts w:hint="default" w:ascii="黑体" w:hAnsi="黑体" w:eastAsia="黑体" w:cs="黑体"/>
                <w:b/>
                <w:bCs/>
                <w:color w:val="auto"/>
                <w:highlight w:val="none"/>
                <w:lang w:val="en-US" w:eastAsia="zh-CN"/>
              </w:rPr>
              <w:t>、与</w:t>
            </w:r>
            <w:r>
              <w:rPr>
                <w:rFonts w:hint="eastAsia" w:ascii="黑体" w:hAnsi="黑体" w:eastAsia="黑体" w:cs="黑体"/>
                <w:b/>
                <w:bCs/>
                <w:color w:val="auto"/>
                <w:highlight w:val="none"/>
                <w:lang w:val="en-US" w:eastAsia="zh-CN"/>
              </w:rPr>
              <w:t>《遂宁高新技术产业园区规划(2023-2035)环境影响报告书》及其审查意见的函</w:t>
            </w:r>
            <w:r>
              <w:rPr>
                <w:rFonts w:hint="default" w:ascii="黑体" w:hAnsi="黑体" w:eastAsia="黑体" w:cs="黑体"/>
                <w:b/>
                <w:bCs/>
                <w:color w:val="auto"/>
                <w:highlight w:val="none"/>
                <w:lang w:val="en-US" w:eastAsia="zh-CN"/>
              </w:rPr>
              <w:t>的符合性分析</w:t>
            </w:r>
          </w:p>
          <w:p w14:paraId="0B501917">
            <w:pPr>
              <w:bidi w:val="0"/>
              <w:rPr>
                <w:rFonts w:hint="default"/>
                <w:color w:val="auto"/>
                <w:highlight w:val="none"/>
              </w:rPr>
            </w:pPr>
            <w:r>
              <w:rPr>
                <w:rFonts w:hint="default"/>
                <w:color w:val="auto"/>
                <w:highlight w:val="none"/>
              </w:rPr>
              <w:t>根据《</w:t>
            </w:r>
            <w:r>
              <w:rPr>
                <w:rFonts w:hint="eastAsia"/>
                <w:color w:val="auto"/>
                <w:highlight w:val="none"/>
                <w:lang w:eastAsia="zh-CN"/>
              </w:rPr>
              <w:t>遂宁高新技术产业园区规划(2023-2035)环境影响报告书</w:t>
            </w:r>
            <w:r>
              <w:rPr>
                <w:rFonts w:hint="default"/>
                <w:color w:val="auto"/>
                <w:highlight w:val="none"/>
              </w:rPr>
              <w:t>》及其审查意见的函（川环建函〔202</w:t>
            </w:r>
            <w:r>
              <w:rPr>
                <w:rFonts w:hint="eastAsia"/>
                <w:color w:val="auto"/>
                <w:highlight w:val="none"/>
                <w:lang w:val="en-US" w:eastAsia="zh-CN"/>
              </w:rPr>
              <w:t>5</w:t>
            </w:r>
            <w:r>
              <w:rPr>
                <w:rFonts w:hint="default"/>
                <w:color w:val="auto"/>
                <w:highlight w:val="none"/>
              </w:rPr>
              <w:t>〕</w:t>
            </w:r>
            <w:r>
              <w:rPr>
                <w:rFonts w:hint="eastAsia"/>
                <w:color w:val="auto"/>
                <w:highlight w:val="none"/>
                <w:lang w:val="en-US" w:eastAsia="zh-CN"/>
              </w:rPr>
              <w:t>25</w:t>
            </w:r>
            <w:r>
              <w:rPr>
                <w:rFonts w:hint="default"/>
                <w:color w:val="auto"/>
                <w:highlight w:val="none"/>
              </w:rPr>
              <w:t>号），本项目与园区产业定位及生态环境准入清单符合性见下表：</w:t>
            </w:r>
          </w:p>
          <w:p w14:paraId="0EA0B155">
            <w:pPr>
              <w:pStyle w:val="14"/>
              <w:rPr>
                <w:rFonts w:hint="default" w:eastAsia="宋体"/>
                <w:lang w:val="en-US" w:eastAsia="zh-CN"/>
              </w:rPr>
            </w:pPr>
            <w:r>
              <w:t xml:space="preserve">表1- </w:t>
            </w:r>
            <w:r>
              <w:fldChar w:fldCharType="begin"/>
            </w:r>
            <w:r>
              <w:instrText xml:space="preserve"> SEQ 表1- \* ARABIC </w:instrText>
            </w:r>
            <w:r>
              <w:fldChar w:fldCharType="separate"/>
            </w:r>
            <w:r>
              <w:t>2</w:t>
            </w:r>
            <w:r>
              <w:fldChar w:fldCharType="end"/>
            </w:r>
            <w:r>
              <w:rPr>
                <w:rFonts w:hint="eastAsia"/>
                <w:lang w:val="en-US" w:eastAsia="zh-CN"/>
              </w:rPr>
              <w:t xml:space="preserve">  与遂宁高新技术产业园区规划(2023-2035)规划环评符合性一览表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727"/>
              <w:gridCol w:w="3636"/>
              <w:gridCol w:w="2153"/>
              <w:gridCol w:w="683"/>
            </w:tblGrid>
            <w:tr w14:paraId="31D84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194" w:type="pct"/>
                  <w:gridSpan w:val="3"/>
                  <w:tcBorders>
                    <w:bottom w:val="single" w:color="000000" w:sz="4" w:space="0"/>
                    <w:tl2br w:val="nil"/>
                    <w:tr2bl w:val="nil"/>
                  </w:tcBorders>
                  <w:vAlign w:val="center"/>
                </w:tcPr>
                <w:p w14:paraId="20E9156C">
                  <w:pPr>
                    <w:pStyle w:val="106"/>
                    <w:bidi w:val="0"/>
                    <w:rPr>
                      <w:rFonts w:hint="default"/>
                      <w:b/>
                      <w:bCs/>
                      <w:color w:val="auto"/>
                      <w:highlight w:val="none"/>
                      <w:lang w:val="en-US"/>
                    </w:rPr>
                  </w:pPr>
                  <w:r>
                    <w:rPr>
                      <w:rFonts w:hint="eastAsia"/>
                      <w:b/>
                      <w:bCs/>
                      <w:color w:val="auto"/>
                      <w:highlight w:val="none"/>
                      <w:lang w:val="en-US" w:eastAsia="zh-CN"/>
                    </w:rPr>
                    <w:t>规划内容</w:t>
                  </w:r>
                </w:p>
              </w:tc>
              <w:tc>
                <w:tcPr>
                  <w:tcW w:w="1370" w:type="pct"/>
                  <w:tcBorders>
                    <w:bottom w:val="single" w:color="000000" w:sz="4" w:space="0"/>
                    <w:tl2br w:val="nil"/>
                    <w:tr2bl w:val="nil"/>
                  </w:tcBorders>
                  <w:vAlign w:val="center"/>
                </w:tcPr>
                <w:p w14:paraId="25A432EA">
                  <w:pPr>
                    <w:pStyle w:val="106"/>
                    <w:bidi w:val="0"/>
                    <w:rPr>
                      <w:rFonts w:hint="eastAsia" w:eastAsia="宋体"/>
                      <w:b/>
                      <w:bCs/>
                      <w:color w:val="auto"/>
                      <w:highlight w:val="none"/>
                      <w:lang w:val="en-US" w:eastAsia="zh-CN"/>
                    </w:rPr>
                  </w:pPr>
                  <w:r>
                    <w:rPr>
                      <w:rFonts w:hint="eastAsia"/>
                      <w:b/>
                      <w:bCs/>
                      <w:color w:val="auto"/>
                      <w:highlight w:val="none"/>
                    </w:rPr>
                    <w:t>本项目</w:t>
                  </w:r>
                  <w:r>
                    <w:rPr>
                      <w:rFonts w:hint="eastAsia"/>
                      <w:b/>
                      <w:bCs/>
                      <w:color w:val="auto"/>
                      <w:highlight w:val="none"/>
                      <w:lang w:val="en-US" w:eastAsia="zh-CN"/>
                    </w:rPr>
                    <w:t>情况</w:t>
                  </w:r>
                </w:p>
              </w:tc>
              <w:tc>
                <w:tcPr>
                  <w:tcW w:w="434" w:type="pct"/>
                  <w:tcBorders>
                    <w:bottom w:val="single" w:color="000000" w:sz="4" w:space="0"/>
                    <w:tl2br w:val="nil"/>
                    <w:tr2bl w:val="nil"/>
                  </w:tcBorders>
                  <w:vAlign w:val="center"/>
                </w:tcPr>
                <w:p w14:paraId="5EA8082F">
                  <w:pPr>
                    <w:pStyle w:val="106"/>
                    <w:bidi w:val="0"/>
                    <w:rPr>
                      <w:b/>
                      <w:bCs/>
                      <w:color w:val="auto"/>
                      <w:highlight w:val="none"/>
                    </w:rPr>
                  </w:pPr>
                  <w:r>
                    <w:rPr>
                      <w:rFonts w:hint="eastAsia"/>
                      <w:b/>
                      <w:bCs/>
                      <w:color w:val="auto"/>
                      <w:highlight w:val="none"/>
                    </w:rPr>
                    <w:t>符合性</w:t>
                  </w:r>
                </w:p>
              </w:tc>
            </w:tr>
            <w:tr w14:paraId="1F50E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tcBorders>
                    <w:top w:val="single" w:color="000000" w:sz="4" w:space="0"/>
                    <w:tl2br w:val="nil"/>
                    <w:tr2bl w:val="nil"/>
                  </w:tcBorders>
                  <w:vAlign w:val="center"/>
                </w:tcPr>
                <w:p w14:paraId="06F21F93">
                  <w:pPr>
                    <w:pStyle w:val="106"/>
                    <w:bidi w:val="0"/>
                    <w:rPr>
                      <w:rFonts w:hint="default" w:eastAsia="宋体"/>
                      <w:color w:val="auto"/>
                      <w:highlight w:val="none"/>
                      <w:lang w:val="en-US" w:eastAsia="zh-CN"/>
                    </w:rPr>
                  </w:pPr>
                  <w:r>
                    <w:rPr>
                      <w:rFonts w:hint="eastAsia"/>
                      <w:color w:val="auto"/>
                      <w:highlight w:val="none"/>
                      <w:lang w:val="en-US" w:eastAsia="zh-CN"/>
                    </w:rPr>
                    <w:t>产业定位</w:t>
                  </w:r>
                </w:p>
              </w:tc>
              <w:tc>
                <w:tcPr>
                  <w:tcW w:w="2778" w:type="pct"/>
                  <w:gridSpan w:val="2"/>
                  <w:tcBorders>
                    <w:top w:val="single" w:color="000000" w:sz="4" w:space="0"/>
                    <w:tl2br w:val="nil"/>
                    <w:tr2bl w:val="nil"/>
                  </w:tcBorders>
                  <w:vAlign w:val="center"/>
                </w:tcPr>
                <w:p w14:paraId="07FE6ECD">
                  <w:pPr>
                    <w:pStyle w:val="106"/>
                    <w:bidi w:val="0"/>
                    <w:rPr>
                      <w:color w:val="auto"/>
                      <w:highlight w:val="none"/>
                    </w:rPr>
                  </w:pPr>
                  <w:r>
                    <w:rPr>
                      <w:rFonts w:hint="eastAsia"/>
                      <w:color w:val="auto"/>
                      <w:highlight w:val="none"/>
                    </w:rPr>
                    <w:t>重点发展机械装备制造、精细化工产业，辅助发展食品加工、新材料产业。</w:t>
                  </w:r>
                </w:p>
              </w:tc>
              <w:tc>
                <w:tcPr>
                  <w:tcW w:w="1370" w:type="pct"/>
                  <w:tcBorders>
                    <w:top w:val="single" w:color="000000" w:sz="4" w:space="0"/>
                    <w:tl2br w:val="nil"/>
                    <w:tr2bl w:val="nil"/>
                  </w:tcBorders>
                  <w:vAlign w:val="center"/>
                </w:tcPr>
                <w:p w14:paraId="7C81DDE7">
                  <w:pPr>
                    <w:pStyle w:val="106"/>
                    <w:bidi w:val="0"/>
                    <w:rPr>
                      <w:rFonts w:hint="default" w:eastAsia="宋体"/>
                      <w:color w:val="auto"/>
                      <w:highlight w:val="none"/>
                      <w:lang w:val="en-US" w:eastAsia="zh-CN"/>
                    </w:rPr>
                  </w:pPr>
                  <w:r>
                    <w:rPr>
                      <w:rFonts w:hint="eastAsia"/>
                      <w:color w:val="auto"/>
                      <w:highlight w:val="none"/>
                    </w:rPr>
                    <w:t>本项目</w:t>
                  </w:r>
                  <w:r>
                    <w:rPr>
                      <w:rFonts w:hint="eastAsia"/>
                      <w:color w:val="auto"/>
                      <w:highlight w:val="none"/>
                      <w:lang w:val="en-US" w:eastAsia="zh-CN"/>
                    </w:rPr>
                    <w:t>属于食品制造业，属于园区主导产业。</w:t>
                  </w:r>
                </w:p>
              </w:tc>
              <w:tc>
                <w:tcPr>
                  <w:tcW w:w="434" w:type="pct"/>
                  <w:tcBorders>
                    <w:top w:val="single" w:color="000000" w:sz="4" w:space="0"/>
                    <w:tl2br w:val="nil"/>
                    <w:tr2bl w:val="nil"/>
                  </w:tcBorders>
                  <w:vAlign w:val="center"/>
                </w:tcPr>
                <w:p w14:paraId="408836C7">
                  <w:pPr>
                    <w:pStyle w:val="106"/>
                    <w:bidi w:val="0"/>
                    <w:rPr>
                      <w:rFonts w:hint="default" w:eastAsia="宋体"/>
                      <w:color w:val="auto"/>
                      <w:highlight w:val="none"/>
                      <w:lang w:val="en-US" w:eastAsia="zh-CN"/>
                    </w:rPr>
                  </w:pPr>
                  <w:r>
                    <w:rPr>
                      <w:rFonts w:hint="eastAsia" w:eastAsia="宋体"/>
                      <w:color w:val="auto"/>
                      <w:highlight w:val="none"/>
                      <w:lang w:val="en-US" w:eastAsia="zh-CN"/>
                    </w:rPr>
                    <w:t>符合</w:t>
                  </w:r>
                </w:p>
              </w:tc>
            </w:tr>
            <w:tr w14:paraId="6BB2B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15" w:type="pct"/>
                  <w:vMerge w:val="restart"/>
                  <w:tcBorders>
                    <w:tl2br w:val="nil"/>
                    <w:tr2bl w:val="nil"/>
                  </w:tcBorders>
                  <w:vAlign w:val="center"/>
                </w:tcPr>
                <w:p w14:paraId="7005B696">
                  <w:pPr>
                    <w:pStyle w:val="106"/>
                    <w:bidi w:val="0"/>
                    <w:rPr>
                      <w:rFonts w:hint="default" w:eastAsia="宋体"/>
                      <w:color w:val="auto"/>
                      <w:highlight w:val="none"/>
                      <w:lang w:val="en-US" w:eastAsia="zh-CN"/>
                    </w:rPr>
                  </w:pPr>
                  <w:r>
                    <w:rPr>
                      <w:rFonts w:hint="default" w:eastAsia="宋体"/>
                      <w:color w:val="auto"/>
                      <w:highlight w:val="none"/>
                      <w:lang w:val="en-US" w:eastAsia="zh-CN"/>
                    </w:rPr>
                    <w:t>鼓励、禁止和允许入园行业名录</w:t>
                  </w:r>
                </w:p>
              </w:tc>
              <w:tc>
                <w:tcPr>
                  <w:tcW w:w="462" w:type="pct"/>
                  <w:tcBorders>
                    <w:tl2br w:val="nil"/>
                    <w:tr2bl w:val="nil"/>
                  </w:tcBorders>
                  <w:vAlign w:val="center"/>
                </w:tcPr>
                <w:p w14:paraId="5C250A60">
                  <w:pPr>
                    <w:pStyle w:val="106"/>
                    <w:bidi w:val="0"/>
                    <w:rPr>
                      <w:rFonts w:hint="default" w:eastAsia="宋体"/>
                      <w:color w:val="auto"/>
                      <w:highlight w:val="none"/>
                      <w:lang w:val="en-US" w:eastAsia="zh-CN"/>
                    </w:rPr>
                  </w:pPr>
                  <w:r>
                    <w:rPr>
                      <w:rFonts w:hint="eastAsia"/>
                      <w:color w:val="auto"/>
                      <w:highlight w:val="none"/>
                      <w:lang w:val="en-US" w:eastAsia="zh-CN"/>
                    </w:rPr>
                    <w:t>鼓励类</w:t>
                  </w:r>
                </w:p>
              </w:tc>
              <w:tc>
                <w:tcPr>
                  <w:tcW w:w="2315" w:type="pct"/>
                  <w:tcBorders>
                    <w:tl2br w:val="nil"/>
                    <w:tr2bl w:val="nil"/>
                  </w:tcBorders>
                  <w:vAlign w:val="center"/>
                </w:tcPr>
                <w:p w14:paraId="419D3E41">
                  <w:pPr>
                    <w:pStyle w:val="106"/>
                    <w:bidi w:val="0"/>
                    <w:jc w:val="both"/>
                    <w:rPr>
                      <w:rFonts w:hint="eastAsia"/>
                      <w:color w:val="auto"/>
                      <w:highlight w:val="none"/>
                    </w:rPr>
                  </w:pPr>
                  <w:r>
                    <w:rPr>
                      <w:rFonts w:hint="eastAsia"/>
                      <w:color w:val="auto"/>
                      <w:highlight w:val="none"/>
                    </w:rPr>
                    <w:t>①以园区确定的主导产业及其配套产业等符合产业政策和规划的行业；</w:t>
                  </w:r>
                </w:p>
                <w:p w14:paraId="141FAFA6">
                  <w:pPr>
                    <w:pStyle w:val="106"/>
                    <w:bidi w:val="0"/>
                    <w:jc w:val="both"/>
                    <w:rPr>
                      <w:rFonts w:hint="eastAsia"/>
                      <w:color w:val="auto"/>
                      <w:highlight w:val="none"/>
                    </w:rPr>
                  </w:pPr>
                  <w:r>
                    <w:rPr>
                      <w:rFonts w:hint="eastAsia"/>
                      <w:color w:val="auto"/>
                      <w:highlight w:val="none"/>
                    </w:rPr>
                    <w:t>②用水、节水、排水设计等清洁生产标准达到或优于国家先进水平的项目；</w:t>
                  </w:r>
                </w:p>
                <w:p w14:paraId="5D0FCCF1">
                  <w:pPr>
                    <w:pStyle w:val="106"/>
                    <w:bidi w:val="0"/>
                    <w:jc w:val="both"/>
                    <w:rPr>
                      <w:color w:val="auto"/>
                      <w:highlight w:val="none"/>
                    </w:rPr>
                  </w:pPr>
                  <w:r>
                    <w:rPr>
                      <w:rFonts w:hint="eastAsia"/>
                      <w:color w:val="auto"/>
                      <w:highlight w:val="none"/>
                    </w:rPr>
                    <w:t>③优先引入低污染、低能耗、高效益，遵循清洁生产及循环经济的项目。</w:t>
                  </w:r>
                </w:p>
              </w:tc>
              <w:tc>
                <w:tcPr>
                  <w:tcW w:w="1370" w:type="pct"/>
                  <w:tcBorders>
                    <w:tl2br w:val="nil"/>
                    <w:tr2bl w:val="nil"/>
                  </w:tcBorders>
                  <w:vAlign w:val="center"/>
                </w:tcPr>
                <w:p w14:paraId="6360B7D5">
                  <w:pPr>
                    <w:pStyle w:val="106"/>
                    <w:bidi w:val="0"/>
                    <w:rPr>
                      <w:rFonts w:hint="default"/>
                      <w:color w:val="auto"/>
                      <w:highlight w:val="none"/>
                      <w:lang w:val="en-US"/>
                    </w:rPr>
                  </w:pPr>
                  <w:r>
                    <w:rPr>
                      <w:rFonts w:hint="eastAsia"/>
                      <w:color w:val="auto"/>
                      <w:highlight w:val="none"/>
                    </w:rPr>
                    <w:t>本项目为</w:t>
                  </w:r>
                  <w:r>
                    <w:rPr>
                      <w:rFonts w:hint="eastAsia"/>
                      <w:color w:val="auto"/>
                      <w:highlight w:val="none"/>
                      <w:lang w:val="en-US" w:eastAsia="zh-CN"/>
                    </w:rPr>
                    <w:t>食品制造业</w:t>
                  </w:r>
                  <w:r>
                    <w:rPr>
                      <w:rFonts w:hint="eastAsia"/>
                      <w:color w:val="auto"/>
                      <w:highlight w:val="none"/>
                    </w:rPr>
                    <w:t>，</w:t>
                  </w:r>
                  <w:r>
                    <w:rPr>
                      <w:rFonts w:hint="eastAsia"/>
                      <w:color w:val="auto"/>
                      <w:highlight w:val="none"/>
                      <w:lang w:val="en-US" w:eastAsia="zh-CN"/>
                    </w:rPr>
                    <w:t>为园区主导产业；项目生产过程中主要使用电能和天然气，项目属于低污染、低能耗，遵循清洁生产及循环经济的项目。</w:t>
                  </w:r>
                </w:p>
              </w:tc>
              <w:tc>
                <w:tcPr>
                  <w:tcW w:w="434" w:type="pct"/>
                  <w:tcBorders>
                    <w:tl2br w:val="nil"/>
                    <w:tr2bl w:val="nil"/>
                  </w:tcBorders>
                  <w:vAlign w:val="center"/>
                </w:tcPr>
                <w:p w14:paraId="6714EA0E">
                  <w:pPr>
                    <w:pStyle w:val="106"/>
                    <w:bidi w:val="0"/>
                    <w:rPr>
                      <w:rFonts w:hint="eastAsia" w:eastAsia="宋体"/>
                      <w:color w:val="auto"/>
                      <w:highlight w:val="none"/>
                      <w:lang w:eastAsia="zh-CN"/>
                    </w:rPr>
                  </w:pPr>
                  <w:r>
                    <w:rPr>
                      <w:rFonts w:hint="eastAsia"/>
                      <w:color w:val="auto"/>
                      <w:highlight w:val="none"/>
                      <w:lang w:val="en-US" w:eastAsia="zh-CN"/>
                    </w:rPr>
                    <w:t>符合</w:t>
                  </w:r>
                </w:p>
              </w:tc>
            </w:tr>
            <w:tr w14:paraId="22DD4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Merge w:val="continue"/>
                  <w:tcBorders>
                    <w:tl2br w:val="nil"/>
                    <w:tr2bl w:val="nil"/>
                  </w:tcBorders>
                  <w:vAlign w:val="center"/>
                </w:tcPr>
                <w:p w14:paraId="7FADADE3">
                  <w:pPr>
                    <w:pStyle w:val="106"/>
                    <w:bidi w:val="0"/>
                    <w:rPr>
                      <w:color w:val="auto"/>
                      <w:highlight w:val="none"/>
                    </w:rPr>
                  </w:pPr>
                </w:p>
              </w:tc>
              <w:tc>
                <w:tcPr>
                  <w:tcW w:w="462" w:type="pct"/>
                  <w:tcBorders>
                    <w:tl2br w:val="nil"/>
                    <w:tr2bl w:val="nil"/>
                  </w:tcBorders>
                  <w:vAlign w:val="center"/>
                </w:tcPr>
                <w:p w14:paraId="11C0EF6B">
                  <w:pPr>
                    <w:pStyle w:val="106"/>
                    <w:bidi w:val="0"/>
                    <w:rPr>
                      <w:rFonts w:hint="default" w:eastAsia="宋体"/>
                      <w:color w:val="auto"/>
                      <w:highlight w:val="none"/>
                      <w:lang w:val="en-US" w:eastAsia="zh-CN"/>
                    </w:rPr>
                  </w:pPr>
                  <w:r>
                    <w:rPr>
                      <w:rFonts w:hint="eastAsia"/>
                      <w:color w:val="auto"/>
                      <w:highlight w:val="none"/>
                      <w:lang w:val="en-US" w:eastAsia="zh-CN"/>
                    </w:rPr>
                    <w:t>禁止类</w:t>
                  </w:r>
                </w:p>
              </w:tc>
              <w:tc>
                <w:tcPr>
                  <w:tcW w:w="2315" w:type="pct"/>
                  <w:tcBorders>
                    <w:tl2br w:val="nil"/>
                    <w:tr2bl w:val="nil"/>
                  </w:tcBorders>
                  <w:vAlign w:val="center"/>
                </w:tcPr>
                <w:p w14:paraId="18C73115">
                  <w:pPr>
                    <w:pStyle w:val="106"/>
                    <w:bidi w:val="0"/>
                    <w:jc w:val="both"/>
                    <w:rPr>
                      <w:rFonts w:hint="eastAsia"/>
                      <w:color w:val="auto"/>
                      <w:highlight w:val="none"/>
                    </w:rPr>
                  </w:pPr>
                  <w:r>
                    <w:rPr>
                      <w:rFonts w:hint="eastAsia"/>
                      <w:color w:val="auto"/>
                      <w:highlight w:val="none"/>
                    </w:rPr>
                    <w:t>（一）禁止引入不符合国家法律法规、行业准入条件的项目，列入国家产能过剩的项目，列入产业结构指导目录禁止类的项目。</w:t>
                  </w:r>
                </w:p>
                <w:p w14:paraId="3A2CD816">
                  <w:pPr>
                    <w:pStyle w:val="106"/>
                    <w:bidi w:val="0"/>
                    <w:jc w:val="both"/>
                    <w:rPr>
                      <w:rFonts w:hint="eastAsia"/>
                      <w:color w:val="auto"/>
                      <w:highlight w:val="none"/>
                    </w:rPr>
                  </w:pPr>
                  <w:r>
                    <w:rPr>
                      <w:rFonts w:hint="eastAsia"/>
                      <w:color w:val="auto"/>
                      <w:highlight w:val="none"/>
                    </w:rPr>
                    <w:t>（二）禁止引入不符合国家及省、市重金属污染防治规划要求的项目，不符合国家或地方大气、水、土壤等污染防治要求的项目。</w:t>
                  </w:r>
                </w:p>
                <w:p w14:paraId="68C2C7F3">
                  <w:pPr>
                    <w:pStyle w:val="106"/>
                    <w:bidi w:val="0"/>
                    <w:jc w:val="both"/>
                    <w:rPr>
                      <w:rFonts w:hint="eastAsia"/>
                      <w:color w:val="auto"/>
                      <w:highlight w:val="none"/>
                    </w:rPr>
                  </w:pPr>
                  <w:r>
                    <w:rPr>
                      <w:rFonts w:hint="eastAsia"/>
                      <w:color w:val="auto"/>
                      <w:highlight w:val="none"/>
                    </w:rPr>
                    <w:t>（三）禁止引入清洁生产水平不能达到行业清洁生产标准二级标准要求或低于全国同类企业平均清洁生产水平的项目。</w:t>
                  </w:r>
                </w:p>
                <w:p w14:paraId="6F7FE842">
                  <w:pPr>
                    <w:pStyle w:val="106"/>
                    <w:bidi w:val="0"/>
                    <w:jc w:val="both"/>
                    <w:rPr>
                      <w:rFonts w:hint="eastAsia"/>
                      <w:color w:val="auto"/>
                      <w:highlight w:val="none"/>
                    </w:rPr>
                  </w:pPr>
                  <w:r>
                    <w:rPr>
                      <w:rFonts w:hint="eastAsia"/>
                      <w:color w:val="auto"/>
                      <w:highlight w:val="none"/>
                    </w:rPr>
                    <w:t>（四）严控主导产业以外的列入《环境保护综合名录》“高污染”产品名录的项目。</w:t>
                  </w:r>
                </w:p>
                <w:p w14:paraId="56DBE461">
                  <w:pPr>
                    <w:pStyle w:val="106"/>
                    <w:bidi w:val="0"/>
                    <w:jc w:val="both"/>
                    <w:rPr>
                      <w:rFonts w:hint="eastAsia"/>
                      <w:color w:val="auto"/>
                      <w:highlight w:val="none"/>
                    </w:rPr>
                  </w:pPr>
                  <w:r>
                    <w:rPr>
                      <w:rFonts w:hint="eastAsia"/>
                      <w:color w:val="auto"/>
                      <w:highlight w:val="none"/>
                    </w:rPr>
                    <w:t>（五）禁止引入屠宰，白酒、酒精制造，味精、柠檬酸等排水量大的食品加工项目。</w:t>
                  </w:r>
                </w:p>
                <w:p w14:paraId="1D027FCC">
                  <w:pPr>
                    <w:pStyle w:val="106"/>
                    <w:bidi w:val="0"/>
                    <w:jc w:val="both"/>
                    <w:rPr>
                      <w:rFonts w:hint="eastAsia"/>
                      <w:color w:val="auto"/>
                      <w:highlight w:val="none"/>
                    </w:rPr>
                  </w:pPr>
                  <w:r>
                    <w:rPr>
                      <w:rFonts w:hint="eastAsia"/>
                      <w:color w:val="auto"/>
                      <w:highlight w:val="none"/>
                    </w:rPr>
                    <w:t>（六）禁止水污染物以总磷为主的肥料和日用化学产品制造，农药制造，炸药、火工及火焰产品制造。</w:t>
                  </w:r>
                </w:p>
                <w:p w14:paraId="0BBCE58F">
                  <w:pPr>
                    <w:pStyle w:val="106"/>
                    <w:bidi w:val="0"/>
                    <w:jc w:val="both"/>
                    <w:rPr>
                      <w:color w:val="auto"/>
                      <w:highlight w:val="none"/>
                    </w:rPr>
                  </w:pPr>
                  <w:r>
                    <w:rPr>
                      <w:rFonts w:hint="eastAsia"/>
                      <w:color w:val="auto"/>
                      <w:highlight w:val="none"/>
                    </w:rPr>
                    <w:t>（七）禁止新建铅蓄电池制造项目，禁止专业电镀。</w:t>
                  </w:r>
                </w:p>
              </w:tc>
              <w:tc>
                <w:tcPr>
                  <w:tcW w:w="1370" w:type="pct"/>
                  <w:tcBorders>
                    <w:tl2br w:val="nil"/>
                    <w:tr2bl w:val="nil"/>
                  </w:tcBorders>
                  <w:vAlign w:val="center"/>
                </w:tcPr>
                <w:p w14:paraId="22CB68C2">
                  <w:pPr>
                    <w:pStyle w:val="106"/>
                    <w:numPr>
                      <w:ilvl w:val="0"/>
                      <w:numId w:val="5"/>
                    </w:numPr>
                    <w:bidi w:val="0"/>
                    <w:jc w:val="both"/>
                    <w:rPr>
                      <w:rFonts w:hint="eastAsia"/>
                      <w:color w:val="auto"/>
                      <w:highlight w:val="none"/>
                      <w:lang w:val="en-US" w:eastAsia="zh-CN"/>
                    </w:rPr>
                  </w:pPr>
                  <w:r>
                    <w:rPr>
                      <w:rFonts w:hint="eastAsia"/>
                      <w:color w:val="auto"/>
                      <w:highlight w:val="none"/>
                      <w:lang w:val="en-US" w:eastAsia="zh-CN"/>
                    </w:rPr>
                    <w:t>根据《产业结构调整指导目录》（2024年本），本项目属于允许类；</w:t>
                  </w:r>
                </w:p>
                <w:p w14:paraId="17440175">
                  <w:pPr>
                    <w:pStyle w:val="106"/>
                    <w:numPr>
                      <w:ilvl w:val="0"/>
                      <w:numId w:val="5"/>
                    </w:numPr>
                    <w:bidi w:val="0"/>
                    <w:jc w:val="both"/>
                    <w:rPr>
                      <w:rFonts w:hint="eastAsia"/>
                      <w:color w:val="auto"/>
                      <w:highlight w:val="none"/>
                      <w:lang w:val="en-US" w:eastAsia="zh-CN"/>
                    </w:rPr>
                  </w:pPr>
                  <w:r>
                    <w:rPr>
                      <w:rFonts w:hint="eastAsia"/>
                      <w:color w:val="auto"/>
                      <w:highlight w:val="none"/>
                      <w:lang w:val="en-US" w:eastAsia="zh-CN"/>
                    </w:rPr>
                    <w:t>根据工程分析及污染治理措施，本项目各种污染物能满足各污染物排放标准；</w:t>
                  </w:r>
                </w:p>
                <w:p w14:paraId="0F1F1DD4">
                  <w:pPr>
                    <w:pStyle w:val="106"/>
                    <w:numPr>
                      <w:ilvl w:val="0"/>
                      <w:numId w:val="5"/>
                    </w:numPr>
                    <w:bidi w:val="0"/>
                    <w:jc w:val="both"/>
                    <w:rPr>
                      <w:rFonts w:hint="eastAsia"/>
                      <w:color w:val="auto"/>
                      <w:highlight w:val="none"/>
                      <w:lang w:val="en-US" w:eastAsia="zh-CN"/>
                    </w:rPr>
                  </w:pPr>
                  <w:r>
                    <w:rPr>
                      <w:rFonts w:hint="eastAsia"/>
                      <w:color w:val="auto"/>
                      <w:highlight w:val="none"/>
                      <w:lang w:val="en-US" w:eastAsia="zh-CN"/>
                    </w:rPr>
                    <w:t>清洁生产水平达到行业清洁生产标准二级标准要求；</w:t>
                  </w:r>
                </w:p>
                <w:p w14:paraId="1CA3CD59">
                  <w:pPr>
                    <w:pStyle w:val="106"/>
                    <w:numPr>
                      <w:ilvl w:val="0"/>
                      <w:numId w:val="5"/>
                    </w:numPr>
                    <w:bidi w:val="0"/>
                    <w:jc w:val="both"/>
                    <w:rPr>
                      <w:rFonts w:hint="eastAsia"/>
                      <w:color w:val="auto"/>
                      <w:highlight w:val="none"/>
                      <w:lang w:val="en-US" w:eastAsia="zh-CN"/>
                    </w:rPr>
                  </w:pPr>
                  <w:r>
                    <w:rPr>
                      <w:rFonts w:hint="eastAsia"/>
                      <w:color w:val="auto"/>
                      <w:highlight w:val="none"/>
                      <w:lang w:val="en-US" w:eastAsia="zh-CN"/>
                    </w:rPr>
                    <w:t>本项目为园区主导产业，为食品制造业，不属于列入</w:t>
                  </w:r>
                  <w:r>
                    <w:rPr>
                      <w:rFonts w:hint="eastAsia"/>
                      <w:color w:val="auto"/>
                      <w:highlight w:val="none"/>
                    </w:rPr>
                    <w:t>《环境保护综合名录》“高污染”产品名录的项目</w:t>
                  </w:r>
                  <w:r>
                    <w:rPr>
                      <w:rFonts w:hint="eastAsia"/>
                      <w:color w:val="auto"/>
                      <w:highlight w:val="none"/>
                      <w:lang w:val="en-US" w:eastAsia="zh-CN"/>
                    </w:rPr>
                    <w:t>；</w:t>
                  </w:r>
                </w:p>
                <w:p w14:paraId="210B2F9C">
                  <w:pPr>
                    <w:pStyle w:val="106"/>
                    <w:numPr>
                      <w:ilvl w:val="0"/>
                      <w:numId w:val="5"/>
                    </w:numPr>
                    <w:bidi w:val="0"/>
                    <w:jc w:val="both"/>
                    <w:rPr>
                      <w:rFonts w:hint="eastAsia"/>
                      <w:color w:val="auto"/>
                      <w:highlight w:val="none"/>
                      <w:lang w:val="en-US" w:eastAsia="zh-CN"/>
                    </w:rPr>
                  </w:pPr>
                  <w:r>
                    <w:rPr>
                      <w:rFonts w:hint="eastAsia"/>
                      <w:color w:val="auto"/>
                      <w:highlight w:val="none"/>
                      <w:lang w:val="en-US" w:eastAsia="zh-CN"/>
                    </w:rPr>
                    <w:t>本项目不属于；</w:t>
                  </w:r>
                </w:p>
                <w:p w14:paraId="35E2A9B5">
                  <w:pPr>
                    <w:pStyle w:val="106"/>
                    <w:numPr>
                      <w:ilvl w:val="0"/>
                      <w:numId w:val="5"/>
                    </w:numPr>
                    <w:bidi w:val="0"/>
                    <w:jc w:val="both"/>
                    <w:rPr>
                      <w:rFonts w:hint="eastAsia"/>
                      <w:color w:val="auto"/>
                      <w:highlight w:val="none"/>
                      <w:lang w:val="en-US" w:eastAsia="zh-CN"/>
                    </w:rPr>
                  </w:pPr>
                  <w:r>
                    <w:rPr>
                      <w:rFonts w:hint="eastAsia"/>
                      <w:color w:val="auto"/>
                      <w:highlight w:val="none"/>
                      <w:lang w:val="en-US" w:eastAsia="zh-CN"/>
                    </w:rPr>
                    <w:t>本项目不属于；</w:t>
                  </w:r>
                </w:p>
                <w:p w14:paraId="15EA4B01">
                  <w:pPr>
                    <w:pStyle w:val="106"/>
                    <w:numPr>
                      <w:ilvl w:val="0"/>
                      <w:numId w:val="5"/>
                    </w:numPr>
                    <w:bidi w:val="0"/>
                    <w:jc w:val="both"/>
                    <w:rPr>
                      <w:rFonts w:hint="eastAsia"/>
                      <w:color w:val="auto"/>
                      <w:highlight w:val="none"/>
                      <w:lang w:val="en-US" w:eastAsia="zh-CN"/>
                    </w:rPr>
                  </w:pPr>
                  <w:r>
                    <w:rPr>
                      <w:rFonts w:hint="eastAsia"/>
                      <w:color w:val="auto"/>
                      <w:highlight w:val="none"/>
                      <w:lang w:val="en-US" w:eastAsia="zh-CN"/>
                    </w:rPr>
                    <w:t>本项目不属于。</w:t>
                  </w:r>
                </w:p>
              </w:tc>
              <w:tc>
                <w:tcPr>
                  <w:tcW w:w="434" w:type="pct"/>
                  <w:tcBorders>
                    <w:tl2br w:val="nil"/>
                    <w:tr2bl w:val="nil"/>
                  </w:tcBorders>
                  <w:vAlign w:val="center"/>
                </w:tcPr>
                <w:p w14:paraId="35ACFC2E">
                  <w:pPr>
                    <w:pStyle w:val="106"/>
                    <w:bidi w:val="0"/>
                    <w:rPr>
                      <w:rFonts w:hint="default" w:eastAsia="宋体"/>
                      <w:color w:val="auto"/>
                      <w:highlight w:val="none"/>
                      <w:lang w:val="en-US" w:eastAsia="zh-CN"/>
                    </w:rPr>
                  </w:pPr>
                  <w:r>
                    <w:rPr>
                      <w:rFonts w:hint="eastAsia"/>
                      <w:color w:val="auto"/>
                      <w:highlight w:val="none"/>
                      <w:lang w:val="en-US" w:eastAsia="zh-CN"/>
                    </w:rPr>
                    <w:t>符合</w:t>
                  </w:r>
                </w:p>
              </w:tc>
            </w:tr>
            <w:tr w14:paraId="3CB6A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15" w:type="pct"/>
                  <w:vMerge w:val="continue"/>
                  <w:tcBorders>
                    <w:tl2br w:val="nil"/>
                    <w:tr2bl w:val="nil"/>
                  </w:tcBorders>
                  <w:vAlign w:val="center"/>
                </w:tcPr>
                <w:p w14:paraId="3AC2CC33">
                  <w:pPr>
                    <w:pStyle w:val="106"/>
                    <w:bidi w:val="0"/>
                    <w:rPr>
                      <w:color w:val="auto"/>
                      <w:highlight w:val="none"/>
                    </w:rPr>
                  </w:pPr>
                </w:p>
              </w:tc>
              <w:tc>
                <w:tcPr>
                  <w:tcW w:w="462" w:type="pct"/>
                  <w:tcBorders>
                    <w:tl2br w:val="nil"/>
                    <w:tr2bl w:val="nil"/>
                  </w:tcBorders>
                  <w:vAlign w:val="center"/>
                </w:tcPr>
                <w:p w14:paraId="755838EE">
                  <w:pPr>
                    <w:pStyle w:val="106"/>
                    <w:bidi w:val="0"/>
                    <w:rPr>
                      <w:rFonts w:hint="default" w:eastAsia="宋体"/>
                      <w:color w:val="auto"/>
                      <w:highlight w:val="none"/>
                      <w:lang w:val="en-US" w:eastAsia="zh-CN"/>
                    </w:rPr>
                  </w:pPr>
                  <w:r>
                    <w:rPr>
                      <w:rFonts w:hint="eastAsia"/>
                      <w:color w:val="auto"/>
                      <w:highlight w:val="none"/>
                      <w:lang w:val="en-US" w:eastAsia="zh-CN"/>
                    </w:rPr>
                    <w:t>允许类</w:t>
                  </w:r>
                </w:p>
              </w:tc>
              <w:tc>
                <w:tcPr>
                  <w:tcW w:w="2315" w:type="pct"/>
                  <w:tcBorders>
                    <w:tl2br w:val="nil"/>
                    <w:tr2bl w:val="nil"/>
                  </w:tcBorders>
                  <w:vAlign w:val="center"/>
                </w:tcPr>
                <w:p w14:paraId="6DD6CD66">
                  <w:pPr>
                    <w:pStyle w:val="106"/>
                    <w:bidi w:val="0"/>
                    <w:jc w:val="both"/>
                    <w:rPr>
                      <w:rFonts w:hint="eastAsia"/>
                      <w:color w:val="auto"/>
                      <w:highlight w:val="none"/>
                    </w:rPr>
                  </w:pPr>
                  <w:r>
                    <w:rPr>
                      <w:rFonts w:hint="eastAsia"/>
                      <w:color w:val="auto"/>
                      <w:highlight w:val="none"/>
                    </w:rPr>
                    <w:t>原则上未被列入上述鼓励类、负面清单的</w:t>
                  </w:r>
                  <w:r>
                    <w:rPr>
                      <w:rFonts w:hint="eastAsia"/>
                      <w:color w:val="auto"/>
                      <w:highlight w:val="none"/>
                      <w:lang w:val="en-US" w:eastAsia="zh-CN"/>
                    </w:rPr>
                    <w:t>属于</w:t>
                  </w:r>
                  <w:r>
                    <w:rPr>
                      <w:rFonts w:hint="eastAsia"/>
                      <w:color w:val="auto"/>
                      <w:highlight w:val="none"/>
                    </w:rPr>
                    <w:t>允许发展类，但在具体实施过程中切不可盲目引进项目，应注意按如下原则要求：</w:t>
                  </w:r>
                </w:p>
                <w:p w14:paraId="2BE0F856">
                  <w:pPr>
                    <w:pStyle w:val="106"/>
                    <w:bidi w:val="0"/>
                    <w:jc w:val="both"/>
                    <w:rPr>
                      <w:rFonts w:hint="eastAsia" w:eastAsia="宋体"/>
                      <w:color w:val="auto"/>
                      <w:highlight w:val="none"/>
                      <w:lang w:eastAsia="zh-CN"/>
                    </w:rPr>
                  </w:pPr>
                  <w:r>
                    <w:rPr>
                      <w:rFonts w:hint="eastAsia"/>
                      <w:color w:val="auto"/>
                      <w:highlight w:val="none"/>
                    </w:rPr>
                    <w:t>对于不属于规划区规划主导产业和重点发展方向的建设项目，若与规划区产业定位有互补作用，或属于规划区重要项目的下游企业，或属于高品质、高附加值、低污染的企业，或有利于规划区实现循环经济理念和可持续发展，这一类企业若在建设项目环评中经论证分析与规划区规划无明显冲突，不会影响规划区规划实施的，建议允许此类建设项目入驻</w:t>
                  </w:r>
                  <w:r>
                    <w:rPr>
                      <w:rFonts w:hint="eastAsia"/>
                      <w:color w:val="auto"/>
                      <w:highlight w:val="none"/>
                      <w:lang w:eastAsia="zh-CN"/>
                    </w:rPr>
                    <w:t>。</w:t>
                  </w:r>
                </w:p>
              </w:tc>
              <w:tc>
                <w:tcPr>
                  <w:tcW w:w="1370" w:type="pct"/>
                  <w:tcBorders>
                    <w:tl2br w:val="nil"/>
                    <w:tr2bl w:val="nil"/>
                  </w:tcBorders>
                  <w:vAlign w:val="center"/>
                </w:tcPr>
                <w:p w14:paraId="5D81D686">
                  <w:pPr>
                    <w:pStyle w:val="106"/>
                    <w:bidi w:val="0"/>
                    <w:rPr>
                      <w:rFonts w:hint="eastAsia" w:eastAsia="宋体"/>
                      <w:color w:val="auto"/>
                      <w:highlight w:val="none"/>
                      <w:lang w:eastAsia="zh-CN"/>
                    </w:rPr>
                  </w:pPr>
                  <w:r>
                    <w:rPr>
                      <w:rFonts w:hint="eastAsia"/>
                      <w:color w:val="auto"/>
                      <w:highlight w:val="none"/>
                    </w:rPr>
                    <w:t>根据《产业结构调整指导目录》（2024年本），本项目属于允许类</w:t>
                  </w:r>
                  <w:r>
                    <w:rPr>
                      <w:rFonts w:hint="eastAsia"/>
                      <w:color w:val="auto"/>
                      <w:highlight w:val="none"/>
                      <w:lang w:val="en-US" w:eastAsia="zh-CN"/>
                    </w:rPr>
                    <w:t>项目</w:t>
                  </w:r>
                  <w:r>
                    <w:rPr>
                      <w:rFonts w:hint="eastAsia"/>
                      <w:color w:val="auto"/>
                      <w:highlight w:val="none"/>
                    </w:rPr>
                    <w:t>，允许进入园区</w:t>
                  </w:r>
                  <w:r>
                    <w:rPr>
                      <w:rFonts w:hint="eastAsia"/>
                      <w:color w:val="auto"/>
                      <w:highlight w:val="none"/>
                      <w:lang w:eastAsia="zh-CN"/>
                    </w:rPr>
                    <w:t>。</w:t>
                  </w:r>
                </w:p>
              </w:tc>
              <w:tc>
                <w:tcPr>
                  <w:tcW w:w="434" w:type="pct"/>
                  <w:tcBorders>
                    <w:tl2br w:val="nil"/>
                    <w:tr2bl w:val="nil"/>
                  </w:tcBorders>
                  <w:vAlign w:val="center"/>
                </w:tcPr>
                <w:p w14:paraId="4CF5CB6C">
                  <w:pPr>
                    <w:pStyle w:val="106"/>
                    <w:bidi w:val="0"/>
                    <w:rPr>
                      <w:rFonts w:hint="default" w:eastAsia="宋体"/>
                      <w:color w:val="auto"/>
                      <w:highlight w:val="none"/>
                      <w:lang w:val="en-US" w:eastAsia="zh-CN"/>
                    </w:rPr>
                  </w:pPr>
                  <w:r>
                    <w:rPr>
                      <w:rFonts w:hint="eastAsia"/>
                      <w:color w:val="auto"/>
                      <w:highlight w:val="none"/>
                      <w:lang w:val="en-US" w:eastAsia="zh-CN"/>
                    </w:rPr>
                    <w:t>符合</w:t>
                  </w:r>
                </w:p>
              </w:tc>
            </w:tr>
            <w:tr w14:paraId="66342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8" w:type="pct"/>
                  <w:gridSpan w:val="2"/>
                  <w:tcBorders>
                    <w:tl2br w:val="nil"/>
                    <w:tr2bl w:val="nil"/>
                  </w:tcBorders>
                  <w:vAlign w:val="center"/>
                </w:tcPr>
                <w:p w14:paraId="282D719B">
                  <w:pPr>
                    <w:pStyle w:val="106"/>
                    <w:bidi w:val="0"/>
                    <w:rPr>
                      <w:rFonts w:hint="eastAsia"/>
                      <w:color w:val="auto"/>
                      <w:highlight w:val="none"/>
                      <w:lang w:val="en-US" w:eastAsia="zh-CN"/>
                    </w:rPr>
                  </w:pPr>
                  <w:r>
                    <w:rPr>
                      <w:rFonts w:hint="eastAsia"/>
                      <w:color w:val="auto"/>
                      <w:highlight w:val="none"/>
                    </w:rPr>
                    <w:t>严格生态环境准入</w:t>
                  </w:r>
                </w:p>
              </w:tc>
              <w:tc>
                <w:tcPr>
                  <w:tcW w:w="2315" w:type="pct"/>
                  <w:tcBorders>
                    <w:tl2br w:val="nil"/>
                    <w:tr2bl w:val="nil"/>
                  </w:tcBorders>
                  <w:vAlign w:val="center"/>
                </w:tcPr>
                <w:p w14:paraId="5860F587">
                  <w:pPr>
                    <w:pStyle w:val="106"/>
                    <w:bidi w:val="0"/>
                    <w:jc w:val="both"/>
                    <w:rPr>
                      <w:rFonts w:hint="eastAsia" w:eastAsia="宋体"/>
                      <w:color w:val="auto"/>
                      <w:highlight w:val="none"/>
                      <w:lang w:eastAsia="zh-CN"/>
                    </w:rPr>
                  </w:pPr>
                  <w:r>
                    <w:rPr>
                      <w:rFonts w:hint="eastAsia"/>
                      <w:color w:val="auto"/>
                      <w:highlight w:val="none"/>
                    </w:rPr>
                    <w:t>按照《报告书》提出的《规划》优化调整建议、生态环境准入清单，做好园区的项目引入和规划建设工作。禁止引入高毒、剧毒危险化学品仓储(园区内企业生产配套原料仓储设施除外)、冶炼(湿法冶炼除外)、石油化工、煤化工、化学原料药、黄磷、合成氨、制浆造纸、皮革鞣制等项目</w:t>
                  </w:r>
                  <w:r>
                    <w:rPr>
                      <w:rFonts w:hint="eastAsia"/>
                      <w:color w:val="auto"/>
                      <w:highlight w:val="none"/>
                      <w:lang w:eastAsia="zh-CN"/>
                    </w:rPr>
                    <w:t>；</w:t>
                  </w:r>
                  <w:r>
                    <w:rPr>
                      <w:rFonts w:hint="eastAsia"/>
                      <w:color w:val="auto"/>
                      <w:highlight w:val="none"/>
                    </w:rPr>
                    <w:t>新扩化工园区范围禁止引入剧毒危险化学品生产建设项目</w:t>
                  </w:r>
                  <w:r>
                    <w:rPr>
                      <w:rFonts w:hint="eastAsia"/>
                      <w:color w:val="auto"/>
                      <w:highlight w:val="none"/>
                      <w:lang w:eastAsia="zh-CN"/>
                    </w:rPr>
                    <w:t>；</w:t>
                  </w:r>
                  <w:r>
                    <w:rPr>
                      <w:rFonts w:hint="eastAsia"/>
                      <w:color w:val="auto"/>
                      <w:highlight w:val="none"/>
                    </w:rPr>
                    <w:t>禁止在长江千支流一公里范围内新建、扩建化工项目。新引入项目应严格落实重金属和新污染物相关管控要求</w:t>
                  </w:r>
                  <w:r>
                    <w:rPr>
                      <w:rFonts w:hint="eastAsia"/>
                      <w:color w:val="auto"/>
                      <w:highlight w:val="none"/>
                      <w:lang w:eastAsia="zh-CN"/>
                    </w:rPr>
                    <w:t>。</w:t>
                  </w:r>
                </w:p>
              </w:tc>
              <w:tc>
                <w:tcPr>
                  <w:tcW w:w="1370" w:type="pct"/>
                  <w:tcBorders>
                    <w:tl2br w:val="nil"/>
                    <w:tr2bl w:val="nil"/>
                  </w:tcBorders>
                  <w:vAlign w:val="center"/>
                </w:tcPr>
                <w:p w14:paraId="336D3110">
                  <w:pPr>
                    <w:pStyle w:val="106"/>
                    <w:bidi w:val="0"/>
                    <w:rPr>
                      <w:rFonts w:hint="default" w:eastAsia="宋体"/>
                      <w:color w:val="auto"/>
                      <w:highlight w:val="none"/>
                      <w:lang w:val="en-US" w:eastAsia="zh-CN"/>
                    </w:rPr>
                  </w:pPr>
                  <w:r>
                    <w:rPr>
                      <w:rFonts w:hint="eastAsia"/>
                      <w:color w:val="auto"/>
                      <w:highlight w:val="none"/>
                      <w:lang w:val="en-US" w:eastAsia="zh-CN"/>
                    </w:rPr>
                    <w:t>本项目为食品制造项目，不涉及剧毒等危险化学品仓储、</w:t>
                  </w:r>
                  <w:r>
                    <w:rPr>
                      <w:rFonts w:hint="eastAsia"/>
                      <w:color w:val="auto"/>
                      <w:highlight w:val="none"/>
                    </w:rPr>
                    <w:t>石油化工、煤化工、化学原料药、黄磷、合成氨、制浆造纸、皮革鞣制等项目</w:t>
                  </w:r>
                </w:p>
              </w:tc>
              <w:tc>
                <w:tcPr>
                  <w:tcW w:w="434" w:type="pct"/>
                  <w:tcBorders>
                    <w:tl2br w:val="nil"/>
                    <w:tr2bl w:val="nil"/>
                  </w:tcBorders>
                  <w:vAlign w:val="center"/>
                </w:tcPr>
                <w:p w14:paraId="2690EF0E">
                  <w:pPr>
                    <w:pStyle w:val="106"/>
                    <w:bidi w:val="0"/>
                    <w:rPr>
                      <w:rFonts w:hint="default"/>
                      <w:color w:val="auto"/>
                      <w:highlight w:val="none"/>
                      <w:lang w:val="en-US" w:eastAsia="zh-CN"/>
                    </w:rPr>
                  </w:pPr>
                  <w:r>
                    <w:rPr>
                      <w:rFonts w:hint="eastAsia"/>
                      <w:color w:val="auto"/>
                      <w:highlight w:val="none"/>
                      <w:lang w:val="en-US" w:eastAsia="zh-CN"/>
                    </w:rPr>
                    <w:t>符合</w:t>
                  </w:r>
                </w:p>
              </w:tc>
            </w:tr>
            <w:tr w14:paraId="37AF9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8" w:type="pct"/>
                  <w:gridSpan w:val="2"/>
                  <w:tcBorders>
                    <w:tl2br w:val="nil"/>
                    <w:tr2bl w:val="nil"/>
                  </w:tcBorders>
                  <w:vAlign w:val="center"/>
                </w:tcPr>
                <w:p w14:paraId="2B9FFE4F">
                  <w:pPr>
                    <w:pStyle w:val="106"/>
                    <w:bidi w:val="0"/>
                    <w:rPr>
                      <w:rFonts w:hint="eastAsia"/>
                      <w:color w:val="auto"/>
                      <w:highlight w:val="none"/>
                      <w:lang w:val="en-US" w:eastAsia="zh-CN"/>
                    </w:rPr>
                  </w:pPr>
                  <w:r>
                    <w:rPr>
                      <w:rFonts w:hint="eastAsia"/>
                      <w:color w:val="auto"/>
                      <w:highlight w:val="none"/>
                    </w:rPr>
                    <w:t>严格环境空间管控，优化功能布局</w:t>
                  </w:r>
                </w:p>
              </w:tc>
              <w:tc>
                <w:tcPr>
                  <w:tcW w:w="2315" w:type="pct"/>
                  <w:tcBorders>
                    <w:tl2br w:val="nil"/>
                    <w:tr2bl w:val="nil"/>
                  </w:tcBorders>
                  <w:vAlign w:val="center"/>
                </w:tcPr>
                <w:p w14:paraId="4B5BADD7">
                  <w:pPr>
                    <w:pStyle w:val="106"/>
                    <w:bidi w:val="0"/>
                    <w:jc w:val="both"/>
                    <w:rPr>
                      <w:rFonts w:hint="eastAsia"/>
                      <w:color w:val="auto"/>
                      <w:highlight w:val="none"/>
                    </w:rPr>
                  </w:pPr>
                  <w:r>
                    <w:rPr>
                      <w:rFonts w:hint="eastAsia"/>
                      <w:color w:val="auto"/>
                      <w:highlight w:val="none"/>
                    </w:rPr>
                    <w:t>《规划》应符合国土空间总体规划要求，应统筹协调好安居城区、玉丰镇与园区发展方向和用地布局，节能环保及高端装备产业园临近安居城区二类工业用地调整为一类工业用地，禁止引入喷漆、排放恶臭类建设项目</w:t>
                  </w:r>
                  <w:r>
                    <w:rPr>
                      <w:rFonts w:hint="eastAsia"/>
                      <w:color w:val="auto"/>
                      <w:highlight w:val="none"/>
                      <w:lang w:eastAsia="zh-CN"/>
                    </w:rPr>
                    <w:t>；</w:t>
                  </w:r>
                  <w:r>
                    <w:rPr>
                      <w:rFonts w:hint="eastAsia"/>
                      <w:color w:val="auto"/>
                      <w:highlight w:val="none"/>
                    </w:rPr>
                    <w:t>新扩化工园区引入项目应远离玉丰场镇布局</w:t>
                  </w:r>
                  <w:r>
                    <w:rPr>
                      <w:rFonts w:hint="eastAsia"/>
                      <w:color w:val="auto"/>
                      <w:highlight w:val="none"/>
                      <w:lang w:eastAsia="zh-CN"/>
                    </w:rPr>
                    <w:t>；</w:t>
                  </w:r>
                  <w:r>
                    <w:rPr>
                      <w:rFonts w:hint="eastAsia"/>
                      <w:color w:val="auto"/>
                      <w:highlight w:val="none"/>
                    </w:rPr>
                    <w:t>新引入项目应充分论证选址合理性和环境相容性，合理设置环境防护距离，环境防护距离内不得有居民区、学校、医院等环境敏感目标严格涉风险源企业管理和布局，严格落实园区周边用地管控要求，避免发生环境纠纷。</w:t>
                  </w:r>
                </w:p>
              </w:tc>
              <w:tc>
                <w:tcPr>
                  <w:tcW w:w="1370" w:type="pct"/>
                  <w:tcBorders>
                    <w:tl2br w:val="nil"/>
                    <w:tr2bl w:val="nil"/>
                  </w:tcBorders>
                  <w:vAlign w:val="center"/>
                </w:tcPr>
                <w:p w14:paraId="4DC8C80F">
                  <w:pPr>
                    <w:pStyle w:val="106"/>
                    <w:bidi w:val="0"/>
                    <w:rPr>
                      <w:rFonts w:hint="eastAsia" w:eastAsia="宋体"/>
                      <w:color w:val="auto"/>
                      <w:highlight w:val="none"/>
                      <w:lang w:val="en-US" w:eastAsia="zh-CN"/>
                    </w:rPr>
                  </w:pPr>
                  <w:r>
                    <w:rPr>
                      <w:rFonts w:hint="eastAsia"/>
                      <w:color w:val="auto"/>
                      <w:highlight w:val="none"/>
                      <w:lang w:val="en-US" w:eastAsia="zh-CN"/>
                    </w:rPr>
                    <w:t>本项目为食品制造项目，不属于</w:t>
                  </w:r>
                  <w:r>
                    <w:rPr>
                      <w:rFonts w:hint="eastAsia"/>
                      <w:color w:val="auto"/>
                      <w:highlight w:val="none"/>
                    </w:rPr>
                    <w:t>喷漆、排放恶臭类</w:t>
                  </w:r>
                  <w:r>
                    <w:rPr>
                      <w:rFonts w:hint="eastAsia"/>
                      <w:color w:val="auto"/>
                      <w:highlight w:val="none"/>
                      <w:lang w:val="en-US" w:eastAsia="zh-CN"/>
                    </w:rPr>
                    <w:t>项目；项目周边500m范围内不涉及环境敏感目标。</w:t>
                  </w:r>
                </w:p>
              </w:tc>
              <w:tc>
                <w:tcPr>
                  <w:tcW w:w="434" w:type="pct"/>
                  <w:tcBorders>
                    <w:tl2br w:val="nil"/>
                    <w:tr2bl w:val="nil"/>
                  </w:tcBorders>
                  <w:vAlign w:val="center"/>
                </w:tcPr>
                <w:p w14:paraId="50C56DF6">
                  <w:pPr>
                    <w:pStyle w:val="106"/>
                    <w:bidi w:val="0"/>
                    <w:rPr>
                      <w:rFonts w:hint="default"/>
                      <w:color w:val="auto"/>
                      <w:highlight w:val="none"/>
                      <w:lang w:val="en-US" w:eastAsia="zh-CN"/>
                    </w:rPr>
                  </w:pPr>
                  <w:r>
                    <w:rPr>
                      <w:rFonts w:hint="eastAsia"/>
                      <w:color w:val="auto"/>
                      <w:highlight w:val="none"/>
                      <w:lang w:val="en-US" w:eastAsia="zh-CN"/>
                    </w:rPr>
                    <w:t>符合</w:t>
                  </w:r>
                </w:p>
              </w:tc>
            </w:tr>
            <w:tr w14:paraId="609A8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8" w:type="pct"/>
                  <w:gridSpan w:val="2"/>
                  <w:tcBorders>
                    <w:tl2br w:val="nil"/>
                    <w:tr2bl w:val="nil"/>
                  </w:tcBorders>
                  <w:vAlign w:val="center"/>
                </w:tcPr>
                <w:p w14:paraId="584F8E82">
                  <w:pPr>
                    <w:pStyle w:val="106"/>
                    <w:bidi w:val="0"/>
                    <w:rPr>
                      <w:rFonts w:hint="eastAsia"/>
                      <w:color w:val="auto"/>
                      <w:highlight w:val="none"/>
                      <w:lang w:val="en-US" w:eastAsia="zh-CN"/>
                    </w:rPr>
                  </w:pPr>
                  <w:r>
                    <w:rPr>
                      <w:rFonts w:hint="eastAsia"/>
                      <w:color w:val="auto"/>
                      <w:highlight w:val="none"/>
                    </w:rPr>
                    <w:t>严守环境质量底线</w:t>
                  </w:r>
                </w:p>
              </w:tc>
              <w:tc>
                <w:tcPr>
                  <w:tcW w:w="2315" w:type="pct"/>
                  <w:tcBorders>
                    <w:tl2br w:val="nil"/>
                    <w:tr2bl w:val="nil"/>
                  </w:tcBorders>
                  <w:vAlign w:val="center"/>
                </w:tcPr>
                <w:p w14:paraId="4B1342DD">
                  <w:pPr>
                    <w:pStyle w:val="106"/>
                    <w:bidi w:val="0"/>
                    <w:jc w:val="both"/>
                    <w:rPr>
                      <w:rFonts w:hint="eastAsia"/>
                      <w:color w:val="auto"/>
                      <w:highlight w:val="none"/>
                    </w:rPr>
                  </w:pPr>
                  <w:r>
                    <w:rPr>
                      <w:rFonts w:hint="eastAsia"/>
                      <w:color w:val="auto"/>
                      <w:highlight w:val="none"/>
                    </w:rPr>
                    <w:t>严格落实国家和地方大气、水土壤和固体废物等污染防治防控措施及《报告书》相关要求，按照遂宁市、安居区大气环境质量限期达标规划等要求，落实区域减排工程，强化企业废气无组织排放管控，严格控制大气污染物排放总量。严格落实《水污染防治行动计划遂宁市工作方案》《水污染防治行动计划安居工作方案》《安居区琼江流域地表水环境质量改善方案》等要求，严控水污染物排放总量，持续推进区域地表水环境质量改善。推进锂渣等固体废物源头减量和综合利用，严格规范固体废物(特别是危险废物)的收集暂存、转运、利用及处置过程的环境管理，采取有效、可靠的防范措施，防止产生二次污染。</w:t>
                  </w:r>
                </w:p>
              </w:tc>
              <w:tc>
                <w:tcPr>
                  <w:tcW w:w="1370" w:type="pct"/>
                  <w:tcBorders>
                    <w:tl2br w:val="nil"/>
                    <w:tr2bl w:val="nil"/>
                  </w:tcBorders>
                  <w:vAlign w:val="center"/>
                </w:tcPr>
                <w:p w14:paraId="5F51724D">
                  <w:pPr>
                    <w:pStyle w:val="106"/>
                    <w:bidi w:val="0"/>
                    <w:rPr>
                      <w:rFonts w:hint="default" w:eastAsia="宋体"/>
                      <w:color w:val="auto"/>
                      <w:highlight w:val="none"/>
                      <w:lang w:val="en-US" w:eastAsia="zh-CN"/>
                    </w:rPr>
                  </w:pPr>
                  <w:r>
                    <w:rPr>
                      <w:rFonts w:hint="eastAsia"/>
                      <w:color w:val="auto"/>
                      <w:highlight w:val="none"/>
                      <w:lang w:val="en-US" w:eastAsia="zh-CN"/>
                    </w:rPr>
                    <w:t>本项目废气主要为天然气燃烧废气，拟低氮燃烧处理后有组织排放；纸巾生产过程中拟通过设置挡板或优化工艺等措施降低粉尘排放；项目废水拟厂区预处理设施处理后排入园区污水管网；项目固废将经过一般工业固废暂存间、危废暂存间等设施暂存后外委转运处置。</w:t>
                  </w:r>
                </w:p>
              </w:tc>
              <w:tc>
                <w:tcPr>
                  <w:tcW w:w="434" w:type="pct"/>
                  <w:tcBorders>
                    <w:tl2br w:val="nil"/>
                    <w:tr2bl w:val="nil"/>
                  </w:tcBorders>
                  <w:vAlign w:val="center"/>
                </w:tcPr>
                <w:p w14:paraId="3F7B9EB3">
                  <w:pPr>
                    <w:pStyle w:val="106"/>
                    <w:bidi w:val="0"/>
                    <w:rPr>
                      <w:rFonts w:hint="default"/>
                      <w:color w:val="auto"/>
                      <w:highlight w:val="none"/>
                      <w:lang w:val="en-US" w:eastAsia="zh-CN"/>
                    </w:rPr>
                  </w:pPr>
                  <w:r>
                    <w:rPr>
                      <w:rFonts w:hint="eastAsia"/>
                      <w:color w:val="auto"/>
                      <w:highlight w:val="none"/>
                      <w:lang w:val="en-US" w:eastAsia="zh-CN"/>
                    </w:rPr>
                    <w:t>符合</w:t>
                  </w:r>
                </w:p>
              </w:tc>
            </w:tr>
          </w:tbl>
          <w:p w14:paraId="259D001F">
            <w:pPr>
              <w:keepNext w:val="0"/>
              <w:keepLines w:val="0"/>
              <w:pageBreakBefore w:val="0"/>
              <w:widowControl w:val="0"/>
              <w:kinsoku/>
              <w:wordWrap/>
              <w:overflowPunct/>
              <w:topLinePunct w:val="0"/>
              <w:autoSpaceDE w:val="0"/>
              <w:autoSpaceDN w:val="0"/>
              <w:bidi w:val="0"/>
              <w:adjustRightInd w:val="0"/>
              <w:snapToGrid w:val="0"/>
              <w:spacing w:before="120"/>
              <w:textAlignment w:val="auto"/>
              <w:rPr>
                <w:rFonts w:hint="default"/>
                <w:color w:val="auto"/>
                <w:highlight w:val="none"/>
              </w:rPr>
            </w:pPr>
            <w:r>
              <w:rPr>
                <w:rFonts w:hint="default"/>
                <w:color w:val="auto"/>
                <w:highlight w:val="none"/>
              </w:rPr>
              <w:t>本项目属于</w:t>
            </w:r>
            <w:r>
              <w:rPr>
                <w:rFonts w:hint="eastAsia"/>
                <w:color w:val="auto"/>
                <w:highlight w:val="none"/>
                <w:lang w:val="en-US" w:eastAsia="zh-CN"/>
              </w:rPr>
              <w:t>食品制造项目</w:t>
            </w:r>
            <w:r>
              <w:rPr>
                <w:rFonts w:hint="default"/>
                <w:color w:val="auto"/>
                <w:highlight w:val="none"/>
              </w:rPr>
              <w:t>，位于遂宁高新技术产业园区</w:t>
            </w:r>
            <w:r>
              <w:rPr>
                <w:rFonts w:hint="eastAsia"/>
                <w:color w:val="auto"/>
                <w:highlight w:val="none"/>
                <w:lang w:val="en-US" w:eastAsia="zh-CN"/>
              </w:rPr>
              <w:t>中四川遂宁安居经济开发区</w:t>
            </w:r>
            <w:r>
              <w:rPr>
                <w:rFonts w:hint="eastAsia" w:cs="Times New Roman"/>
                <w:color w:val="auto"/>
                <w:kern w:val="0"/>
                <w:sz w:val="24"/>
                <w:highlight w:val="none"/>
                <w:lang w:val="en-US" w:eastAsia="zh-CN" w:bidi="ar"/>
              </w:rPr>
              <w:t>现代装备制造产业园区4-5</w:t>
            </w:r>
            <w:r>
              <w:rPr>
                <w:rFonts w:hint="default"/>
                <w:color w:val="auto"/>
                <w:highlight w:val="none"/>
              </w:rPr>
              <w:t>。对照上表，本项目不属于</w:t>
            </w:r>
            <w:r>
              <w:rPr>
                <w:rFonts w:hint="eastAsia"/>
                <w:color w:val="auto"/>
                <w:highlight w:val="none"/>
                <w:lang w:eastAsia="zh-CN"/>
              </w:rPr>
              <w:t>遂宁高新技术产业园区</w:t>
            </w:r>
            <w:r>
              <w:rPr>
                <w:rFonts w:hint="default"/>
                <w:color w:val="auto"/>
                <w:highlight w:val="none"/>
              </w:rPr>
              <w:t>负面清单内，项目建设符合清洁生产要求，项目建设符合园区规划准入条件。同时，202</w:t>
            </w:r>
            <w:r>
              <w:rPr>
                <w:rFonts w:hint="eastAsia"/>
                <w:color w:val="auto"/>
                <w:highlight w:val="none"/>
                <w:lang w:val="en-US" w:eastAsia="zh-CN"/>
              </w:rPr>
              <w:t>3</w:t>
            </w:r>
            <w:r>
              <w:rPr>
                <w:rFonts w:hint="default"/>
                <w:color w:val="auto"/>
                <w:highlight w:val="none"/>
              </w:rPr>
              <w:t>年</w:t>
            </w:r>
            <w:r>
              <w:rPr>
                <w:rFonts w:hint="eastAsia"/>
                <w:color w:val="auto"/>
                <w:highlight w:val="none"/>
                <w:lang w:val="en-US" w:eastAsia="zh-CN"/>
              </w:rPr>
              <w:t>3</w:t>
            </w:r>
            <w:r>
              <w:rPr>
                <w:rFonts w:hint="default"/>
                <w:color w:val="auto"/>
                <w:highlight w:val="none"/>
              </w:rPr>
              <w:t>月</w:t>
            </w:r>
            <w:r>
              <w:rPr>
                <w:rFonts w:hint="eastAsia"/>
                <w:color w:val="auto"/>
                <w:highlight w:val="none"/>
                <w:lang w:val="en-US" w:eastAsia="zh-CN"/>
              </w:rPr>
              <w:t>13</w:t>
            </w:r>
            <w:r>
              <w:rPr>
                <w:rFonts w:hint="default"/>
                <w:color w:val="auto"/>
                <w:highlight w:val="none"/>
              </w:rPr>
              <w:t>日，</w:t>
            </w:r>
            <w:r>
              <w:rPr>
                <w:rFonts w:hint="eastAsia"/>
                <w:color w:val="auto"/>
                <w:highlight w:val="none"/>
                <w:lang w:val="en-US" w:eastAsia="zh-CN"/>
              </w:rPr>
              <w:t>四川遂宁安居经济开发区现代装备制造产业园与四川仁寿江凌食品有限公司（本项目建设单位为该单位成立的新公司）签订了</w:t>
            </w:r>
            <w:r>
              <w:rPr>
                <w:rFonts w:hint="default"/>
                <w:color w:val="auto"/>
                <w:highlight w:val="none"/>
              </w:rPr>
              <w:t>《</w:t>
            </w:r>
            <w:r>
              <w:rPr>
                <w:rFonts w:hint="eastAsia"/>
                <w:color w:val="auto"/>
                <w:highlight w:val="none"/>
                <w:lang w:val="en-US" w:eastAsia="zh-CN"/>
              </w:rPr>
              <w:t>投资协议书</w:t>
            </w:r>
            <w:r>
              <w:rPr>
                <w:rFonts w:hint="default"/>
                <w:color w:val="auto"/>
                <w:highlight w:val="none"/>
              </w:rPr>
              <w:t>》</w:t>
            </w:r>
            <w:r>
              <w:rPr>
                <w:rFonts w:hint="eastAsia"/>
                <w:color w:val="auto"/>
                <w:highlight w:val="none"/>
                <w:lang w:eastAsia="zh-CN"/>
              </w:rPr>
              <w:t>（</w:t>
            </w:r>
            <w:r>
              <w:rPr>
                <w:rFonts w:hint="eastAsia"/>
                <w:color w:val="auto"/>
                <w:highlight w:val="none"/>
                <w:lang w:val="en-US" w:eastAsia="zh-CN"/>
              </w:rPr>
              <w:t>见附件5</w:t>
            </w:r>
            <w:r>
              <w:rPr>
                <w:rFonts w:hint="eastAsia"/>
                <w:color w:val="auto"/>
                <w:highlight w:val="none"/>
                <w:lang w:eastAsia="zh-CN"/>
              </w:rPr>
              <w:t>）</w:t>
            </w:r>
            <w:r>
              <w:rPr>
                <w:rFonts w:hint="default"/>
                <w:color w:val="auto"/>
                <w:highlight w:val="none"/>
              </w:rPr>
              <w:t>，明确本项目符合园区规划和环评要求，同意企业入园建设。</w:t>
            </w:r>
          </w:p>
          <w:p w14:paraId="0FCAA7F2">
            <w:pPr>
              <w:bidi w:val="0"/>
              <w:rPr>
                <w:color w:val="auto"/>
                <w:kern w:val="0"/>
                <w:sz w:val="24"/>
                <w:highlight w:val="none"/>
              </w:rPr>
            </w:pPr>
            <w:r>
              <w:rPr>
                <w:rFonts w:hint="default"/>
                <w:color w:val="auto"/>
                <w:highlight w:val="none"/>
              </w:rPr>
              <w:t>综上，本项目的建设与遂宁市安居区工业集中发展区（含经开区）规划相符合。</w:t>
            </w:r>
          </w:p>
        </w:tc>
      </w:tr>
      <w:tr w14:paraId="5EAB0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9" w:type="dxa"/>
            <w:vAlign w:val="center"/>
          </w:tcPr>
          <w:p w14:paraId="06F49531">
            <w:pPr>
              <w:pStyle w:val="93"/>
              <w:bidi w:val="0"/>
              <w:rPr>
                <w:rFonts w:ascii="Times New Roman" w:hAnsi="Times New Roman"/>
                <w:color w:val="auto"/>
                <w:highlight w:val="none"/>
              </w:rPr>
            </w:pPr>
            <w:bookmarkStart w:id="7" w:name="_Toc13384"/>
            <w:r>
              <w:rPr>
                <w:b/>
                <w:bCs/>
                <w:color w:val="auto"/>
                <w:highlight w:val="none"/>
              </w:rPr>
              <w:t>其他符合性分析</w:t>
            </w:r>
            <w:bookmarkEnd w:id="7"/>
          </w:p>
        </w:tc>
        <w:tc>
          <w:tcPr>
            <w:tcW w:w="8067" w:type="dxa"/>
            <w:gridSpan w:val="3"/>
          </w:tcPr>
          <w:p w14:paraId="4BD98D87">
            <w:pPr>
              <w:spacing w:line="360" w:lineRule="auto"/>
              <w:ind w:firstLine="482" w:firstLineChars="200"/>
              <w:rPr>
                <w:rFonts w:hint="eastAsia"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1、产业政策符合性分析</w:t>
            </w:r>
          </w:p>
          <w:p w14:paraId="58999A52">
            <w:pPr>
              <w:widowControl/>
              <w:ind w:firstLine="480"/>
              <w:jc w:val="both"/>
              <w:rPr>
                <w:color w:val="auto"/>
                <w:sz w:val="24"/>
                <w:highlight w:val="none"/>
              </w:rPr>
            </w:pPr>
            <w:r>
              <w:rPr>
                <w:color w:val="auto"/>
                <w:sz w:val="24"/>
                <w:highlight w:val="none"/>
              </w:rPr>
              <w:t>根据《国民经济行业分类》（GB/T4754-2017）（2019年1号文修订），</w:t>
            </w:r>
            <w:r>
              <w:rPr>
                <w:rFonts w:hint="eastAsia"/>
                <w:color w:val="auto"/>
                <w:sz w:val="24"/>
                <w:highlight w:val="none"/>
              </w:rPr>
              <w:t>本项目属于C1371蔬菜加工</w:t>
            </w:r>
            <w:r>
              <w:rPr>
                <w:rFonts w:hint="eastAsia"/>
                <w:color w:val="auto"/>
                <w:sz w:val="24"/>
                <w:highlight w:val="none"/>
                <w:lang w:eastAsia="zh-CN"/>
              </w:rPr>
              <w:t>、C1451肉、禽类罐头制造、C2223加工纸制造</w:t>
            </w:r>
            <w:r>
              <w:rPr>
                <w:color w:val="auto"/>
                <w:sz w:val="24"/>
                <w:highlight w:val="none"/>
              </w:rPr>
              <w:t>，根据《产业结构调整指导目录（</w:t>
            </w:r>
            <w:r>
              <w:rPr>
                <w:rFonts w:hint="eastAsia"/>
                <w:color w:val="auto"/>
                <w:sz w:val="24"/>
                <w:highlight w:val="none"/>
                <w:lang w:val="en-US" w:eastAsia="zh-CN"/>
              </w:rPr>
              <w:t>2024</w:t>
            </w:r>
            <w:r>
              <w:rPr>
                <w:color w:val="auto"/>
                <w:sz w:val="24"/>
                <w:highlight w:val="none"/>
              </w:rPr>
              <w:t>年本）》和国务院关于发布实施《促进产业结构调整暂行规定》（国发〔2005〕40号）的规定，</w:t>
            </w:r>
            <w:r>
              <w:rPr>
                <w:rFonts w:hint="eastAsia"/>
                <w:color w:val="auto"/>
                <w:sz w:val="24"/>
                <w:highlight w:val="none"/>
                <w:lang w:eastAsia="zh-CN"/>
              </w:rPr>
              <w:t>本项目</w:t>
            </w:r>
            <w:r>
              <w:rPr>
                <w:color w:val="auto"/>
                <w:sz w:val="24"/>
                <w:highlight w:val="none"/>
              </w:rPr>
              <w:t>不属于其中的鼓励类、限制类和淘汰类，因此</w:t>
            </w:r>
            <w:r>
              <w:rPr>
                <w:rFonts w:hint="eastAsia"/>
                <w:color w:val="auto"/>
                <w:sz w:val="24"/>
                <w:highlight w:val="none"/>
                <w:lang w:eastAsia="zh-CN"/>
              </w:rPr>
              <w:t>本项目</w:t>
            </w:r>
            <w:r>
              <w:rPr>
                <w:color w:val="auto"/>
                <w:sz w:val="24"/>
                <w:highlight w:val="none"/>
              </w:rPr>
              <w:t>视为允许类。此外，项目所用的生产设备均不属于《产业结构调整指导目录（</w:t>
            </w:r>
            <w:r>
              <w:rPr>
                <w:rFonts w:hint="eastAsia"/>
                <w:color w:val="auto"/>
                <w:sz w:val="24"/>
                <w:highlight w:val="none"/>
                <w:lang w:val="en-US" w:eastAsia="zh-CN"/>
              </w:rPr>
              <w:t>2024</w:t>
            </w:r>
            <w:r>
              <w:rPr>
                <w:color w:val="auto"/>
                <w:sz w:val="24"/>
                <w:highlight w:val="none"/>
              </w:rPr>
              <w:t>年本）》中的落后和淘汰生产设备之列。</w:t>
            </w:r>
          </w:p>
          <w:p w14:paraId="035D8B31">
            <w:pPr>
              <w:widowControl/>
              <w:ind w:firstLine="480"/>
              <w:jc w:val="both"/>
              <w:rPr>
                <w:color w:val="auto"/>
                <w:sz w:val="24"/>
                <w:highlight w:val="none"/>
              </w:rPr>
            </w:pPr>
            <w:r>
              <w:rPr>
                <w:rFonts w:hint="eastAsia"/>
                <w:color w:val="auto"/>
                <w:sz w:val="24"/>
                <w:highlight w:val="none"/>
                <w:lang w:val="en-US" w:eastAsia="zh-CN"/>
              </w:rPr>
              <w:t>同时，安居区发展和改革局</w:t>
            </w:r>
            <w:r>
              <w:rPr>
                <w:rFonts w:hint="eastAsia" w:cstheme="minorHAnsi"/>
                <w:color w:val="auto"/>
                <w:kern w:val="24"/>
                <w:sz w:val="24"/>
                <w:szCs w:val="20"/>
                <w:highlight w:val="none"/>
              </w:rPr>
              <w:t>对本项目进行了备案，备案号：川投资备【</w:t>
            </w:r>
            <w:r>
              <w:rPr>
                <w:rFonts w:hint="eastAsia" w:cstheme="minorHAnsi"/>
                <w:color w:val="auto"/>
                <w:kern w:val="24"/>
                <w:sz w:val="24"/>
                <w:szCs w:val="20"/>
                <w:highlight w:val="none"/>
                <w:lang w:eastAsia="zh-CN"/>
              </w:rPr>
              <w:t>2405-510904-04-01-510318</w:t>
            </w:r>
            <w:r>
              <w:rPr>
                <w:rFonts w:hint="eastAsia" w:cstheme="minorHAnsi"/>
                <w:color w:val="auto"/>
                <w:kern w:val="24"/>
                <w:sz w:val="24"/>
                <w:szCs w:val="20"/>
                <w:highlight w:val="none"/>
              </w:rPr>
              <w:t>】</w:t>
            </w:r>
            <w:r>
              <w:rPr>
                <w:rFonts w:hint="eastAsia" w:cstheme="minorHAnsi"/>
                <w:color w:val="auto"/>
                <w:kern w:val="24"/>
                <w:sz w:val="24"/>
                <w:szCs w:val="20"/>
                <w:highlight w:val="none"/>
                <w:lang w:eastAsia="zh-CN"/>
              </w:rPr>
              <w:t>FGQB-0064</w:t>
            </w:r>
            <w:r>
              <w:rPr>
                <w:color w:val="auto"/>
                <w:sz w:val="24"/>
                <w:highlight w:val="none"/>
              </w:rPr>
              <w:t>。</w:t>
            </w:r>
          </w:p>
          <w:p w14:paraId="6EF465C3">
            <w:pPr>
              <w:widowControl/>
              <w:ind w:firstLine="480"/>
              <w:jc w:val="both"/>
              <w:rPr>
                <w:rFonts w:hint="eastAsia" w:eastAsia="宋体"/>
                <w:color w:val="auto"/>
                <w:sz w:val="24"/>
                <w:highlight w:val="none"/>
                <w:lang w:eastAsia="zh-CN"/>
              </w:rPr>
            </w:pPr>
            <w:r>
              <w:rPr>
                <w:color w:val="auto"/>
                <w:sz w:val="24"/>
                <w:highlight w:val="none"/>
              </w:rPr>
              <w:t>因此，</w:t>
            </w:r>
            <w:r>
              <w:rPr>
                <w:rFonts w:hint="eastAsia"/>
                <w:color w:val="auto"/>
                <w:sz w:val="24"/>
                <w:highlight w:val="none"/>
                <w:lang w:eastAsia="zh-CN"/>
              </w:rPr>
              <w:t>本项目</w:t>
            </w:r>
            <w:r>
              <w:rPr>
                <w:color w:val="auto"/>
                <w:sz w:val="24"/>
                <w:highlight w:val="none"/>
              </w:rPr>
              <w:t>建设符合国家现行产业政策</w:t>
            </w:r>
            <w:r>
              <w:rPr>
                <w:rFonts w:hint="eastAsia"/>
                <w:color w:val="auto"/>
                <w:highlight w:val="none"/>
                <w:lang w:eastAsia="zh-CN"/>
              </w:rPr>
              <w:t>。</w:t>
            </w:r>
          </w:p>
          <w:p w14:paraId="3EEF858A">
            <w:pPr>
              <w:spacing w:line="360" w:lineRule="auto"/>
              <w:ind w:firstLine="482" w:firstLineChars="200"/>
              <w:rPr>
                <w:rFonts w:hint="default"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2、用地规划符合性</w:t>
            </w:r>
          </w:p>
          <w:p w14:paraId="0FBF63A2">
            <w:pPr>
              <w:bidi w:val="0"/>
              <w:rPr>
                <w:rFonts w:hint="default" w:ascii="Times New Roman" w:hAnsi="Times New Roman" w:cs="Times New Roman"/>
                <w:color w:val="auto"/>
                <w:highlight w:val="none"/>
              </w:rPr>
            </w:pPr>
            <w:r>
              <w:rPr>
                <w:rFonts w:hint="eastAsia" w:cs="Times New Roman"/>
                <w:color w:val="auto"/>
                <w:sz w:val="24"/>
                <w:szCs w:val="24"/>
                <w:highlight w:val="none"/>
              </w:rPr>
              <w:t>本项目位于</w:t>
            </w:r>
            <w:r>
              <w:rPr>
                <w:rFonts w:hint="eastAsia" w:cs="Times New Roman"/>
                <w:color w:val="auto"/>
                <w:sz w:val="24"/>
                <w:szCs w:val="24"/>
                <w:highlight w:val="none"/>
                <w:lang w:eastAsia="zh-CN"/>
              </w:rPr>
              <w:t>四川省遂宁市安居区省级经济开发区现代装备制造产业园区4-5</w:t>
            </w:r>
            <w:r>
              <w:rPr>
                <w:rFonts w:hint="eastAsia" w:cs="Times New Roman"/>
                <w:color w:val="auto"/>
                <w:sz w:val="24"/>
                <w:szCs w:val="24"/>
                <w:highlight w:val="none"/>
              </w:rPr>
              <w:t>，</w:t>
            </w:r>
            <w:r>
              <w:rPr>
                <w:rFonts w:hint="eastAsia" w:cs="Times New Roman"/>
                <w:color w:val="auto"/>
                <w:sz w:val="24"/>
                <w:szCs w:val="24"/>
                <w:highlight w:val="none"/>
                <w:lang w:val="en-US" w:eastAsia="zh-CN"/>
              </w:rPr>
              <w:t>为购买此地块进行项目的建设</w:t>
            </w:r>
            <w:r>
              <w:rPr>
                <w:rFonts w:hint="eastAsia" w:cs="Times New Roman"/>
                <w:color w:val="auto"/>
                <w:sz w:val="24"/>
                <w:szCs w:val="24"/>
                <w:highlight w:val="none"/>
              </w:rPr>
              <w:t>，</w:t>
            </w:r>
            <w:r>
              <w:rPr>
                <w:rFonts w:hint="eastAsia" w:cs="Times New Roman"/>
                <w:color w:val="auto"/>
                <w:kern w:val="0"/>
                <w:sz w:val="24"/>
                <w:highlight w:val="none"/>
                <w:lang w:val="en-US" w:eastAsia="zh-CN" w:bidi="ar"/>
              </w:rPr>
              <w:t>根据遂宁市安居区工业集中发展区控制性详细规划（附图4），本项目所占地块为二类工业用地；</w:t>
            </w:r>
            <w:r>
              <w:rPr>
                <w:rFonts w:hint="eastAsia" w:ascii="Times New Roman" w:hAnsi="Times New Roman" w:eastAsia="宋体" w:cs="Times New Roman"/>
                <w:color w:val="auto"/>
                <w:kern w:val="0"/>
                <w:sz w:val="24"/>
                <w:highlight w:val="none"/>
                <w:lang w:bidi="ar"/>
              </w:rPr>
              <w:t>根据</w:t>
            </w:r>
            <w:r>
              <w:rPr>
                <w:rFonts w:hint="eastAsia" w:cs="Times New Roman"/>
                <w:color w:val="auto"/>
                <w:kern w:val="0"/>
                <w:sz w:val="24"/>
                <w:highlight w:val="none"/>
                <w:lang w:val="en-US" w:eastAsia="zh-CN" w:bidi="ar"/>
              </w:rPr>
              <w:t>遂宁市安居区行政审批和数据局颁发的建设项目规划许可证</w:t>
            </w:r>
            <w:r>
              <w:rPr>
                <w:rFonts w:hint="eastAsia" w:ascii="Times New Roman" w:hAnsi="Times New Roman" w:eastAsia="宋体" w:cs="Times New Roman"/>
                <w:color w:val="auto"/>
                <w:kern w:val="0"/>
                <w:sz w:val="24"/>
                <w:highlight w:val="none"/>
                <w:lang w:eastAsia="zh-CN" w:bidi="ar"/>
              </w:rPr>
              <w:t>（</w:t>
            </w:r>
            <w:r>
              <w:rPr>
                <w:rFonts w:hint="eastAsia" w:cs="Times New Roman"/>
                <w:color w:val="auto"/>
                <w:kern w:val="0"/>
                <w:sz w:val="24"/>
                <w:highlight w:val="none"/>
                <w:lang w:val="en-US" w:eastAsia="zh-CN" w:bidi="ar"/>
              </w:rPr>
              <w:t>附件5</w:t>
            </w:r>
            <w:r>
              <w:rPr>
                <w:rFonts w:hint="eastAsia" w:ascii="Times New Roman" w:hAnsi="Times New Roman" w:eastAsia="宋体"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kern w:val="0"/>
                <w:sz w:val="24"/>
                <w:highlight w:val="none"/>
                <w:lang w:val="en-US" w:eastAsia="zh-CN" w:bidi="ar"/>
              </w:rPr>
              <w:t>本项目用地类型为</w:t>
            </w:r>
            <w:r>
              <w:rPr>
                <w:rFonts w:hint="eastAsia" w:cs="Times New Roman"/>
                <w:color w:val="auto"/>
                <w:kern w:val="0"/>
                <w:sz w:val="24"/>
                <w:highlight w:val="none"/>
                <w:lang w:val="en-US" w:eastAsia="zh-CN" w:bidi="ar"/>
              </w:rPr>
              <w:t>二类</w:t>
            </w:r>
            <w:r>
              <w:rPr>
                <w:rFonts w:hint="eastAsia" w:ascii="Times New Roman" w:hAnsi="Times New Roman" w:eastAsia="宋体" w:cs="Times New Roman"/>
                <w:color w:val="auto"/>
                <w:kern w:val="0"/>
                <w:sz w:val="24"/>
                <w:highlight w:val="none"/>
                <w:lang w:val="en-US" w:eastAsia="zh-CN" w:bidi="ar"/>
              </w:rPr>
              <w:t>工业用地</w:t>
            </w:r>
            <w:r>
              <w:rPr>
                <w:rFonts w:hint="eastAsia" w:cs="Times New Roman"/>
                <w:color w:val="auto"/>
                <w:sz w:val="24"/>
                <w:szCs w:val="24"/>
                <w:highlight w:val="none"/>
                <w:lang w:val="en-US" w:eastAsia="zh-CN"/>
              </w:rPr>
              <w:t>。</w:t>
            </w:r>
            <w:r>
              <w:rPr>
                <w:rFonts w:hint="default" w:ascii="Times New Roman" w:hAnsi="Times New Roman" w:cs="Times New Roman"/>
                <w:color w:val="auto"/>
                <w:highlight w:val="none"/>
              </w:rPr>
              <w:t>因此，本项目选址符合</w:t>
            </w:r>
            <w:r>
              <w:rPr>
                <w:rFonts w:hint="eastAsia" w:cs="Times New Roman"/>
                <w:color w:val="auto"/>
                <w:highlight w:val="none"/>
                <w:lang w:val="en-US" w:eastAsia="zh-CN"/>
              </w:rPr>
              <w:t>相关用地</w:t>
            </w:r>
            <w:r>
              <w:rPr>
                <w:rFonts w:hint="default" w:ascii="Times New Roman" w:hAnsi="Times New Roman" w:cs="Times New Roman"/>
                <w:color w:val="auto"/>
                <w:highlight w:val="none"/>
              </w:rPr>
              <w:t>规划要求。</w:t>
            </w:r>
          </w:p>
          <w:p w14:paraId="150B8A70">
            <w:pPr>
              <w:spacing w:line="360" w:lineRule="auto"/>
              <w:ind w:firstLine="482" w:firstLineChars="200"/>
              <w:rPr>
                <w:rFonts w:hint="default"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3、与生态环境管控单元符合性分析</w:t>
            </w:r>
          </w:p>
          <w:p w14:paraId="7CA2C119">
            <w:pPr>
              <w:widowControl/>
              <w:ind w:firstLine="480"/>
              <w:rPr>
                <w:color w:val="auto"/>
                <w:sz w:val="24"/>
                <w:highlight w:val="none"/>
              </w:rPr>
            </w:pPr>
            <w:r>
              <w:rPr>
                <w:rFonts w:hint="eastAsia"/>
                <w:color w:val="auto"/>
                <w:sz w:val="24"/>
                <w:highlight w:val="none"/>
              </w:rPr>
              <w:t>根据《四川省生态环境厅办公室关于印发&lt;产业园区规划环评“三线一单”符合性分析技术要点（试行）&gt;和&lt;项目环评“三线一单”符合性分析技术要点（试行）&gt;的通知》（川环办函〔2021〕469号）四川省实施生态环境分区管控的有关工作部署，探索形成“区域环评—规划环评—项目环评”联动管理体系。本项目为</w:t>
            </w:r>
            <w:r>
              <w:rPr>
                <w:rFonts w:hint="eastAsia"/>
                <w:color w:val="auto"/>
                <w:sz w:val="24"/>
                <w:highlight w:val="none"/>
                <w:lang w:val="en-US" w:eastAsia="zh-CN"/>
              </w:rPr>
              <w:t>食品制造项目</w:t>
            </w:r>
            <w:r>
              <w:rPr>
                <w:rFonts w:hint="eastAsia"/>
                <w:color w:val="auto"/>
                <w:sz w:val="24"/>
                <w:highlight w:val="none"/>
              </w:rPr>
              <w:t>，属于一般建设项目中的污染类建设项目，建设项目的“分区管控”符合性分析可通过分析项目选址、平面布置及建设、运行方案与环境管控单元及生态环境准入清单的符合性展开。</w:t>
            </w:r>
          </w:p>
          <w:p w14:paraId="2CA01E71">
            <w:pPr>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eastAsia="zh-CN"/>
              </w:rPr>
              <w:t>（</w:t>
            </w:r>
            <w:r>
              <w:rPr>
                <w:rFonts w:hint="eastAsia"/>
                <w:b/>
                <w:bCs/>
                <w:color w:val="auto"/>
                <w:sz w:val="24"/>
                <w:highlight w:val="none"/>
                <w:lang w:val="en-US" w:eastAsia="zh-CN"/>
              </w:rPr>
              <w:t>1</w:t>
            </w:r>
            <w:r>
              <w:rPr>
                <w:rFonts w:hint="eastAsia"/>
                <w:b/>
                <w:bCs/>
                <w:color w:val="auto"/>
                <w:sz w:val="24"/>
                <w:highlight w:val="none"/>
                <w:lang w:eastAsia="zh-CN"/>
              </w:rPr>
              <w:t>）</w:t>
            </w:r>
            <w:r>
              <w:rPr>
                <w:rFonts w:hint="eastAsia"/>
                <w:b/>
                <w:bCs/>
                <w:color w:val="auto"/>
                <w:sz w:val="24"/>
                <w:highlight w:val="none"/>
                <w:lang w:val="en-US" w:eastAsia="zh-CN"/>
              </w:rPr>
              <w:t>环境管控单元</w:t>
            </w:r>
          </w:p>
          <w:p w14:paraId="796DD9C5">
            <w:pPr>
              <w:bidi w:val="0"/>
              <w:rPr>
                <w:rFonts w:hint="eastAsia"/>
                <w:lang w:eastAsia="zh-CN"/>
              </w:rPr>
            </w:pPr>
            <w:r>
              <w:rPr>
                <w:rFonts w:hint="eastAsia"/>
                <w:lang w:eastAsia="zh-CN"/>
              </w:rPr>
              <w:t>本项目</w:t>
            </w:r>
            <w:r>
              <w:t>位于</w:t>
            </w:r>
            <w:r>
              <w:rPr>
                <w:rFonts w:hint="eastAsia"/>
                <w:lang w:eastAsia="zh-CN"/>
              </w:rPr>
              <w:t>四川省遂宁市安居区省级经济开发区现代装备制造产业园区4-5</w:t>
            </w:r>
            <w:r>
              <w:t>，经查询四川政务服务网“</w:t>
            </w:r>
            <w:r>
              <w:rPr>
                <w:rFonts w:hint="eastAsia"/>
                <w:lang w:val="en-US" w:eastAsia="zh-CN"/>
              </w:rPr>
              <w:t>生态环境分区管控公众服务</w:t>
            </w:r>
            <w:r>
              <w:t>”在线系统，</w:t>
            </w:r>
            <w:r>
              <w:rPr>
                <w:rFonts w:hint="eastAsia"/>
                <w:lang w:eastAsia="zh-CN"/>
              </w:rPr>
              <w:t>本项目</w:t>
            </w:r>
            <w:r>
              <w:rPr>
                <w:rFonts w:hint="eastAsia"/>
                <w:lang w:val="en-US" w:eastAsia="zh-CN"/>
              </w:rPr>
              <w:t>涉及有环境管控单元</w:t>
            </w:r>
            <w:r>
              <w:rPr>
                <w:rFonts w:hint="eastAsia"/>
                <w:lang w:eastAsia="zh-CN"/>
              </w:rPr>
              <w:t>遂宁市安居区工业集中发展区（含经开区）重点管控单元，管控单元</w:t>
            </w:r>
            <w:r>
              <w:rPr>
                <w:rFonts w:hint="eastAsia"/>
                <w:lang w:val="en-US" w:eastAsia="zh-CN"/>
              </w:rPr>
              <w:t>编码</w:t>
            </w:r>
            <w:r>
              <w:rPr>
                <w:rFonts w:hint="eastAsia"/>
                <w:lang w:eastAsia="zh-CN"/>
              </w:rPr>
              <w:t>：ZH51090420003；</w:t>
            </w:r>
            <w:r>
              <w:rPr>
                <w:rFonts w:hint="eastAsia"/>
                <w:lang w:val="en-US" w:eastAsia="zh-CN"/>
              </w:rPr>
              <w:t>涉及有环境要素管控单元安居区其他区域一般控制区，管控分区编码：YS5109043110001</w:t>
            </w:r>
            <w:r>
              <w:rPr>
                <w:rFonts w:hint="eastAsia"/>
                <w:lang w:eastAsia="zh-CN"/>
              </w:rPr>
              <w:t>。</w:t>
            </w:r>
          </w:p>
          <w:p w14:paraId="64DDA925">
            <w:pPr>
              <w:bidi w:val="0"/>
              <w:rPr>
                <w:rFonts w:hint="default" w:eastAsia="宋体"/>
                <w:lang w:val="en-US" w:eastAsia="zh-CN"/>
              </w:rPr>
            </w:pPr>
            <w:r>
              <w:rPr>
                <w:rFonts w:hint="eastAsia"/>
                <w:lang w:val="en-US" w:eastAsia="zh-CN"/>
              </w:rPr>
              <w:t>本项目涉及生态环境管控单元，见下表：</w:t>
            </w:r>
          </w:p>
          <w:p w14:paraId="4550B53D">
            <w:pPr>
              <w:pStyle w:val="14"/>
              <w:keepNext w:val="0"/>
              <w:keepLines w:val="0"/>
              <w:pageBreakBefore w:val="0"/>
              <w:widowControl w:val="0"/>
              <w:kinsoku/>
              <w:wordWrap/>
              <w:overflowPunct/>
              <w:topLinePunct w:val="0"/>
              <w:autoSpaceDE w:val="0"/>
              <w:autoSpaceDN w:val="0"/>
              <w:bidi w:val="0"/>
              <w:adjustRightInd w:val="0"/>
              <w:snapToGrid w:val="0"/>
              <w:spacing w:before="0" w:beforeLines="0"/>
              <w:textAlignment w:val="auto"/>
              <w:rPr>
                <w:color w:val="auto"/>
                <w:highlight w:val="none"/>
              </w:rPr>
            </w:pPr>
            <w:r>
              <w:rPr>
                <w:color w:val="auto"/>
                <w:highlight w:val="none"/>
              </w:rPr>
              <w:t xml:space="preserve">表1- </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lang w:val="en-US" w:eastAsia="zh-CN"/>
              </w:rPr>
              <w:t xml:space="preserve">  </w:t>
            </w:r>
            <w:r>
              <w:rPr>
                <w:rFonts w:hint="eastAsia"/>
                <w:color w:val="auto"/>
                <w:highlight w:val="none"/>
              </w:rPr>
              <w:t>项目</w:t>
            </w:r>
            <w:r>
              <w:rPr>
                <w:rFonts w:hint="eastAsia"/>
                <w:color w:val="auto"/>
                <w:highlight w:val="none"/>
                <w:lang w:val="en-US" w:eastAsia="zh-CN"/>
              </w:rPr>
              <w:t>涉及生态</w:t>
            </w:r>
            <w:r>
              <w:rPr>
                <w:rFonts w:hint="eastAsia"/>
                <w:color w:val="auto"/>
                <w:highlight w:val="none"/>
              </w:rPr>
              <w:t>环境管控单元类别一览表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2078"/>
              <w:gridCol w:w="1064"/>
              <w:gridCol w:w="2398"/>
            </w:tblGrid>
            <w:tr w14:paraId="3FB0E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08" w:type="dxa"/>
                  <w:tcBorders>
                    <w:bottom w:val="single" w:color="000000" w:sz="4" w:space="0"/>
                    <w:tl2br w:val="nil"/>
                    <w:tr2bl w:val="nil"/>
                  </w:tcBorders>
                  <w:shd w:val="clear" w:color="auto" w:fill="auto"/>
                  <w:vAlign w:val="center"/>
                </w:tcPr>
                <w:p w14:paraId="3CE7515D">
                  <w:pPr>
                    <w:pStyle w:val="106"/>
                    <w:bidi w:val="0"/>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b/>
                      <w:bCs/>
                      <w:color w:val="auto"/>
                      <w:highlight w:val="none"/>
                    </w:rPr>
                    <w:t>环境管控单元名称</w:t>
                  </w:r>
                </w:p>
              </w:tc>
              <w:tc>
                <w:tcPr>
                  <w:tcW w:w="2075" w:type="dxa"/>
                  <w:tcBorders>
                    <w:bottom w:val="single" w:color="000000" w:sz="4" w:space="0"/>
                    <w:tl2br w:val="nil"/>
                    <w:tr2bl w:val="nil"/>
                  </w:tcBorders>
                  <w:vAlign w:val="center"/>
                </w:tcPr>
                <w:p w14:paraId="2443D151">
                  <w:pPr>
                    <w:pStyle w:val="106"/>
                    <w:bidi w:val="0"/>
                    <w:jc w:val="center"/>
                    <w:rPr>
                      <w:b/>
                      <w:bCs/>
                      <w:color w:val="auto"/>
                      <w:highlight w:val="none"/>
                    </w:rPr>
                  </w:pPr>
                  <w:r>
                    <w:rPr>
                      <w:b/>
                      <w:bCs/>
                      <w:color w:val="auto"/>
                      <w:highlight w:val="none"/>
                    </w:rPr>
                    <w:t>环境管控单元编码</w:t>
                  </w:r>
                </w:p>
              </w:tc>
              <w:tc>
                <w:tcPr>
                  <w:tcW w:w="1063" w:type="dxa"/>
                  <w:tcBorders>
                    <w:bottom w:val="single" w:color="000000" w:sz="4" w:space="0"/>
                    <w:tl2br w:val="nil"/>
                    <w:tr2bl w:val="nil"/>
                  </w:tcBorders>
                  <w:vAlign w:val="center"/>
                </w:tcPr>
                <w:p w14:paraId="55E9C08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eastAsia="宋体"/>
                      <w:b/>
                      <w:bCs/>
                      <w:color w:val="auto"/>
                      <w:highlight w:val="none"/>
                      <w:lang w:val="en-US" w:eastAsia="zh-CN"/>
                    </w:rPr>
                  </w:pPr>
                  <w:r>
                    <w:rPr>
                      <w:rFonts w:hint="eastAsia"/>
                      <w:b/>
                      <w:bCs/>
                      <w:color w:val="auto"/>
                      <w:highlight w:val="none"/>
                      <w:lang w:val="en-US" w:eastAsia="zh-CN"/>
                    </w:rPr>
                    <w:t>行政区划</w:t>
                  </w:r>
                </w:p>
              </w:tc>
              <w:tc>
                <w:tcPr>
                  <w:tcW w:w="2395" w:type="dxa"/>
                  <w:tcBorders>
                    <w:bottom w:val="single" w:color="000000" w:sz="4" w:space="0"/>
                    <w:tl2br w:val="nil"/>
                    <w:tr2bl w:val="nil"/>
                  </w:tcBorders>
                  <w:vAlign w:val="center"/>
                </w:tcPr>
                <w:p w14:paraId="2A3D2CF7">
                  <w:pPr>
                    <w:pStyle w:val="106"/>
                    <w:bidi w:val="0"/>
                    <w:jc w:val="center"/>
                    <w:rPr>
                      <w:b/>
                      <w:bCs/>
                      <w:color w:val="auto"/>
                      <w:highlight w:val="none"/>
                    </w:rPr>
                  </w:pPr>
                  <w:r>
                    <w:rPr>
                      <w:rFonts w:hint="eastAsia"/>
                      <w:b/>
                      <w:bCs/>
                      <w:color w:val="auto"/>
                      <w:highlight w:val="none"/>
                      <w:lang w:val="en-US" w:eastAsia="zh-CN"/>
                    </w:rPr>
                    <w:t>环境</w:t>
                  </w:r>
                  <w:r>
                    <w:rPr>
                      <w:b/>
                      <w:bCs/>
                      <w:color w:val="auto"/>
                      <w:highlight w:val="none"/>
                    </w:rPr>
                    <w:t>管控</w:t>
                  </w:r>
                  <w:r>
                    <w:rPr>
                      <w:rFonts w:hint="eastAsia"/>
                      <w:b/>
                      <w:bCs/>
                      <w:color w:val="auto"/>
                      <w:highlight w:val="none"/>
                      <w:lang w:val="en-US" w:eastAsia="zh-CN"/>
                    </w:rPr>
                    <w:t>单元</w:t>
                  </w:r>
                  <w:r>
                    <w:rPr>
                      <w:b/>
                      <w:bCs/>
                      <w:color w:val="auto"/>
                      <w:highlight w:val="none"/>
                    </w:rPr>
                    <w:t>类型</w:t>
                  </w:r>
                </w:p>
              </w:tc>
            </w:tr>
            <w:tr w14:paraId="766A0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08" w:type="dxa"/>
                  <w:tcBorders>
                    <w:top w:val="single" w:color="000000" w:sz="4" w:space="0"/>
                    <w:tl2br w:val="nil"/>
                    <w:tr2bl w:val="nil"/>
                  </w:tcBorders>
                  <w:shd w:val="clear" w:color="auto" w:fill="auto"/>
                  <w:vAlign w:val="center"/>
                </w:tcPr>
                <w:p w14:paraId="399E8C7B">
                  <w:pPr>
                    <w:pStyle w:val="106"/>
                    <w:bidi w:val="0"/>
                    <w:ind w:firstLine="0" w:firstLineChars="0"/>
                    <w:jc w:val="center"/>
                    <w:rPr>
                      <w:rFonts w:hint="eastAsia" w:ascii="Times New Roman" w:hAnsi="Times New Roman" w:eastAsia="宋体" w:cs="Times New Roman"/>
                      <w:kern w:val="2"/>
                      <w:sz w:val="21"/>
                      <w:szCs w:val="21"/>
                      <w:lang w:val="en-US" w:eastAsia="zh-CN" w:bidi="ar-SA"/>
                    </w:rPr>
                  </w:pPr>
                  <w:r>
                    <w:rPr>
                      <w:rFonts w:hint="eastAsia"/>
                      <w:lang w:val="en-US" w:eastAsia="zh-CN"/>
                    </w:rPr>
                    <w:t>遂宁市安居区工业集中发展区（含经开区）</w:t>
                  </w:r>
                </w:p>
              </w:tc>
              <w:tc>
                <w:tcPr>
                  <w:tcW w:w="2075" w:type="dxa"/>
                  <w:tcBorders>
                    <w:top w:val="single" w:color="000000" w:sz="4" w:space="0"/>
                    <w:tl2br w:val="nil"/>
                    <w:tr2bl w:val="nil"/>
                  </w:tcBorders>
                  <w:vAlign w:val="center"/>
                </w:tcPr>
                <w:p w14:paraId="20A1EB19">
                  <w:pPr>
                    <w:pStyle w:val="106"/>
                    <w:bidi w:val="0"/>
                    <w:jc w:val="center"/>
                    <w:rPr>
                      <w:rFonts w:hint="eastAsia"/>
                      <w:lang w:val="en-US" w:eastAsia="zh-CN"/>
                    </w:rPr>
                  </w:pPr>
                  <w:r>
                    <w:rPr>
                      <w:rFonts w:hint="eastAsia"/>
                      <w:lang w:val="en-US" w:eastAsia="zh-CN"/>
                    </w:rPr>
                    <w:t>ZH51090420003</w:t>
                  </w:r>
                </w:p>
              </w:tc>
              <w:tc>
                <w:tcPr>
                  <w:tcW w:w="1063" w:type="dxa"/>
                  <w:tcBorders>
                    <w:top w:val="single" w:color="000000" w:sz="4" w:space="0"/>
                    <w:tl2br w:val="nil"/>
                    <w:tr2bl w:val="nil"/>
                  </w:tcBorders>
                  <w:vAlign w:val="center"/>
                </w:tcPr>
                <w:p w14:paraId="1A80A48D">
                  <w:pPr>
                    <w:pStyle w:val="106"/>
                    <w:bidi w:val="0"/>
                    <w:jc w:val="center"/>
                    <w:rPr>
                      <w:rFonts w:hint="eastAsia"/>
                      <w:lang w:val="en-US" w:eastAsia="zh-CN"/>
                    </w:rPr>
                  </w:pPr>
                  <w:r>
                    <w:rPr>
                      <w:rFonts w:hint="eastAsia"/>
                      <w:lang w:val="en-US" w:eastAsia="zh-CN"/>
                    </w:rPr>
                    <w:t>遂宁市</w:t>
                  </w:r>
                </w:p>
              </w:tc>
              <w:tc>
                <w:tcPr>
                  <w:tcW w:w="2395" w:type="dxa"/>
                  <w:tcBorders>
                    <w:top w:val="single" w:color="000000" w:sz="4" w:space="0"/>
                    <w:tl2br w:val="nil"/>
                    <w:tr2bl w:val="nil"/>
                  </w:tcBorders>
                  <w:vAlign w:val="center"/>
                </w:tcPr>
                <w:p w14:paraId="0D590A46">
                  <w:pPr>
                    <w:pStyle w:val="106"/>
                    <w:bidi w:val="0"/>
                    <w:jc w:val="center"/>
                    <w:rPr>
                      <w:rFonts w:hint="eastAsia"/>
                      <w:lang w:val="en-US" w:eastAsia="zh-CN"/>
                    </w:rPr>
                  </w:pPr>
                  <w:r>
                    <w:rPr>
                      <w:rFonts w:hint="eastAsia"/>
                      <w:lang w:val="en-US" w:eastAsia="zh-CN"/>
                    </w:rPr>
                    <w:t>环境综合管控单元工业重点管控单元</w:t>
                  </w:r>
                </w:p>
              </w:tc>
            </w:tr>
          </w:tbl>
          <w:p w14:paraId="0C4FC02E">
            <w:pPr>
              <w:keepNext w:val="0"/>
              <w:keepLines w:val="0"/>
              <w:pageBreakBefore w:val="0"/>
              <w:widowControl/>
              <w:kinsoku/>
              <w:wordWrap/>
              <w:overflowPunct/>
              <w:topLinePunct w:val="0"/>
              <w:autoSpaceDE w:val="0"/>
              <w:autoSpaceDN w:val="0"/>
              <w:bidi w:val="0"/>
              <w:adjustRightInd w:val="0"/>
              <w:snapToGrid w:val="0"/>
              <w:spacing w:before="157" w:beforeLines="50"/>
              <w:ind w:firstLine="480"/>
              <w:textAlignment w:val="auto"/>
              <w:rPr>
                <w:rFonts w:hint="eastAsia"/>
                <w:color w:val="auto"/>
                <w:sz w:val="24"/>
                <w:highlight w:val="none"/>
                <w:lang w:eastAsia="zh-CN"/>
              </w:rPr>
            </w:pPr>
            <w:r>
              <w:rPr>
                <w:rFonts w:hint="eastAsia"/>
                <w:lang w:val="en-US" w:eastAsia="zh-CN"/>
              </w:rPr>
              <w:t>本项目涉及环境要素管控分区，见下表：</w:t>
            </w:r>
          </w:p>
          <w:p w14:paraId="10DB648C">
            <w:pPr>
              <w:pStyle w:val="14"/>
              <w:keepNext w:val="0"/>
              <w:keepLines w:val="0"/>
              <w:pageBreakBefore w:val="0"/>
              <w:widowControl w:val="0"/>
              <w:kinsoku/>
              <w:wordWrap/>
              <w:overflowPunct/>
              <w:topLinePunct w:val="0"/>
              <w:autoSpaceDE w:val="0"/>
              <w:autoSpaceDN w:val="0"/>
              <w:bidi w:val="0"/>
              <w:adjustRightInd w:val="0"/>
              <w:snapToGrid w:val="0"/>
              <w:spacing w:before="0" w:beforeLines="0"/>
              <w:textAlignment w:val="auto"/>
              <w:rPr>
                <w:rFonts w:hint="default" w:eastAsia="宋体"/>
                <w:lang w:val="en-US" w:eastAsia="zh-CN"/>
              </w:rPr>
            </w:pPr>
            <w:r>
              <w:t xml:space="preserve">表1- </w:t>
            </w:r>
            <w:r>
              <w:fldChar w:fldCharType="begin"/>
            </w:r>
            <w:r>
              <w:instrText xml:space="preserve"> SEQ 表1- \* ARABIC </w:instrText>
            </w:r>
            <w:r>
              <w:fldChar w:fldCharType="separate"/>
            </w:r>
            <w:r>
              <w:t>4</w:t>
            </w:r>
            <w:r>
              <w:fldChar w:fldCharType="end"/>
            </w:r>
            <w:r>
              <w:rPr>
                <w:rFonts w:hint="eastAsia"/>
                <w:lang w:val="en-US" w:eastAsia="zh-CN"/>
              </w:rPr>
              <w:t xml:space="preserve">  </w:t>
            </w:r>
            <w:r>
              <w:rPr>
                <w:rFonts w:hint="eastAsia"/>
                <w:color w:val="auto"/>
                <w:highlight w:val="none"/>
              </w:rPr>
              <w:t>项目</w:t>
            </w:r>
            <w:r>
              <w:rPr>
                <w:rFonts w:hint="eastAsia"/>
                <w:color w:val="auto"/>
                <w:highlight w:val="none"/>
                <w:lang w:val="en-US" w:eastAsia="zh-CN"/>
              </w:rPr>
              <w:t>涉及</w:t>
            </w:r>
            <w:r>
              <w:rPr>
                <w:rFonts w:hint="eastAsia"/>
                <w:lang w:val="en-US" w:eastAsia="zh-CN"/>
              </w:rPr>
              <w:t>环境要素管控分区</w:t>
            </w:r>
            <w:r>
              <w:rPr>
                <w:rFonts w:hint="eastAsia"/>
                <w:color w:val="auto"/>
                <w:highlight w:val="none"/>
              </w:rPr>
              <w:t>类别一览表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927"/>
              <w:gridCol w:w="851"/>
              <w:gridCol w:w="1026"/>
              <w:gridCol w:w="2386"/>
            </w:tblGrid>
            <w:tr w14:paraId="733AB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8" w:type="dxa"/>
                  <w:tcBorders>
                    <w:bottom w:val="single" w:color="000000" w:sz="4" w:space="0"/>
                    <w:tl2br w:val="nil"/>
                    <w:tr2bl w:val="nil"/>
                  </w:tcBorders>
                  <w:shd w:val="clear" w:color="auto" w:fill="auto"/>
                  <w:vAlign w:val="center"/>
                </w:tcPr>
                <w:p w14:paraId="420D4E46">
                  <w:pPr>
                    <w:pStyle w:val="106"/>
                    <w:bidi w:val="0"/>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highlight w:val="none"/>
                    </w:rPr>
                    <w:t>环境要素管控分区</w:t>
                  </w:r>
                  <w:r>
                    <w:rPr>
                      <w:b/>
                      <w:bCs/>
                      <w:color w:val="auto"/>
                      <w:highlight w:val="none"/>
                    </w:rPr>
                    <w:t>名称</w:t>
                  </w:r>
                </w:p>
              </w:tc>
              <w:tc>
                <w:tcPr>
                  <w:tcW w:w="1925" w:type="dxa"/>
                  <w:tcBorders>
                    <w:bottom w:val="single" w:color="000000" w:sz="4" w:space="0"/>
                    <w:tl2br w:val="nil"/>
                    <w:tr2bl w:val="nil"/>
                  </w:tcBorders>
                  <w:vAlign w:val="center"/>
                </w:tcPr>
                <w:p w14:paraId="55A21EB9">
                  <w:pPr>
                    <w:pStyle w:val="106"/>
                    <w:bidi w:val="0"/>
                    <w:jc w:val="center"/>
                    <w:rPr>
                      <w:b/>
                      <w:bCs/>
                      <w:color w:val="auto"/>
                      <w:highlight w:val="none"/>
                    </w:rPr>
                  </w:pPr>
                  <w:r>
                    <w:rPr>
                      <w:b/>
                      <w:bCs/>
                      <w:color w:val="auto"/>
                      <w:highlight w:val="none"/>
                    </w:rPr>
                    <w:t>环境管控单元编码</w:t>
                  </w:r>
                </w:p>
              </w:tc>
              <w:tc>
                <w:tcPr>
                  <w:tcW w:w="850" w:type="dxa"/>
                  <w:tcBorders>
                    <w:bottom w:val="single" w:color="000000" w:sz="4" w:space="0"/>
                    <w:tl2br w:val="nil"/>
                    <w:tr2bl w:val="nil"/>
                  </w:tcBorders>
                  <w:vAlign w:val="center"/>
                </w:tcPr>
                <w:p w14:paraId="0FBD32A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eastAsia="宋体"/>
                      <w:b/>
                      <w:bCs/>
                      <w:color w:val="auto"/>
                      <w:highlight w:val="none"/>
                      <w:lang w:val="en-US" w:eastAsia="zh-CN"/>
                    </w:rPr>
                  </w:pPr>
                  <w:r>
                    <w:rPr>
                      <w:rFonts w:hint="eastAsia"/>
                      <w:b/>
                      <w:bCs/>
                      <w:color w:val="auto"/>
                      <w:highlight w:val="none"/>
                      <w:lang w:val="en-US" w:eastAsia="zh-CN"/>
                    </w:rPr>
                    <w:t>行政区划</w:t>
                  </w:r>
                </w:p>
              </w:tc>
              <w:tc>
                <w:tcPr>
                  <w:tcW w:w="1025" w:type="dxa"/>
                  <w:tcBorders>
                    <w:bottom w:val="single" w:color="000000" w:sz="4" w:space="0"/>
                    <w:tl2br w:val="nil"/>
                    <w:tr2bl w:val="nil"/>
                  </w:tcBorders>
                  <w:vAlign w:val="center"/>
                </w:tcPr>
                <w:p w14:paraId="31986AC4">
                  <w:pPr>
                    <w:pStyle w:val="106"/>
                    <w:bidi w:val="0"/>
                    <w:jc w:val="center"/>
                    <w:rPr>
                      <w:rFonts w:hint="default"/>
                      <w:b/>
                      <w:bCs/>
                      <w:color w:val="auto"/>
                      <w:highlight w:val="none"/>
                      <w:lang w:val="en-US" w:eastAsia="zh-CN"/>
                    </w:rPr>
                  </w:pPr>
                  <w:r>
                    <w:rPr>
                      <w:rFonts w:hint="eastAsia"/>
                      <w:b/>
                      <w:bCs/>
                      <w:color w:val="auto"/>
                      <w:highlight w:val="none"/>
                      <w:lang w:val="en-US" w:eastAsia="zh-CN"/>
                    </w:rPr>
                    <w:t>环境要素类型</w:t>
                  </w:r>
                </w:p>
              </w:tc>
              <w:tc>
                <w:tcPr>
                  <w:tcW w:w="2383" w:type="dxa"/>
                  <w:tcBorders>
                    <w:bottom w:val="single" w:color="000000" w:sz="4" w:space="0"/>
                    <w:tl2br w:val="nil"/>
                    <w:tr2bl w:val="nil"/>
                  </w:tcBorders>
                  <w:vAlign w:val="center"/>
                </w:tcPr>
                <w:p w14:paraId="3C4E810A">
                  <w:pPr>
                    <w:pStyle w:val="106"/>
                    <w:bidi w:val="0"/>
                    <w:jc w:val="center"/>
                    <w:rPr>
                      <w:b/>
                      <w:bCs/>
                      <w:color w:val="auto"/>
                      <w:highlight w:val="none"/>
                    </w:rPr>
                  </w:pPr>
                  <w:r>
                    <w:rPr>
                      <w:rFonts w:hint="eastAsia"/>
                      <w:b/>
                      <w:bCs/>
                      <w:color w:val="auto"/>
                      <w:highlight w:val="none"/>
                      <w:lang w:val="en-US" w:eastAsia="zh-CN"/>
                    </w:rPr>
                    <w:t>环境</w:t>
                  </w:r>
                  <w:r>
                    <w:rPr>
                      <w:b/>
                      <w:bCs/>
                      <w:color w:val="auto"/>
                      <w:highlight w:val="none"/>
                    </w:rPr>
                    <w:t>管控</w:t>
                  </w:r>
                  <w:r>
                    <w:rPr>
                      <w:rFonts w:hint="eastAsia"/>
                      <w:b/>
                      <w:bCs/>
                      <w:color w:val="auto"/>
                      <w:highlight w:val="none"/>
                      <w:lang w:val="en-US" w:eastAsia="zh-CN"/>
                    </w:rPr>
                    <w:t>单元</w:t>
                  </w:r>
                  <w:r>
                    <w:rPr>
                      <w:b/>
                      <w:bCs/>
                      <w:color w:val="auto"/>
                      <w:highlight w:val="none"/>
                    </w:rPr>
                    <w:t>类型</w:t>
                  </w:r>
                </w:p>
              </w:tc>
            </w:tr>
            <w:tr w14:paraId="5CC50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8" w:type="dxa"/>
                  <w:tcBorders>
                    <w:top w:val="single" w:color="000000" w:sz="4" w:space="0"/>
                    <w:tl2br w:val="nil"/>
                    <w:tr2bl w:val="nil"/>
                  </w:tcBorders>
                  <w:shd w:val="clear" w:color="auto" w:fill="auto"/>
                  <w:vAlign w:val="center"/>
                </w:tcPr>
                <w:p w14:paraId="5B4DF317">
                  <w:pPr>
                    <w:pStyle w:val="106"/>
                    <w:bidi w:val="0"/>
                    <w:ind w:firstLine="0" w:firstLineChars="0"/>
                    <w:jc w:val="center"/>
                    <w:rPr>
                      <w:rFonts w:hint="default" w:ascii="Times New Roman" w:hAnsi="Times New Roman" w:eastAsia="宋体" w:cs="Times New Roman"/>
                      <w:kern w:val="2"/>
                      <w:sz w:val="21"/>
                      <w:szCs w:val="21"/>
                      <w:lang w:val="en-US" w:eastAsia="zh-CN" w:bidi="ar-SA"/>
                    </w:rPr>
                  </w:pPr>
                  <w:r>
                    <w:rPr>
                      <w:rFonts w:hint="eastAsia"/>
                      <w:lang w:val="en-US" w:eastAsia="zh-CN"/>
                    </w:rPr>
                    <w:t>安居区其他区域</w:t>
                  </w:r>
                </w:p>
              </w:tc>
              <w:tc>
                <w:tcPr>
                  <w:tcW w:w="1925" w:type="dxa"/>
                  <w:tcBorders>
                    <w:top w:val="single" w:color="000000" w:sz="4" w:space="0"/>
                    <w:tl2br w:val="nil"/>
                    <w:tr2bl w:val="nil"/>
                  </w:tcBorders>
                  <w:vAlign w:val="center"/>
                </w:tcPr>
                <w:p w14:paraId="6E5BC936">
                  <w:pPr>
                    <w:pStyle w:val="106"/>
                    <w:bidi w:val="0"/>
                    <w:jc w:val="center"/>
                    <w:rPr>
                      <w:rFonts w:hint="eastAsia"/>
                      <w:lang w:val="en-US" w:eastAsia="zh-CN"/>
                    </w:rPr>
                  </w:pPr>
                  <w:r>
                    <w:rPr>
                      <w:rFonts w:hint="eastAsia"/>
                      <w:lang w:val="en-US" w:eastAsia="zh-CN"/>
                    </w:rPr>
                    <w:t>YS5109043110001</w:t>
                  </w:r>
                </w:p>
              </w:tc>
              <w:tc>
                <w:tcPr>
                  <w:tcW w:w="850" w:type="dxa"/>
                  <w:tcBorders>
                    <w:top w:val="single" w:color="000000" w:sz="4" w:space="0"/>
                    <w:tl2br w:val="nil"/>
                    <w:tr2bl w:val="nil"/>
                  </w:tcBorders>
                  <w:vAlign w:val="center"/>
                </w:tcPr>
                <w:p w14:paraId="1477858B">
                  <w:pPr>
                    <w:pStyle w:val="106"/>
                    <w:bidi w:val="0"/>
                    <w:jc w:val="center"/>
                    <w:rPr>
                      <w:rFonts w:hint="eastAsia"/>
                      <w:lang w:val="en-US" w:eastAsia="zh-CN"/>
                    </w:rPr>
                  </w:pPr>
                  <w:r>
                    <w:rPr>
                      <w:rFonts w:hint="eastAsia"/>
                      <w:lang w:val="en-US" w:eastAsia="zh-CN"/>
                    </w:rPr>
                    <w:t>遂宁市</w:t>
                  </w:r>
                </w:p>
              </w:tc>
              <w:tc>
                <w:tcPr>
                  <w:tcW w:w="1025" w:type="dxa"/>
                  <w:tcBorders>
                    <w:top w:val="single" w:color="000000" w:sz="4" w:space="0"/>
                    <w:tl2br w:val="nil"/>
                    <w:tr2bl w:val="nil"/>
                  </w:tcBorders>
                  <w:vAlign w:val="center"/>
                </w:tcPr>
                <w:p w14:paraId="7959FB4F">
                  <w:pPr>
                    <w:pStyle w:val="106"/>
                    <w:bidi w:val="0"/>
                    <w:jc w:val="center"/>
                    <w:rPr>
                      <w:rFonts w:hint="default"/>
                      <w:lang w:val="en-US" w:eastAsia="zh-CN"/>
                    </w:rPr>
                  </w:pPr>
                  <w:r>
                    <w:rPr>
                      <w:rFonts w:hint="eastAsia"/>
                      <w:lang w:val="en-US" w:eastAsia="zh-CN"/>
                    </w:rPr>
                    <w:t>生态</w:t>
                  </w:r>
                </w:p>
              </w:tc>
              <w:tc>
                <w:tcPr>
                  <w:tcW w:w="2383" w:type="dxa"/>
                  <w:tcBorders>
                    <w:top w:val="single" w:color="000000" w:sz="4" w:space="0"/>
                    <w:tl2br w:val="nil"/>
                    <w:tr2bl w:val="nil"/>
                  </w:tcBorders>
                  <w:vAlign w:val="center"/>
                </w:tcPr>
                <w:p w14:paraId="7B993276">
                  <w:pPr>
                    <w:pStyle w:val="106"/>
                    <w:bidi w:val="0"/>
                    <w:jc w:val="center"/>
                    <w:rPr>
                      <w:rFonts w:hint="default"/>
                      <w:lang w:val="en-US" w:eastAsia="zh-CN"/>
                    </w:rPr>
                  </w:pPr>
                  <w:r>
                    <w:rPr>
                      <w:rFonts w:hint="eastAsia"/>
                      <w:lang w:val="en-US" w:eastAsia="zh-CN"/>
                    </w:rPr>
                    <w:t>一般管控区</w:t>
                  </w:r>
                </w:p>
              </w:tc>
            </w:tr>
          </w:tbl>
          <w:p w14:paraId="6DCBC9F6">
            <w:pPr>
              <w:keepNext w:val="0"/>
              <w:keepLines w:val="0"/>
              <w:pageBreakBefore w:val="0"/>
              <w:widowControl/>
              <w:kinsoku/>
              <w:wordWrap/>
              <w:overflowPunct/>
              <w:topLinePunct w:val="0"/>
              <w:autoSpaceDE w:val="0"/>
              <w:autoSpaceDN w:val="0"/>
              <w:bidi w:val="0"/>
              <w:adjustRightInd w:val="0"/>
              <w:snapToGrid w:val="0"/>
              <w:spacing w:before="157" w:beforeLines="50"/>
              <w:ind w:firstLine="480"/>
              <w:textAlignment w:val="auto"/>
              <w:rPr>
                <w:rFonts w:hint="eastAsia" w:eastAsia="宋体"/>
                <w:color w:val="auto"/>
                <w:sz w:val="24"/>
                <w:highlight w:val="none"/>
                <w:lang w:eastAsia="zh-CN"/>
              </w:rPr>
            </w:pPr>
            <w:r>
              <w:rPr>
                <w:rFonts w:hint="eastAsia"/>
                <w:color w:val="auto"/>
                <w:sz w:val="24"/>
                <w:highlight w:val="none"/>
                <w:lang w:eastAsia="zh-CN"/>
              </w:rPr>
              <w:t>该位置与生态环境管控单元的位置关系如下图。</w:t>
            </w:r>
          </w:p>
          <w:p w14:paraId="7B58A573">
            <w:pPr>
              <w:keepNext w:val="0"/>
              <w:keepLines w:val="0"/>
              <w:pageBreakBefore w:val="0"/>
              <w:widowControl/>
              <w:kinsoku/>
              <w:wordWrap/>
              <w:overflowPunct/>
              <w:topLinePunct w:val="0"/>
              <w:autoSpaceDE w:val="0"/>
              <w:autoSpaceDN w:val="0"/>
              <w:bidi w:val="0"/>
              <w:adjustRightInd w:val="0"/>
              <w:snapToGrid w:val="0"/>
              <w:spacing w:before="157" w:beforeLines="50"/>
              <w:ind w:left="0" w:leftChars="0" w:firstLine="0" w:firstLineChars="0"/>
              <w:jc w:val="both"/>
              <w:textAlignment w:val="auto"/>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4977130" cy="2182495"/>
                  <wp:effectExtent l="0" t="0" r="13970" b="8255"/>
                  <wp:docPr id="8" name="图片 8" descr="地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3)"/>
                          <pic:cNvPicPr>
                            <a:picLocks noChangeAspect="1"/>
                          </pic:cNvPicPr>
                        </pic:nvPicPr>
                        <pic:blipFill>
                          <a:blip r:embed="rId15"/>
                          <a:stretch>
                            <a:fillRect/>
                          </a:stretch>
                        </pic:blipFill>
                        <pic:spPr>
                          <a:xfrm>
                            <a:off x="0" y="0"/>
                            <a:ext cx="4977130" cy="2182495"/>
                          </a:xfrm>
                          <a:prstGeom prst="rect">
                            <a:avLst/>
                          </a:prstGeom>
                        </pic:spPr>
                      </pic:pic>
                    </a:graphicData>
                  </a:graphic>
                </wp:inline>
              </w:drawing>
            </w:r>
          </w:p>
          <w:p w14:paraId="53C521CB">
            <w:pPr>
              <w:pStyle w:val="14"/>
              <w:bidi w:val="0"/>
              <w:rPr>
                <w:rFonts w:hint="default"/>
                <w:color w:val="auto"/>
                <w:highlight w:val="none"/>
                <w:lang w:val="en-US" w:eastAsia="zh-CN"/>
              </w:rPr>
            </w:pPr>
            <w:r>
              <w:rPr>
                <w:color w:val="auto"/>
                <w:highlight w:val="none"/>
              </w:rPr>
              <w:t xml:space="preserve">图1- </w:t>
            </w:r>
            <w:r>
              <w:rPr>
                <w:color w:val="auto"/>
                <w:highlight w:val="none"/>
              </w:rPr>
              <w:fldChar w:fldCharType="begin"/>
            </w:r>
            <w:r>
              <w:rPr>
                <w:color w:val="auto"/>
                <w:highlight w:val="none"/>
              </w:rPr>
              <w:instrText xml:space="preserve"> SEQ 图1- \* ARABIC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rPr>
              <w:t xml:space="preserve">  </w:t>
            </w:r>
            <w:r>
              <w:rPr>
                <w:color w:val="auto"/>
                <w:highlight w:val="none"/>
              </w:rPr>
              <w:t>项目与管控单元相对位置图</w:t>
            </w:r>
          </w:p>
          <w:p w14:paraId="6ADECB2B">
            <w:pPr>
              <w:bidi w:val="0"/>
              <w:rPr>
                <w:rFonts w:hint="eastAsia"/>
                <w:color w:val="auto"/>
                <w:highlight w:val="none"/>
                <w:lang w:val="en-US" w:eastAsia="zh-CN"/>
              </w:rPr>
            </w:pPr>
            <w:r>
              <w:rPr>
                <w:rFonts w:hint="eastAsia"/>
                <w:color w:val="auto"/>
                <w:highlight w:val="none"/>
                <w:lang w:val="en-US" w:eastAsia="zh-CN"/>
              </w:rPr>
              <w:t>遂宁</w:t>
            </w:r>
            <w:r>
              <w:rPr>
                <w:rFonts w:hint="eastAsia"/>
                <w:color w:val="auto"/>
                <w:highlight w:val="none"/>
              </w:rPr>
              <w:t>市环境管控单元分布图</w:t>
            </w:r>
            <w:r>
              <w:rPr>
                <w:rFonts w:hint="eastAsia"/>
                <w:color w:val="auto"/>
                <w:highlight w:val="none"/>
                <w:lang w:val="en-US" w:eastAsia="zh-CN"/>
              </w:rPr>
              <w:t>见下图。</w:t>
            </w:r>
          </w:p>
          <w:p w14:paraId="665B5F1A">
            <w:pPr>
              <w:pStyle w:val="2"/>
              <w:ind w:left="0" w:leftChars="0" w:firstLine="0" w:firstLineChars="0"/>
              <w:rPr>
                <w:color w:val="auto"/>
                <w:highlight w:val="none"/>
              </w:rPr>
            </w:pPr>
            <w:r>
              <w:rPr>
                <w:b/>
                <w:bCs/>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167640</wp:posOffset>
                      </wp:positionH>
                      <wp:positionV relativeFrom="paragraph">
                        <wp:posOffset>2146300</wp:posOffset>
                      </wp:positionV>
                      <wp:extent cx="1087120" cy="339725"/>
                      <wp:effectExtent l="6350" t="6350" r="982980" b="434975"/>
                      <wp:wrapNone/>
                      <wp:docPr id="3" name="矩形标注 3"/>
                      <wp:cNvGraphicFramePr/>
                      <a:graphic xmlns:a="http://schemas.openxmlformats.org/drawingml/2006/main">
                        <a:graphicData uri="http://schemas.microsoft.com/office/word/2010/wordprocessingShape">
                          <wps:wsp>
                            <wps:cNvSpPr/>
                            <wps:spPr>
                              <a:xfrm>
                                <a:off x="0" y="0"/>
                                <a:ext cx="1087120" cy="339725"/>
                              </a:xfrm>
                              <a:prstGeom prst="wedgeRectCallout">
                                <a:avLst>
                                  <a:gd name="adj1" fmla="val 135864"/>
                                  <a:gd name="adj2" fmla="val 171869"/>
                                </a:avLst>
                              </a:prstGeom>
                              <a:noFill/>
                              <a:ln w="12700" cap="flat" cmpd="sng" algn="ctr">
                                <a:solidFill>
                                  <a:srgbClr val="FF0000"/>
                                </a:solidFill>
                                <a:prstDash val="solid"/>
                                <a:miter lim="800000"/>
                              </a:ln>
                              <a:effectLst/>
                            </wps:spPr>
                            <wps:txbx>
                              <w:txbxContent>
                                <w:p w14:paraId="4A3E4197">
                                  <w:pPr>
                                    <w:ind w:left="0" w:leftChars="0" w:firstLine="0" w:firstLineChars="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69pt;height:26.75pt;width:85.6pt;z-index:251662336;v-text-anchor:middle;mso-width-relative:page;mso-height-relative:page;" filled="f" stroked="t" coordsize="21600,21600" o:gfxdata="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&#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dXq0Z2wAAAAoBAAAPAAAAAAAAAAEAIAAAACIAAABk&#10;cnMvZG93bnJldi54bWxQSwECFAAUAAAACACHTuJAOUAlXq4CAABJBQAADgAAAAAAAAABACAAAAAq&#10;AQAAZHJzL2Uyb0RvYy54bWxQSwUGAAAAAAYABgBZAQAASgYAAAAA&#10;" adj="40147,47924">
                      <v:fill on="f" focussize="0,0"/>
                      <v:stroke weight="1pt" color="#FF0000" miterlimit="8" joinstyle="miter"/>
                      <v:imagedata o:title=""/>
                      <o:lock v:ext="edit" aspectratio="f"/>
                      <v:textbox>
                        <w:txbxContent>
                          <w:p w14:paraId="4A3E4197">
                            <w:pPr>
                              <w:ind w:left="0" w:leftChars="0" w:firstLine="0" w:firstLineChars="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本项目位置</w:t>
                            </w:r>
                          </w:p>
                        </w:txbxContent>
                      </v:textbox>
                    </v:shape>
                  </w:pict>
                </mc:Fallback>
              </mc:AlternateContent>
            </w:r>
            <w:r>
              <w:rPr>
                <w:rFonts w:ascii="宋体" w:hAnsi="宋体" w:eastAsia="宋体" w:cs="宋体"/>
                <w:sz w:val="24"/>
                <w:szCs w:val="24"/>
              </w:rPr>
              <w:drawing>
                <wp:inline distT="0" distB="0" distL="114300" distR="114300">
                  <wp:extent cx="4984750" cy="3520440"/>
                  <wp:effectExtent l="0" t="0" r="6350" b="3810"/>
                  <wp:docPr id="2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6"/>
                          <pic:cNvPicPr>
                            <a:picLocks noChangeAspect="1"/>
                          </pic:cNvPicPr>
                        </pic:nvPicPr>
                        <pic:blipFill>
                          <a:blip r:embed="rId16"/>
                          <a:stretch>
                            <a:fillRect/>
                          </a:stretch>
                        </pic:blipFill>
                        <pic:spPr>
                          <a:xfrm>
                            <a:off x="0" y="0"/>
                            <a:ext cx="4984750" cy="3520440"/>
                          </a:xfrm>
                          <a:prstGeom prst="rect">
                            <a:avLst/>
                          </a:prstGeom>
                          <a:noFill/>
                          <a:ln w="9525">
                            <a:noFill/>
                          </a:ln>
                        </pic:spPr>
                      </pic:pic>
                    </a:graphicData>
                  </a:graphic>
                </wp:inline>
              </w:drawing>
            </w:r>
          </w:p>
          <w:p w14:paraId="79ADA4B6">
            <w:pPr>
              <w:pStyle w:val="14"/>
              <w:bidi w:val="0"/>
              <w:rPr>
                <w:rFonts w:hint="default"/>
                <w:color w:val="auto"/>
                <w:highlight w:val="none"/>
                <w:lang w:val="en-US" w:eastAsia="zh-CN"/>
              </w:rPr>
            </w:pPr>
            <w:r>
              <w:rPr>
                <w:color w:val="auto"/>
                <w:highlight w:val="none"/>
              </w:rPr>
              <w:t xml:space="preserve">图1- </w:t>
            </w:r>
            <w:r>
              <w:rPr>
                <w:color w:val="auto"/>
                <w:highlight w:val="none"/>
              </w:rPr>
              <w:fldChar w:fldCharType="begin"/>
            </w:r>
            <w:r>
              <w:rPr>
                <w:color w:val="auto"/>
                <w:highlight w:val="none"/>
              </w:rPr>
              <w:instrText xml:space="preserve"> SEQ 图1- \* ARABIC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lang w:val="en-US" w:eastAsia="zh-CN"/>
              </w:rPr>
              <w:t xml:space="preserve">  遂宁市环境管控单元分布图</w:t>
            </w:r>
          </w:p>
          <w:p w14:paraId="4FE1EF6C">
            <w:pPr>
              <w:bidi w:val="0"/>
              <w:rPr>
                <w:rFonts w:hint="default"/>
                <w:b/>
                <w:bCs/>
                <w:color w:val="auto"/>
                <w:highlight w:val="none"/>
                <w:lang w:val="en-US" w:eastAsia="zh-CN"/>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lang w:val="en-US" w:eastAsia="zh-CN"/>
              </w:rPr>
              <w:t>与生态保护红线符合性分析</w:t>
            </w:r>
          </w:p>
          <w:p w14:paraId="71684969">
            <w:pPr>
              <w:bidi w:val="0"/>
              <w:rPr>
                <w:rFonts w:hint="eastAsia"/>
                <w:color w:val="auto"/>
                <w:highlight w:val="none"/>
              </w:rPr>
            </w:pPr>
            <w:r>
              <w:rPr>
                <w:rFonts w:hint="eastAsia"/>
                <w:color w:val="auto"/>
                <w:highlight w:val="none"/>
              </w:rPr>
              <w:t>本项目位于</w:t>
            </w:r>
            <w:r>
              <w:rPr>
                <w:rFonts w:hint="eastAsia"/>
                <w:color w:val="auto"/>
                <w:highlight w:val="none"/>
                <w:lang w:eastAsia="zh-CN"/>
              </w:rPr>
              <w:t>四川省遂宁市安居区省级经济开发区现代装备制造产业园区 4-5</w:t>
            </w:r>
            <w:r>
              <w:rPr>
                <w:rFonts w:hint="eastAsia"/>
                <w:color w:val="auto"/>
                <w:highlight w:val="none"/>
              </w:rPr>
              <w:t>，根据《关于落实生态保护红线、环境质量底线、资源利用上线和生态环境准入清单实施生态环境分区管控的通知》（遂府函〔2021〕74号）及《关于印发四川省生态保护红线方案的通知》（川府发〔2018〕24号），本项目所在地不涉及生态保护红线。</w:t>
            </w:r>
          </w:p>
          <w:p w14:paraId="27B2B374">
            <w:pPr>
              <w:bidi w:val="0"/>
              <w:rPr>
                <w:rFonts w:hint="eastAsia"/>
                <w:color w:val="auto"/>
                <w:highlight w:val="none"/>
              </w:rPr>
            </w:pPr>
            <w:r>
              <w:rPr>
                <w:rFonts w:hint="eastAsia"/>
                <w:color w:val="auto"/>
                <w:highlight w:val="none"/>
              </w:rPr>
              <w:t>项目与</w:t>
            </w:r>
            <w:r>
              <w:rPr>
                <w:rFonts w:hint="eastAsia"/>
                <w:color w:val="auto"/>
                <w:highlight w:val="none"/>
                <w:lang w:val="en-US" w:eastAsia="zh-CN"/>
              </w:rPr>
              <w:t>遂宁市</w:t>
            </w:r>
            <w:r>
              <w:rPr>
                <w:rFonts w:hint="eastAsia"/>
                <w:color w:val="auto"/>
                <w:highlight w:val="none"/>
              </w:rPr>
              <w:t>生态保护红线</w:t>
            </w:r>
            <w:r>
              <w:rPr>
                <w:rFonts w:hint="eastAsia"/>
                <w:color w:val="auto"/>
                <w:highlight w:val="none"/>
                <w:lang w:val="en-US" w:eastAsia="zh-CN"/>
              </w:rPr>
              <w:t>位置</w:t>
            </w:r>
            <w:r>
              <w:rPr>
                <w:rFonts w:hint="eastAsia"/>
                <w:color w:val="auto"/>
                <w:highlight w:val="none"/>
              </w:rPr>
              <w:t>见下图所示。</w:t>
            </w:r>
          </w:p>
          <w:p w14:paraId="6397154F">
            <w:pPr>
              <w:bidi w:val="0"/>
              <w:ind w:left="0" w:leftChars="0" w:firstLine="0" w:firstLineChars="0"/>
              <w:jc w:val="center"/>
              <w:rPr>
                <w:rFonts w:hint="default"/>
                <w:color w:val="auto"/>
                <w:highlight w:val="none"/>
                <w:lang w:val="en-US" w:eastAsia="zh-CN"/>
              </w:rPr>
            </w:pPr>
            <w:r>
              <w:rPr>
                <w:color w:val="auto"/>
              </w:rPr>
              <w:drawing>
                <wp:inline distT="0" distB="0" distL="114300" distR="114300">
                  <wp:extent cx="4825365" cy="3416935"/>
                  <wp:effectExtent l="0" t="0" r="13335" b="1206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7"/>
                          <a:stretch>
                            <a:fillRect/>
                          </a:stretch>
                        </pic:blipFill>
                        <pic:spPr>
                          <a:xfrm>
                            <a:off x="0" y="0"/>
                            <a:ext cx="4825365" cy="3416935"/>
                          </a:xfrm>
                          <a:prstGeom prst="rect">
                            <a:avLst/>
                          </a:prstGeom>
                          <a:noFill/>
                          <a:ln>
                            <a:noFill/>
                          </a:ln>
                        </pic:spPr>
                      </pic:pic>
                    </a:graphicData>
                  </a:graphic>
                </wp:inline>
              </w:drawing>
            </w:r>
          </w:p>
          <w:p w14:paraId="33FEA07E">
            <w:pPr>
              <w:pStyle w:val="14"/>
              <w:bidi w:val="0"/>
              <w:rPr>
                <w:rFonts w:hint="default"/>
                <w:color w:val="auto"/>
                <w:highlight w:val="none"/>
                <w:lang w:val="en-US" w:eastAsia="zh-CN"/>
              </w:rPr>
            </w:pPr>
            <w:r>
              <w:rPr>
                <w:color w:val="auto"/>
                <w:highlight w:val="none"/>
              </w:rPr>
              <w:t xml:space="preserve">图1- </w:t>
            </w:r>
            <w:r>
              <w:rPr>
                <w:color w:val="auto"/>
                <w:highlight w:val="none"/>
              </w:rPr>
              <w:fldChar w:fldCharType="begin"/>
            </w:r>
            <w:r>
              <w:rPr>
                <w:color w:val="auto"/>
                <w:highlight w:val="none"/>
              </w:rPr>
              <w:instrText xml:space="preserve"> SEQ 图1- \* ARABIC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lang w:val="en-US" w:eastAsia="zh-CN"/>
              </w:rPr>
              <w:t xml:space="preserve">  本项目与遂宁市生态保护红线位置关系图</w:t>
            </w:r>
          </w:p>
          <w:p w14:paraId="34CE2FEC">
            <w:pPr>
              <w:bidi w:val="0"/>
              <w:rPr>
                <w:rFonts w:hint="default"/>
                <w:b/>
                <w:bCs/>
                <w:color w:val="auto"/>
                <w:highlight w:val="none"/>
                <w:lang w:val="en-US"/>
              </w:rPr>
            </w:pP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lang w:val="en-US" w:eastAsia="zh-CN"/>
              </w:rPr>
              <w:t>生态环境分区管控符合性</w:t>
            </w:r>
          </w:p>
          <w:p w14:paraId="51B28E61">
            <w:pPr>
              <w:bidi w:val="0"/>
              <w:rPr>
                <w:rFonts w:hint="eastAsia"/>
                <w:color w:val="auto"/>
                <w:highlight w:val="none"/>
              </w:rPr>
            </w:pPr>
            <w:r>
              <w:rPr>
                <w:rFonts w:hint="eastAsia"/>
                <w:color w:val="auto"/>
                <w:highlight w:val="none"/>
              </w:rPr>
              <w:t>根据</w:t>
            </w:r>
            <w:r>
              <w:rPr>
                <w:rFonts w:hint="eastAsia"/>
                <w:color w:val="auto"/>
                <w:highlight w:val="none"/>
                <w:lang w:val="en-US" w:eastAsia="zh-CN"/>
              </w:rPr>
              <w:t>遂宁市人民政府发布的《关于落实生态保护红线、环境质量底线、资源 利用上线和生态环境准入清单实施生态环境分区管控的通知》</w:t>
            </w:r>
            <w:r>
              <w:rPr>
                <w:rFonts w:hint="eastAsia"/>
                <w:color w:val="auto"/>
                <w:highlight w:val="none"/>
              </w:rPr>
              <w:t>（遂府函〔2021〕74号），本项目与生态准入清单符合性分析依次如下：</w:t>
            </w:r>
          </w:p>
          <w:p w14:paraId="7F036395">
            <w:pPr>
              <w:bidi w:val="0"/>
              <w:rPr>
                <w:rFonts w:hint="eastAsia"/>
                <w:color w:val="auto"/>
                <w:highlight w:val="none"/>
              </w:rPr>
            </w:pPr>
            <w:r>
              <w:rPr>
                <w:rFonts w:hint="eastAsia"/>
                <w:color w:val="auto"/>
                <w:highlight w:val="none"/>
              </w:rPr>
              <w:t>①与全市总体生态环境总体管控要求符合性分析</w:t>
            </w:r>
          </w:p>
          <w:p w14:paraId="747BE0FD">
            <w:pPr>
              <w:bidi w:val="0"/>
              <w:rPr>
                <w:rFonts w:hint="eastAsia"/>
                <w:color w:val="auto"/>
                <w:highlight w:val="none"/>
              </w:rPr>
            </w:pPr>
            <w:r>
              <w:rPr>
                <w:rFonts w:hint="eastAsia"/>
                <w:color w:val="auto"/>
                <w:highlight w:val="none"/>
              </w:rPr>
              <w:t>本项目与全市</w:t>
            </w:r>
            <w:r>
              <w:rPr>
                <w:rFonts w:hint="eastAsia"/>
                <w:color w:val="auto"/>
                <w:highlight w:val="none"/>
                <w:lang w:val="en-US" w:eastAsia="zh-CN"/>
              </w:rPr>
              <w:t>及项目区域</w:t>
            </w:r>
            <w:r>
              <w:rPr>
                <w:rFonts w:hint="eastAsia"/>
                <w:color w:val="auto"/>
                <w:highlight w:val="none"/>
              </w:rPr>
              <w:t>生态环境总体管控要求符合性分析见</w:t>
            </w:r>
            <w:r>
              <w:rPr>
                <w:rFonts w:hint="eastAsia"/>
                <w:color w:val="auto"/>
                <w:highlight w:val="none"/>
                <w:lang w:val="en-US" w:eastAsia="zh-CN"/>
              </w:rPr>
              <w:t>下表</w:t>
            </w:r>
            <w:r>
              <w:rPr>
                <w:rFonts w:hint="eastAsia"/>
                <w:color w:val="auto"/>
                <w:highlight w:val="none"/>
              </w:rPr>
              <w:t>。</w:t>
            </w:r>
          </w:p>
          <w:p w14:paraId="65E65E9A">
            <w:pPr>
              <w:pStyle w:val="14"/>
              <w:bidi w:val="0"/>
              <w:rPr>
                <w:color w:val="auto"/>
                <w:highlight w:val="none"/>
              </w:rPr>
            </w:pPr>
          </w:p>
          <w:p w14:paraId="7A8D7284">
            <w:pPr>
              <w:rPr>
                <w:color w:val="auto"/>
                <w:highlight w:val="none"/>
              </w:rPr>
            </w:pPr>
          </w:p>
          <w:p w14:paraId="084C8B6C">
            <w:pPr>
              <w:pStyle w:val="2"/>
              <w:rPr>
                <w:color w:val="auto"/>
                <w:highlight w:val="none"/>
              </w:rPr>
            </w:pPr>
          </w:p>
          <w:p w14:paraId="3AD9CD3E">
            <w:pPr>
              <w:pStyle w:val="2"/>
              <w:rPr>
                <w:color w:val="auto"/>
                <w:highlight w:val="none"/>
              </w:rPr>
            </w:pPr>
          </w:p>
          <w:p w14:paraId="241A7CE4">
            <w:pPr>
              <w:pStyle w:val="2"/>
              <w:rPr>
                <w:color w:val="auto"/>
                <w:highlight w:val="none"/>
              </w:rPr>
            </w:pPr>
          </w:p>
          <w:p w14:paraId="5BF5B5BD">
            <w:pPr>
              <w:pStyle w:val="14"/>
              <w:bidi w:val="0"/>
              <w:rPr>
                <w:color w:val="auto"/>
                <w:highlight w:val="none"/>
              </w:rPr>
            </w:pPr>
          </w:p>
          <w:p w14:paraId="1FBD78B4">
            <w:pPr>
              <w:pStyle w:val="14"/>
              <w:bidi w:val="0"/>
              <w:rPr>
                <w:rFonts w:hint="default"/>
                <w:color w:val="auto"/>
                <w:highlight w:val="none"/>
                <w:lang w:val="en-US" w:eastAsia="zh-CN"/>
              </w:rPr>
            </w:pPr>
            <w:r>
              <w:rPr>
                <w:color w:val="auto"/>
                <w:highlight w:val="none"/>
              </w:rPr>
              <w:t xml:space="preserve">表1- </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lang w:val="en-US" w:eastAsia="zh-CN"/>
              </w:rPr>
              <w:t xml:space="preserve">  项目与全市及区域生态环境总体管控要求符合性分析</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5106"/>
              <w:gridCol w:w="1352"/>
              <w:gridCol w:w="666"/>
            </w:tblGrid>
            <w:tr w14:paraId="5311F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6" w:type="dxa"/>
                  <w:tcBorders>
                    <w:bottom w:val="single" w:color="000000" w:sz="4" w:space="0"/>
                    <w:tl2br w:val="nil"/>
                    <w:tr2bl w:val="nil"/>
                  </w:tcBorders>
                  <w:vAlign w:val="center"/>
                </w:tcPr>
                <w:p w14:paraId="6FA811A8">
                  <w:pPr>
                    <w:pStyle w:val="106"/>
                    <w:bidi w:val="0"/>
                    <w:jc w:val="center"/>
                    <w:rPr>
                      <w:rFonts w:hint="default" w:eastAsia="宋体"/>
                      <w:b/>
                      <w:bCs/>
                      <w:color w:val="auto"/>
                      <w:highlight w:val="none"/>
                      <w:lang w:val="en-US" w:eastAsia="zh-CN"/>
                    </w:rPr>
                  </w:pPr>
                  <w:r>
                    <w:rPr>
                      <w:rFonts w:hint="eastAsia"/>
                      <w:b/>
                      <w:bCs/>
                      <w:color w:val="auto"/>
                      <w:highlight w:val="none"/>
                      <w:lang w:val="en-US" w:eastAsia="zh-CN"/>
                    </w:rPr>
                    <w:t>城市</w:t>
                  </w:r>
                </w:p>
              </w:tc>
              <w:tc>
                <w:tcPr>
                  <w:tcW w:w="5100" w:type="dxa"/>
                  <w:tcBorders>
                    <w:bottom w:val="single" w:color="000000" w:sz="4" w:space="0"/>
                    <w:tl2br w:val="nil"/>
                    <w:tr2bl w:val="nil"/>
                  </w:tcBorders>
                  <w:vAlign w:val="center"/>
                </w:tcPr>
                <w:p w14:paraId="151C63BE">
                  <w:pPr>
                    <w:pStyle w:val="106"/>
                    <w:bidi w:val="0"/>
                    <w:jc w:val="center"/>
                    <w:rPr>
                      <w:rFonts w:hint="default" w:eastAsia="宋体"/>
                      <w:b/>
                      <w:bCs/>
                      <w:color w:val="auto"/>
                      <w:highlight w:val="none"/>
                      <w:lang w:val="en-US" w:eastAsia="zh-CN"/>
                    </w:rPr>
                  </w:pPr>
                  <w:r>
                    <w:rPr>
                      <w:rFonts w:hint="eastAsia"/>
                      <w:b/>
                      <w:bCs/>
                      <w:color w:val="auto"/>
                      <w:highlight w:val="none"/>
                      <w:lang w:val="en-US" w:eastAsia="zh-CN"/>
                    </w:rPr>
                    <w:t>总体管控要求</w:t>
                  </w:r>
                </w:p>
              </w:tc>
              <w:tc>
                <w:tcPr>
                  <w:tcW w:w="1350" w:type="dxa"/>
                  <w:tcBorders>
                    <w:bottom w:val="single" w:color="000000" w:sz="4" w:space="0"/>
                    <w:tl2br w:val="nil"/>
                    <w:tr2bl w:val="nil"/>
                  </w:tcBorders>
                  <w:vAlign w:val="center"/>
                </w:tcPr>
                <w:p w14:paraId="1259BC72">
                  <w:pPr>
                    <w:pStyle w:val="106"/>
                    <w:bidi w:val="0"/>
                    <w:jc w:val="center"/>
                    <w:rPr>
                      <w:rFonts w:hint="default" w:eastAsia="宋体"/>
                      <w:b/>
                      <w:bCs/>
                      <w:color w:val="auto"/>
                      <w:highlight w:val="none"/>
                      <w:lang w:val="en-US" w:eastAsia="zh-CN"/>
                    </w:rPr>
                  </w:pPr>
                  <w:r>
                    <w:rPr>
                      <w:rFonts w:hint="eastAsia"/>
                      <w:b/>
                      <w:bCs/>
                      <w:color w:val="auto"/>
                      <w:highlight w:val="none"/>
                      <w:lang w:val="en-US" w:eastAsia="zh-CN"/>
                    </w:rPr>
                    <w:t>项目情况</w:t>
                  </w:r>
                </w:p>
              </w:tc>
              <w:tc>
                <w:tcPr>
                  <w:tcW w:w="665" w:type="dxa"/>
                  <w:tcBorders>
                    <w:bottom w:val="single" w:color="000000" w:sz="4" w:space="0"/>
                    <w:tl2br w:val="nil"/>
                    <w:tr2bl w:val="nil"/>
                  </w:tcBorders>
                  <w:vAlign w:val="center"/>
                </w:tcPr>
                <w:p w14:paraId="018B3050">
                  <w:pPr>
                    <w:pStyle w:val="106"/>
                    <w:bidi w:val="0"/>
                    <w:jc w:val="center"/>
                    <w:rPr>
                      <w:rFonts w:hint="eastAsia" w:eastAsia="宋体"/>
                      <w:b/>
                      <w:bCs/>
                      <w:color w:val="auto"/>
                      <w:highlight w:val="none"/>
                      <w:lang w:val="en-US" w:eastAsia="zh-CN"/>
                    </w:rPr>
                  </w:pPr>
                  <w:r>
                    <w:rPr>
                      <w:rFonts w:hint="eastAsia"/>
                      <w:b/>
                      <w:bCs/>
                      <w:color w:val="auto"/>
                      <w:highlight w:val="none"/>
                      <w:lang w:val="en-US" w:eastAsia="zh-CN"/>
                    </w:rPr>
                    <w:t>符合性</w:t>
                  </w:r>
                </w:p>
              </w:tc>
            </w:tr>
            <w:tr w14:paraId="41299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6" w:type="dxa"/>
                  <w:tcBorders>
                    <w:top w:val="single" w:color="000000" w:sz="4" w:space="0"/>
                    <w:tl2br w:val="nil"/>
                    <w:tr2bl w:val="nil"/>
                  </w:tcBorders>
                  <w:vAlign w:val="center"/>
                </w:tcPr>
                <w:p w14:paraId="06F11421">
                  <w:pPr>
                    <w:pStyle w:val="106"/>
                    <w:bidi w:val="0"/>
                    <w:jc w:val="center"/>
                    <w:rPr>
                      <w:rFonts w:hint="default"/>
                      <w:color w:val="auto"/>
                      <w:highlight w:val="none"/>
                      <w:lang w:val="en-US" w:eastAsia="zh-CN"/>
                    </w:rPr>
                  </w:pPr>
                  <w:r>
                    <w:rPr>
                      <w:rFonts w:hint="eastAsia"/>
                      <w:color w:val="auto"/>
                      <w:highlight w:val="none"/>
                      <w:lang w:val="en-US" w:eastAsia="zh-CN"/>
                    </w:rPr>
                    <w:t>遂宁市</w:t>
                  </w:r>
                </w:p>
              </w:tc>
              <w:tc>
                <w:tcPr>
                  <w:tcW w:w="5100" w:type="dxa"/>
                  <w:tcBorders>
                    <w:top w:val="single" w:color="000000" w:sz="4" w:space="0"/>
                    <w:tl2br w:val="nil"/>
                    <w:tr2bl w:val="nil"/>
                  </w:tcBorders>
                  <w:vAlign w:val="center"/>
                </w:tcPr>
                <w:p w14:paraId="3B0E8ADE">
                  <w:pPr>
                    <w:pStyle w:val="106"/>
                    <w:bidi w:val="0"/>
                    <w:jc w:val="both"/>
                    <w:rPr>
                      <w:rFonts w:hint="eastAsia"/>
                      <w:color w:val="auto"/>
                      <w:highlight w:val="none"/>
                      <w:lang w:val="en-US" w:eastAsia="zh-CN"/>
                    </w:rPr>
                  </w:pPr>
                  <w:r>
                    <w:rPr>
                      <w:rFonts w:hint="eastAsia"/>
                      <w:color w:val="auto"/>
                      <w:highlight w:val="none"/>
                      <w:lang w:val="en-US" w:eastAsia="zh-CN"/>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32E9A339">
                  <w:pPr>
                    <w:pStyle w:val="106"/>
                    <w:bidi w:val="0"/>
                    <w:jc w:val="both"/>
                    <w:rPr>
                      <w:rFonts w:hint="eastAsia"/>
                      <w:color w:val="auto"/>
                      <w:highlight w:val="none"/>
                      <w:lang w:val="en-US" w:eastAsia="zh-CN"/>
                    </w:rPr>
                  </w:pPr>
                  <w:r>
                    <w:rPr>
                      <w:rFonts w:hint="eastAsia"/>
                      <w:color w:val="auto"/>
                      <w:highlight w:val="none"/>
                      <w:lang w:val="en-US" w:eastAsia="zh-CN"/>
                    </w:rPr>
                    <w:t>（2）锂电产业中锂离子电池行业引入，严格执行其行业资源环境绩效指标准入要求；</w:t>
                  </w:r>
                </w:p>
                <w:p w14:paraId="282EE1AD">
                  <w:pPr>
                    <w:pStyle w:val="106"/>
                    <w:bidi w:val="0"/>
                    <w:jc w:val="both"/>
                    <w:rPr>
                      <w:rFonts w:hint="eastAsia"/>
                      <w:color w:val="auto"/>
                      <w:highlight w:val="none"/>
                      <w:lang w:val="en-US" w:eastAsia="zh-CN"/>
                    </w:rPr>
                  </w:pPr>
                  <w:r>
                    <w:rPr>
                      <w:rFonts w:hint="eastAsia"/>
                      <w:color w:val="auto"/>
                      <w:highlight w:val="none"/>
                      <w:lang w:val="en-US" w:eastAsia="zh-CN"/>
                    </w:rPr>
                    <w:t>（3）全市大气污染物排放执行《四川省生态环境厅关于执行大气污染物特别排放限值的公告》相关要求；</w:t>
                  </w:r>
                </w:p>
                <w:p w14:paraId="39B9E905">
                  <w:pPr>
                    <w:pStyle w:val="106"/>
                    <w:bidi w:val="0"/>
                    <w:jc w:val="both"/>
                    <w:rPr>
                      <w:rFonts w:hint="eastAsia"/>
                      <w:color w:val="auto"/>
                      <w:highlight w:val="none"/>
                      <w:lang w:val="en-US" w:eastAsia="zh-CN"/>
                    </w:rPr>
                  </w:pPr>
                  <w:r>
                    <w:rPr>
                      <w:rFonts w:hint="eastAsia"/>
                      <w:color w:val="auto"/>
                      <w:highlight w:val="none"/>
                      <w:lang w:val="en-US" w:eastAsia="zh-CN"/>
                    </w:rPr>
                    <w:t>（4）强化沿江化工企业与园区的污染治理与风险管控，细化突发环境事件风险管控措施，严控流域型环境风险；严格落实《生态环境部 水利部关于建立跨省流域上下游突发水污染事件联防联控机制的指导意见》；</w:t>
                  </w:r>
                </w:p>
                <w:p w14:paraId="28D8CFAB">
                  <w:pPr>
                    <w:pStyle w:val="106"/>
                    <w:bidi w:val="0"/>
                    <w:jc w:val="both"/>
                    <w:rPr>
                      <w:rFonts w:hint="eastAsia"/>
                      <w:color w:val="auto"/>
                      <w:highlight w:val="none"/>
                      <w:lang w:val="en-US" w:eastAsia="zh-CN"/>
                    </w:rPr>
                  </w:pPr>
                  <w:r>
                    <w:rPr>
                      <w:rFonts w:hint="eastAsia"/>
                      <w:color w:val="auto"/>
                      <w:highlight w:val="none"/>
                      <w:lang w:val="en-US" w:eastAsia="zh-CN"/>
                    </w:rPr>
                    <w:t>（5）优化中心城区园区布局。</w:t>
                  </w:r>
                </w:p>
              </w:tc>
              <w:tc>
                <w:tcPr>
                  <w:tcW w:w="1350" w:type="dxa"/>
                  <w:tcBorders>
                    <w:top w:val="single" w:color="000000" w:sz="4" w:space="0"/>
                    <w:tl2br w:val="nil"/>
                    <w:tr2bl w:val="nil"/>
                  </w:tcBorders>
                  <w:vAlign w:val="center"/>
                </w:tcPr>
                <w:p w14:paraId="55CB386A">
                  <w:pPr>
                    <w:pStyle w:val="106"/>
                    <w:bidi w:val="0"/>
                    <w:jc w:val="center"/>
                    <w:rPr>
                      <w:rFonts w:hint="eastAsia"/>
                      <w:color w:val="auto"/>
                      <w:highlight w:val="none"/>
                      <w:lang w:val="en-US" w:eastAsia="zh-CN"/>
                    </w:rPr>
                  </w:pPr>
                  <w:r>
                    <w:rPr>
                      <w:rFonts w:hint="eastAsia"/>
                      <w:color w:val="auto"/>
                      <w:highlight w:val="none"/>
                      <w:lang w:val="en-US" w:eastAsia="zh-CN"/>
                    </w:rPr>
                    <w:t>本项目属于食品制造业，不涉及重金属污染物排放，大气污染物排放执行《四川省生态环境厅关于执行大气污染物特别排放限值的公告》相关要求；项目将严格突发环境事件风险管控措施。</w:t>
                  </w:r>
                </w:p>
              </w:tc>
              <w:tc>
                <w:tcPr>
                  <w:tcW w:w="665" w:type="dxa"/>
                  <w:tcBorders>
                    <w:top w:val="single" w:color="000000" w:sz="4" w:space="0"/>
                    <w:tl2br w:val="nil"/>
                    <w:tr2bl w:val="nil"/>
                  </w:tcBorders>
                  <w:vAlign w:val="center"/>
                </w:tcPr>
                <w:p w14:paraId="3B9AADEB">
                  <w:pPr>
                    <w:pStyle w:val="106"/>
                    <w:bidi w:val="0"/>
                    <w:jc w:val="center"/>
                    <w:rPr>
                      <w:rFonts w:hint="default"/>
                      <w:color w:val="auto"/>
                      <w:highlight w:val="none"/>
                      <w:lang w:val="en-US" w:eastAsia="zh-CN"/>
                    </w:rPr>
                  </w:pPr>
                  <w:r>
                    <w:rPr>
                      <w:rFonts w:hint="eastAsia"/>
                      <w:color w:val="auto"/>
                      <w:highlight w:val="none"/>
                      <w:lang w:val="en-US" w:eastAsia="zh-CN"/>
                    </w:rPr>
                    <w:t>符合</w:t>
                  </w:r>
                </w:p>
              </w:tc>
            </w:tr>
            <w:tr w14:paraId="77077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6" w:type="dxa"/>
                  <w:tcBorders>
                    <w:tl2br w:val="nil"/>
                    <w:tr2bl w:val="nil"/>
                  </w:tcBorders>
                  <w:vAlign w:val="center"/>
                </w:tcPr>
                <w:p w14:paraId="421A9281">
                  <w:pPr>
                    <w:pStyle w:val="106"/>
                    <w:bidi w:val="0"/>
                    <w:jc w:val="center"/>
                    <w:rPr>
                      <w:rFonts w:hint="default"/>
                      <w:color w:val="auto"/>
                      <w:highlight w:val="none"/>
                      <w:lang w:val="en-US" w:eastAsia="zh-CN"/>
                    </w:rPr>
                  </w:pPr>
                  <w:r>
                    <w:rPr>
                      <w:rFonts w:hint="eastAsia"/>
                      <w:color w:val="auto"/>
                      <w:highlight w:val="none"/>
                      <w:lang w:val="en-US" w:eastAsia="zh-CN"/>
                    </w:rPr>
                    <w:t>安居区</w:t>
                  </w:r>
                </w:p>
              </w:tc>
              <w:tc>
                <w:tcPr>
                  <w:tcW w:w="5100" w:type="dxa"/>
                  <w:tcBorders>
                    <w:tl2br w:val="nil"/>
                    <w:tr2bl w:val="nil"/>
                  </w:tcBorders>
                  <w:vAlign w:val="center"/>
                </w:tcPr>
                <w:p w14:paraId="32108FAE">
                  <w:pPr>
                    <w:pStyle w:val="106"/>
                    <w:bidi w:val="0"/>
                    <w:jc w:val="both"/>
                    <w:rPr>
                      <w:rFonts w:hint="eastAsia"/>
                      <w:color w:val="auto"/>
                      <w:highlight w:val="none"/>
                      <w:lang w:val="en-US" w:eastAsia="zh-CN"/>
                    </w:rPr>
                  </w:pPr>
                  <w:r>
                    <w:rPr>
                      <w:rFonts w:hint="eastAsia"/>
                      <w:color w:val="auto"/>
                      <w:highlight w:val="none"/>
                      <w:lang w:val="en-US" w:eastAsia="zh-CN"/>
                    </w:rPr>
                    <w:t>（1）加强乡镇集中式饮用水水源保护区保护，确保饮用水安全；</w:t>
                  </w:r>
                </w:p>
                <w:p w14:paraId="0E3E3C75">
                  <w:pPr>
                    <w:pStyle w:val="106"/>
                    <w:bidi w:val="0"/>
                    <w:jc w:val="both"/>
                    <w:rPr>
                      <w:rFonts w:hint="eastAsia"/>
                      <w:color w:val="auto"/>
                      <w:highlight w:val="none"/>
                      <w:lang w:val="en-US" w:eastAsia="zh-CN"/>
                    </w:rPr>
                  </w:pPr>
                  <w:r>
                    <w:rPr>
                      <w:rFonts w:hint="eastAsia"/>
                      <w:color w:val="auto"/>
                      <w:highlight w:val="none"/>
                      <w:lang w:val="en-US" w:eastAsia="zh-CN"/>
                    </w:rPr>
                    <w:t>（2）严格施工扬尘、道路扬尘管控；</w:t>
                  </w:r>
                </w:p>
                <w:p w14:paraId="4C9AA74A">
                  <w:pPr>
                    <w:pStyle w:val="106"/>
                    <w:bidi w:val="0"/>
                    <w:jc w:val="both"/>
                    <w:rPr>
                      <w:rFonts w:hint="eastAsia"/>
                      <w:color w:val="auto"/>
                      <w:highlight w:val="none"/>
                      <w:lang w:val="en-US" w:eastAsia="zh-CN"/>
                    </w:rPr>
                  </w:pPr>
                  <w:r>
                    <w:rPr>
                      <w:rFonts w:hint="eastAsia"/>
                      <w:color w:val="auto"/>
                      <w:highlight w:val="none"/>
                      <w:lang w:val="en-US" w:eastAsia="zh-CN"/>
                    </w:rPr>
                    <w:t>（3）加强琼江流域污染治理、农业面源污染治理，严格控制化肥农药使用量，科学划定禁养区，积极推广畜禽清洁养殖和畜禽粪污无害化、资源化处理技术；</w:t>
                  </w:r>
                </w:p>
                <w:p w14:paraId="0CCEB353">
                  <w:pPr>
                    <w:pStyle w:val="106"/>
                    <w:bidi w:val="0"/>
                    <w:jc w:val="both"/>
                    <w:rPr>
                      <w:rFonts w:hint="eastAsia"/>
                      <w:color w:val="auto"/>
                      <w:highlight w:val="none"/>
                      <w:lang w:val="en-US" w:eastAsia="zh-CN"/>
                    </w:rPr>
                  </w:pPr>
                  <w:r>
                    <w:rPr>
                      <w:rFonts w:hint="eastAsia"/>
                      <w:color w:val="auto"/>
                      <w:highlight w:val="none"/>
                      <w:lang w:val="en-US" w:eastAsia="zh-CN"/>
                    </w:rPr>
                    <w:t>（4）现有涉及五类重金属排放的企业，严控污染物排放；</w:t>
                  </w:r>
                </w:p>
                <w:p w14:paraId="386CA0CE">
                  <w:pPr>
                    <w:pStyle w:val="106"/>
                    <w:bidi w:val="0"/>
                    <w:jc w:val="both"/>
                    <w:rPr>
                      <w:rFonts w:hint="eastAsia"/>
                      <w:color w:val="auto"/>
                      <w:highlight w:val="none"/>
                      <w:lang w:val="en-US" w:eastAsia="zh-CN"/>
                    </w:rPr>
                  </w:pPr>
                  <w:r>
                    <w:rPr>
                      <w:rFonts w:hint="eastAsia"/>
                      <w:color w:val="auto"/>
                      <w:highlight w:val="none"/>
                      <w:lang w:val="en-US" w:eastAsia="zh-CN"/>
                    </w:rPr>
                    <w:t>（5）锂离子电池行业引入，严格执行其行业资源环境绩效指标准入要求。</w:t>
                  </w:r>
                </w:p>
              </w:tc>
              <w:tc>
                <w:tcPr>
                  <w:tcW w:w="1350" w:type="dxa"/>
                  <w:tcBorders>
                    <w:tl2br w:val="nil"/>
                    <w:tr2bl w:val="nil"/>
                  </w:tcBorders>
                  <w:vAlign w:val="center"/>
                </w:tcPr>
                <w:p w14:paraId="2E8F2F8E">
                  <w:pPr>
                    <w:pStyle w:val="106"/>
                    <w:bidi w:val="0"/>
                    <w:jc w:val="center"/>
                    <w:rPr>
                      <w:rFonts w:hint="default"/>
                      <w:color w:val="auto"/>
                      <w:highlight w:val="none"/>
                      <w:lang w:val="en-US" w:eastAsia="zh-CN"/>
                    </w:rPr>
                  </w:pPr>
                  <w:r>
                    <w:rPr>
                      <w:rFonts w:hint="eastAsia"/>
                      <w:color w:val="auto"/>
                      <w:highlight w:val="none"/>
                      <w:lang w:val="en-US" w:eastAsia="zh-CN"/>
                    </w:rPr>
                    <w:t>本项目施工期将严格施工扬尘、道路扬尘管控；本项目不涉及重金属的排放。</w:t>
                  </w:r>
                </w:p>
              </w:tc>
              <w:tc>
                <w:tcPr>
                  <w:tcW w:w="665" w:type="dxa"/>
                  <w:tcBorders>
                    <w:tl2br w:val="nil"/>
                    <w:tr2bl w:val="nil"/>
                  </w:tcBorders>
                  <w:vAlign w:val="center"/>
                </w:tcPr>
                <w:p w14:paraId="5706D4FC">
                  <w:pPr>
                    <w:pStyle w:val="106"/>
                    <w:bidi w:val="0"/>
                    <w:jc w:val="center"/>
                    <w:rPr>
                      <w:rFonts w:hint="default"/>
                      <w:color w:val="auto"/>
                      <w:highlight w:val="none"/>
                      <w:lang w:val="en-US" w:eastAsia="zh-CN"/>
                    </w:rPr>
                  </w:pPr>
                  <w:r>
                    <w:rPr>
                      <w:rFonts w:hint="eastAsia"/>
                      <w:color w:val="auto"/>
                      <w:highlight w:val="none"/>
                      <w:lang w:val="en-US" w:eastAsia="zh-CN"/>
                    </w:rPr>
                    <w:t>符合</w:t>
                  </w:r>
                </w:p>
              </w:tc>
            </w:tr>
          </w:tbl>
          <w:p w14:paraId="4AF8E4FC">
            <w:pPr>
              <w:keepNext w:val="0"/>
              <w:keepLines w:val="0"/>
              <w:pageBreakBefore w:val="0"/>
              <w:widowControl w:val="0"/>
              <w:kinsoku/>
              <w:wordWrap/>
              <w:overflowPunct/>
              <w:topLinePunct w:val="0"/>
              <w:autoSpaceDE w:val="0"/>
              <w:autoSpaceDN w:val="0"/>
              <w:bidi w:val="0"/>
              <w:adjustRightInd w:val="0"/>
              <w:snapToGrid w:val="0"/>
              <w:spacing w:before="120"/>
              <w:textAlignment w:val="auto"/>
              <w:rPr>
                <w:color w:val="auto"/>
                <w:highlight w:val="none"/>
              </w:rPr>
            </w:pPr>
            <w:r>
              <w:rPr>
                <w:rFonts w:hint="eastAsia"/>
                <w:color w:val="auto"/>
                <w:highlight w:val="none"/>
                <w:lang w:val="en-US" w:eastAsia="zh-CN"/>
              </w:rPr>
              <w:t>②与区域准入清单分析</w:t>
            </w:r>
          </w:p>
          <w:p w14:paraId="3E0AA231">
            <w:pPr>
              <w:bidi w:val="0"/>
              <w:rPr>
                <w:color w:val="auto"/>
                <w:highlight w:val="none"/>
              </w:rPr>
            </w:pPr>
            <w:r>
              <w:rPr>
                <w:color w:val="auto"/>
                <w:highlight w:val="none"/>
              </w:rPr>
              <w:t>结合四川省政务服务网“</w:t>
            </w:r>
            <w:r>
              <w:rPr>
                <w:rFonts w:hint="eastAsia"/>
                <w:color w:val="auto"/>
                <w:highlight w:val="none"/>
                <w:lang w:val="en-US" w:eastAsia="zh-CN"/>
              </w:rPr>
              <w:t>生态环境分区管控公众服务</w:t>
            </w:r>
            <w:r>
              <w:rPr>
                <w:color w:val="auto"/>
                <w:highlight w:val="none"/>
              </w:rPr>
              <w:t>”在线系统平台导出的《</w:t>
            </w:r>
            <w:r>
              <w:rPr>
                <w:rFonts w:hint="eastAsia"/>
                <w:color w:val="auto"/>
                <w:highlight w:val="none"/>
              </w:rPr>
              <w:t>四川省生态环境分区管控</w:t>
            </w:r>
            <w:r>
              <w:rPr>
                <w:rFonts w:hint="eastAsia"/>
                <w:color w:val="auto"/>
                <w:highlight w:val="none"/>
                <w:lang w:val="en-US" w:eastAsia="zh-CN"/>
              </w:rPr>
              <w:t>查询报告书</w:t>
            </w:r>
            <w:r>
              <w:rPr>
                <w:rFonts w:hint="eastAsia"/>
                <w:color w:val="auto"/>
                <w:highlight w:val="none"/>
              </w:rPr>
              <w:t>》，本项目与</w:t>
            </w:r>
            <w:r>
              <w:rPr>
                <w:rFonts w:hint="eastAsia"/>
                <w:color w:val="auto"/>
                <w:highlight w:val="none"/>
                <w:lang w:val="en-US" w:eastAsia="zh-CN"/>
              </w:rPr>
              <w:t>区域准入清单</w:t>
            </w:r>
            <w:r>
              <w:rPr>
                <w:rFonts w:hint="eastAsia"/>
                <w:color w:val="auto"/>
                <w:highlight w:val="none"/>
              </w:rPr>
              <w:t>的符合性分析见下表所示</w:t>
            </w:r>
            <w:r>
              <w:rPr>
                <w:color w:val="auto"/>
                <w:highlight w:val="none"/>
              </w:rPr>
              <w:t>：</w:t>
            </w:r>
          </w:p>
          <w:p w14:paraId="5353511A">
            <w:pPr>
              <w:bidi w:val="0"/>
              <w:rPr>
                <w:color w:val="auto"/>
                <w:highlight w:val="none"/>
              </w:rPr>
            </w:pPr>
          </w:p>
          <w:p w14:paraId="3384588B">
            <w:pPr>
              <w:bidi w:val="0"/>
              <w:rPr>
                <w:color w:val="auto"/>
                <w:highlight w:val="none"/>
              </w:rPr>
            </w:pPr>
          </w:p>
          <w:p w14:paraId="5F16E3A0">
            <w:pPr>
              <w:bidi w:val="0"/>
              <w:rPr>
                <w:color w:val="auto"/>
                <w:highlight w:val="none"/>
              </w:rPr>
            </w:pPr>
          </w:p>
          <w:p w14:paraId="11612AD4">
            <w:pPr>
              <w:bidi w:val="0"/>
              <w:rPr>
                <w:color w:val="auto"/>
                <w:highlight w:val="none"/>
              </w:rPr>
            </w:pPr>
          </w:p>
          <w:p w14:paraId="6768E6AA">
            <w:pPr>
              <w:bidi w:val="0"/>
              <w:rPr>
                <w:color w:val="auto"/>
                <w:highlight w:val="none"/>
              </w:rPr>
            </w:pPr>
          </w:p>
          <w:p w14:paraId="7A6D4A60">
            <w:pPr>
              <w:bidi w:val="0"/>
              <w:rPr>
                <w:color w:val="auto"/>
                <w:highlight w:val="none"/>
              </w:rPr>
            </w:pPr>
          </w:p>
          <w:p w14:paraId="1DFDB999">
            <w:pPr>
              <w:bidi w:val="0"/>
              <w:rPr>
                <w:color w:val="auto"/>
                <w:highlight w:val="none"/>
              </w:rPr>
            </w:pPr>
          </w:p>
        </w:tc>
      </w:tr>
    </w:tbl>
    <w:p w14:paraId="5C4182D6">
      <w:pPr>
        <w:pStyle w:val="6"/>
        <w:bidi w:val="0"/>
        <w:rPr>
          <w:color w:val="auto"/>
          <w:highlight w:val="none"/>
        </w:rPr>
        <w:sectPr>
          <w:headerReference r:id="rId10" w:type="default"/>
          <w:footerReference r:id="rId11" w:type="default"/>
          <w:pgSz w:w="11905" w:h="16838"/>
          <w:pgMar w:top="1701" w:right="1134" w:bottom="1701" w:left="1134"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8" w:name="_Toc21504"/>
      <w:bookmarkStart w:id="9" w:name="_Toc6507"/>
    </w:p>
    <w:p w14:paraId="1AF812E2">
      <w:pPr>
        <w:pStyle w:val="14"/>
        <w:bidi w:val="0"/>
        <w:rPr>
          <w:rFonts w:hint="default"/>
          <w:color w:val="auto"/>
          <w:highlight w:val="none"/>
          <w:lang w:val="en-US" w:eastAsia="zh-CN"/>
        </w:rPr>
      </w:pPr>
      <w:r>
        <w:rPr>
          <w:color w:val="auto"/>
          <w:highlight w:val="none"/>
        </w:rPr>
        <w:t xml:space="preserve">表1- </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lang w:val="en-US" w:eastAsia="zh-CN"/>
        </w:rPr>
        <w:t xml:space="preserve">  项目与区域准入清单符合性分析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fixed"/>
        <w:tblCellMar>
          <w:top w:w="0" w:type="dxa"/>
          <w:left w:w="57" w:type="dxa"/>
          <w:bottom w:w="0" w:type="dxa"/>
          <w:right w:w="57" w:type="dxa"/>
        </w:tblCellMar>
      </w:tblPr>
      <w:tblGrid>
        <w:gridCol w:w="1041"/>
        <w:gridCol w:w="720"/>
        <w:gridCol w:w="767"/>
        <w:gridCol w:w="7073"/>
        <w:gridCol w:w="3416"/>
        <w:gridCol w:w="528"/>
      </w:tblGrid>
      <w:tr w14:paraId="21FB6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57" w:type="dxa"/>
            <w:bottom w:w="0" w:type="dxa"/>
            <w:right w:w="57" w:type="dxa"/>
          </w:tblCellMar>
        </w:tblPrEx>
        <w:trPr>
          <w:trHeight w:val="57" w:hRule="atLeast"/>
        </w:trPr>
        <w:tc>
          <w:tcPr>
            <w:tcW w:w="384" w:type="pct"/>
            <w:tcBorders>
              <w:bottom w:val="single" w:color="000000" w:sz="4" w:space="0"/>
            </w:tcBorders>
            <w:shd w:val="clear" w:color="auto" w:fill="FFFFFF" w:themeFill="background1"/>
            <w:vAlign w:val="center"/>
          </w:tcPr>
          <w:p w14:paraId="76E635E9">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b/>
                <w:bCs/>
                <w:color w:val="auto"/>
                <w:kern w:val="0"/>
                <w:sz w:val="21"/>
                <w:szCs w:val="21"/>
                <w:highlight w:val="none"/>
                <w:lang w:val="en-US" w:eastAsia="zh-CN"/>
              </w:rPr>
              <w:t>环境管控</w:t>
            </w:r>
            <w:r>
              <w:rPr>
                <w:rFonts w:hint="default" w:ascii="Times New Roman" w:hAnsi="Times New Roman" w:eastAsia="宋体" w:cs="Times New Roman"/>
                <w:b/>
                <w:bCs/>
                <w:color w:val="auto"/>
                <w:kern w:val="0"/>
                <w:sz w:val="21"/>
                <w:szCs w:val="21"/>
                <w:highlight w:val="none"/>
                <w:lang w:val="en-US" w:eastAsia="zh-CN"/>
              </w:rPr>
              <w:t>单元</w:t>
            </w:r>
            <w:r>
              <w:rPr>
                <w:rFonts w:hint="eastAsia" w:eastAsia="宋体" w:cs="Times New Roman"/>
                <w:b/>
                <w:bCs/>
                <w:color w:val="auto"/>
                <w:kern w:val="0"/>
                <w:sz w:val="21"/>
                <w:szCs w:val="21"/>
                <w:highlight w:val="none"/>
                <w:lang w:val="en-US" w:eastAsia="zh-CN"/>
              </w:rPr>
              <w:t>名称及编码</w:t>
            </w:r>
          </w:p>
        </w:tc>
        <w:tc>
          <w:tcPr>
            <w:tcW w:w="548" w:type="pct"/>
            <w:gridSpan w:val="2"/>
            <w:tcBorders>
              <w:bottom w:val="single" w:color="000000" w:sz="4" w:space="0"/>
            </w:tcBorders>
            <w:shd w:val="clear" w:color="auto" w:fill="FFFFFF" w:themeFill="background1"/>
            <w:vAlign w:val="center"/>
          </w:tcPr>
          <w:p w14:paraId="558AACA9">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rPr>
              <w:t>管控类别</w:t>
            </w:r>
          </w:p>
        </w:tc>
        <w:tc>
          <w:tcPr>
            <w:tcW w:w="2610" w:type="pct"/>
            <w:tcBorders>
              <w:bottom w:val="single" w:color="000000" w:sz="4" w:space="0"/>
            </w:tcBorders>
            <w:shd w:val="clear" w:color="auto" w:fill="FFFFFF" w:themeFill="background1"/>
            <w:vAlign w:val="center"/>
          </w:tcPr>
          <w:p w14:paraId="02B843C5">
            <w:pPr>
              <w:pStyle w:val="48"/>
              <w:widowControl/>
              <w:shd w:val="clear" w:color="auto" w:fill="FFFFFF"/>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对应</w:t>
            </w:r>
            <w:r>
              <w:rPr>
                <w:rFonts w:hint="default" w:ascii="Times New Roman" w:hAnsi="Times New Roman" w:eastAsia="宋体" w:cs="Times New Roman"/>
                <w:b/>
                <w:bCs/>
                <w:color w:val="auto"/>
                <w:kern w:val="0"/>
                <w:sz w:val="21"/>
                <w:szCs w:val="21"/>
                <w:highlight w:val="none"/>
              </w:rPr>
              <w:t>管控要求</w:t>
            </w:r>
          </w:p>
        </w:tc>
        <w:tc>
          <w:tcPr>
            <w:tcW w:w="1260" w:type="pct"/>
            <w:tcBorders>
              <w:bottom w:val="single" w:color="000000" w:sz="4" w:space="0"/>
            </w:tcBorders>
            <w:shd w:val="clear" w:color="auto" w:fill="FFFFFF" w:themeFill="background1"/>
            <w:vAlign w:val="center"/>
          </w:tcPr>
          <w:p w14:paraId="79EB522A">
            <w:pPr>
              <w:pStyle w:val="48"/>
              <w:widowControl/>
              <w:shd w:val="clear" w:color="auto" w:fill="FFFFFF"/>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本项目符合性分析</w:t>
            </w:r>
          </w:p>
        </w:tc>
        <w:tc>
          <w:tcPr>
            <w:tcW w:w="194" w:type="pct"/>
            <w:tcBorders>
              <w:bottom w:val="single" w:color="000000" w:sz="4" w:space="0"/>
            </w:tcBorders>
            <w:shd w:val="clear" w:color="auto" w:fill="FFFFFF" w:themeFill="background1"/>
            <w:vAlign w:val="center"/>
          </w:tcPr>
          <w:p w14:paraId="317C662C">
            <w:pPr>
              <w:pStyle w:val="48"/>
              <w:widowControl/>
              <w:shd w:val="clear" w:color="auto" w:fill="FFFFFF"/>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符合性</w:t>
            </w:r>
          </w:p>
        </w:tc>
      </w:tr>
      <w:tr w14:paraId="6A567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84" w:type="pct"/>
            <w:vMerge w:val="restart"/>
            <w:tcBorders>
              <w:top w:val="single" w:color="000000" w:sz="4" w:space="0"/>
              <w:tl2br w:val="nil"/>
              <w:tr2bl w:val="nil"/>
            </w:tcBorders>
            <w:shd w:val="clear" w:color="auto" w:fill="FFFFFF" w:themeFill="background1"/>
            <w:vAlign w:val="center"/>
          </w:tcPr>
          <w:p w14:paraId="728478D2">
            <w:pPr>
              <w:pStyle w:val="94"/>
              <w:bidi w:val="0"/>
              <w:jc w:val="center"/>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ZH51090420003遂宁市安居区工业集中发展区（含经开区）</w:t>
            </w:r>
          </w:p>
        </w:tc>
        <w:tc>
          <w:tcPr>
            <w:tcW w:w="265" w:type="pct"/>
            <w:vMerge w:val="restart"/>
            <w:tcBorders>
              <w:top w:val="single" w:color="000000" w:sz="4" w:space="0"/>
              <w:tl2br w:val="nil"/>
              <w:tr2bl w:val="nil"/>
            </w:tcBorders>
            <w:shd w:val="clear" w:color="auto" w:fill="FFFFFF" w:themeFill="background1"/>
            <w:vAlign w:val="center"/>
          </w:tcPr>
          <w:p w14:paraId="31441806">
            <w:pPr>
              <w:widowControl/>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遂宁市普适性要求</w:t>
            </w:r>
          </w:p>
        </w:tc>
        <w:tc>
          <w:tcPr>
            <w:tcW w:w="283" w:type="pct"/>
            <w:tcBorders>
              <w:top w:val="single" w:color="000000" w:sz="4" w:space="0"/>
              <w:tl2br w:val="nil"/>
              <w:tr2bl w:val="nil"/>
            </w:tcBorders>
            <w:shd w:val="clear" w:color="auto" w:fill="FFFFFF" w:themeFill="background1"/>
            <w:vAlign w:val="center"/>
          </w:tcPr>
          <w:p w14:paraId="237B88AA">
            <w:pPr>
              <w:pStyle w:val="48"/>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发展定位与目标</w:t>
            </w:r>
          </w:p>
        </w:tc>
        <w:tc>
          <w:tcPr>
            <w:tcW w:w="2610" w:type="pct"/>
            <w:tcBorders>
              <w:top w:val="single" w:color="000000" w:sz="4" w:space="0"/>
              <w:tl2br w:val="nil"/>
              <w:tr2bl w:val="nil"/>
            </w:tcBorders>
            <w:shd w:val="clear" w:color="auto" w:fill="FFFFFF" w:themeFill="background1"/>
            <w:vAlign w:val="center"/>
          </w:tcPr>
          <w:p w14:paraId="1EAD3C7F">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遂宁市发展定位与目标为：围绕成渝地区双城经济圈建设“一极两中心两地”总体定位，加快建设联动成渝的重要门户枢纽和成渝发展主轴绿色经济强市，与潼南共建川渝毗邻地区一体化发展先行区，在成渝地区加快实现中部崛起。重点发展的产业：围绕建设优势特色产业集群发展区，以锂电、能源化工、电子信息等作为率先发展优势产业，大力发展绿色食品、装备制造和智能家居三大特色产业，加快发展生物医药、节能环保、先进材料等新兴产业，改造提升传统产业，推动相关产业功能聚集发展。</w:t>
            </w:r>
          </w:p>
          <w:p w14:paraId="1BB4689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区域突出生态环境问题</w:t>
            </w:r>
            <w:r>
              <w:rPr>
                <w:rFonts w:hint="eastAsia" w:eastAsia="宋体" w:cs="Times New Roman"/>
                <w:color w:val="auto"/>
                <w:sz w:val="21"/>
                <w:szCs w:val="21"/>
                <w:highlight w:val="none"/>
                <w:lang w:val="en-US" w:eastAsia="zh-CN"/>
              </w:rPr>
              <w:t>：</w:t>
            </w:r>
          </w:p>
          <w:p w14:paraId="46FAA278">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1、小流域污染问题突出。</w:t>
            </w:r>
          </w:p>
          <w:p w14:paraId="0AB5F081">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2、污染物排放总量较大。</w:t>
            </w:r>
          </w:p>
          <w:p w14:paraId="70BCDB25">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3、PM2.5和臭氧污染严重。</w:t>
            </w:r>
          </w:p>
          <w:p w14:paraId="7242B33C">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非工业源的VOCs污染排放源点多面广、成分复杂，监管和治理难度较大。</w:t>
            </w:r>
          </w:p>
          <w:p w14:paraId="7294E585">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5、遂宁市规模化畜禽养殖场数量较多，农村面源污染较为严重。</w:t>
            </w:r>
          </w:p>
          <w:p w14:paraId="16275D5E">
            <w:pPr>
              <w:pStyle w:val="48"/>
              <w:widowControl/>
              <w:shd w:val="clear" w:color="auto" w:fill="FFFFFF"/>
              <w:spacing w:line="240" w:lineRule="auto"/>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森林覆盖率较低，局部水土流失严重。</w:t>
            </w:r>
          </w:p>
        </w:tc>
        <w:tc>
          <w:tcPr>
            <w:tcW w:w="1260" w:type="pct"/>
            <w:tcBorders>
              <w:top w:val="single" w:color="000000" w:sz="4" w:space="0"/>
              <w:tl2br w:val="nil"/>
              <w:tr2bl w:val="nil"/>
            </w:tcBorders>
            <w:shd w:val="clear" w:color="auto" w:fill="FFFFFF" w:themeFill="background1"/>
            <w:vAlign w:val="center"/>
          </w:tcPr>
          <w:p w14:paraId="608BEC19">
            <w:pPr>
              <w:pStyle w:val="94"/>
              <w:keepNext w:val="0"/>
              <w:keepLines w:val="0"/>
              <w:pageBreakBefore w:val="0"/>
              <w:widowControl w:val="0"/>
              <w:kinsoku/>
              <w:wordWrap/>
              <w:overflowPunct/>
              <w:topLinePunct w:val="0"/>
              <w:autoSpaceDE w:val="0"/>
              <w:autoSpaceDN w:val="0"/>
              <w:bidi w:val="0"/>
              <w:adjustRightInd w:val="0"/>
              <w:snapToGrid w:val="0"/>
              <w:spacing w:before="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本项目为食品制造项目，符合遂宁市发展定位。</w:t>
            </w:r>
          </w:p>
        </w:tc>
        <w:tc>
          <w:tcPr>
            <w:tcW w:w="194" w:type="pct"/>
            <w:tcBorders>
              <w:top w:val="single" w:color="000000" w:sz="4" w:space="0"/>
              <w:tl2br w:val="nil"/>
              <w:tr2bl w:val="nil"/>
            </w:tcBorders>
            <w:shd w:val="clear" w:color="auto" w:fill="FFFFFF" w:themeFill="background1"/>
            <w:vAlign w:val="center"/>
          </w:tcPr>
          <w:p w14:paraId="70F3DA46">
            <w:pPr>
              <w:pStyle w:val="48"/>
              <w:widowControl/>
              <w:shd w:val="clear" w:color="auto" w:fill="FFFFFF"/>
              <w:spacing w:line="240" w:lineRule="auto"/>
              <w:ind w:firstLine="0" w:firstLineChars="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符合</w:t>
            </w:r>
          </w:p>
        </w:tc>
      </w:tr>
      <w:tr w14:paraId="17A74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84" w:type="pct"/>
            <w:vMerge w:val="continue"/>
            <w:tcBorders>
              <w:tl2br w:val="nil"/>
              <w:tr2bl w:val="nil"/>
            </w:tcBorders>
            <w:shd w:val="clear" w:color="auto" w:fill="FFFFFF" w:themeFill="background1"/>
            <w:vAlign w:val="center"/>
          </w:tcPr>
          <w:p w14:paraId="1351067D">
            <w:pPr>
              <w:pStyle w:val="94"/>
              <w:bidi w:val="0"/>
              <w:jc w:val="both"/>
              <w:rPr>
                <w:rFonts w:hint="eastAsia" w:ascii="Times New Roman" w:hAnsi="Times New Roman" w:eastAsia="宋体" w:cs="Times New Roman"/>
                <w:color w:val="auto"/>
                <w:sz w:val="21"/>
                <w:szCs w:val="21"/>
                <w:highlight w:val="none"/>
                <w:lang w:val="en-US" w:eastAsia="zh-CN"/>
              </w:rPr>
            </w:pPr>
          </w:p>
        </w:tc>
        <w:tc>
          <w:tcPr>
            <w:tcW w:w="265" w:type="pct"/>
            <w:vMerge w:val="continue"/>
            <w:tcBorders>
              <w:tl2br w:val="nil"/>
              <w:tr2bl w:val="nil"/>
            </w:tcBorders>
            <w:shd w:val="clear" w:color="auto" w:fill="FFFFFF" w:themeFill="background1"/>
            <w:vAlign w:val="center"/>
          </w:tcPr>
          <w:p w14:paraId="4C7F45FC">
            <w:pPr>
              <w:widowControl/>
              <w:spacing w:line="240" w:lineRule="auto"/>
              <w:ind w:firstLine="0" w:firstLineChars="0"/>
              <w:jc w:val="center"/>
              <w:rPr>
                <w:rFonts w:hint="eastAsia" w:cs="Times New Roman"/>
                <w:color w:val="auto"/>
                <w:sz w:val="21"/>
                <w:szCs w:val="21"/>
                <w:highlight w:val="none"/>
                <w:lang w:val="en-US" w:eastAsia="zh-CN"/>
              </w:rPr>
            </w:pPr>
          </w:p>
        </w:tc>
        <w:tc>
          <w:tcPr>
            <w:tcW w:w="283" w:type="pct"/>
            <w:tcBorders>
              <w:tl2br w:val="nil"/>
              <w:tr2bl w:val="nil"/>
            </w:tcBorders>
            <w:shd w:val="clear" w:color="auto" w:fill="FFFFFF" w:themeFill="background1"/>
            <w:vAlign w:val="center"/>
          </w:tcPr>
          <w:p w14:paraId="5B68E204">
            <w:pPr>
              <w:pStyle w:val="48"/>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总体管控要求</w:t>
            </w:r>
          </w:p>
        </w:tc>
        <w:tc>
          <w:tcPr>
            <w:tcW w:w="2610" w:type="pct"/>
            <w:tcBorders>
              <w:tl2br w:val="nil"/>
              <w:tr2bl w:val="nil"/>
            </w:tcBorders>
            <w:shd w:val="clear" w:color="auto" w:fill="FFFFFF" w:themeFill="background1"/>
            <w:vAlign w:val="center"/>
          </w:tcPr>
          <w:p w14:paraId="5892E525">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3D812E17">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锂电产业中锂离子电池行业引入，参考执行其行业资源环境绩效指标准入要求。</w:t>
            </w:r>
          </w:p>
          <w:p w14:paraId="44A22A43">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3、全市大气污染物排放执行《四川省生态环境厅关于执行大气污染物特别排放限值的公告》相关要求。</w:t>
            </w:r>
          </w:p>
          <w:p w14:paraId="2EBA2B8C">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4、强化沿江化工企业与园区的污染治理与风险管控，细化突发环境事件风险管控措施，严控流域型环境风险；严格落实《生态环境部水利部关于建立跨省流域上下游突发水污染事件联防联控机制的指导意见》。</w:t>
            </w:r>
          </w:p>
          <w:p w14:paraId="02B01085">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5、优化中心城区园区布局。</w:t>
            </w:r>
          </w:p>
          <w:p w14:paraId="79B7D8F2">
            <w:pPr>
              <w:pStyle w:val="48"/>
              <w:widowControl/>
              <w:shd w:val="clear" w:color="auto" w:fill="FFFFFF"/>
              <w:spacing w:line="240" w:lineRule="auto"/>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6、深化成都平原、川南、川东北地区大气污染联防联控工作机制，加强川渝地区联防联控。强化重污染天气区域应急联动机制，深化区域重污染天气联合应对。</w:t>
            </w:r>
          </w:p>
        </w:tc>
        <w:tc>
          <w:tcPr>
            <w:tcW w:w="1260" w:type="pct"/>
            <w:tcBorders>
              <w:tl2br w:val="nil"/>
              <w:tr2bl w:val="nil"/>
            </w:tcBorders>
            <w:shd w:val="clear" w:color="auto" w:fill="FFFFFF" w:themeFill="background1"/>
            <w:vAlign w:val="center"/>
          </w:tcPr>
          <w:p w14:paraId="0DC29963">
            <w:pPr>
              <w:pStyle w:val="94"/>
              <w:keepNext w:val="0"/>
              <w:keepLines w:val="0"/>
              <w:pageBreakBefore w:val="0"/>
              <w:widowControl w:val="0"/>
              <w:kinsoku/>
              <w:wordWrap/>
              <w:overflowPunct/>
              <w:topLinePunct w:val="0"/>
              <w:autoSpaceDE w:val="0"/>
              <w:autoSpaceDN w:val="0"/>
              <w:bidi w:val="0"/>
              <w:adjustRightInd w:val="0"/>
              <w:snapToGrid w:val="0"/>
              <w:spacing w:before="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1、本项目的食品制造新建项目，不涉及重金属的排放；</w:t>
            </w:r>
          </w:p>
          <w:p w14:paraId="49FB0157">
            <w:pPr>
              <w:pStyle w:val="94"/>
              <w:keepNext w:val="0"/>
              <w:keepLines w:val="0"/>
              <w:pageBreakBefore w:val="0"/>
              <w:widowControl w:val="0"/>
              <w:kinsoku/>
              <w:wordWrap/>
              <w:overflowPunct/>
              <w:topLinePunct w:val="0"/>
              <w:autoSpaceDE w:val="0"/>
              <w:autoSpaceDN w:val="0"/>
              <w:bidi w:val="0"/>
              <w:adjustRightInd w:val="0"/>
              <w:snapToGrid w:val="0"/>
              <w:spacing w:before="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2、本项目不涉及；</w:t>
            </w:r>
          </w:p>
          <w:p w14:paraId="1C2EB3B9">
            <w:pPr>
              <w:pStyle w:val="94"/>
              <w:keepNext w:val="0"/>
              <w:keepLines w:val="0"/>
              <w:pageBreakBefore w:val="0"/>
              <w:widowControl w:val="0"/>
              <w:kinsoku/>
              <w:wordWrap/>
              <w:overflowPunct/>
              <w:topLinePunct w:val="0"/>
              <w:autoSpaceDE w:val="0"/>
              <w:autoSpaceDN w:val="0"/>
              <w:bidi w:val="0"/>
              <w:adjustRightInd w:val="0"/>
              <w:snapToGrid w:val="0"/>
              <w:spacing w:before="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3、本项目废气污染物执行特别排放限值要求；</w:t>
            </w:r>
          </w:p>
          <w:p w14:paraId="5B23AC4A">
            <w:pPr>
              <w:pStyle w:val="94"/>
              <w:keepNext w:val="0"/>
              <w:keepLines w:val="0"/>
              <w:pageBreakBefore w:val="0"/>
              <w:widowControl w:val="0"/>
              <w:kinsoku/>
              <w:wordWrap/>
              <w:overflowPunct/>
              <w:topLinePunct w:val="0"/>
              <w:autoSpaceDE w:val="0"/>
              <w:autoSpaceDN w:val="0"/>
              <w:bidi w:val="0"/>
              <w:adjustRightInd w:val="0"/>
              <w:snapToGrid w:val="0"/>
              <w:spacing w:before="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4、项目将按要求制定突发环境事件风险管控措施；</w:t>
            </w:r>
          </w:p>
          <w:p w14:paraId="4CF0F348">
            <w:pPr>
              <w:pStyle w:val="94"/>
              <w:keepNext w:val="0"/>
              <w:keepLines w:val="0"/>
              <w:pageBreakBefore w:val="0"/>
              <w:widowControl w:val="0"/>
              <w:kinsoku/>
              <w:wordWrap/>
              <w:overflowPunct/>
              <w:topLinePunct w:val="0"/>
              <w:autoSpaceDE w:val="0"/>
              <w:autoSpaceDN w:val="0"/>
              <w:bidi w:val="0"/>
              <w:adjustRightInd w:val="0"/>
              <w:snapToGrid w:val="0"/>
              <w:spacing w:before="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5、本项目不涉及；</w:t>
            </w:r>
          </w:p>
          <w:p w14:paraId="0BF309E7">
            <w:pPr>
              <w:pStyle w:val="94"/>
              <w:keepNext w:val="0"/>
              <w:keepLines w:val="0"/>
              <w:pageBreakBefore w:val="0"/>
              <w:widowControl w:val="0"/>
              <w:kinsoku/>
              <w:wordWrap/>
              <w:overflowPunct/>
              <w:topLinePunct w:val="0"/>
              <w:autoSpaceDE w:val="0"/>
              <w:autoSpaceDN w:val="0"/>
              <w:bidi w:val="0"/>
              <w:adjustRightInd w:val="0"/>
              <w:snapToGrid w:val="0"/>
              <w:spacing w:before="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6、本项目将按要求进行区域联防联控。</w:t>
            </w:r>
          </w:p>
        </w:tc>
        <w:tc>
          <w:tcPr>
            <w:tcW w:w="194" w:type="pct"/>
            <w:tcBorders>
              <w:tl2br w:val="nil"/>
              <w:tr2bl w:val="nil"/>
            </w:tcBorders>
            <w:shd w:val="clear" w:color="auto" w:fill="FFFFFF" w:themeFill="background1"/>
            <w:vAlign w:val="center"/>
          </w:tcPr>
          <w:p w14:paraId="5C988400">
            <w:pPr>
              <w:pStyle w:val="48"/>
              <w:widowControl/>
              <w:shd w:val="clear" w:color="auto" w:fill="FFFFFF"/>
              <w:spacing w:line="240" w:lineRule="auto"/>
              <w:ind w:firstLine="0" w:firstLineChars="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符合</w:t>
            </w:r>
          </w:p>
        </w:tc>
      </w:tr>
      <w:tr w14:paraId="6D81C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84" w:type="pct"/>
            <w:vMerge w:val="continue"/>
            <w:tcBorders>
              <w:tl2br w:val="nil"/>
              <w:tr2bl w:val="nil"/>
            </w:tcBorders>
            <w:shd w:val="clear" w:color="auto" w:fill="FFFFFF" w:themeFill="background1"/>
            <w:vAlign w:val="center"/>
          </w:tcPr>
          <w:p w14:paraId="09359411">
            <w:pPr>
              <w:pStyle w:val="94"/>
              <w:bidi w:val="0"/>
              <w:jc w:val="both"/>
              <w:rPr>
                <w:rFonts w:hint="eastAsia" w:ascii="Times New Roman" w:hAnsi="Times New Roman" w:eastAsia="宋体" w:cs="Times New Roman"/>
                <w:color w:val="auto"/>
                <w:sz w:val="21"/>
                <w:szCs w:val="21"/>
                <w:highlight w:val="none"/>
                <w:lang w:val="en-US" w:eastAsia="zh-CN"/>
              </w:rPr>
            </w:pPr>
          </w:p>
        </w:tc>
        <w:tc>
          <w:tcPr>
            <w:tcW w:w="265" w:type="pct"/>
            <w:vMerge w:val="continue"/>
            <w:tcBorders>
              <w:tl2br w:val="nil"/>
              <w:tr2bl w:val="nil"/>
            </w:tcBorders>
            <w:shd w:val="clear" w:color="auto" w:fill="FFFFFF" w:themeFill="background1"/>
            <w:vAlign w:val="center"/>
          </w:tcPr>
          <w:p w14:paraId="10EF09C1">
            <w:pPr>
              <w:widowControl/>
              <w:spacing w:line="240" w:lineRule="auto"/>
              <w:ind w:firstLine="0" w:firstLineChars="0"/>
              <w:jc w:val="center"/>
              <w:rPr>
                <w:rFonts w:hint="eastAsia" w:cs="Times New Roman"/>
                <w:color w:val="auto"/>
                <w:sz w:val="21"/>
                <w:szCs w:val="21"/>
                <w:highlight w:val="none"/>
                <w:lang w:val="en-US" w:eastAsia="zh-CN"/>
              </w:rPr>
            </w:pPr>
          </w:p>
        </w:tc>
        <w:tc>
          <w:tcPr>
            <w:tcW w:w="283" w:type="pct"/>
            <w:tcBorders>
              <w:tl2br w:val="nil"/>
              <w:tr2bl w:val="nil"/>
            </w:tcBorders>
            <w:shd w:val="clear" w:color="auto" w:fill="FFFFFF" w:themeFill="background1"/>
            <w:vAlign w:val="center"/>
          </w:tcPr>
          <w:p w14:paraId="3F850B53">
            <w:pPr>
              <w:pStyle w:val="48"/>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空间布局约束</w:t>
            </w:r>
          </w:p>
        </w:tc>
        <w:tc>
          <w:tcPr>
            <w:tcW w:w="2610" w:type="pct"/>
            <w:tcBorders>
              <w:tl2br w:val="nil"/>
              <w:tr2bl w:val="nil"/>
            </w:tcBorders>
            <w:shd w:val="clear" w:color="auto" w:fill="FFFFFF" w:themeFill="background1"/>
            <w:vAlign w:val="center"/>
          </w:tcPr>
          <w:p w14:paraId="2285A4B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生态保护红线：生态保护红线内自然保护地核心保护区外，禁止开发性、生产性建设活动，在符合法律法规的前提下，仅允许《关于加强生态保护红线管理的通知（试行）》（自然资发[2022]142号）中规定的十类对生态功能不造成破坏的有限人为活动。生态保护红线内自然保护区、风景名胜区、饮用水水源保护区等区域，依照法律法规执行。</w:t>
            </w:r>
          </w:p>
          <w:p w14:paraId="29839E06">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自然保护区：（1）禁止在自然保护区的缓冲区开展旅游和生产经营活动。（2）严禁开设与自然保护区保护方向不一致的参观、旅游项目。（3）禁止在自然保护区内进行砍伐、放牧、狩猎、捕捞、采药、开垦、烧荒、开矿、采石、挖沙等活动（法律、行政法规另有规定除外）。（4）在自然保护区的核心区和缓冲区内，禁止建设任何生产设施。在自然保护区的实验区内，不得建设污染环境、破坏资源或者景观的生产设施；建设其他项目，其污染物排放不得超过国家和地方规定的污染物排放标准。（5）自然保护区的内部未分区的，依照条例有关核心区和缓冲区的规定管理。</w:t>
            </w:r>
          </w:p>
          <w:p w14:paraId="553D44E2">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3.风景名胜区：严格执行《风景名胜区条例（2016修订）</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四川省风景名胜区建设管理办法（2011年修订）</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四川省风景名胜区管理条例》等相关要求，主要要求如下：（1）禁止开山、采石、开矿、开荒、修坟立碑等破坏景观、植被和地形地貌的活动。(2)禁止修建储存爆炸性、易燃性、放射性、毒害性、腐蚀性物品的设施。(3)禁止在景物或者设施上刻划、涂污。(4)禁止乱扔垃圾。(5)禁止违反风景名胜区规划，在风景名胜区内设立各类开发区和在核心景区内建设宾馆、招待所、培训中心、疗养院以及与风景名胜资源保护无关的其他建筑物。（6）在风景名胜区及其外围保护地带内，不得设立开发区、度假区，不得建设破坏景观、污染环境的工矿企业和其他项目、设施。（7）在游人集中的游览区和自然环境保留地内，不得建设旅馆、招待所、休疗养机构、生活区以及其他影响观瞻或污染环境的工程设施；已经建设的，应当按照风景名胜区规划，逐步迁出。（8）禁止任何单位和个人在风景名胜区内从事开山采石、围湖造田、开荒等改变地貌和破坏环境、景观的活动。</w:t>
            </w:r>
          </w:p>
          <w:p w14:paraId="1FF30F6A">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w:t>
            </w:r>
          </w:p>
          <w:p w14:paraId="2B983846">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饮用水水源保护区：（1）在地下水饮用水水源保护区内，禁止设置排污口。（2）地下水饮用水水源一级保护区内：禁止新建、改建、扩建与供水设施和保护水源无关的建设项目；已建成的与供水设施和保护水源无关的建设项目，由县级以上人民政府责令拆除或者关闭。（3）地下水饮用水水源二级保护区内：禁止新建、改建、扩建排放污染物的建设项目；已建成的排放污染物的建设项目，由县级以上人民政府责令拆除或者关闭。（4）地下水饮用水水源</w:t>
            </w:r>
          </w:p>
          <w:p w14:paraId="628D1E7A">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准保护区内：禁止新建、扩建对水体污染严重的建设项目；改建建设项目，不得增加排污量；</w:t>
            </w:r>
          </w:p>
          <w:p w14:paraId="27BB6A26">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水产种质资源保护区：禁止在水产种质资源保护区内从事围河（湖）造田、造地工程。禁止在水产种质资源保护区内新建排污口。在水产种质资源保护区附近新建、改建、扩建排污口，应当保证保护区水体不受污染。四川省境内水产种质资源保护区实行全年禁渔。禁止在水产种质资源保护区内从事捕捞、垂钓、挖砂采石以及其他可能对保护区内生物资源和生态环境造成损害的活动。</w:t>
            </w:r>
          </w:p>
          <w:p w14:paraId="3A4FE5C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永久基本农田：（1）永久基本农田，实行严格保护，除法律规定的重点建设项目选址确实无法避让外，其他任何建设不得占用。（2）禁止在基本农田保护区建窑、建房、建坟、挖砂、采石、采矿、取土、堆放固体废弃物或者进行其他破坏基本农田的活动。禁止占用基本农田发展林果业和挖塘养鱼。</w:t>
            </w:r>
          </w:p>
          <w:p w14:paraId="5BCEE249">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水源涵养重要区：（1）禁止导致水体污染的产业发展。（2）禁止各种损害生态系统水源涵养功能的经济社会活动和生产方式，如无序采矿、毁林开荒、湿地和草地开垦、过度放牧等。（3）禁止高水资源消耗产业在水源涵养生态功能区布局。</w:t>
            </w:r>
          </w:p>
          <w:p w14:paraId="35A7360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9.禁止在生态保护红线区域、永久基本农田集中区域和其他需要特别保护的区域内选址建设尾矿库、冶炼渣库磷石膏库。</w:t>
            </w:r>
          </w:p>
          <w:p w14:paraId="1DC2A6EB">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上自然保护地为截至2023年6月的自然保护地整合优化预案数据，最终名称、范围等以国家正式批复为准。1.自然保护区：（1）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2）因教学科研的目的，需要进入自然保护区的缓冲区从事非破坏性的科学研究、教学实习和标本采集活动的，应当事先向自然保护区管理机构提交申请和活动计划，经自然保护区管理机构批准。（3）在自然保护区的实验区内开展参观、旅游活动的，由自然保护区管理机构编制方案，方案应当符合自然保护区管理目标。（4）在自然保护区的实验区内建设其他项目，其污染物排放不得超过国家和地方规定的污染物排放标准。2.湿地公园：（1）在湿地范围内从事旅游、种植、畜牧、水产养殖、航运等利用活动，应当避免改变湿地的自然状况，并采取措施减轻对湿地生态功能的不利影响。（2）地方各级人民政府应当严格控制河流源头和蓄滞洪区、水土流失严重区等区域的湿地开发利用活动，减轻对湿地及其生物多样性的不利影响。（3）地方各级人民政府对省级重要湿地和一般湿地利用活动进行分类指导，鼓励单位和个人开展符合湿地保护要求的生态旅游、生态农业、生态教育、自然体验等活动，适度控制种植养殖等湿地利用规模。（4）国家级湿地自然公园按照一般控制区管理。（5）国家级湿地自然公园范围内除国家重大项目外，仅允许对生态功能不造成破坏的有限人为活动：①自然公园内居民和其他合法权益主体依法依规开展的生产生活及设施建设。②符合自然公园保护管理要求的文化、体育活动和必要的配套设施建设。③符合生态保护红线管控要求的其他活动和设施建设。④法律法规和国家政策允许在自然公园内开展的其他活动。3.永久基本农田：（1）一般建设项目不得占用永久基本农田；重大建设项目选址确实难以避让永久基本农田的，在可行性研究阶段，省级自然资源主管部门负责组织对占用的必要性、合理性和补划方案的可行性进行严格论证，报自然资源部用地预审；农用地转用和土地征收依法报批。（2）单独选址的能源，交通、水利等基础设施项目，因选址特殊无法避让基本农田的，在用地预审和报批前，必须对选址方案、基本农田规划调整及补划方案等进行充分论证和听证，报国务院批准。经批准占用基本农田的，必须及时补划，征地补偿按法定的最高标准执行，耕地开垦费按当地最高标准缴纳。（3）已经划定的永久基本农田特别是城市周边永久基本农田不得随意占用和调整。重大建设项目、生态建设、灾毁等经国务院批准占用或依法认定减少永久基本农田的，按照中央4号文件要求，在原县域范围内补划永久基本农田。坚持“保护优先、布局优化、优进劣出、提升质量”的工作原则，坚持“制定方案、调查摸底、核实举证、论证审核、复核质检”的工作程序，按照永久基本农田划定有关要求，补划数量和质量相当的永久基本农田。4.水源涵养重要区：（1）坚持自然恢复为主，严格限制在水源涵养区大规模人工造林；（2）严格控制载畜量，实行以草定蓄。5.严格限制在长江流域生态保护红线、自然保护地、水生生物重要栖息地水域实施航道整治工程；确需整治的，应当经科学论证，并依法办理相关手续。</w:t>
            </w:r>
          </w:p>
          <w:p w14:paraId="7749B0E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上自然保护地为截至2023年6月的自然保护地整合优化预案数据，最终名称、范围等以国家正式批复为准。已有矿业权与生态保护红线、自然保护地等禁止或限制开发区域重叠的，要按相关要求主动退出或避让。对不符合要求和规划、造成污染或破坏的设施，应限期治理或退出。</w:t>
            </w:r>
          </w:p>
          <w:p w14:paraId="0AF7FC08">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上自然保护地为截至2023年6月的自然保护地整合优化预案数据，最终名称、范围等以国家正式批复为准。允许开发建设活动的要求：1.自然保护区：自然保护区实验区可以进入从事科学试验、教学实习、参观考察、旅游以及驯化、繁殖珍稀、濒危野生动植物等活动。2.水产种质资源保护区：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p w14:paraId="1E576FB7">
            <w:pPr>
              <w:pStyle w:val="48"/>
              <w:widowControl/>
              <w:shd w:val="clear" w:color="auto" w:fill="FFFFFF"/>
              <w:spacing w:line="240" w:lineRule="auto"/>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以上自然保护地为截至2023年6月的自然保护地整合优化预案数据，最终名称、范围等以国家正式批复为准。</w:t>
            </w:r>
          </w:p>
        </w:tc>
        <w:tc>
          <w:tcPr>
            <w:tcW w:w="1260" w:type="pct"/>
            <w:tcBorders>
              <w:tl2br w:val="nil"/>
              <w:tr2bl w:val="nil"/>
            </w:tcBorders>
            <w:shd w:val="clear" w:color="auto" w:fill="FFFFFF" w:themeFill="background1"/>
            <w:vAlign w:val="center"/>
          </w:tcPr>
          <w:p w14:paraId="2DD38F29">
            <w:pPr>
              <w:pStyle w:val="94"/>
              <w:keepNext w:val="0"/>
              <w:keepLines w:val="0"/>
              <w:pageBreakBefore w:val="0"/>
              <w:widowControl w:val="0"/>
              <w:kinsoku/>
              <w:wordWrap/>
              <w:overflowPunct/>
              <w:topLinePunct w:val="0"/>
              <w:autoSpaceDE w:val="0"/>
              <w:autoSpaceDN w:val="0"/>
              <w:bidi w:val="0"/>
              <w:adjustRightInd w:val="0"/>
              <w:snapToGrid w:val="0"/>
              <w:spacing w:before="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本项目不涉及生态保护红线、自然保护区、风景名胜区、世界自然遗产地、饮用水水源保护区、水产种质</w:t>
            </w:r>
            <w:r>
              <w:rPr>
                <w:rFonts w:hint="default" w:ascii="Times New Roman" w:hAnsi="Times New Roman" w:eastAsia="宋体" w:cs="Times New Roman"/>
                <w:color w:val="auto"/>
                <w:sz w:val="21"/>
                <w:szCs w:val="21"/>
                <w:highlight w:val="none"/>
                <w:lang w:val="en-US" w:eastAsia="zh-CN"/>
              </w:rPr>
              <w:t>资源保护</w:t>
            </w:r>
            <w:r>
              <w:rPr>
                <w:rFonts w:hint="eastAsia" w:cs="Times New Roman"/>
                <w:color w:val="auto"/>
                <w:sz w:val="21"/>
                <w:szCs w:val="21"/>
                <w:highlight w:val="none"/>
                <w:lang w:val="en-US" w:eastAsia="zh-CN"/>
              </w:rPr>
              <w:t>区、</w:t>
            </w:r>
            <w:r>
              <w:rPr>
                <w:rFonts w:hint="default" w:ascii="Times New Roman" w:hAnsi="Times New Roman" w:eastAsia="宋体" w:cs="Times New Roman"/>
                <w:color w:val="auto"/>
                <w:sz w:val="21"/>
                <w:szCs w:val="21"/>
                <w:highlight w:val="none"/>
                <w:lang w:val="en-US" w:eastAsia="zh-CN"/>
              </w:rPr>
              <w:t>永久基本农田</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水源涵养重要区</w:t>
            </w:r>
            <w:r>
              <w:rPr>
                <w:rFonts w:hint="eastAsia" w:cs="Times New Roman"/>
                <w:color w:val="auto"/>
                <w:sz w:val="21"/>
                <w:szCs w:val="21"/>
                <w:highlight w:val="none"/>
                <w:lang w:val="en-US" w:eastAsia="zh-CN"/>
              </w:rPr>
              <w:t>等环境敏感区。</w:t>
            </w:r>
          </w:p>
        </w:tc>
        <w:tc>
          <w:tcPr>
            <w:tcW w:w="194" w:type="pct"/>
            <w:tcBorders>
              <w:tl2br w:val="nil"/>
              <w:tr2bl w:val="nil"/>
            </w:tcBorders>
            <w:shd w:val="clear" w:color="auto" w:fill="FFFFFF" w:themeFill="background1"/>
            <w:vAlign w:val="center"/>
          </w:tcPr>
          <w:p w14:paraId="69DE9813">
            <w:pPr>
              <w:pStyle w:val="48"/>
              <w:widowControl/>
              <w:shd w:val="clear" w:color="auto" w:fill="FFFFFF"/>
              <w:spacing w:line="240" w:lineRule="auto"/>
              <w:ind w:firstLine="0" w:firstLineChars="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符合</w:t>
            </w:r>
          </w:p>
        </w:tc>
      </w:tr>
      <w:tr w14:paraId="7C244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84" w:type="pct"/>
            <w:vMerge w:val="continue"/>
            <w:tcBorders>
              <w:tl2br w:val="nil"/>
              <w:tr2bl w:val="nil"/>
            </w:tcBorders>
            <w:shd w:val="clear" w:color="auto" w:fill="FFFFFF" w:themeFill="background1"/>
            <w:vAlign w:val="center"/>
          </w:tcPr>
          <w:p w14:paraId="0EF089BD">
            <w:pPr>
              <w:pStyle w:val="94"/>
              <w:bidi w:val="0"/>
              <w:jc w:val="both"/>
              <w:rPr>
                <w:rFonts w:hint="eastAsia" w:ascii="Times New Roman" w:hAnsi="Times New Roman" w:eastAsia="宋体" w:cs="Times New Roman"/>
                <w:color w:val="auto"/>
                <w:sz w:val="21"/>
                <w:szCs w:val="21"/>
                <w:highlight w:val="none"/>
                <w:lang w:val="en-US" w:eastAsia="zh-CN"/>
              </w:rPr>
            </w:pPr>
          </w:p>
        </w:tc>
        <w:tc>
          <w:tcPr>
            <w:tcW w:w="265" w:type="pct"/>
            <w:vMerge w:val="continue"/>
            <w:tcBorders>
              <w:tl2br w:val="nil"/>
              <w:tr2bl w:val="nil"/>
            </w:tcBorders>
            <w:shd w:val="clear" w:color="auto" w:fill="FFFFFF" w:themeFill="background1"/>
            <w:vAlign w:val="center"/>
          </w:tcPr>
          <w:p w14:paraId="3D351FEC">
            <w:pPr>
              <w:widowControl/>
              <w:spacing w:line="240" w:lineRule="auto"/>
              <w:ind w:firstLine="0" w:firstLineChars="0"/>
              <w:jc w:val="center"/>
              <w:rPr>
                <w:rFonts w:hint="eastAsia" w:cs="Times New Roman"/>
                <w:color w:val="auto"/>
                <w:sz w:val="21"/>
                <w:szCs w:val="21"/>
                <w:highlight w:val="none"/>
                <w:lang w:val="en-US" w:eastAsia="zh-CN"/>
              </w:rPr>
            </w:pPr>
          </w:p>
        </w:tc>
        <w:tc>
          <w:tcPr>
            <w:tcW w:w="283" w:type="pct"/>
            <w:tcBorders>
              <w:tl2br w:val="nil"/>
              <w:tr2bl w:val="nil"/>
            </w:tcBorders>
            <w:shd w:val="clear" w:color="auto" w:fill="FFFFFF" w:themeFill="background1"/>
            <w:vAlign w:val="center"/>
          </w:tcPr>
          <w:p w14:paraId="424BC4A9">
            <w:pPr>
              <w:pStyle w:val="48"/>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污染排放管控</w:t>
            </w:r>
          </w:p>
        </w:tc>
        <w:tc>
          <w:tcPr>
            <w:tcW w:w="2610" w:type="pct"/>
            <w:tcBorders>
              <w:tl2br w:val="nil"/>
              <w:tr2bl w:val="nil"/>
            </w:tcBorders>
            <w:shd w:val="clear" w:color="auto" w:fill="FFFFFF" w:themeFill="background1"/>
            <w:vAlign w:val="center"/>
          </w:tcPr>
          <w:p w14:paraId="79207BDF">
            <w:pPr>
              <w:pStyle w:val="48"/>
              <w:widowControl/>
              <w:shd w:val="clear" w:color="auto" w:fill="FFFFFF"/>
              <w:spacing w:line="240" w:lineRule="auto"/>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△加强成都平原经济区信息共享和联动合作，协力推进产业和能源结构优化调整，加强大气污染源头防控，加强潼遂合作。</w:t>
            </w:r>
          </w:p>
        </w:tc>
        <w:tc>
          <w:tcPr>
            <w:tcW w:w="1260" w:type="pct"/>
            <w:tcBorders>
              <w:tl2br w:val="nil"/>
              <w:tr2bl w:val="nil"/>
            </w:tcBorders>
            <w:shd w:val="clear" w:color="auto" w:fill="FFFFFF" w:themeFill="background1"/>
            <w:vAlign w:val="center"/>
          </w:tcPr>
          <w:p w14:paraId="132A3966">
            <w:pPr>
              <w:pStyle w:val="94"/>
              <w:keepNext w:val="0"/>
              <w:keepLines w:val="0"/>
              <w:pageBreakBefore w:val="0"/>
              <w:widowControl w:val="0"/>
              <w:kinsoku/>
              <w:wordWrap/>
              <w:overflowPunct/>
              <w:topLinePunct w:val="0"/>
              <w:autoSpaceDE w:val="0"/>
              <w:autoSpaceDN w:val="0"/>
              <w:bidi w:val="0"/>
              <w:adjustRightInd w:val="0"/>
              <w:snapToGrid w:val="0"/>
              <w:spacing w:before="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本项目使用能源包括天然气、电等，不涉及高污染燃料的使用。</w:t>
            </w:r>
          </w:p>
        </w:tc>
        <w:tc>
          <w:tcPr>
            <w:tcW w:w="194" w:type="pct"/>
            <w:tcBorders>
              <w:tl2br w:val="nil"/>
              <w:tr2bl w:val="nil"/>
            </w:tcBorders>
            <w:shd w:val="clear" w:color="auto" w:fill="FFFFFF" w:themeFill="background1"/>
            <w:vAlign w:val="center"/>
          </w:tcPr>
          <w:p w14:paraId="023B6ACB">
            <w:pPr>
              <w:pStyle w:val="48"/>
              <w:widowControl/>
              <w:shd w:val="clear" w:color="auto" w:fill="FFFFFF"/>
              <w:spacing w:line="240" w:lineRule="auto"/>
              <w:ind w:firstLine="0" w:firstLineChars="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符合</w:t>
            </w:r>
          </w:p>
        </w:tc>
      </w:tr>
      <w:tr w14:paraId="516D2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84" w:type="pct"/>
            <w:vMerge w:val="continue"/>
            <w:tcBorders>
              <w:tl2br w:val="nil"/>
              <w:tr2bl w:val="nil"/>
            </w:tcBorders>
            <w:shd w:val="clear" w:color="auto" w:fill="FFFFFF" w:themeFill="background1"/>
            <w:vAlign w:val="center"/>
          </w:tcPr>
          <w:p w14:paraId="55F467BD">
            <w:pPr>
              <w:pStyle w:val="94"/>
              <w:bidi w:val="0"/>
              <w:jc w:val="both"/>
              <w:rPr>
                <w:rFonts w:hint="eastAsia" w:ascii="Times New Roman" w:hAnsi="Times New Roman" w:eastAsia="宋体" w:cs="Times New Roman"/>
                <w:color w:val="auto"/>
                <w:sz w:val="21"/>
                <w:szCs w:val="21"/>
                <w:highlight w:val="none"/>
                <w:lang w:val="en-US" w:eastAsia="zh-CN"/>
              </w:rPr>
            </w:pPr>
          </w:p>
        </w:tc>
        <w:tc>
          <w:tcPr>
            <w:tcW w:w="265" w:type="pct"/>
            <w:vMerge w:val="continue"/>
            <w:tcBorders>
              <w:tl2br w:val="nil"/>
              <w:tr2bl w:val="nil"/>
            </w:tcBorders>
            <w:shd w:val="clear" w:color="auto" w:fill="FFFFFF" w:themeFill="background1"/>
            <w:vAlign w:val="center"/>
          </w:tcPr>
          <w:p w14:paraId="37459020">
            <w:pPr>
              <w:widowControl/>
              <w:spacing w:line="240" w:lineRule="auto"/>
              <w:ind w:firstLine="0" w:firstLineChars="0"/>
              <w:jc w:val="center"/>
              <w:rPr>
                <w:rFonts w:hint="eastAsia" w:cs="Times New Roman"/>
                <w:color w:val="auto"/>
                <w:sz w:val="21"/>
                <w:szCs w:val="21"/>
                <w:highlight w:val="none"/>
                <w:lang w:val="en-US" w:eastAsia="zh-CN"/>
              </w:rPr>
            </w:pPr>
          </w:p>
        </w:tc>
        <w:tc>
          <w:tcPr>
            <w:tcW w:w="283" w:type="pct"/>
            <w:tcBorders>
              <w:tl2br w:val="nil"/>
              <w:tr2bl w:val="nil"/>
            </w:tcBorders>
            <w:shd w:val="clear" w:color="auto" w:fill="FFFFFF" w:themeFill="background1"/>
            <w:vAlign w:val="center"/>
          </w:tcPr>
          <w:p w14:paraId="44759116">
            <w:pPr>
              <w:pStyle w:val="48"/>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环境风险防控</w:t>
            </w:r>
          </w:p>
        </w:tc>
        <w:tc>
          <w:tcPr>
            <w:tcW w:w="2610" w:type="pct"/>
            <w:tcBorders>
              <w:tl2br w:val="nil"/>
              <w:tr2bl w:val="nil"/>
            </w:tcBorders>
            <w:shd w:val="clear" w:color="auto" w:fill="FFFFFF" w:themeFill="background1"/>
            <w:vAlign w:val="center"/>
          </w:tcPr>
          <w:p w14:paraId="15B5B2F5">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全面建设节水型社会，达到合理高效用水。</w:t>
            </w:r>
          </w:p>
          <w:p w14:paraId="76A3B62B">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1.禁燃区内禁止燃烧以下高污染燃料：</w:t>
            </w:r>
          </w:p>
          <w:p w14:paraId="44AE7C9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（1）煤炭及其制品（包括原煤、散煤、煤矸石、煤泥、煤 粉、水浆煤、型煤、焦炭、兰炭、油类等常规燃料）。</w:t>
            </w:r>
          </w:p>
          <w:p w14:paraId="08AAB0C2">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（2）石油焦、油页岩、原油、重油、渣油、煤焦油。</w:t>
            </w:r>
          </w:p>
          <w:p w14:paraId="3F4D139F">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（3）非专用锅炉或未配置高效除尘设施的专用锅炉燃用的生物质成型燃料。</w:t>
            </w:r>
          </w:p>
          <w:p w14:paraId="711FB394">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2.禁燃区内禁止新建、扩建燃用高污染燃料的锅炉、炉窑、炉灶等燃烧设施（集中供热、电厂锅炉除外）。</w:t>
            </w:r>
          </w:p>
          <w:p w14:paraId="3CCDDB79">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3.自2020年1月1日起，禁燃区内禁止销售高污染燃料。</w:t>
            </w:r>
          </w:p>
          <w:p w14:paraId="234F7A2E">
            <w:pPr>
              <w:pStyle w:val="48"/>
              <w:widowControl/>
              <w:shd w:val="clear" w:color="auto" w:fill="FFFFFF"/>
              <w:spacing w:line="240" w:lineRule="auto"/>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4.加强对集中供热、电厂锅炉、10蒸吨时以上的在用燃煤锅炉以及改用清洁能源前的在用锅炉等燃烧设施的监管，确保达标排放。</w:t>
            </w:r>
          </w:p>
        </w:tc>
        <w:tc>
          <w:tcPr>
            <w:tcW w:w="1260" w:type="pct"/>
            <w:tcBorders>
              <w:tl2br w:val="nil"/>
              <w:tr2bl w:val="nil"/>
            </w:tcBorders>
            <w:shd w:val="clear" w:color="auto" w:fill="FFFFFF" w:themeFill="background1"/>
            <w:vAlign w:val="center"/>
          </w:tcPr>
          <w:p w14:paraId="0E1391BD">
            <w:pPr>
              <w:pStyle w:val="94"/>
              <w:keepNext w:val="0"/>
              <w:keepLines w:val="0"/>
              <w:pageBreakBefore w:val="0"/>
              <w:widowControl w:val="0"/>
              <w:numPr>
                <w:ilvl w:val="0"/>
                <w:numId w:val="6"/>
              </w:numPr>
              <w:kinsoku/>
              <w:wordWrap/>
              <w:overflowPunct/>
              <w:topLinePunct w:val="0"/>
              <w:autoSpaceDE w:val="0"/>
              <w:autoSpaceDN w:val="0"/>
              <w:bidi w:val="0"/>
              <w:adjustRightInd w:val="0"/>
              <w:snapToGrid w:val="0"/>
              <w:spacing w:before="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本项目使用能源包括天然气、电等，不涉及高污染燃料的使用；</w:t>
            </w:r>
          </w:p>
          <w:p w14:paraId="6DBF0524">
            <w:pPr>
              <w:pStyle w:val="94"/>
              <w:keepNext w:val="0"/>
              <w:keepLines w:val="0"/>
              <w:pageBreakBefore w:val="0"/>
              <w:widowControl w:val="0"/>
              <w:numPr>
                <w:ilvl w:val="0"/>
                <w:numId w:val="6"/>
              </w:numPr>
              <w:kinsoku/>
              <w:wordWrap/>
              <w:overflowPunct/>
              <w:topLinePunct w:val="0"/>
              <w:autoSpaceDE w:val="0"/>
              <w:autoSpaceDN w:val="0"/>
              <w:bidi w:val="0"/>
              <w:adjustRightInd w:val="0"/>
              <w:snapToGrid w:val="0"/>
              <w:spacing w:before="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本项目使用天然气为燃料加热蒸汽发生器；</w:t>
            </w:r>
          </w:p>
          <w:p w14:paraId="2F4A768C">
            <w:pPr>
              <w:pStyle w:val="94"/>
              <w:keepNext w:val="0"/>
              <w:keepLines w:val="0"/>
              <w:pageBreakBefore w:val="0"/>
              <w:widowControl w:val="0"/>
              <w:numPr>
                <w:ilvl w:val="0"/>
                <w:numId w:val="6"/>
              </w:numPr>
              <w:kinsoku/>
              <w:wordWrap/>
              <w:overflowPunct/>
              <w:topLinePunct w:val="0"/>
              <w:autoSpaceDE w:val="0"/>
              <w:autoSpaceDN w:val="0"/>
              <w:bidi w:val="0"/>
              <w:adjustRightInd w:val="0"/>
              <w:snapToGrid w:val="0"/>
              <w:spacing w:before="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本项目不涉及；</w:t>
            </w:r>
          </w:p>
          <w:p w14:paraId="71A3ACCC">
            <w:pPr>
              <w:pStyle w:val="94"/>
              <w:keepNext w:val="0"/>
              <w:keepLines w:val="0"/>
              <w:pageBreakBefore w:val="0"/>
              <w:widowControl w:val="0"/>
              <w:numPr>
                <w:ilvl w:val="0"/>
                <w:numId w:val="6"/>
              </w:numPr>
              <w:kinsoku/>
              <w:wordWrap/>
              <w:overflowPunct/>
              <w:topLinePunct w:val="0"/>
              <w:autoSpaceDE w:val="0"/>
              <w:autoSpaceDN w:val="0"/>
              <w:bidi w:val="0"/>
              <w:adjustRightInd w:val="0"/>
              <w:snapToGrid w:val="0"/>
              <w:spacing w:before="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本项目不涉及。</w:t>
            </w:r>
          </w:p>
        </w:tc>
        <w:tc>
          <w:tcPr>
            <w:tcW w:w="194" w:type="pct"/>
            <w:tcBorders>
              <w:tl2br w:val="nil"/>
              <w:tr2bl w:val="nil"/>
            </w:tcBorders>
            <w:shd w:val="clear" w:color="auto" w:fill="FFFFFF" w:themeFill="background1"/>
            <w:vAlign w:val="center"/>
          </w:tcPr>
          <w:p w14:paraId="7B5B381F">
            <w:pPr>
              <w:pStyle w:val="48"/>
              <w:widowControl/>
              <w:shd w:val="clear" w:color="auto" w:fill="FFFFFF"/>
              <w:spacing w:line="240" w:lineRule="auto"/>
              <w:ind w:firstLine="0" w:firstLineChars="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符合</w:t>
            </w:r>
          </w:p>
        </w:tc>
      </w:tr>
      <w:tr w14:paraId="00653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84" w:type="pct"/>
            <w:vMerge w:val="continue"/>
            <w:tcBorders>
              <w:tl2br w:val="nil"/>
              <w:tr2bl w:val="nil"/>
            </w:tcBorders>
            <w:shd w:val="clear" w:color="auto" w:fill="FFFFFF" w:themeFill="background1"/>
            <w:vAlign w:val="center"/>
          </w:tcPr>
          <w:p w14:paraId="68A62468">
            <w:pPr>
              <w:pStyle w:val="94"/>
              <w:bidi w:val="0"/>
              <w:jc w:val="both"/>
              <w:rPr>
                <w:rFonts w:hint="eastAsia" w:ascii="Times New Roman" w:hAnsi="Times New Roman" w:eastAsia="宋体" w:cs="Times New Roman"/>
                <w:color w:val="auto"/>
                <w:sz w:val="21"/>
                <w:szCs w:val="21"/>
                <w:highlight w:val="none"/>
                <w:lang w:val="en-US" w:eastAsia="zh-CN"/>
              </w:rPr>
            </w:pPr>
          </w:p>
        </w:tc>
        <w:tc>
          <w:tcPr>
            <w:tcW w:w="265" w:type="pct"/>
            <w:vMerge w:val="continue"/>
            <w:tcBorders>
              <w:tl2br w:val="nil"/>
              <w:tr2bl w:val="nil"/>
            </w:tcBorders>
            <w:shd w:val="clear" w:color="auto" w:fill="FFFFFF" w:themeFill="background1"/>
            <w:vAlign w:val="center"/>
          </w:tcPr>
          <w:p w14:paraId="30B7528A">
            <w:pPr>
              <w:widowControl/>
              <w:spacing w:line="240" w:lineRule="auto"/>
              <w:ind w:firstLine="0" w:firstLineChars="0"/>
              <w:jc w:val="center"/>
              <w:rPr>
                <w:rFonts w:hint="eastAsia" w:cs="Times New Roman"/>
                <w:color w:val="auto"/>
                <w:sz w:val="21"/>
                <w:szCs w:val="21"/>
                <w:highlight w:val="none"/>
                <w:lang w:val="en-US" w:eastAsia="zh-CN"/>
              </w:rPr>
            </w:pPr>
          </w:p>
        </w:tc>
        <w:tc>
          <w:tcPr>
            <w:tcW w:w="283" w:type="pct"/>
            <w:tcBorders>
              <w:tl2br w:val="nil"/>
              <w:tr2bl w:val="nil"/>
            </w:tcBorders>
            <w:shd w:val="clear" w:color="auto" w:fill="FFFFFF" w:themeFill="background1"/>
            <w:vAlign w:val="center"/>
          </w:tcPr>
          <w:p w14:paraId="7F66452E">
            <w:pPr>
              <w:pStyle w:val="48"/>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资源利用率要求</w:t>
            </w:r>
          </w:p>
        </w:tc>
        <w:tc>
          <w:tcPr>
            <w:tcW w:w="2610" w:type="pct"/>
            <w:tcBorders>
              <w:tl2br w:val="nil"/>
              <w:tr2bl w:val="nil"/>
            </w:tcBorders>
            <w:shd w:val="clear" w:color="auto" w:fill="FFFFFF" w:themeFill="background1"/>
            <w:vAlign w:val="center"/>
          </w:tcPr>
          <w:p w14:paraId="20F2F59E">
            <w:pPr>
              <w:pStyle w:val="48"/>
              <w:widowControl/>
              <w:shd w:val="clear" w:color="auto" w:fill="FFFFFF"/>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p>
        </w:tc>
        <w:tc>
          <w:tcPr>
            <w:tcW w:w="1260" w:type="pct"/>
            <w:tcBorders>
              <w:tl2br w:val="nil"/>
              <w:tr2bl w:val="nil"/>
            </w:tcBorders>
            <w:shd w:val="clear" w:color="auto" w:fill="FFFFFF" w:themeFill="background1"/>
            <w:vAlign w:val="center"/>
          </w:tcPr>
          <w:p w14:paraId="6175B924">
            <w:pPr>
              <w:pStyle w:val="94"/>
              <w:keepNext w:val="0"/>
              <w:keepLines w:val="0"/>
              <w:pageBreakBefore w:val="0"/>
              <w:widowControl w:val="0"/>
              <w:kinsoku/>
              <w:wordWrap/>
              <w:overflowPunct/>
              <w:topLinePunct w:val="0"/>
              <w:autoSpaceDE w:val="0"/>
              <w:autoSpaceDN w:val="0"/>
              <w:bidi w:val="0"/>
              <w:adjustRightInd w:val="0"/>
              <w:snapToGrid w:val="0"/>
              <w:spacing w:before="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94" w:type="pct"/>
            <w:tcBorders>
              <w:tl2br w:val="nil"/>
              <w:tr2bl w:val="nil"/>
            </w:tcBorders>
            <w:shd w:val="clear" w:color="auto" w:fill="FFFFFF" w:themeFill="background1"/>
            <w:vAlign w:val="center"/>
          </w:tcPr>
          <w:p w14:paraId="06D10F29">
            <w:pPr>
              <w:pStyle w:val="48"/>
              <w:widowControl/>
              <w:shd w:val="clear" w:color="auto" w:fill="FFFFFF"/>
              <w:spacing w:line="240" w:lineRule="auto"/>
              <w:ind w:firstLine="0" w:firstLineChars="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r>
      <w:tr w14:paraId="3B0A4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84" w:type="pct"/>
            <w:vMerge w:val="continue"/>
            <w:tcBorders>
              <w:tl2br w:val="nil"/>
              <w:tr2bl w:val="nil"/>
            </w:tcBorders>
            <w:shd w:val="clear" w:color="auto" w:fill="FFFFFF" w:themeFill="background1"/>
            <w:vAlign w:val="center"/>
          </w:tcPr>
          <w:p w14:paraId="69CC580C">
            <w:pPr>
              <w:pStyle w:val="94"/>
              <w:bidi w:val="0"/>
              <w:jc w:val="both"/>
              <w:rPr>
                <w:rFonts w:hint="default" w:ascii="Times New Roman" w:hAnsi="Times New Roman" w:cs="Times New Roman"/>
                <w:b/>
                <w:bCs/>
                <w:color w:val="auto"/>
                <w:sz w:val="21"/>
                <w:szCs w:val="21"/>
                <w:highlight w:val="none"/>
              </w:rPr>
            </w:pPr>
          </w:p>
        </w:tc>
        <w:tc>
          <w:tcPr>
            <w:tcW w:w="265" w:type="pct"/>
            <w:vMerge w:val="restart"/>
            <w:tcBorders>
              <w:tl2br w:val="nil"/>
              <w:tr2bl w:val="nil"/>
            </w:tcBorders>
            <w:shd w:val="clear" w:color="auto" w:fill="FFFFFF" w:themeFill="background1"/>
            <w:vAlign w:val="center"/>
          </w:tcPr>
          <w:p w14:paraId="1BFC6F38">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安居区</w:t>
            </w:r>
            <w:r>
              <w:rPr>
                <w:rFonts w:hint="default" w:ascii="Times New Roman" w:hAnsi="Times New Roman" w:cs="Times New Roman"/>
                <w:color w:val="auto"/>
                <w:sz w:val="21"/>
                <w:szCs w:val="21"/>
                <w:highlight w:val="none"/>
                <w:lang w:val="en-US" w:eastAsia="zh-CN"/>
              </w:rPr>
              <w:t>普适性清单要求</w:t>
            </w:r>
          </w:p>
        </w:tc>
        <w:tc>
          <w:tcPr>
            <w:tcW w:w="283" w:type="pct"/>
            <w:tcBorders>
              <w:tl2br w:val="nil"/>
              <w:tr2bl w:val="nil"/>
            </w:tcBorders>
            <w:shd w:val="clear" w:color="auto" w:fill="FFFFFF" w:themeFill="background1"/>
            <w:vAlign w:val="center"/>
          </w:tcPr>
          <w:p w14:paraId="1453CAEB">
            <w:pPr>
              <w:widowControl/>
              <w:spacing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color w:val="auto"/>
                <w:sz w:val="21"/>
                <w:szCs w:val="21"/>
                <w:highlight w:val="none"/>
              </w:rPr>
              <w:t>空间布局约束</w:t>
            </w:r>
          </w:p>
        </w:tc>
        <w:tc>
          <w:tcPr>
            <w:tcW w:w="2610" w:type="pct"/>
            <w:tcBorders>
              <w:tl2br w:val="nil"/>
              <w:tr2bl w:val="nil"/>
            </w:tcBorders>
            <w:shd w:val="clear" w:color="auto" w:fill="FFFFFF" w:themeFill="background1"/>
            <w:vAlign w:val="center"/>
          </w:tcPr>
          <w:p w14:paraId="7A39E16A">
            <w:pPr>
              <w:pStyle w:val="94"/>
              <w:bidi w:val="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禁止开发建设活动的要求:暂无</w:t>
            </w:r>
          </w:p>
          <w:p w14:paraId="00047896">
            <w:pPr>
              <w:pStyle w:val="94"/>
              <w:bidi w:val="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限制开发建设活动的要求:暂无</w:t>
            </w:r>
          </w:p>
          <w:p w14:paraId="7D49AF70">
            <w:pPr>
              <w:pStyle w:val="94"/>
              <w:bidi w:val="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允许开发建设活动的要求:暂无</w:t>
            </w:r>
          </w:p>
          <w:p w14:paraId="43EB9E49">
            <w:pPr>
              <w:pStyle w:val="94"/>
              <w:bidi w:val="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不符合空间布局要求活动的退出要求:暂无</w:t>
            </w:r>
          </w:p>
          <w:p w14:paraId="22A728B1">
            <w:pPr>
              <w:pStyle w:val="94"/>
              <w:bidi w:val="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其他空间布局约束要求:暂无</w:t>
            </w:r>
          </w:p>
        </w:tc>
        <w:tc>
          <w:tcPr>
            <w:tcW w:w="1260" w:type="pct"/>
            <w:tcBorders>
              <w:tl2br w:val="nil"/>
              <w:tr2bl w:val="nil"/>
            </w:tcBorders>
            <w:shd w:val="clear" w:color="auto" w:fill="FFFFFF" w:themeFill="background1"/>
            <w:vAlign w:val="center"/>
          </w:tcPr>
          <w:p w14:paraId="3B6AA510">
            <w:pPr>
              <w:pStyle w:val="94"/>
              <w:keepNext w:val="0"/>
              <w:keepLines w:val="0"/>
              <w:pageBreakBefore w:val="0"/>
              <w:widowControl w:val="0"/>
              <w:kinsoku/>
              <w:wordWrap/>
              <w:overflowPunct/>
              <w:topLinePunct w:val="0"/>
              <w:autoSpaceDE w:val="0"/>
              <w:autoSpaceDN w:val="0"/>
              <w:bidi w:val="0"/>
              <w:adjustRightInd w:val="0"/>
              <w:snapToGrid w:val="0"/>
              <w:spacing w:before="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94" w:type="pct"/>
            <w:tcBorders>
              <w:tl2br w:val="nil"/>
              <w:tr2bl w:val="nil"/>
            </w:tcBorders>
            <w:shd w:val="clear" w:color="auto" w:fill="FFFFFF" w:themeFill="background1"/>
            <w:vAlign w:val="center"/>
          </w:tcPr>
          <w:p w14:paraId="399E85F8">
            <w:pPr>
              <w:pStyle w:val="48"/>
              <w:widowControl/>
              <w:shd w:val="clear" w:color="auto" w:fill="FFFFFF"/>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r>
      <w:tr w14:paraId="669F6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 w:hRule="atLeast"/>
        </w:trPr>
        <w:tc>
          <w:tcPr>
            <w:tcW w:w="384" w:type="pct"/>
            <w:vMerge w:val="continue"/>
            <w:tcBorders>
              <w:tl2br w:val="nil"/>
              <w:tr2bl w:val="nil"/>
            </w:tcBorders>
            <w:shd w:val="clear" w:color="auto" w:fill="FFFFFF" w:themeFill="background1"/>
            <w:vAlign w:val="center"/>
          </w:tcPr>
          <w:p w14:paraId="59962F89">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5" w:type="pct"/>
            <w:vMerge w:val="continue"/>
            <w:tcBorders>
              <w:tl2br w:val="nil"/>
              <w:tr2bl w:val="nil"/>
            </w:tcBorders>
            <w:shd w:val="clear" w:color="auto" w:fill="FFFFFF" w:themeFill="background1"/>
            <w:vAlign w:val="center"/>
          </w:tcPr>
          <w:p w14:paraId="2CF0886B">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3" w:type="pct"/>
            <w:tcBorders>
              <w:tl2br w:val="nil"/>
              <w:tr2bl w:val="nil"/>
            </w:tcBorders>
            <w:shd w:val="clear" w:color="auto" w:fill="FFFFFF" w:themeFill="background1"/>
            <w:vAlign w:val="center"/>
          </w:tcPr>
          <w:p w14:paraId="430B7E57">
            <w:pPr>
              <w:pStyle w:val="48"/>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污染物排放管控</w:t>
            </w:r>
          </w:p>
        </w:tc>
        <w:tc>
          <w:tcPr>
            <w:tcW w:w="2610" w:type="pct"/>
            <w:tcBorders>
              <w:tl2br w:val="nil"/>
              <w:tr2bl w:val="nil"/>
            </w:tcBorders>
            <w:shd w:val="clear" w:color="auto" w:fill="FFFFFF" w:themeFill="background1"/>
            <w:vAlign w:val="center"/>
          </w:tcPr>
          <w:p w14:paraId="32BAB545">
            <w:pPr>
              <w:pStyle w:val="94"/>
              <w:bidi w:val="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现有源提标升级改造:暂无</w:t>
            </w:r>
          </w:p>
          <w:p w14:paraId="644D13E5">
            <w:pPr>
              <w:pStyle w:val="94"/>
              <w:bidi w:val="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新增源等量或倍量替代:暂无</w:t>
            </w:r>
          </w:p>
          <w:p w14:paraId="33EBFBEA">
            <w:pPr>
              <w:pStyle w:val="94"/>
              <w:bidi w:val="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新增源排放标准限值:暂无</w:t>
            </w:r>
          </w:p>
          <w:p w14:paraId="662A1891">
            <w:pPr>
              <w:pStyle w:val="94"/>
              <w:bidi w:val="0"/>
              <w:jc w:val="both"/>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污染物排放绩效水平准入要求:暂无</w:t>
            </w:r>
          </w:p>
          <w:p w14:paraId="37598807">
            <w:pPr>
              <w:pStyle w:val="94"/>
              <w:bidi w:val="0"/>
              <w:jc w:val="both"/>
              <w:rPr>
                <w:rFonts w:hint="default" w:ascii="Times New Roman" w:hAnsi="Times New Roman" w:cs="Times New Roman"/>
                <w:b/>
                <w:bCs/>
                <w:color w:val="auto"/>
                <w:kern w:val="0"/>
                <w:sz w:val="21"/>
                <w:szCs w:val="21"/>
                <w:highlight w:val="none"/>
              </w:rPr>
            </w:pPr>
            <w:r>
              <w:rPr>
                <w:rFonts w:hint="default" w:ascii="Times New Roman" w:hAnsi="Times New Roman" w:cs="Times New Roman"/>
                <w:color w:val="auto"/>
                <w:sz w:val="21"/>
                <w:szCs w:val="21"/>
                <w:highlight w:val="none"/>
                <w:lang w:eastAsia="zh-CN"/>
              </w:rPr>
              <w:t>其他污染物排放管控要求:暂无。</w:t>
            </w:r>
          </w:p>
        </w:tc>
        <w:tc>
          <w:tcPr>
            <w:tcW w:w="1260" w:type="pct"/>
            <w:tcBorders>
              <w:tl2br w:val="nil"/>
              <w:tr2bl w:val="nil"/>
            </w:tcBorders>
            <w:shd w:val="clear" w:color="auto" w:fill="FFFFFF" w:themeFill="background1"/>
            <w:vAlign w:val="center"/>
          </w:tcPr>
          <w:p w14:paraId="0F0F7A0F">
            <w:pPr>
              <w:pStyle w:val="94"/>
              <w:keepNext w:val="0"/>
              <w:keepLines w:val="0"/>
              <w:pageBreakBefore w:val="0"/>
              <w:widowControl w:val="0"/>
              <w:kinsoku/>
              <w:wordWrap/>
              <w:overflowPunct/>
              <w:topLinePunct w:val="0"/>
              <w:autoSpaceDE w:val="0"/>
              <w:autoSpaceDN w:val="0"/>
              <w:bidi w:val="0"/>
              <w:adjustRightInd w:val="0"/>
              <w:snapToGrid w:val="0"/>
              <w:spacing w:before="0"/>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c>
          <w:tcPr>
            <w:tcW w:w="194" w:type="pct"/>
            <w:tcBorders>
              <w:tl2br w:val="nil"/>
              <w:tr2bl w:val="nil"/>
            </w:tcBorders>
            <w:shd w:val="clear" w:color="auto" w:fill="FFFFFF" w:themeFill="background1"/>
            <w:vAlign w:val="center"/>
          </w:tcPr>
          <w:p w14:paraId="14A125C0">
            <w:pPr>
              <w:pStyle w:val="48"/>
              <w:widowControl/>
              <w:shd w:val="clear" w:color="auto" w:fill="FFFFFF"/>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eastAsia="宋体" w:cs="Times New Roman"/>
                <w:bCs/>
                <w:color w:val="auto"/>
                <w:sz w:val="21"/>
                <w:szCs w:val="21"/>
                <w:highlight w:val="none"/>
                <w:lang w:val="en-US" w:eastAsia="zh-CN"/>
              </w:rPr>
              <w:t>/</w:t>
            </w:r>
          </w:p>
        </w:tc>
      </w:tr>
      <w:tr w14:paraId="5AEA3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 w:hRule="atLeast"/>
        </w:trPr>
        <w:tc>
          <w:tcPr>
            <w:tcW w:w="384" w:type="pct"/>
            <w:vMerge w:val="continue"/>
            <w:tcBorders>
              <w:tl2br w:val="nil"/>
              <w:tr2bl w:val="nil"/>
            </w:tcBorders>
            <w:shd w:val="clear" w:color="auto" w:fill="FFFFFF" w:themeFill="background1"/>
            <w:vAlign w:val="center"/>
          </w:tcPr>
          <w:p w14:paraId="3D839420">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5" w:type="pct"/>
            <w:vMerge w:val="continue"/>
            <w:tcBorders>
              <w:tl2br w:val="nil"/>
              <w:tr2bl w:val="nil"/>
            </w:tcBorders>
            <w:shd w:val="clear" w:color="auto" w:fill="FFFFFF" w:themeFill="background1"/>
            <w:vAlign w:val="center"/>
          </w:tcPr>
          <w:p w14:paraId="352EBD6E">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3" w:type="pct"/>
            <w:tcBorders>
              <w:tl2br w:val="nil"/>
              <w:tr2bl w:val="nil"/>
            </w:tcBorders>
            <w:shd w:val="clear" w:color="auto" w:fill="FFFFFF" w:themeFill="background1"/>
            <w:vAlign w:val="center"/>
          </w:tcPr>
          <w:p w14:paraId="419DD2C1">
            <w:pPr>
              <w:pStyle w:val="48"/>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环境风险防控</w:t>
            </w:r>
          </w:p>
        </w:tc>
        <w:tc>
          <w:tcPr>
            <w:tcW w:w="2610" w:type="pct"/>
            <w:tcBorders>
              <w:tl2br w:val="nil"/>
              <w:tr2bl w:val="nil"/>
            </w:tcBorders>
            <w:shd w:val="clear" w:color="auto" w:fill="FFFFFF" w:themeFill="background1"/>
            <w:vAlign w:val="center"/>
          </w:tcPr>
          <w:p w14:paraId="25501BFB">
            <w:pPr>
              <w:pStyle w:val="48"/>
              <w:numPr>
                <w:ilvl w:val="0"/>
                <w:numId w:val="0"/>
              </w:numPr>
              <w:spacing w:line="240" w:lineRule="auto"/>
              <w:ind w:left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严格管控类农用地管控要求:暂无</w:t>
            </w:r>
          </w:p>
          <w:p w14:paraId="002A8413">
            <w:pPr>
              <w:pStyle w:val="48"/>
              <w:numPr>
                <w:ilvl w:val="0"/>
                <w:numId w:val="0"/>
              </w:numPr>
              <w:spacing w:line="240" w:lineRule="auto"/>
              <w:ind w:left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安全利用类农用地管控要求:暂无</w:t>
            </w:r>
          </w:p>
          <w:p w14:paraId="2AEA365F">
            <w:pPr>
              <w:pStyle w:val="48"/>
              <w:numPr>
                <w:ilvl w:val="0"/>
                <w:numId w:val="0"/>
              </w:numPr>
              <w:spacing w:line="240" w:lineRule="auto"/>
              <w:ind w:left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污染地块管控要求:暂无</w:t>
            </w:r>
          </w:p>
          <w:p w14:paraId="5DCA1733">
            <w:pPr>
              <w:pStyle w:val="48"/>
              <w:numPr>
                <w:ilvl w:val="0"/>
                <w:numId w:val="0"/>
              </w:numPr>
              <w:spacing w:line="240" w:lineRule="auto"/>
              <w:ind w:left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园区环境风险防控要求:暂无</w:t>
            </w:r>
          </w:p>
          <w:p w14:paraId="33F3F90E">
            <w:pPr>
              <w:pStyle w:val="48"/>
              <w:numPr>
                <w:ilvl w:val="0"/>
                <w:numId w:val="0"/>
              </w:numPr>
              <w:spacing w:line="240" w:lineRule="auto"/>
              <w:ind w:left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企业环境风险防控要求:暂无</w:t>
            </w:r>
          </w:p>
          <w:p w14:paraId="73B2A46E">
            <w:pPr>
              <w:pStyle w:val="48"/>
              <w:numPr>
                <w:ilvl w:val="0"/>
                <w:numId w:val="0"/>
              </w:numPr>
              <w:spacing w:line="240" w:lineRule="auto"/>
              <w:ind w:left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其他环境风险防控要求:暂无</w:t>
            </w:r>
          </w:p>
        </w:tc>
        <w:tc>
          <w:tcPr>
            <w:tcW w:w="1260" w:type="pct"/>
            <w:tcBorders>
              <w:tl2br w:val="nil"/>
              <w:tr2bl w:val="nil"/>
            </w:tcBorders>
            <w:shd w:val="clear" w:color="auto" w:fill="FFFFFF" w:themeFill="background1"/>
            <w:vAlign w:val="center"/>
          </w:tcPr>
          <w:p w14:paraId="1FF86224">
            <w:pPr>
              <w:pStyle w:val="94"/>
              <w:keepNext w:val="0"/>
              <w:keepLines w:val="0"/>
              <w:pageBreakBefore w:val="0"/>
              <w:widowControl w:val="0"/>
              <w:kinsoku/>
              <w:wordWrap/>
              <w:overflowPunct/>
              <w:topLinePunct w:val="0"/>
              <w:autoSpaceDE w:val="0"/>
              <w:autoSpaceDN w:val="0"/>
              <w:bidi w:val="0"/>
              <w:adjustRightInd w:val="0"/>
              <w:snapToGrid w:val="0"/>
              <w:spacing w:before="0"/>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94" w:type="pct"/>
            <w:tcBorders>
              <w:tl2br w:val="nil"/>
              <w:tr2bl w:val="nil"/>
            </w:tcBorders>
            <w:shd w:val="clear" w:color="auto" w:fill="FFFFFF" w:themeFill="background1"/>
            <w:vAlign w:val="center"/>
          </w:tcPr>
          <w:p w14:paraId="26B74C33">
            <w:pPr>
              <w:pStyle w:val="48"/>
              <w:widowControl/>
              <w:shd w:val="clear" w:color="auto" w:fill="FFFFFF"/>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eastAsia="宋体" w:cs="Times New Roman"/>
                <w:bCs/>
                <w:color w:val="auto"/>
                <w:sz w:val="21"/>
                <w:szCs w:val="21"/>
                <w:highlight w:val="none"/>
                <w:lang w:val="en-US" w:eastAsia="zh-CN"/>
              </w:rPr>
              <w:t>/</w:t>
            </w:r>
          </w:p>
        </w:tc>
      </w:tr>
      <w:tr w14:paraId="6F2E9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 w:hRule="atLeast"/>
        </w:trPr>
        <w:tc>
          <w:tcPr>
            <w:tcW w:w="384" w:type="pct"/>
            <w:vMerge w:val="continue"/>
            <w:tcBorders>
              <w:tl2br w:val="nil"/>
              <w:tr2bl w:val="nil"/>
            </w:tcBorders>
            <w:shd w:val="clear" w:color="auto" w:fill="FFFFFF" w:themeFill="background1"/>
            <w:vAlign w:val="center"/>
          </w:tcPr>
          <w:p w14:paraId="39C60CEE">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5" w:type="pct"/>
            <w:vMerge w:val="continue"/>
            <w:tcBorders>
              <w:tl2br w:val="nil"/>
              <w:tr2bl w:val="nil"/>
            </w:tcBorders>
            <w:shd w:val="clear" w:color="auto" w:fill="FFFFFF" w:themeFill="background1"/>
            <w:vAlign w:val="center"/>
          </w:tcPr>
          <w:p w14:paraId="216177E9">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3" w:type="pct"/>
            <w:tcBorders>
              <w:tl2br w:val="nil"/>
              <w:tr2bl w:val="nil"/>
            </w:tcBorders>
            <w:shd w:val="clear" w:color="auto" w:fill="FFFFFF" w:themeFill="background1"/>
            <w:vAlign w:val="center"/>
          </w:tcPr>
          <w:p w14:paraId="0E4B30B1">
            <w:pPr>
              <w:pStyle w:val="48"/>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资源开发利用效率要求</w:t>
            </w:r>
          </w:p>
        </w:tc>
        <w:tc>
          <w:tcPr>
            <w:tcW w:w="2610" w:type="pct"/>
            <w:tcBorders>
              <w:tl2br w:val="nil"/>
              <w:tr2bl w:val="nil"/>
            </w:tcBorders>
            <w:shd w:val="clear" w:color="auto" w:fill="FFFFFF" w:themeFill="background1"/>
            <w:vAlign w:val="center"/>
          </w:tcPr>
          <w:p w14:paraId="351FEA38">
            <w:pPr>
              <w:widowControl/>
              <w:shd w:val="clear" w:color="auto" w:fill="FFFFFF"/>
              <w:spacing w:line="240" w:lineRule="auto"/>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水资源利用效率要求:暂无</w:t>
            </w:r>
          </w:p>
          <w:p w14:paraId="78BA3C8F">
            <w:pPr>
              <w:widowControl/>
              <w:shd w:val="clear" w:color="auto" w:fill="FFFFFF"/>
              <w:spacing w:line="240" w:lineRule="auto"/>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地下水开采要求:暂无</w:t>
            </w:r>
          </w:p>
          <w:p w14:paraId="128D016F">
            <w:pPr>
              <w:widowControl/>
              <w:shd w:val="clear" w:color="auto" w:fill="FFFFFF"/>
              <w:spacing w:line="240" w:lineRule="auto"/>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能源利用效率要求:暂无</w:t>
            </w:r>
          </w:p>
          <w:p w14:paraId="12751706">
            <w:pPr>
              <w:widowControl/>
              <w:shd w:val="clear" w:color="auto" w:fill="FFFFFF"/>
              <w:spacing w:line="240" w:lineRule="auto"/>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其他资源利用效率要求:暂无</w:t>
            </w:r>
          </w:p>
        </w:tc>
        <w:tc>
          <w:tcPr>
            <w:tcW w:w="1260" w:type="pct"/>
            <w:tcBorders>
              <w:tl2br w:val="nil"/>
              <w:tr2bl w:val="nil"/>
            </w:tcBorders>
            <w:shd w:val="clear" w:color="auto" w:fill="FFFFFF" w:themeFill="background1"/>
            <w:vAlign w:val="center"/>
          </w:tcPr>
          <w:p w14:paraId="421A7320">
            <w:pPr>
              <w:pStyle w:val="94"/>
              <w:keepNext w:val="0"/>
              <w:keepLines w:val="0"/>
              <w:pageBreakBefore w:val="0"/>
              <w:widowControl w:val="0"/>
              <w:kinsoku/>
              <w:wordWrap/>
              <w:overflowPunct/>
              <w:topLinePunct w:val="0"/>
              <w:autoSpaceDE w:val="0"/>
              <w:autoSpaceDN w:val="0"/>
              <w:bidi w:val="0"/>
              <w:adjustRightInd w:val="0"/>
              <w:snapToGrid w:val="0"/>
              <w:spacing w:before="0"/>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cs="Times New Roman"/>
                <w:color w:val="auto"/>
                <w:sz w:val="21"/>
                <w:szCs w:val="21"/>
                <w:highlight w:val="none"/>
                <w:lang w:val="en-US" w:eastAsia="zh-CN"/>
              </w:rPr>
              <w:t>/</w:t>
            </w:r>
          </w:p>
        </w:tc>
        <w:tc>
          <w:tcPr>
            <w:tcW w:w="194" w:type="pct"/>
            <w:tcBorders>
              <w:tl2br w:val="nil"/>
              <w:tr2bl w:val="nil"/>
            </w:tcBorders>
            <w:shd w:val="clear" w:color="auto" w:fill="FFFFFF" w:themeFill="background1"/>
            <w:vAlign w:val="center"/>
          </w:tcPr>
          <w:p w14:paraId="68AF00CF">
            <w:pPr>
              <w:pStyle w:val="48"/>
              <w:widowControl/>
              <w:shd w:val="clear" w:color="auto" w:fill="FFFFFF"/>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eastAsia="宋体" w:cs="Times New Roman"/>
                <w:bCs/>
                <w:color w:val="auto"/>
                <w:sz w:val="21"/>
                <w:szCs w:val="21"/>
                <w:highlight w:val="none"/>
                <w:lang w:val="en-US" w:eastAsia="zh-CN"/>
              </w:rPr>
              <w:t>/</w:t>
            </w:r>
          </w:p>
        </w:tc>
      </w:tr>
      <w:tr w14:paraId="408E3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3" w:hRule="atLeast"/>
        </w:trPr>
        <w:tc>
          <w:tcPr>
            <w:tcW w:w="384" w:type="pct"/>
            <w:vMerge w:val="continue"/>
            <w:tcBorders>
              <w:tl2br w:val="nil"/>
              <w:tr2bl w:val="nil"/>
            </w:tcBorders>
            <w:shd w:val="clear" w:color="auto" w:fill="FFFFFF" w:themeFill="background1"/>
            <w:vAlign w:val="center"/>
          </w:tcPr>
          <w:p w14:paraId="3F61B538">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5" w:type="pct"/>
            <w:vMerge w:val="continue"/>
            <w:tcBorders>
              <w:tl2br w:val="nil"/>
              <w:tr2bl w:val="nil"/>
            </w:tcBorders>
            <w:shd w:val="clear" w:color="auto" w:fill="FFFFFF" w:themeFill="background1"/>
            <w:vAlign w:val="center"/>
          </w:tcPr>
          <w:p w14:paraId="733EB478">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3" w:type="pct"/>
            <w:vMerge w:val="restart"/>
            <w:tcBorders>
              <w:tl2br w:val="nil"/>
              <w:tr2bl w:val="nil"/>
            </w:tcBorders>
            <w:shd w:val="clear" w:color="auto" w:fill="FFFFFF" w:themeFill="background1"/>
            <w:vAlign w:val="center"/>
          </w:tcPr>
          <w:p w14:paraId="12FB9DEF">
            <w:pPr>
              <w:pStyle w:val="48"/>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区域特点</w:t>
            </w:r>
          </w:p>
        </w:tc>
        <w:tc>
          <w:tcPr>
            <w:tcW w:w="2610" w:type="pct"/>
            <w:tcBorders>
              <w:tl2br w:val="nil"/>
              <w:tr2bl w:val="nil"/>
            </w:tcBorders>
            <w:shd w:val="clear" w:color="auto" w:fill="FFFFFF" w:themeFill="background1"/>
            <w:vAlign w:val="center"/>
          </w:tcPr>
          <w:p w14:paraId="2ABA8321">
            <w:pPr>
              <w:widowControl/>
              <w:shd w:val="clear" w:color="auto" w:fill="FFFFFF"/>
              <w:spacing w:line="240" w:lineRule="auto"/>
              <w:ind w:firstLine="0" w:firstLineChars="0"/>
              <w:jc w:val="both"/>
              <w:rPr>
                <w:rFonts w:hint="eastAsia"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rPr>
              <w:t>发展定位与目标</w:t>
            </w:r>
            <w:r>
              <w:rPr>
                <w:rFonts w:hint="eastAsia" w:cs="Times New Roman"/>
                <w:b/>
                <w:bCs/>
                <w:color w:val="auto"/>
                <w:kern w:val="0"/>
                <w:sz w:val="21"/>
                <w:szCs w:val="21"/>
                <w:highlight w:val="none"/>
                <w:lang w:eastAsia="zh-CN"/>
              </w:rPr>
              <w:t>：</w:t>
            </w:r>
          </w:p>
          <w:p w14:paraId="5EA1A05A">
            <w:pPr>
              <w:widowControl/>
              <w:shd w:val="clear" w:color="auto" w:fill="FFFFFF"/>
              <w:spacing w:line="240" w:lineRule="auto"/>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发展目标：以成渝地区双城经济圈建设为战略引领，以加快建设全省特色工业示范区、乡村振兴示范区、公园城市示范区为战略支撑，大力实施富民强区“七大行动”，全力推动安居区建设成为成渝地区特色工业示范区、清洁能源示范基地和遂潼川渝毗邻地区一体化发展引领区，促进安居在川渝毗邻地区一体化发展中实现更大跨越，为实现成渝地区双城经济圈中部崛起贡献安居力量。</w:t>
            </w:r>
          </w:p>
          <w:p w14:paraId="0ECC6C73">
            <w:pPr>
              <w:widowControl/>
              <w:shd w:val="clear" w:color="auto" w:fill="FFFFFF"/>
              <w:spacing w:line="240" w:lineRule="auto"/>
              <w:ind w:firstLine="0" w:firstLineChars="0"/>
              <w:jc w:val="both"/>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主要产业：</w:t>
            </w:r>
          </w:p>
          <w:p w14:paraId="4FCDEAD2">
            <w:pPr>
              <w:widowControl/>
              <w:shd w:val="clear" w:color="auto" w:fill="FFFFFF"/>
              <w:spacing w:line="240" w:lineRule="auto"/>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壮大锂电及新材料产业集群，拓展服务成渝双核的锂电相关配套产业。优化发展汽车与装备制造产业、有序发展天然气及清洁能源产业、做优食品及特色消费品产业、着力发展通航配套服务。</w:t>
            </w:r>
          </w:p>
        </w:tc>
        <w:tc>
          <w:tcPr>
            <w:tcW w:w="1260" w:type="pct"/>
            <w:tcBorders>
              <w:tl2br w:val="nil"/>
              <w:tr2bl w:val="nil"/>
            </w:tcBorders>
            <w:shd w:val="clear" w:color="auto" w:fill="FFFFFF" w:themeFill="background1"/>
            <w:vAlign w:val="center"/>
          </w:tcPr>
          <w:p w14:paraId="79C1849B">
            <w:pPr>
              <w:pStyle w:val="48"/>
              <w:widowControl/>
              <w:shd w:val="clear" w:color="auto" w:fill="FFFFFF"/>
              <w:spacing w:line="240" w:lineRule="auto"/>
              <w:ind w:firstLine="0" w:firstLineChars="0"/>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auto"/>
                <w:sz w:val="21"/>
                <w:szCs w:val="21"/>
                <w:highlight w:val="none"/>
                <w:lang w:val="en-US" w:eastAsia="zh-CN"/>
              </w:rPr>
              <w:t>本项目为食品制造项目，位于遂宁市安居区工业集中发展区（含经开区），为园区主导产业。</w:t>
            </w:r>
          </w:p>
        </w:tc>
        <w:tc>
          <w:tcPr>
            <w:tcW w:w="194" w:type="pct"/>
            <w:tcBorders>
              <w:tl2br w:val="nil"/>
              <w:tr2bl w:val="nil"/>
            </w:tcBorders>
            <w:shd w:val="clear" w:color="auto" w:fill="FFFFFF" w:themeFill="background1"/>
            <w:vAlign w:val="center"/>
          </w:tcPr>
          <w:p w14:paraId="6B4CBEF2">
            <w:pPr>
              <w:pStyle w:val="48"/>
              <w:widowControl/>
              <w:shd w:val="clear" w:color="auto" w:fill="FFFFFF"/>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符合</w:t>
            </w:r>
          </w:p>
        </w:tc>
      </w:tr>
      <w:tr w14:paraId="189DD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92" w:hRule="atLeast"/>
        </w:trPr>
        <w:tc>
          <w:tcPr>
            <w:tcW w:w="384" w:type="pct"/>
            <w:vMerge w:val="continue"/>
            <w:tcBorders>
              <w:tl2br w:val="nil"/>
              <w:tr2bl w:val="nil"/>
            </w:tcBorders>
            <w:shd w:val="clear" w:color="auto" w:fill="FFFFFF" w:themeFill="background1"/>
            <w:vAlign w:val="center"/>
          </w:tcPr>
          <w:p w14:paraId="3396C152">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5" w:type="pct"/>
            <w:vMerge w:val="continue"/>
            <w:tcBorders>
              <w:tl2br w:val="nil"/>
              <w:tr2bl w:val="nil"/>
            </w:tcBorders>
            <w:shd w:val="clear" w:color="auto" w:fill="FFFFFF" w:themeFill="background1"/>
            <w:vAlign w:val="center"/>
          </w:tcPr>
          <w:p w14:paraId="29908917">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3" w:type="pct"/>
            <w:vMerge w:val="continue"/>
            <w:tcBorders>
              <w:tl2br w:val="nil"/>
              <w:tr2bl w:val="nil"/>
            </w:tcBorders>
            <w:shd w:val="clear" w:color="auto" w:fill="FFFFFF" w:themeFill="background1"/>
            <w:vAlign w:val="center"/>
          </w:tcPr>
          <w:p w14:paraId="4CE26FEC">
            <w:pPr>
              <w:pStyle w:val="48"/>
              <w:widowControl/>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610" w:type="pct"/>
            <w:tcBorders>
              <w:tl2br w:val="nil"/>
              <w:tr2bl w:val="nil"/>
            </w:tcBorders>
            <w:shd w:val="clear" w:color="auto" w:fill="FFFFFF" w:themeFill="background1"/>
            <w:vAlign w:val="center"/>
          </w:tcPr>
          <w:p w14:paraId="415936E5">
            <w:pPr>
              <w:widowControl/>
              <w:shd w:val="clear" w:color="auto" w:fill="FFFFFF"/>
              <w:spacing w:line="240" w:lineRule="auto"/>
              <w:ind w:firstLine="0" w:firstLineChars="0"/>
              <w:jc w:val="both"/>
              <w:rPr>
                <w:rFonts w:hint="eastAsia"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rPr>
              <w:t>区域突出生态环境问题</w:t>
            </w:r>
            <w:r>
              <w:rPr>
                <w:rFonts w:hint="eastAsia" w:cs="Times New Roman"/>
                <w:b/>
                <w:bCs/>
                <w:color w:val="auto"/>
                <w:kern w:val="0"/>
                <w:sz w:val="21"/>
                <w:szCs w:val="21"/>
                <w:highlight w:val="none"/>
                <w:lang w:eastAsia="zh-CN"/>
              </w:rPr>
              <w:t>：</w:t>
            </w:r>
          </w:p>
          <w:p w14:paraId="4C2CBAE4">
            <w:pPr>
              <w:widowControl/>
              <w:numPr>
                <w:ilvl w:val="0"/>
                <w:numId w:val="7"/>
              </w:numPr>
              <w:shd w:val="clear" w:color="auto" w:fill="FFFFFF"/>
              <w:spacing w:line="240" w:lineRule="auto"/>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季节性大气污染依然存在，空气质量持续改善难度加大。2、水环境质量较差，琼江大安断面、坛罐窑河白鹤桥断面水质不能实现稳定达标。3、农村环境问题治理困难。</w:t>
            </w:r>
          </w:p>
          <w:p w14:paraId="77EBC26D">
            <w:pPr>
              <w:widowControl/>
              <w:numPr>
                <w:ilvl w:val="0"/>
                <w:numId w:val="0"/>
              </w:numPr>
              <w:shd w:val="clear" w:color="auto" w:fill="FFFFFF"/>
              <w:spacing w:line="240" w:lineRule="auto"/>
              <w:jc w:val="both"/>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总体管控要求:</w:t>
            </w:r>
          </w:p>
          <w:p w14:paraId="6D29A264">
            <w:pPr>
              <w:widowControl/>
              <w:numPr>
                <w:ilvl w:val="0"/>
                <w:numId w:val="0"/>
              </w:numPr>
              <w:shd w:val="clear" w:color="auto" w:fill="FFFFFF"/>
              <w:spacing w:line="240" w:lineRule="auto"/>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加强乡镇集中式饮用水水源保护区保护，确保饮用水安全；2、严格施工扬尘、道路扬尘管控；3、加强琼江流域污染治理、农业面源污染治理，严格控制化肥农药使用量，科学划定禁养区，积极推广畜禽清洁养殖和畜禽粪污无害化、资源化处理技术；4、现有涉及五类重金属排放的企业，严控污染物排放；5、锂离子电池行业引入，参考执行其行业资源环境绩效指标准入要求。</w:t>
            </w:r>
          </w:p>
        </w:tc>
        <w:tc>
          <w:tcPr>
            <w:tcW w:w="1260" w:type="pct"/>
            <w:tcBorders>
              <w:tl2br w:val="nil"/>
              <w:tr2bl w:val="nil"/>
            </w:tcBorders>
            <w:shd w:val="clear" w:color="auto" w:fill="FFFFFF" w:themeFill="background1"/>
            <w:vAlign w:val="center"/>
          </w:tcPr>
          <w:p w14:paraId="3DF2F74D">
            <w:pPr>
              <w:pStyle w:val="48"/>
              <w:widowControl/>
              <w:shd w:val="clear" w:color="auto" w:fill="FFFFFF"/>
              <w:spacing w:line="240" w:lineRule="auto"/>
              <w:ind w:firstLine="0" w:firstLineChars="0"/>
              <w:rPr>
                <w:rFonts w:hint="default" w:ascii="Times New Roman" w:hAnsi="Times New Roman" w:eastAsia="宋体" w:cs="Times New Roman"/>
                <w:color w:val="FF0000"/>
                <w:sz w:val="21"/>
                <w:szCs w:val="21"/>
                <w:highlight w:val="none"/>
                <w:lang w:val="en-US" w:eastAsia="zh-CN"/>
              </w:rPr>
            </w:pPr>
            <w:r>
              <w:rPr>
                <w:rFonts w:hint="eastAsia" w:eastAsia="宋体" w:cs="Times New Roman"/>
                <w:bCs/>
                <w:color w:val="auto"/>
                <w:sz w:val="21"/>
                <w:szCs w:val="21"/>
                <w:highlight w:val="none"/>
                <w:lang w:val="en-US" w:eastAsia="zh-CN"/>
              </w:rPr>
              <w:t>本项目生活污水及生产废水不涉及排放重金属等污染物，项目废水拟经预处理达到</w:t>
            </w:r>
            <w:r>
              <w:rPr>
                <w:rFonts w:hint="default" w:ascii="Times New Roman" w:hAnsi="Times New Roman" w:eastAsia="宋体" w:cs="Times New Roman"/>
                <w:color w:val="auto"/>
                <w:sz w:val="21"/>
                <w:szCs w:val="21"/>
                <w:highlight w:val="none"/>
                <w:lang w:val="en-US" w:eastAsia="zh-CN"/>
              </w:rPr>
              <w:t>《污水综合排放标准》三级</w:t>
            </w:r>
            <w:r>
              <w:rPr>
                <w:rFonts w:hint="eastAsia" w:ascii="Times New Roman" w:hAnsi="Times New Roman" w:eastAsia="宋体" w:cs="Times New Roman"/>
                <w:color w:val="auto"/>
                <w:sz w:val="21"/>
                <w:szCs w:val="21"/>
                <w:highlight w:val="none"/>
                <w:lang w:val="en-US" w:eastAsia="zh-CN"/>
              </w:rPr>
              <w:t>标准后经市政污水管网排放至龙眼井污水处理厂处理，处理</w:t>
            </w:r>
            <w:r>
              <w:rPr>
                <w:rFonts w:hint="eastAsia" w:eastAsia="宋体" w:cs="Times New Roman"/>
                <w:color w:val="auto"/>
                <w:sz w:val="21"/>
                <w:szCs w:val="21"/>
                <w:highlight w:val="none"/>
                <w:lang w:val="en-US" w:eastAsia="zh-CN"/>
              </w:rPr>
              <w:t>达到</w:t>
            </w:r>
            <w:r>
              <w:rPr>
                <w:rFonts w:hint="eastAsia" w:ascii="Times New Roman" w:hAnsi="Times New Roman" w:eastAsia="宋体" w:cs="Times New Roman"/>
                <w:color w:val="auto"/>
                <w:sz w:val="21"/>
                <w:szCs w:val="21"/>
                <w:highlight w:val="none"/>
                <w:lang w:val="en-US" w:eastAsia="zh-CN"/>
              </w:rPr>
              <w:t>《城镇污水处理厂污染物排放标准》（GB18918-2002）中一级A标准排入琼江。</w:t>
            </w:r>
          </w:p>
        </w:tc>
        <w:tc>
          <w:tcPr>
            <w:tcW w:w="194" w:type="pct"/>
            <w:tcBorders>
              <w:tl2br w:val="nil"/>
              <w:tr2bl w:val="nil"/>
            </w:tcBorders>
            <w:shd w:val="clear" w:color="auto" w:fill="FFFFFF" w:themeFill="background1"/>
            <w:vAlign w:val="center"/>
          </w:tcPr>
          <w:p w14:paraId="50E5ABEF">
            <w:pPr>
              <w:pStyle w:val="48"/>
              <w:widowControl/>
              <w:shd w:val="clear" w:color="auto" w:fill="FFFFFF"/>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符合</w:t>
            </w:r>
          </w:p>
        </w:tc>
      </w:tr>
      <w:tr w14:paraId="128B2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 w:hRule="atLeast"/>
        </w:trPr>
        <w:tc>
          <w:tcPr>
            <w:tcW w:w="384" w:type="pct"/>
            <w:vMerge w:val="restart"/>
            <w:tcBorders>
              <w:tl2br w:val="nil"/>
              <w:tr2bl w:val="nil"/>
            </w:tcBorders>
            <w:shd w:val="clear" w:color="auto" w:fill="FFFFFF" w:themeFill="background1"/>
            <w:vAlign w:val="center"/>
          </w:tcPr>
          <w:p w14:paraId="47D46884">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ZH51090420003遂宁市安居区工业集中发展区（含经开区）</w:t>
            </w:r>
          </w:p>
        </w:tc>
        <w:tc>
          <w:tcPr>
            <w:tcW w:w="265" w:type="pct"/>
            <w:vMerge w:val="restart"/>
            <w:tcBorders>
              <w:tl2br w:val="nil"/>
              <w:tr2bl w:val="nil"/>
            </w:tcBorders>
            <w:shd w:val="clear" w:color="auto" w:fill="FFFFFF" w:themeFill="background1"/>
            <w:vAlign w:val="center"/>
          </w:tcPr>
          <w:p w14:paraId="0679646E">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单元特性管控要求</w:t>
            </w:r>
          </w:p>
        </w:tc>
        <w:tc>
          <w:tcPr>
            <w:tcW w:w="283" w:type="pct"/>
            <w:vMerge w:val="restart"/>
            <w:tcBorders>
              <w:tl2br w:val="nil"/>
              <w:tr2bl w:val="nil"/>
            </w:tcBorders>
            <w:shd w:val="clear" w:color="auto" w:fill="FFFFFF" w:themeFill="background1"/>
            <w:vAlign w:val="center"/>
          </w:tcPr>
          <w:p w14:paraId="5EDC0420">
            <w:pPr>
              <w:pStyle w:val="48"/>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空间布局约束</w:t>
            </w:r>
          </w:p>
        </w:tc>
        <w:tc>
          <w:tcPr>
            <w:tcW w:w="2610" w:type="pct"/>
            <w:tcBorders>
              <w:tl2br w:val="nil"/>
              <w:tr2bl w:val="nil"/>
            </w:tcBorders>
            <w:shd w:val="clear" w:color="auto" w:fill="FFFFFF" w:themeFill="background1"/>
            <w:vAlign w:val="center"/>
          </w:tcPr>
          <w:p w14:paraId="77149486">
            <w:pPr>
              <w:pStyle w:val="48"/>
              <w:widowControl/>
              <w:shd w:val="clear" w:color="auto" w:fill="FFFFFF"/>
              <w:spacing w:line="240" w:lineRule="auto"/>
              <w:ind w:firstLine="0" w:firstLineChars="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禁止开发建设活动的要求</w:t>
            </w:r>
          </w:p>
          <w:p w14:paraId="3F1E4F8F">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1.禁止引入屠宰，白酒、酒精制造，味精、柠檬酸等排水量大的食品加工项目</w:t>
            </w:r>
          </w:p>
          <w:p w14:paraId="1CFECA73">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2.禁止水污染物以总磷为主的肥料和日用化学产品制造，农药制造，炸药、火工及火焰产品制造</w:t>
            </w:r>
          </w:p>
          <w:p w14:paraId="40DB67C4">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3.禁止新建铅蓄电池制造项目</w:t>
            </w:r>
          </w:p>
          <w:p w14:paraId="4A2D873C">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4.禁止专业电镀</w:t>
            </w:r>
          </w:p>
          <w:p w14:paraId="32D1E8BA">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5.其他参照遂宁市总体准入要求-工业重点管控单元</w:t>
            </w:r>
            <w:r>
              <w:rPr>
                <w:rFonts w:hint="eastAsia" w:eastAsia="宋体" w:cs="Times New Roman"/>
                <w:color w:val="auto"/>
                <w:sz w:val="21"/>
                <w:szCs w:val="21"/>
                <w:highlight w:val="none"/>
                <w:lang w:val="en-US" w:eastAsia="zh-CN"/>
              </w:rPr>
              <w:t>。</w:t>
            </w:r>
          </w:p>
        </w:tc>
        <w:tc>
          <w:tcPr>
            <w:tcW w:w="1260" w:type="pct"/>
            <w:tcBorders>
              <w:tl2br w:val="nil"/>
              <w:tr2bl w:val="nil"/>
            </w:tcBorders>
            <w:shd w:val="clear" w:color="auto" w:fill="FFFFFF" w:themeFill="background1"/>
            <w:vAlign w:val="center"/>
          </w:tcPr>
          <w:p w14:paraId="15E4CF26">
            <w:pPr>
              <w:pStyle w:val="48"/>
              <w:widowControl/>
              <w:shd w:val="clear" w:color="auto" w:fill="FFFFFF"/>
              <w:spacing w:line="240" w:lineRule="auto"/>
              <w:ind w:firstLine="0" w:firstLineChars="0"/>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本项目为食品制造项目，不属于上述禁止类项目。</w:t>
            </w:r>
          </w:p>
        </w:tc>
        <w:tc>
          <w:tcPr>
            <w:tcW w:w="194" w:type="pct"/>
            <w:tcBorders>
              <w:tl2br w:val="nil"/>
              <w:tr2bl w:val="nil"/>
            </w:tcBorders>
            <w:shd w:val="clear" w:color="auto" w:fill="FFFFFF" w:themeFill="background1"/>
            <w:vAlign w:val="center"/>
          </w:tcPr>
          <w:p w14:paraId="30C6542E">
            <w:pPr>
              <w:pStyle w:val="48"/>
              <w:widowControl/>
              <w:shd w:val="clear" w:color="auto" w:fill="FFFFFF"/>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符合</w:t>
            </w:r>
          </w:p>
        </w:tc>
      </w:tr>
      <w:tr w14:paraId="373D1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 w:hRule="atLeast"/>
        </w:trPr>
        <w:tc>
          <w:tcPr>
            <w:tcW w:w="384" w:type="pct"/>
            <w:vMerge w:val="continue"/>
            <w:tcBorders>
              <w:tl2br w:val="nil"/>
              <w:tr2bl w:val="nil"/>
            </w:tcBorders>
            <w:shd w:val="clear" w:color="auto" w:fill="FFFFFF" w:themeFill="background1"/>
            <w:vAlign w:val="center"/>
          </w:tcPr>
          <w:p w14:paraId="149C3904">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5" w:type="pct"/>
            <w:vMerge w:val="continue"/>
            <w:tcBorders>
              <w:tl2br w:val="nil"/>
              <w:tr2bl w:val="nil"/>
            </w:tcBorders>
            <w:shd w:val="clear" w:color="auto" w:fill="FFFFFF" w:themeFill="background1"/>
            <w:vAlign w:val="center"/>
          </w:tcPr>
          <w:p w14:paraId="332012D0">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3" w:type="pct"/>
            <w:vMerge w:val="continue"/>
            <w:tcBorders>
              <w:tl2br w:val="nil"/>
              <w:tr2bl w:val="nil"/>
            </w:tcBorders>
            <w:shd w:val="clear" w:color="auto" w:fill="FFFFFF" w:themeFill="background1"/>
            <w:vAlign w:val="center"/>
          </w:tcPr>
          <w:p w14:paraId="57451E6C">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10" w:type="pct"/>
            <w:tcBorders>
              <w:tl2br w:val="nil"/>
              <w:tr2bl w:val="nil"/>
            </w:tcBorders>
            <w:shd w:val="clear" w:color="auto" w:fill="FFFFFF" w:themeFill="background1"/>
            <w:vAlign w:val="center"/>
          </w:tcPr>
          <w:p w14:paraId="0A3F6426">
            <w:pPr>
              <w:pStyle w:val="48"/>
              <w:widowControl/>
              <w:shd w:val="clear" w:color="auto" w:fill="FFFFFF"/>
              <w:spacing w:line="240" w:lineRule="auto"/>
              <w:ind w:firstLine="0" w:firstLineChars="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限制开发建设活动的要求</w:t>
            </w:r>
          </w:p>
          <w:p w14:paraId="02D547AF">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1.严控涉及剧毒原料、废水排放量大以及可能造成水体重金属富集的项目</w:t>
            </w:r>
          </w:p>
          <w:p w14:paraId="74FD4706">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2.靠近安置小区、学校侧的工业用地，后续宜布局机械制造、物流等轻污染类项目，新引入项目应充分论证环境相容性</w:t>
            </w:r>
          </w:p>
          <w:p w14:paraId="07A1C5E2">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3.其他参照遂宁市总体准入要求-工业重点管控单元</w:t>
            </w:r>
          </w:p>
          <w:p w14:paraId="146E0C40">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允许开发建设活动的要求</w:t>
            </w:r>
          </w:p>
          <w:p w14:paraId="0A0E9015">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60" w:type="pct"/>
            <w:tcBorders>
              <w:tl2br w:val="nil"/>
              <w:tr2bl w:val="nil"/>
            </w:tcBorders>
            <w:shd w:val="clear" w:color="auto" w:fill="FFFFFF" w:themeFill="background1"/>
            <w:vAlign w:val="center"/>
          </w:tcPr>
          <w:p w14:paraId="01EF3ACF">
            <w:pPr>
              <w:pStyle w:val="48"/>
              <w:widowControl/>
              <w:numPr>
                <w:ilvl w:val="0"/>
                <w:numId w:val="8"/>
              </w:numPr>
              <w:shd w:val="clear" w:color="auto" w:fill="FFFFFF"/>
              <w:spacing w:line="240" w:lineRule="auto"/>
              <w:ind w:firstLine="0" w:firstLineChars="0"/>
              <w:rPr>
                <w:rFonts w:hint="eastAsia"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本项目不涉及剧毒原辅料，项目废水污染物为常规污染物，不含重金属；</w:t>
            </w:r>
          </w:p>
          <w:p w14:paraId="6AD9E49B">
            <w:pPr>
              <w:pStyle w:val="48"/>
              <w:widowControl/>
              <w:numPr>
                <w:ilvl w:val="0"/>
                <w:numId w:val="8"/>
              </w:numPr>
              <w:shd w:val="clear" w:color="auto" w:fill="FFFFFF"/>
              <w:spacing w:line="240" w:lineRule="auto"/>
              <w:ind w:firstLine="0" w:firstLineChars="0"/>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本项目位于遂宁市安居区工业集中发展区（含经开区），周围无安置小区、学校等环境保护目标，经过论证本项目与外环境相容。</w:t>
            </w:r>
          </w:p>
        </w:tc>
        <w:tc>
          <w:tcPr>
            <w:tcW w:w="194" w:type="pct"/>
            <w:tcBorders>
              <w:tl2br w:val="nil"/>
              <w:tr2bl w:val="nil"/>
            </w:tcBorders>
            <w:shd w:val="clear" w:color="auto" w:fill="FFFFFF" w:themeFill="background1"/>
            <w:vAlign w:val="center"/>
          </w:tcPr>
          <w:p w14:paraId="25394124">
            <w:pPr>
              <w:pStyle w:val="48"/>
              <w:widowControl/>
              <w:shd w:val="clear" w:color="auto" w:fill="FFFFFF"/>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符合</w:t>
            </w:r>
          </w:p>
        </w:tc>
      </w:tr>
      <w:tr w14:paraId="7220E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 w:hRule="atLeast"/>
        </w:trPr>
        <w:tc>
          <w:tcPr>
            <w:tcW w:w="384" w:type="pct"/>
            <w:vMerge w:val="continue"/>
            <w:tcBorders>
              <w:tl2br w:val="nil"/>
              <w:tr2bl w:val="nil"/>
            </w:tcBorders>
            <w:shd w:val="clear" w:color="auto" w:fill="FFFFFF" w:themeFill="background1"/>
            <w:vAlign w:val="center"/>
          </w:tcPr>
          <w:p w14:paraId="68C68B29">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5" w:type="pct"/>
            <w:vMerge w:val="continue"/>
            <w:tcBorders>
              <w:tl2br w:val="nil"/>
              <w:tr2bl w:val="nil"/>
            </w:tcBorders>
            <w:shd w:val="clear" w:color="auto" w:fill="FFFFFF" w:themeFill="background1"/>
            <w:vAlign w:val="center"/>
          </w:tcPr>
          <w:p w14:paraId="53F7CCE4">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3" w:type="pct"/>
            <w:vMerge w:val="continue"/>
            <w:tcBorders>
              <w:tl2br w:val="nil"/>
              <w:tr2bl w:val="nil"/>
            </w:tcBorders>
            <w:shd w:val="clear" w:color="auto" w:fill="FFFFFF" w:themeFill="background1"/>
            <w:vAlign w:val="center"/>
          </w:tcPr>
          <w:p w14:paraId="6B16CE08">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10" w:type="pct"/>
            <w:tcBorders>
              <w:tl2br w:val="nil"/>
              <w:tr2bl w:val="nil"/>
            </w:tcBorders>
            <w:shd w:val="clear" w:color="auto" w:fill="FFFFFF" w:themeFill="background1"/>
            <w:vAlign w:val="center"/>
          </w:tcPr>
          <w:p w14:paraId="4384E27B">
            <w:pPr>
              <w:pStyle w:val="48"/>
              <w:widowControl/>
              <w:shd w:val="clear" w:color="auto" w:fill="FFFFFF"/>
              <w:spacing w:line="240" w:lineRule="auto"/>
              <w:ind w:firstLine="0" w:firstLineChars="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不符合空间布局要求活动的退出要求</w:t>
            </w:r>
          </w:p>
          <w:p w14:paraId="42B1954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1.与片区产业规划不符的现有企业适时迁入适宜片区，精细化工片区内禁止新建居住、教育、医疗等敏感点</w:t>
            </w:r>
          </w:p>
          <w:p w14:paraId="3A35CD58">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2.其他参照遂宁市总体准入要求-工业重点管控单元</w:t>
            </w:r>
          </w:p>
          <w:p w14:paraId="6AA1FA35">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其他空间布局约束要求</w:t>
            </w:r>
          </w:p>
          <w:p w14:paraId="4124B95E">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60" w:type="pct"/>
            <w:tcBorders>
              <w:tl2br w:val="nil"/>
              <w:tr2bl w:val="nil"/>
            </w:tcBorders>
            <w:shd w:val="clear" w:color="auto" w:fill="FFFFFF" w:themeFill="background1"/>
            <w:vAlign w:val="center"/>
          </w:tcPr>
          <w:p w14:paraId="7319BAC2">
            <w:pPr>
              <w:pStyle w:val="48"/>
              <w:widowControl/>
              <w:shd w:val="clear" w:color="auto" w:fill="FFFFFF"/>
              <w:spacing w:line="240" w:lineRule="auto"/>
              <w:ind w:firstLine="0" w:firstLineChars="0"/>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本项目为食品制造项目，位于遂宁市安居区工业集中发展区（含经开区），为园区主导产业。</w:t>
            </w:r>
          </w:p>
        </w:tc>
        <w:tc>
          <w:tcPr>
            <w:tcW w:w="194" w:type="pct"/>
            <w:tcBorders>
              <w:tl2br w:val="nil"/>
              <w:tr2bl w:val="nil"/>
            </w:tcBorders>
            <w:shd w:val="clear" w:color="auto" w:fill="FFFFFF" w:themeFill="background1"/>
            <w:vAlign w:val="center"/>
          </w:tcPr>
          <w:p w14:paraId="29B05317">
            <w:pPr>
              <w:pStyle w:val="48"/>
              <w:widowControl/>
              <w:shd w:val="clear" w:color="auto" w:fill="FFFFFF"/>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符合</w:t>
            </w:r>
          </w:p>
        </w:tc>
      </w:tr>
      <w:tr w14:paraId="0E140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 w:hRule="atLeast"/>
        </w:trPr>
        <w:tc>
          <w:tcPr>
            <w:tcW w:w="384" w:type="pct"/>
            <w:vMerge w:val="continue"/>
            <w:tcBorders>
              <w:tl2br w:val="nil"/>
              <w:tr2bl w:val="nil"/>
            </w:tcBorders>
            <w:shd w:val="clear" w:color="auto" w:fill="FFFFFF" w:themeFill="background1"/>
            <w:vAlign w:val="center"/>
          </w:tcPr>
          <w:p w14:paraId="5C83DE16">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5" w:type="pct"/>
            <w:vMerge w:val="continue"/>
            <w:tcBorders>
              <w:tl2br w:val="nil"/>
              <w:tr2bl w:val="nil"/>
            </w:tcBorders>
            <w:shd w:val="clear" w:color="auto" w:fill="FFFFFF" w:themeFill="background1"/>
            <w:vAlign w:val="center"/>
          </w:tcPr>
          <w:p w14:paraId="55D5F406">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3" w:type="pct"/>
            <w:tcBorders>
              <w:tl2br w:val="nil"/>
              <w:tr2bl w:val="nil"/>
            </w:tcBorders>
            <w:shd w:val="clear" w:color="auto" w:fill="FFFFFF" w:themeFill="background1"/>
            <w:vAlign w:val="center"/>
          </w:tcPr>
          <w:p w14:paraId="13515D63">
            <w:pPr>
              <w:pStyle w:val="48"/>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污染物排放管控</w:t>
            </w:r>
          </w:p>
        </w:tc>
        <w:tc>
          <w:tcPr>
            <w:tcW w:w="2610" w:type="pct"/>
            <w:tcBorders>
              <w:tl2br w:val="nil"/>
              <w:tr2bl w:val="nil"/>
            </w:tcBorders>
            <w:shd w:val="clear" w:color="auto" w:fill="FFFFFF" w:themeFill="background1"/>
            <w:vAlign w:val="center"/>
          </w:tcPr>
          <w:p w14:paraId="49DEC88E">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现有源提标升级改造</w:t>
            </w:r>
          </w:p>
          <w:p w14:paraId="2048666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参照遂宁市总体准入要求-工业重点管控单元。</w:t>
            </w:r>
          </w:p>
          <w:p w14:paraId="27A20659">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新增源等量或倍量替代</w:t>
            </w:r>
          </w:p>
          <w:p w14:paraId="2522975A">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参照遂宁市总体准入要求-工业重点管控单元</w:t>
            </w:r>
          </w:p>
          <w:p w14:paraId="6E9591D9">
            <w:pPr>
              <w:pStyle w:val="48"/>
              <w:widowControl/>
              <w:shd w:val="clear" w:color="auto" w:fill="FFFFFF"/>
              <w:spacing w:line="240" w:lineRule="auto"/>
              <w:ind w:firstLine="0" w:firstLineChars="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新增源排放标准限值</w:t>
            </w:r>
          </w:p>
          <w:p w14:paraId="7DA3A147">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1.重点行业VOCs治理：</w:t>
            </w:r>
          </w:p>
          <w:p w14:paraId="274CF1A1">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（1）化工项目实施挥发性有机物综合整治，兼顾解决恶臭、有毒有害等环境问题；推广低VOCs含量、低反应活性的原辅材料和产品。</w:t>
            </w:r>
          </w:p>
          <w:p w14:paraId="20100E95">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（2）工程机械制造行业，推广使用高固体分、粉末涂料，喷漆与烘干废气不得采用单一、低效的方式进行处理。</w:t>
            </w:r>
          </w:p>
          <w:p w14:paraId="138A57AE">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（3）全面执行《挥发性有机物无组织排放控制标准》。</w:t>
            </w:r>
          </w:p>
          <w:p w14:paraId="49D72DA0">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2.项目产生的生产废水由企业自行处理达到《污水综合排放标准》三级或相应的行业排放标准后排入园区污水处理厂处理达《城镇污水处理厂污染物排放标准》一级A标或更严格标准后排放。</w:t>
            </w:r>
          </w:p>
          <w:p w14:paraId="62C6F880">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3.其他参照遂宁市总体准入要求-工业重点管控单元。</w:t>
            </w:r>
          </w:p>
          <w:p w14:paraId="6B2D93B8">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污染物排放绩效水平准入要求</w:t>
            </w:r>
          </w:p>
          <w:p w14:paraId="6CA98237">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参照遂宁市总体准入要求-工业重点管控单元</w:t>
            </w:r>
          </w:p>
          <w:p w14:paraId="467FB6BE">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其他污染物排放管控要求</w:t>
            </w:r>
          </w:p>
          <w:p w14:paraId="7CB0CEB7">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60" w:type="pct"/>
            <w:tcBorders>
              <w:tl2br w:val="nil"/>
              <w:tr2bl w:val="nil"/>
            </w:tcBorders>
            <w:shd w:val="clear" w:color="auto" w:fill="FFFFFF" w:themeFill="background1"/>
            <w:vAlign w:val="center"/>
          </w:tcPr>
          <w:p w14:paraId="683B1C60">
            <w:pPr>
              <w:pStyle w:val="48"/>
              <w:widowControl/>
              <w:numPr>
                <w:ilvl w:val="0"/>
                <w:numId w:val="9"/>
              </w:numPr>
              <w:shd w:val="clear" w:color="auto" w:fill="FFFFFF"/>
              <w:spacing w:line="240" w:lineRule="auto"/>
              <w:ind w:firstLine="0" w:firstLineChars="0"/>
              <w:rPr>
                <w:rFonts w:hint="eastAsia"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本项目为食品制造项目，不属于化工项目、工程机械制造项目，不涉及VOCs的排放；</w:t>
            </w:r>
          </w:p>
          <w:p w14:paraId="2B2E3A8D">
            <w:pPr>
              <w:pStyle w:val="48"/>
              <w:widowControl/>
              <w:numPr>
                <w:ilvl w:val="0"/>
                <w:numId w:val="9"/>
              </w:numPr>
              <w:shd w:val="clear" w:color="auto" w:fill="FFFFFF"/>
              <w:spacing w:line="240" w:lineRule="auto"/>
              <w:ind w:firstLine="0" w:firstLineChars="0"/>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项目生产废水拟经预处理达到</w:t>
            </w:r>
            <w:r>
              <w:rPr>
                <w:rFonts w:hint="default" w:ascii="Times New Roman" w:hAnsi="Times New Roman" w:eastAsia="宋体" w:cs="Times New Roman"/>
                <w:color w:val="auto"/>
                <w:sz w:val="21"/>
                <w:szCs w:val="21"/>
                <w:highlight w:val="none"/>
                <w:lang w:val="en-US" w:eastAsia="zh-CN"/>
              </w:rPr>
              <w:t>《污水综合排放标准》三级</w:t>
            </w:r>
            <w:r>
              <w:rPr>
                <w:rFonts w:hint="eastAsia" w:ascii="Times New Roman" w:hAnsi="Times New Roman" w:eastAsia="宋体" w:cs="Times New Roman"/>
                <w:color w:val="auto"/>
                <w:sz w:val="21"/>
                <w:szCs w:val="21"/>
                <w:highlight w:val="none"/>
                <w:lang w:val="en-US" w:eastAsia="zh-CN"/>
              </w:rPr>
              <w:t>标准后经市政污水管网排放至龙眼井污水处理厂处理，处理</w:t>
            </w:r>
            <w:r>
              <w:rPr>
                <w:rFonts w:hint="eastAsia" w:eastAsia="宋体" w:cs="Times New Roman"/>
                <w:color w:val="auto"/>
                <w:sz w:val="21"/>
                <w:szCs w:val="21"/>
                <w:highlight w:val="none"/>
                <w:lang w:val="en-US" w:eastAsia="zh-CN"/>
              </w:rPr>
              <w:t>达到</w:t>
            </w:r>
            <w:r>
              <w:rPr>
                <w:rFonts w:hint="eastAsia" w:ascii="Times New Roman" w:hAnsi="Times New Roman" w:eastAsia="宋体" w:cs="Times New Roman"/>
                <w:color w:val="auto"/>
                <w:sz w:val="21"/>
                <w:szCs w:val="21"/>
                <w:highlight w:val="none"/>
                <w:lang w:val="en-US" w:eastAsia="zh-CN"/>
              </w:rPr>
              <w:t>《城镇污水处理厂污染物排放标准》（GB18918-2002）中一级A标准排入琼江。</w:t>
            </w:r>
          </w:p>
        </w:tc>
        <w:tc>
          <w:tcPr>
            <w:tcW w:w="194" w:type="pct"/>
            <w:tcBorders>
              <w:tl2br w:val="nil"/>
              <w:tr2bl w:val="nil"/>
            </w:tcBorders>
            <w:shd w:val="clear" w:color="auto" w:fill="FFFFFF" w:themeFill="background1"/>
            <w:vAlign w:val="center"/>
          </w:tcPr>
          <w:p w14:paraId="4F7816CC">
            <w:pPr>
              <w:pStyle w:val="48"/>
              <w:widowControl/>
              <w:shd w:val="clear" w:color="auto" w:fill="FFFFFF"/>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符合</w:t>
            </w:r>
          </w:p>
        </w:tc>
      </w:tr>
      <w:tr w14:paraId="798C6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 w:hRule="atLeast"/>
        </w:trPr>
        <w:tc>
          <w:tcPr>
            <w:tcW w:w="384" w:type="pct"/>
            <w:vMerge w:val="continue"/>
            <w:tcBorders>
              <w:tl2br w:val="nil"/>
              <w:tr2bl w:val="nil"/>
            </w:tcBorders>
            <w:shd w:val="clear" w:color="auto" w:fill="FFFFFF" w:themeFill="background1"/>
            <w:vAlign w:val="center"/>
          </w:tcPr>
          <w:p w14:paraId="45E0680B">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5" w:type="pct"/>
            <w:vMerge w:val="continue"/>
            <w:tcBorders>
              <w:tl2br w:val="nil"/>
              <w:tr2bl w:val="nil"/>
            </w:tcBorders>
            <w:shd w:val="clear" w:color="auto" w:fill="FFFFFF" w:themeFill="background1"/>
            <w:vAlign w:val="center"/>
          </w:tcPr>
          <w:p w14:paraId="7BE6BCEB">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3" w:type="pct"/>
            <w:tcBorders>
              <w:tl2br w:val="nil"/>
              <w:tr2bl w:val="nil"/>
            </w:tcBorders>
            <w:shd w:val="clear" w:color="auto" w:fill="FFFFFF" w:themeFill="background1"/>
            <w:vAlign w:val="center"/>
          </w:tcPr>
          <w:p w14:paraId="053B15C9">
            <w:pPr>
              <w:pStyle w:val="48"/>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环境风险防控</w:t>
            </w:r>
          </w:p>
        </w:tc>
        <w:tc>
          <w:tcPr>
            <w:tcW w:w="2610" w:type="pct"/>
            <w:tcBorders>
              <w:tl2br w:val="nil"/>
              <w:tr2bl w:val="nil"/>
            </w:tcBorders>
            <w:shd w:val="clear" w:color="auto" w:fill="FFFFFF" w:themeFill="background1"/>
            <w:vAlign w:val="center"/>
          </w:tcPr>
          <w:p w14:paraId="6B095EA0">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严格管控类农用地管控要求</w:t>
            </w:r>
          </w:p>
          <w:p w14:paraId="60E0B09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参照遂宁市总体准入要求-工业重点管控单元</w:t>
            </w:r>
          </w:p>
          <w:p w14:paraId="29E25772">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安全利用类农用地管控要求</w:t>
            </w:r>
          </w:p>
          <w:p w14:paraId="44DA57FB">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参照遂宁市总体准入要求-工业重点管控单元</w:t>
            </w:r>
          </w:p>
          <w:p w14:paraId="3E271098">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污染地块管控要求</w:t>
            </w:r>
          </w:p>
          <w:p w14:paraId="3D9D5CD8">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参照遂宁市总体准入要求-工业重点管控单元</w:t>
            </w:r>
          </w:p>
          <w:p w14:paraId="480B98FB">
            <w:pPr>
              <w:pStyle w:val="48"/>
              <w:widowControl/>
              <w:shd w:val="clear" w:color="auto" w:fill="FFFFFF"/>
              <w:spacing w:line="240" w:lineRule="auto"/>
              <w:ind w:firstLine="0" w:firstLineChars="0"/>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园区环境风险防控要求</w:t>
            </w:r>
          </w:p>
          <w:p w14:paraId="059D79D5">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强化园区环境风险管控。建立健全多级环境风险防控体系，落实环境风险防范措施，完善园区环境风险应急预案，严格落实园区事故废水、废液收集、阻断、处置措施，杜绝事故废水、废液等入河，避免对下游“琼江翘嘴红鮊省级水产种质资源保护区”造成影响，确保环境安全。</w:t>
            </w:r>
          </w:p>
          <w:p w14:paraId="78F23BF7">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强化尚未稳定达标小流域内化工园区污染防治及风险防控。琼江流域内的化工园区对主要超标污染物实施倍量替代。强化面源治理，鼓励水质尚未稳定达标控制单元内化工园区率先推进园区初期雨水污染控制，新建片区严格落实雨污分流。强化园区环境风险防控，根据企业、园区环境风险评价，衔接琼江“一河一策一图”环境应急响应方案，建立健全企业、园区、流域三级环境风险防控及应急体系，定期开展应急演练并完善环境应急物资库及应急处置设施，实现“事故废水不出涉事企业、不出园区管网、不进园区周边水系”的风险防控目标。</w:t>
            </w:r>
          </w:p>
          <w:p w14:paraId="283D28A6">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3.其他参照遂宁市总体准入要求-工业重点管控单元</w:t>
            </w:r>
          </w:p>
          <w:p w14:paraId="245A002A">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企业环境风险防控要求</w:t>
            </w:r>
          </w:p>
          <w:p w14:paraId="13A8B44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参照遂宁市总体准入要求-工业重点管控单元</w:t>
            </w:r>
          </w:p>
          <w:p w14:paraId="5A0CFD68">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其他环境风险防控要求</w:t>
            </w:r>
          </w:p>
          <w:p w14:paraId="0B7BFE6E">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60" w:type="pct"/>
            <w:tcBorders>
              <w:tl2br w:val="nil"/>
              <w:tr2bl w:val="nil"/>
            </w:tcBorders>
            <w:shd w:val="clear" w:color="auto" w:fill="FFFFFF" w:themeFill="background1"/>
            <w:vAlign w:val="center"/>
          </w:tcPr>
          <w:p w14:paraId="6767BA5E">
            <w:pPr>
              <w:pStyle w:val="48"/>
              <w:widowControl/>
              <w:numPr>
                <w:ilvl w:val="0"/>
                <w:numId w:val="10"/>
              </w:numPr>
              <w:shd w:val="clear" w:color="auto" w:fill="FFFFFF"/>
              <w:spacing w:line="240" w:lineRule="auto"/>
              <w:ind w:firstLine="0" w:firstLineChars="0"/>
              <w:rPr>
                <w:rFonts w:hint="eastAsia"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本项目将按要求建立环境风险防控体系；落实环境风险防范措施，制定环境风险应急预案，严格事故废水、废液收集、阻断、处置措施；</w:t>
            </w:r>
          </w:p>
          <w:p w14:paraId="43DE7387">
            <w:pPr>
              <w:pStyle w:val="48"/>
              <w:widowControl/>
              <w:numPr>
                <w:ilvl w:val="0"/>
                <w:numId w:val="10"/>
              </w:numPr>
              <w:shd w:val="clear" w:color="auto" w:fill="FFFFFF"/>
              <w:spacing w:line="240" w:lineRule="auto"/>
              <w:ind w:firstLine="0" w:firstLineChars="0"/>
              <w:rPr>
                <w:rFonts w:hint="default" w:eastAsia="宋体" w:cs="Times New Roman"/>
                <w:bCs/>
                <w:color w:val="auto"/>
                <w:sz w:val="21"/>
                <w:szCs w:val="21"/>
                <w:highlight w:val="none"/>
                <w:lang w:val="en-US" w:eastAsia="zh-CN"/>
              </w:rPr>
            </w:pPr>
            <w:r>
              <w:rPr>
                <w:rFonts w:hint="default" w:eastAsia="宋体" w:cs="Times New Roman"/>
                <w:bCs/>
                <w:color w:val="auto"/>
                <w:sz w:val="21"/>
                <w:szCs w:val="21"/>
                <w:highlight w:val="none"/>
                <w:lang w:val="en-US" w:eastAsia="zh-CN"/>
              </w:rPr>
              <w:t>根据《2024年遂宁市环境质量公告》，遂宁市安居区属于水环境质量达标区域</w:t>
            </w:r>
            <w:r>
              <w:rPr>
                <w:rFonts w:hint="eastAsia" w:eastAsia="宋体" w:cs="Times New Roman"/>
                <w:bCs/>
                <w:color w:val="auto"/>
                <w:sz w:val="21"/>
                <w:szCs w:val="21"/>
                <w:highlight w:val="none"/>
                <w:lang w:val="en-US" w:eastAsia="zh-CN"/>
              </w:rPr>
              <w:t>，各水</w:t>
            </w:r>
            <w:r>
              <w:rPr>
                <w:rFonts w:hint="default" w:ascii="Times New Roman" w:hAnsi="Times New Roman" w:eastAsia="宋体" w:cs="Times New Roman"/>
                <w:color w:val="auto"/>
                <w:sz w:val="21"/>
                <w:szCs w:val="21"/>
                <w:highlight w:val="none"/>
                <w:lang w:val="en-US" w:eastAsia="zh-CN"/>
              </w:rPr>
              <w:t>污染物实施</w:t>
            </w:r>
            <w:r>
              <w:rPr>
                <w:rFonts w:hint="eastAsia" w:ascii="Times New Roman" w:hAnsi="Times New Roman" w:eastAsia="宋体" w:cs="Times New Roman"/>
                <w:color w:val="auto"/>
                <w:sz w:val="21"/>
                <w:szCs w:val="21"/>
                <w:highlight w:val="none"/>
                <w:lang w:val="en-US" w:eastAsia="zh-CN"/>
              </w:rPr>
              <w:t>等量</w:t>
            </w:r>
            <w:r>
              <w:rPr>
                <w:rFonts w:hint="default" w:ascii="Times New Roman" w:hAnsi="Times New Roman" w:eastAsia="宋体" w:cs="Times New Roman"/>
                <w:color w:val="auto"/>
                <w:sz w:val="21"/>
                <w:szCs w:val="21"/>
                <w:highlight w:val="none"/>
                <w:lang w:val="en-US" w:eastAsia="zh-CN"/>
              </w:rPr>
              <w:t>替代</w:t>
            </w:r>
            <w:r>
              <w:rPr>
                <w:rFonts w:hint="eastAsia" w:ascii="Times New Roman" w:hAnsi="Times New Roman" w:eastAsia="宋体" w:cs="Times New Roman"/>
                <w:color w:val="auto"/>
                <w:sz w:val="21"/>
                <w:szCs w:val="21"/>
                <w:highlight w:val="none"/>
                <w:lang w:val="en-US" w:eastAsia="zh-CN"/>
              </w:rPr>
              <w:t>。</w:t>
            </w:r>
          </w:p>
        </w:tc>
        <w:tc>
          <w:tcPr>
            <w:tcW w:w="194" w:type="pct"/>
            <w:tcBorders>
              <w:tl2br w:val="nil"/>
              <w:tr2bl w:val="nil"/>
            </w:tcBorders>
            <w:shd w:val="clear" w:color="auto" w:fill="FFFFFF" w:themeFill="background1"/>
            <w:vAlign w:val="center"/>
          </w:tcPr>
          <w:p w14:paraId="05F321A7">
            <w:pPr>
              <w:pStyle w:val="48"/>
              <w:widowControl/>
              <w:shd w:val="clear" w:color="auto" w:fill="FFFFFF"/>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符合</w:t>
            </w:r>
          </w:p>
        </w:tc>
      </w:tr>
      <w:tr w14:paraId="28E95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 w:hRule="atLeast"/>
        </w:trPr>
        <w:tc>
          <w:tcPr>
            <w:tcW w:w="384" w:type="pct"/>
            <w:vMerge w:val="continue"/>
            <w:tcBorders>
              <w:tl2br w:val="nil"/>
              <w:tr2bl w:val="nil"/>
            </w:tcBorders>
            <w:shd w:val="clear" w:color="auto" w:fill="FFFFFF" w:themeFill="background1"/>
            <w:vAlign w:val="center"/>
          </w:tcPr>
          <w:p w14:paraId="50DEA449">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5" w:type="pct"/>
            <w:vMerge w:val="continue"/>
            <w:tcBorders>
              <w:tl2br w:val="nil"/>
              <w:tr2bl w:val="nil"/>
            </w:tcBorders>
            <w:shd w:val="clear" w:color="auto" w:fill="FFFFFF" w:themeFill="background1"/>
            <w:vAlign w:val="center"/>
          </w:tcPr>
          <w:p w14:paraId="48DB686D">
            <w:pPr>
              <w:pStyle w:val="48"/>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83" w:type="pct"/>
            <w:tcBorders>
              <w:tl2br w:val="nil"/>
              <w:tr2bl w:val="nil"/>
            </w:tcBorders>
            <w:shd w:val="clear" w:color="auto" w:fill="FFFFFF" w:themeFill="background1"/>
            <w:vAlign w:val="center"/>
          </w:tcPr>
          <w:p w14:paraId="775ACD69">
            <w:pPr>
              <w:pStyle w:val="48"/>
              <w:widowControl/>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资源开发效率要求</w:t>
            </w:r>
          </w:p>
        </w:tc>
        <w:tc>
          <w:tcPr>
            <w:tcW w:w="2610" w:type="pct"/>
            <w:tcBorders>
              <w:tl2br w:val="nil"/>
              <w:tr2bl w:val="nil"/>
            </w:tcBorders>
            <w:shd w:val="clear" w:color="auto" w:fill="FFFFFF" w:themeFill="background1"/>
            <w:vAlign w:val="center"/>
          </w:tcPr>
          <w:p w14:paraId="36DF115E">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水资源利用效率要求</w:t>
            </w:r>
          </w:p>
          <w:p w14:paraId="290559FB">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参照遂宁市总体准入要求-工业重点管控单元</w:t>
            </w:r>
          </w:p>
          <w:p w14:paraId="28F6880D">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地下水开采要求</w:t>
            </w:r>
          </w:p>
          <w:p w14:paraId="0BCC36C2">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（1）安居区2030年地下水开采</w:t>
            </w:r>
            <w:r>
              <w:rPr>
                <w:rFonts w:hint="eastAsia" w:eastAsia="宋体" w:cs="Times New Roman"/>
                <w:color w:val="auto"/>
                <w:sz w:val="21"/>
                <w:szCs w:val="21"/>
                <w:highlight w:val="none"/>
                <w:lang w:val="en-US" w:eastAsia="zh-CN"/>
              </w:rPr>
              <w:t>控制</w:t>
            </w:r>
            <w:r>
              <w:rPr>
                <w:rFonts w:hint="default" w:ascii="Times New Roman" w:hAnsi="Times New Roman" w:eastAsia="宋体" w:cs="Times New Roman"/>
                <w:color w:val="auto"/>
                <w:sz w:val="21"/>
                <w:szCs w:val="21"/>
                <w:highlight w:val="none"/>
                <w:lang w:val="en-US" w:eastAsia="zh-CN"/>
              </w:rPr>
              <w:t>量保持在0.08亿m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以内。（2）全面建设节水型社会，达到合理高效用水。</w:t>
            </w:r>
          </w:p>
          <w:p w14:paraId="7246BE54">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能源利用效率要求</w:t>
            </w:r>
          </w:p>
          <w:p w14:paraId="34AEA891">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参照遂宁市总体准入要求-工业重点管控单元</w:t>
            </w:r>
          </w:p>
          <w:p w14:paraId="6EE2E35F">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其他资源利用效率要求</w:t>
            </w:r>
          </w:p>
          <w:p w14:paraId="09E471CC">
            <w:pPr>
              <w:pStyle w:val="48"/>
              <w:widowControl/>
              <w:shd w:val="clear" w:color="auto" w:fill="FFFFFF"/>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禁燃区管控要求：参照遂宁市总体准入要求-工业重点管控单元</w:t>
            </w:r>
          </w:p>
        </w:tc>
        <w:tc>
          <w:tcPr>
            <w:tcW w:w="1260" w:type="pct"/>
            <w:tcBorders>
              <w:tl2br w:val="nil"/>
              <w:tr2bl w:val="nil"/>
            </w:tcBorders>
            <w:shd w:val="clear" w:color="auto" w:fill="FFFFFF" w:themeFill="background1"/>
            <w:vAlign w:val="center"/>
          </w:tcPr>
          <w:p w14:paraId="2A671050">
            <w:pPr>
              <w:pStyle w:val="48"/>
              <w:widowControl/>
              <w:shd w:val="clear" w:color="auto" w:fill="FFFFFF"/>
              <w:spacing w:line="240" w:lineRule="auto"/>
              <w:ind w:firstLine="0" w:firstLine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具体分析见上述</w:t>
            </w:r>
            <w:r>
              <w:rPr>
                <w:rFonts w:hint="eastAsia" w:ascii="Times New Roman" w:hAnsi="Times New Roman" w:eastAsia="宋体" w:cs="Times New Roman"/>
                <w:bCs/>
                <w:color w:val="auto"/>
                <w:sz w:val="21"/>
                <w:szCs w:val="21"/>
                <w:highlight w:val="none"/>
                <w:lang w:val="en-US" w:eastAsia="zh-CN"/>
              </w:rPr>
              <w:t>普适性清单要求</w:t>
            </w:r>
            <w:r>
              <w:rPr>
                <w:rFonts w:hint="default" w:ascii="Times New Roman" w:hAnsi="Times New Roman" w:eastAsia="宋体" w:cs="Times New Roman"/>
                <w:bCs/>
                <w:color w:val="auto"/>
                <w:sz w:val="21"/>
                <w:szCs w:val="21"/>
                <w:highlight w:val="none"/>
              </w:rPr>
              <w:t>符合性分析部分</w:t>
            </w:r>
            <w:r>
              <w:rPr>
                <w:rFonts w:hint="default" w:ascii="Times New Roman" w:hAnsi="Times New Roman" w:cs="Times New Roman"/>
                <w:bCs/>
                <w:color w:val="auto"/>
                <w:kern w:val="2"/>
                <w:sz w:val="21"/>
                <w:szCs w:val="21"/>
                <w:highlight w:val="none"/>
                <w:lang w:val="en-US" w:eastAsia="zh-CN" w:bidi="ar-SA"/>
              </w:rPr>
              <w:t>。</w:t>
            </w:r>
          </w:p>
        </w:tc>
        <w:tc>
          <w:tcPr>
            <w:tcW w:w="194" w:type="pct"/>
            <w:tcBorders>
              <w:tl2br w:val="nil"/>
              <w:tr2bl w:val="nil"/>
            </w:tcBorders>
            <w:shd w:val="clear" w:color="auto" w:fill="FFFFFF" w:themeFill="background1"/>
            <w:vAlign w:val="center"/>
          </w:tcPr>
          <w:p w14:paraId="793509C4">
            <w:pPr>
              <w:pStyle w:val="48"/>
              <w:widowControl/>
              <w:shd w:val="clear" w:color="auto" w:fill="FFFFFF"/>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符合</w:t>
            </w:r>
          </w:p>
        </w:tc>
      </w:tr>
    </w:tbl>
    <w:p w14:paraId="13E22F12">
      <w:pPr>
        <w:pStyle w:val="25"/>
        <w:keepNext w:val="0"/>
        <w:keepLines w:val="0"/>
        <w:pageBreakBefore w:val="0"/>
        <w:widowControl w:val="0"/>
        <w:kinsoku/>
        <w:wordWrap/>
        <w:overflowPunct/>
        <w:topLinePunct w:val="0"/>
        <w:autoSpaceDE/>
        <w:autoSpaceDN/>
        <w:bidi w:val="0"/>
        <w:adjustRightInd/>
        <w:snapToGrid/>
        <w:spacing w:beforeAutospacing="0" w:after="0" w:afterAutospacing="0"/>
        <w:ind w:firstLine="0" w:firstLineChars="0"/>
        <w:jc w:val="center"/>
        <w:textAlignment w:val="auto"/>
        <w:outlineLvl w:val="0"/>
        <w:rPr>
          <w:rFonts w:ascii="Times New Roman" w:hAnsi="Times New Roman" w:eastAsia="黑体"/>
          <w:snapToGrid w:val="0"/>
          <w:color w:val="auto"/>
          <w:sz w:val="30"/>
          <w:szCs w:val="30"/>
          <w:highlight w:val="none"/>
        </w:rPr>
        <w:sectPr>
          <w:footerReference r:id="rId12" w:type="default"/>
          <w:pgSz w:w="16838" w:h="11905" w:orient="landscape"/>
          <w:pgMar w:top="1134" w:right="1701" w:bottom="1134"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8"/>
        <w:tblW w:w="92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544"/>
      </w:tblGrid>
      <w:tr w14:paraId="73204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3" w:hRule="atLeast"/>
          <w:jc w:val="center"/>
        </w:trPr>
        <w:tc>
          <w:tcPr>
            <w:tcW w:w="752" w:type="dxa"/>
            <w:vAlign w:val="center"/>
          </w:tcPr>
          <w:p w14:paraId="4F30BD8F">
            <w:pPr>
              <w:pStyle w:val="93"/>
              <w:bidi w:val="0"/>
              <w:rPr>
                <w:rFonts w:ascii="Times New Roman" w:hAnsi="Times New Roman"/>
                <w:color w:val="auto"/>
                <w:highlight w:val="none"/>
              </w:rPr>
            </w:pPr>
            <w:bookmarkStart w:id="10" w:name="_Toc14348"/>
            <w:r>
              <w:rPr>
                <w:b/>
                <w:bCs/>
                <w:color w:val="auto"/>
                <w:highlight w:val="none"/>
              </w:rPr>
              <w:t>其他符合性分析</w:t>
            </w:r>
            <w:bookmarkEnd w:id="10"/>
          </w:p>
        </w:tc>
        <w:tc>
          <w:tcPr>
            <w:tcW w:w="8544" w:type="dxa"/>
          </w:tcPr>
          <w:p w14:paraId="645A3A08">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default" w:eastAsia="宋体"/>
                <w:color w:val="auto"/>
                <w:highlight w:val="none"/>
                <w:lang w:val="en-US" w:eastAsia="zh-CN"/>
              </w:rPr>
            </w:pPr>
            <w:r>
              <w:rPr>
                <w:rFonts w:hint="eastAsia"/>
                <w:color w:val="auto"/>
                <w:highlight w:val="none"/>
                <w:lang w:val="en-US" w:eastAsia="zh-CN"/>
              </w:rPr>
              <w:t>③与所述经济区要求符合性分析</w:t>
            </w:r>
          </w:p>
          <w:p w14:paraId="65A71589">
            <w:pPr>
              <w:pStyle w:val="14"/>
              <w:rPr>
                <w:rFonts w:hint="default" w:eastAsia="宋体"/>
                <w:lang w:val="en-US" w:eastAsia="zh-CN"/>
              </w:rPr>
            </w:pPr>
            <w:r>
              <w:t xml:space="preserve">表1- </w:t>
            </w:r>
            <w:r>
              <w:fldChar w:fldCharType="begin"/>
            </w:r>
            <w:r>
              <w:instrText xml:space="preserve"> SEQ 表1- \* ARABIC </w:instrText>
            </w:r>
            <w:r>
              <w:fldChar w:fldCharType="separate"/>
            </w:r>
            <w:r>
              <w:t>7</w:t>
            </w:r>
            <w:r>
              <w:fldChar w:fldCharType="end"/>
            </w:r>
            <w:r>
              <w:rPr>
                <w:rFonts w:hint="eastAsia"/>
                <w:lang w:val="en-US" w:eastAsia="zh-CN"/>
              </w:rPr>
              <w:t xml:space="preserve">  项目与经济区要求符合性分析</w:t>
            </w:r>
          </w:p>
          <w:tbl>
            <w:tblPr>
              <w:tblStyle w:val="29"/>
              <w:tblW w:w="832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140"/>
              <w:gridCol w:w="4116"/>
              <w:gridCol w:w="1374"/>
              <w:gridCol w:w="708"/>
            </w:tblGrid>
            <w:tr w14:paraId="25E11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0" w:type="dxa"/>
                  <w:tcBorders>
                    <w:bottom w:val="single" w:color="000000" w:sz="4" w:space="0"/>
                  </w:tcBorders>
                  <w:vAlign w:val="center"/>
                </w:tcPr>
                <w:p w14:paraId="499A6C79">
                  <w:pPr>
                    <w:pStyle w:val="106"/>
                    <w:bidi w:val="0"/>
                    <w:jc w:val="center"/>
                    <w:rPr>
                      <w:rFonts w:hint="eastAsia" w:eastAsia="宋体"/>
                      <w:b/>
                      <w:bCs/>
                      <w:lang w:val="en-US" w:eastAsia="zh-CN"/>
                    </w:rPr>
                  </w:pPr>
                  <w:r>
                    <w:rPr>
                      <w:rFonts w:hint="eastAsia"/>
                      <w:b/>
                      <w:bCs/>
                      <w:lang w:val="en-US" w:eastAsia="zh-CN"/>
                    </w:rPr>
                    <w:t>经济区</w:t>
                  </w:r>
                </w:p>
              </w:tc>
              <w:tc>
                <w:tcPr>
                  <w:tcW w:w="1140" w:type="dxa"/>
                  <w:tcBorders>
                    <w:bottom w:val="single" w:color="000000" w:sz="4" w:space="0"/>
                  </w:tcBorders>
                  <w:vAlign w:val="center"/>
                </w:tcPr>
                <w:p w14:paraId="1438E6A5">
                  <w:pPr>
                    <w:pStyle w:val="106"/>
                    <w:bidi w:val="0"/>
                    <w:jc w:val="center"/>
                    <w:rPr>
                      <w:rFonts w:hint="default" w:eastAsia="宋体"/>
                      <w:b/>
                      <w:bCs/>
                      <w:lang w:val="en-US" w:eastAsia="zh-CN"/>
                    </w:rPr>
                  </w:pPr>
                  <w:r>
                    <w:rPr>
                      <w:rFonts w:hint="eastAsia"/>
                      <w:b/>
                      <w:bCs/>
                      <w:lang w:val="en-US" w:eastAsia="zh-CN"/>
                    </w:rPr>
                    <w:t>管控类别</w:t>
                  </w:r>
                </w:p>
              </w:tc>
              <w:tc>
                <w:tcPr>
                  <w:tcW w:w="4116" w:type="dxa"/>
                  <w:tcBorders>
                    <w:bottom w:val="single" w:color="000000" w:sz="4" w:space="0"/>
                  </w:tcBorders>
                  <w:vAlign w:val="center"/>
                </w:tcPr>
                <w:p w14:paraId="67F581E1">
                  <w:pPr>
                    <w:pStyle w:val="106"/>
                    <w:bidi w:val="0"/>
                    <w:jc w:val="center"/>
                    <w:rPr>
                      <w:rFonts w:hint="default" w:eastAsia="宋体"/>
                      <w:b/>
                      <w:bCs/>
                      <w:lang w:val="en-US" w:eastAsia="zh-CN"/>
                    </w:rPr>
                  </w:pPr>
                  <w:r>
                    <w:rPr>
                      <w:rFonts w:hint="eastAsia"/>
                      <w:b/>
                      <w:bCs/>
                      <w:lang w:val="en-US" w:eastAsia="zh-CN"/>
                    </w:rPr>
                    <w:t>管控内容</w:t>
                  </w:r>
                </w:p>
              </w:tc>
              <w:tc>
                <w:tcPr>
                  <w:tcW w:w="1374" w:type="dxa"/>
                  <w:tcBorders>
                    <w:bottom w:val="single" w:color="000000" w:sz="4" w:space="0"/>
                  </w:tcBorders>
                  <w:vAlign w:val="center"/>
                </w:tcPr>
                <w:p w14:paraId="711D3CED">
                  <w:pPr>
                    <w:pStyle w:val="106"/>
                    <w:bidi w:val="0"/>
                    <w:jc w:val="center"/>
                    <w:rPr>
                      <w:rFonts w:hint="eastAsia" w:eastAsia="宋体"/>
                      <w:b/>
                      <w:bCs/>
                      <w:lang w:val="en-US" w:eastAsia="zh-CN"/>
                    </w:rPr>
                  </w:pPr>
                  <w:r>
                    <w:rPr>
                      <w:rFonts w:hint="eastAsia"/>
                      <w:b/>
                      <w:bCs/>
                      <w:lang w:val="en-US" w:eastAsia="zh-CN"/>
                    </w:rPr>
                    <w:t>本项目符合性</w:t>
                  </w:r>
                </w:p>
              </w:tc>
              <w:tc>
                <w:tcPr>
                  <w:tcW w:w="708" w:type="dxa"/>
                  <w:tcBorders>
                    <w:bottom w:val="single" w:color="000000" w:sz="4" w:space="0"/>
                  </w:tcBorders>
                  <w:vAlign w:val="center"/>
                </w:tcPr>
                <w:p w14:paraId="1B865384">
                  <w:pPr>
                    <w:pStyle w:val="106"/>
                    <w:bidi w:val="0"/>
                    <w:jc w:val="center"/>
                    <w:rPr>
                      <w:rFonts w:hint="eastAsia"/>
                      <w:b/>
                      <w:bCs/>
                      <w:lang w:val="en-US" w:eastAsia="zh-CN"/>
                    </w:rPr>
                  </w:pPr>
                  <w:r>
                    <w:rPr>
                      <w:rFonts w:hint="eastAsia"/>
                      <w:b/>
                      <w:bCs/>
                      <w:lang w:val="en-US" w:eastAsia="zh-CN"/>
                    </w:rPr>
                    <w:t>符合性</w:t>
                  </w:r>
                </w:p>
              </w:tc>
            </w:tr>
            <w:tr w14:paraId="57288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0" w:type="dxa"/>
                  <w:vMerge w:val="restart"/>
                  <w:tcBorders>
                    <w:top w:val="single" w:color="000000" w:sz="4" w:space="0"/>
                    <w:tl2br w:val="nil"/>
                    <w:tr2bl w:val="nil"/>
                  </w:tcBorders>
                  <w:vAlign w:val="center"/>
                </w:tcPr>
                <w:p w14:paraId="0C974AA1">
                  <w:pPr>
                    <w:pStyle w:val="106"/>
                    <w:bidi w:val="0"/>
                    <w:jc w:val="center"/>
                    <w:rPr>
                      <w:rFonts w:hint="default" w:eastAsia="宋体"/>
                      <w:lang w:val="en-US" w:eastAsia="zh-CN"/>
                    </w:rPr>
                  </w:pPr>
                  <w:r>
                    <w:rPr>
                      <w:rFonts w:hint="eastAsia"/>
                      <w:lang w:val="en-US" w:eastAsia="zh-CN"/>
                    </w:rPr>
                    <w:t>成都平原经济区</w:t>
                  </w:r>
                </w:p>
              </w:tc>
              <w:tc>
                <w:tcPr>
                  <w:tcW w:w="1140" w:type="dxa"/>
                  <w:tcBorders>
                    <w:top w:val="single" w:color="000000" w:sz="4" w:space="0"/>
                    <w:tl2br w:val="nil"/>
                    <w:tr2bl w:val="nil"/>
                  </w:tcBorders>
                  <w:vAlign w:val="center"/>
                </w:tcPr>
                <w:p w14:paraId="1808417E">
                  <w:pPr>
                    <w:pStyle w:val="106"/>
                    <w:bidi w:val="0"/>
                    <w:jc w:val="center"/>
                    <w:rPr>
                      <w:rFonts w:hint="eastAsia" w:eastAsia="宋体"/>
                      <w:lang w:val="en-US" w:eastAsia="zh-CN"/>
                    </w:rPr>
                  </w:pPr>
                  <w:r>
                    <w:rPr>
                      <w:rFonts w:hint="eastAsia"/>
                      <w:lang w:val="en-US" w:eastAsia="zh-CN"/>
                    </w:rPr>
                    <w:t>区域特点</w:t>
                  </w:r>
                </w:p>
              </w:tc>
              <w:tc>
                <w:tcPr>
                  <w:tcW w:w="4116" w:type="dxa"/>
                  <w:tcBorders>
                    <w:top w:val="single" w:color="000000" w:sz="4" w:space="0"/>
                    <w:tl2br w:val="nil"/>
                    <w:tr2bl w:val="nil"/>
                  </w:tcBorders>
                  <w:vAlign w:val="center"/>
                </w:tcPr>
                <w:p w14:paraId="01BE8833">
                  <w:pPr>
                    <w:pStyle w:val="106"/>
                    <w:bidi w:val="0"/>
                    <w:jc w:val="both"/>
                    <w:rPr>
                      <w:rFonts w:hint="eastAsia"/>
                    </w:rPr>
                  </w:pPr>
                  <w:r>
                    <w:rPr>
                      <w:rFonts w:hint="eastAsia"/>
                    </w:rPr>
                    <w:t>成都、德阳、绵阳、眉山、乐山、资阳、遂宁、雅安8市大部分区域属于国家层面重点开发区，是重点管控单元的集中分布区域。该区域发展定位为全省第一经济增长极。到2025年，区域生产总值目标为3万亿元，人口城镇化率要达到68%，发展与环境承载压力最为突出。</w:t>
                  </w:r>
                </w:p>
              </w:tc>
              <w:tc>
                <w:tcPr>
                  <w:tcW w:w="1374" w:type="dxa"/>
                  <w:vMerge w:val="restart"/>
                  <w:tcBorders>
                    <w:top w:val="single" w:color="000000" w:sz="4" w:space="0"/>
                    <w:tl2br w:val="nil"/>
                    <w:tr2bl w:val="nil"/>
                  </w:tcBorders>
                  <w:vAlign w:val="center"/>
                </w:tcPr>
                <w:p w14:paraId="50C7AFD9">
                  <w:pPr>
                    <w:pStyle w:val="106"/>
                    <w:bidi w:val="0"/>
                    <w:jc w:val="center"/>
                    <w:rPr>
                      <w:rFonts w:hint="eastAsia" w:eastAsia="宋体"/>
                      <w:lang w:val="en-US" w:eastAsia="zh-CN"/>
                    </w:rPr>
                  </w:pPr>
                  <w:r>
                    <w:rPr>
                      <w:rFonts w:hint="eastAsia"/>
                      <w:lang w:val="en-US" w:eastAsia="zh-CN"/>
                    </w:rPr>
                    <w:t>本项目为食品制造项目，符合项目区域准入要求，项目执行区域</w:t>
                  </w:r>
                  <w:r>
                    <w:rPr>
                      <w:rFonts w:hint="eastAsia"/>
                    </w:rPr>
                    <w:t>岷沱江污染物排放标准</w:t>
                  </w:r>
                  <w:r>
                    <w:rPr>
                      <w:rFonts w:hint="eastAsia"/>
                      <w:lang w:eastAsia="zh-CN"/>
                    </w:rPr>
                    <w:t>。</w:t>
                  </w:r>
                </w:p>
              </w:tc>
              <w:tc>
                <w:tcPr>
                  <w:tcW w:w="708" w:type="dxa"/>
                  <w:vMerge w:val="restart"/>
                  <w:tcBorders>
                    <w:top w:val="single" w:color="000000" w:sz="4" w:space="0"/>
                    <w:tl2br w:val="nil"/>
                    <w:tr2bl w:val="nil"/>
                  </w:tcBorders>
                  <w:vAlign w:val="center"/>
                </w:tcPr>
                <w:p w14:paraId="7204D2F0">
                  <w:pPr>
                    <w:pStyle w:val="106"/>
                    <w:bidi w:val="0"/>
                    <w:jc w:val="center"/>
                    <w:rPr>
                      <w:rFonts w:hint="eastAsia" w:eastAsia="宋体"/>
                      <w:lang w:val="en-US" w:eastAsia="zh-CN"/>
                    </w:rPr>
                  </w:pPr>
                  <w:r>
                    <w:rPr>
                      <w:rFonts w:hint="eastAsia"/>
                      <w:lang w:val="en-US" w:eastAsia="zh-CN"/>
                    </w:rPr>
                    <w:t>符合</w:t>
                  </w:r>
                </w:p>
              </w:tc>
            </w:tr>
            <w:tr w14:paraId="0BD32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0" w:type="dxa"/>
                  <w:vMerge w:val="continue"/>
                  <w:tcBorders>
                    <w:tl2br w:val="nil"/>
                    <w:tr2bl w:val="nil"/>
                  </w:tcBorders>
                  <w:vAlign w:val="center"/>
                </w:tcPr>
                <w:p w14:paraId="3A5A610E">
                  <w:pPr>
                    <w:pStyle w:val="106"/>
                    <w:bidi w:val="0"/>
                    <w:jc w:val="center"/>
                    <w:rPr>
                      <w:rFonts w:hint="eastAsia"/>
                    </w:rPr>
                  </w:pPr>
                </w:p>
              </w:tc>
              <w:tc>
                <w:tcPr>
                  <w:tcW w:w="1140" w:type="dxa"/>
                  <w:tcBorders>
                    <w:tl2br w:val="nil"/>
                    <w:tr2bl w:val="nil"/>
                  </w:tcBorders>
                  <w:vAlign w:val="center"/>
                </w:tcPr>
                <w:p w14:paraId="2A976665">
                  <w:pPr>
                    <w:pStyle w:val="106"/>
                    <w:bidi w:val="0"/>
                    <w:jc w:val="center"/>
                    <w:rPr>
                      <w:rFonts w:hint="default" w:eastAsia="宋体"/>
                      <w:lang w:val="en-US" w:eastAsia="zh-CN"/>
                    </w:rPr>
                  </w:pPr>
                  <w:r>
                    <w:rPr>
                      <w:rFonts w:hint="eastAsia"/>
                      <w:lang w:val="en-US" w:eastAsia="zh-CN"/>
                    </w:rPr>
                    <w:t>发展定位与目标</w:t>
                  </w:r>
                </w:p>
              </w:tc>
              <w:tc>
                <w:tcPr>
                  <w:tcW w:w="4116" w:type="dxa"/>
                  <w:tcBorders>
                    <w:tl2br w:val="nil"/>
                    <w:tr2bl w:val="nil"/>
                  </w:tcBorders>
                  <w:vAlign w:val="center"/>
                </w:tcPr>
                <w:p w14:paraId="3BB7FDCB">
                  <w:pPr>
                    <w:pStyle w:val="106"/>
                    <w:bidi w:val="0"/>
                    <w:jc w:val="both"/>
                    <w:rPr>
                      <w:rFonts w:hint="eastAsia"/>
                    </w:rPr>
                  </w:pPr>
                  <w:r>
                    <w:rPr>
                      <w:rFonts w:hint="eastAsia"/>
                    </w:rPr>
                    <w:t>创新改革试验的先导区、现代高端产业的集聚区、西部内陆开放的前沿区、区域协同发展的样板区以及全面建成小康社会的先行区。重点发展电子信息、装备制造、先进材料、食品饮料产业和数字经济，建设全国重要的先进制造业基地，打造世界级新一代信息技术、高端装备制造产业集群和国内领先的集成电路、新型显示、航空航天、轨道交通、汽车、生物医药、新型材料等产业集群。</w:t>
                  </w:r>
                </w:p>
              </w:tc>
              <w:tc>
                <w:tcPr>
                  <w:tcW w:w="1374" w:type="dxa"/>
                  <w:vMerge w:val="continue"/>
                  <w:tcBorders>
                    <w:tl2br w:val="nil"/>
                    <w:tr2bl w:val="nil"/>
                  </w:tcBorders>
                  <w:vAlign w:val="center"/>
                </w:tcPr>
                <w:p w14:paraId="38EBBD65">
                  <w:pPr>
                    <w:pStyle w:val="106"/>
                    <w:bidi w:val="0"/>
                    <w:jc w:val="center"/>
                    <w:rPr>
                      <w:rFonts w:hint="eastAsia"/>
                    </w:rPr>
                  </w:pPr>
                </w:p>
              </w:tc>
              <w:tc>
                <w:tcPr>
                  <w:tcW w:w="708" w:type="dxa"/>
                  <w:vMerge w:val="continue"/>
                  <w:tcBorders>
                    <w:tl2br w:val="nil"/>
                    <w:tr2bl w:val="nil"/>
                  </w:tcBorders>
                  <w:vAlign w:val="center"/>
                </w:tcPr>
                <w:p w14:paraId="2DEB4AAF">
                  <w:pPr>
                    <w:pStyle w:val="106"/>
                    <w:bidi w:val="0"/>
                    <w:jc w:val="center"/>
                    <w:rPr>
                      <w:rFonts w:hint="eastAsia"/>
                    </w:rPr>
                  </w:pPr>
                </w:p>
              </w:tc>
            </w:tr>
            <w:tr w14:paraId="3A214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0" w:type="dxa"/>
                  <w:vMerge w:val="continue"/>
                  <w:tcBorders>
                    <w:tl2br w:val="nil"/>
                    <w:tr2bl w:val="nil"/>
                  </w:tcBorders>
                  <w:vAlign w:val="center"/>
                </w:tcPr>
                <w:p w14:paraId="26D900B1">
                  <w:pPr>
                    <w:pStyle w:val="106"/>
                    <w:bidi w:val="0"/>
                    <w:jc w:val="center"/>
                    <w:rPr>
                      <w:rFonts w:hint="eastAsia"/>
                    </w:rPr>
                  </w:pPr>
                </w:p>
              </w:tc>
              <w:tc>
                <w:tcPr>
                  <w:tcW w:w="1140" w:type="dxa"/>
                  <w:tcBorders>
                    <w:tl2br w:val="nil"/>
                    <w:tr2bl w:val="nil"/>
                  </w:tcBorders>
                  <w:vAlign w:val="center"/>
                </w:tcPr>
                <w:p w14:paraId="5DFE7823">
                  <w:pPr>
                    <w:pStyle w:val="106"/>
                    <w:bidi w:val="0"/>
                    <w:jc w:val="center"/>
                    <w:rPr>
                      <w:rFonts w:hint="default" w:eastAsia="宋体"/>
                      <w:lang w:val="en-US" w:eastAsia="zh-CN"/>
                    </w:rPr>
                  </w:pPr>
                  <w:r>
                    <w:rPr>
                      <w:rFonts w:hint="eastAsia"/>
                      <w:lang w:val="en-US" w:eastAsia="zh-CN"/>
                    </w:rPr>
                    <w:t>区域突出生态环境问题</w:t>
                  </w:r>
                </w:p>
              </w:tc>
              <w:tc>
                <w:tcPr>
                  <w:tcW w:w="4116" w:type="dxa"/>
                  <w:tcBorders>
                    <w:tl2br w:val="nil"/>
                    <w:tr2bl w:val="nil"/>
                  </w:tcBorders>
                  <w:vAlign w:val="center"/>
                </w:tcPr>
                <w:p w14:paraId="005FB325">
                  <w:pPr>
                    <w:pStyle w:val="106"/>
                    <w:bidi w:val="0"/>
                    <w:jc w:val="both"/>
                    <w:rPr>
                      <w:rFonts w:hint="eastAsia"/>
                    </w:rPr>
                  </w:pPr>
                  <w:r>
                    <w:rPr>
                      <w:rFonts w:hint="eastAsia"/>
                    </w:rPr>
                    <w:t>1、水资源时空分布不均，用水排水矛盾突出，岷江流域单位面积水污染排放量高，氮磷污染并重，结构性污染短期内难以彻底解决，水质改善压力大。</w:t>
                  </w:r>
                </w:p>
                <w:p w14:paraId="486C8DF5">
                  <w:pPr>
                    <w:pStyle w:val="106"/>
                    <w:bidi w:val="0"/>
                    <w:jc w:val="both"/>
                    <w:rPr>
                      <w:rFonts w:hint="eastAsia"/>
                    </w:rPr>
                  </w:pPr>
                  <w:r>
                    <w:rPr>
                      <w:rFonts w:hint="eastAsia"/>
                    </w:rPr>
                    <w:t>2、区域城市开发活动集中，发展与环境资源承载矛盾突出，属深盆地形，扩散条件差，冬季灰霾污染严重，夏季臭氧污染问题凸显，环境空气质量改善压力大。</w:t>
                  </w:r>
                </w:p>
                <w:p w14:paraId="20FEB679">
                  <w:pPr>
                    <w:pStyle w:val="106"/>
                    <w:bidi w:val="0"/>
                    <w:jc w:val="both"/>
                    <w:rPr>
                      <w:rFonts w:hint="eastAsia"/>
                    </w:rPr>
                  </w:pPr>
                  <w:r>
                    <w:rPr>
                      <w:rFonts w:hint="eastAsia"/>
                    </w:rPr>
                    <w:t>3、长江主要支流岷江流域沿江、临城产业聚集，流域性、区域性环境风险形势严峻，重金属、持久性有机物、危险废物和危险化学品等累积性环境风险隐患较大。</w:t>
                  </w:r>
                </w:p>
              </w:tc>
              <w:tc>
                <w:tcPr>
                  <w:tcW w:w="1374" w:type="dxa"/>
                  <w:vMerge w:val="continue"/>
                  <w:tcBorders>
                    <w:tl2br w:val="nil"/>
                    <w:tr2bl w:val="nil"/>
                  </w:tcBorders>
                  <w:vAlign w:val="center"/>
                </w:tcPr>
                <w:p w14:paraId="1C9A71FB">
                  <w:pPr>
                    <w:pStyle w:val="106"/>
                    <w:bidi w:val="0"/>
                    <w:jc w:val="center"/>
                    <w:rPr>
                      <w:rFonts w:hint="eastAsia"/>
                    </w:rPr>
                  </w:pPr>
                </w:p>
              </w:tc>
              <w:tc>
                <w:tcPr>
                  <w:tcW w:w="708" w:type="dxa"/>
                  <w:vMerge w:val="continue"/>
                  <w:tcBorders>
                    <w:tl2br w:val="nil"/>
                    <w:tr2bl w:val="nil"/>
                  </w:tcBorders>
                  <w:vAlign w:val="center"/>
                </w:tcPr>
                <w:p w14:paraId="7EF277D4">
                  <w:pPr>
                    <w:pStyle w:val="106"/>
                    <w:bidi w:val="0"/>
                    <w:jc w:val="center"/>
                    <w:rPr>
                      <w:rFonts w:hint="eastAsia"/>
                    </w:rPr>
                  </w:pPr>
                </w:p>
              </w:tc>
            </w:tr>
            <w:tr w14:paraId="03C6B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0" w:type="dxa"/>
                  <w:vMerge w:val="continue"/>
                  <w:tcBorders>
                    <w:tl2br w:val="nil"/>
                    <w:tr2bl w:val="nil"/>
                  </w:tcBorders>
                  <w:vAlign w:val="center"/>
                </w:tcPr>
                <w:p w14:paraId="3F679504">
                  <w:pPr>
                    <w:pStyle w:val="106"/>
                    <w:bidi w:val="0"/>
                    <w:jc w:val="center"/>
                    <w:rPr>
                      <w:rFonts w:hint="eastAsia"/>
                    </w:rPr>
                  </w:pPr>
                </w:p>
              </w:tc>
              <w:tc>
                <w:tcPr>
                  <w:tcW w:w="1140" w:type="dxa"/>
                  <w:tcBorders>
                    <w:tl2br w:val="nil"/>
                    <w:tr2bl w:val="nil"/>
                  </w:tcBorders>
                  <w:vAlign w:val="center"/>
                </w:tcPr>
                <w:p w14:paraId="0AE6F723">
                  <w:pPr>
                    <w:pStyle w:val="106"/>
                    <w:bidi w:val="0"/>
                    <w:jc w:val="center"/>
                    <w:rPr>
                      <w:rFonts w:hint="default" w:eastAsia="宋体"/>
                      <w:lang w:val="en-US" w:eastAsia="zh-CN"/>
                    </w:rPr>
                  </w:pPr>
                  <w:r>
                    <w:rPr>
                      <w:rFonts w:hint="eastAsia"/>
                      <w:lang w:val="en-US" w:eastAsia="zh-CN"/>
                    </w:rPr>
                    <w:t>总体管控要求</w:t>
                  </w:r>
                </w:p>
              </w:tc>
              <w:tc>
                <w:tcPr>
                  <w:tcW w:w="4116" w:type="dxa"/>
                  <w:tcBorders>
                    <w:tl2br w:val="nil"/>
                    <w:tr2bl w:val="nil"/>
                  </w:tcBorders>
                  <w:vAlign w:val="center"/>
                </w:tcPr>
                <w:p w14:paraId="7FC61142">
                  <w:pPr>
                    <w:pStyle w:val="106"/>
                    <w:bidi w:val="0"/>
                    <w:jc w:val="both"/>
                    <w:rPr>
                      <w:rFonts w:hint="eastAsia"/>
                    </w:rPr>
                  </w:pPr>
                  <w:r>
                    <w:rPr>
                      <w:rFonts w:hint="eastAsia"/>
                    </w:rPr>
                    <w:t>1、针对突出生态环境问题，大力优化调整产业结构；</w:t>
                  </w:r>
                </w:p>
                <w:p w14:paraId="5448D0B8">
                  <w:pPr>
                    <w:pStyle w:val="106"/>
                    <w:bidi w:val="0"/>
                    <w:jc w:val="both"/>
                    <w:rPr>
                      <w:rFonts w:hint="eastAsia"/>
                    </w:rPr>
                  </w:pPr>
                  <w:r>
                    <w:rPr>
                      <w:rFonts w:hint="eastAsia"/>
                    </w:rPr>
                    <w:t>2、实施最严格的环境准入要求；</w:t>
                  </w:r>
                </w:p>
                <w:p w14:paraId="79E88627">
                  <w:pPr>
                    <w:pStyle w:val="106"/>
                    <w:bidi w:val="0"/>
                    <w:jc w:val="both"/>
                    <w:rPr>
                      <w:rFonts w:hint="eastAsia"/>
                    </w:rPr>
                  </w:pPr>
                  <w:r>
                    <w:rPr>
                      <w:rFonts w:hint="eastAsia"/>
                    </w:rPr>
                    <w:t>3、加快GDP贡献小、污染排放强度大的产业如建材、家具等产业替代升级，结构优化；</w:t>
                  </w:r>
                </w:p>
                <w:p w14:paraId="3FE6954F">
                  <w:pPr>
                    <w:pStyle w:val="106"/>
                    <w:bidi w:val="0"/>
                    <w:jc w:val="both"/>
                    <w:rPr>
                      <w:rFonts w:hint="eastAsia"/>
                    </w:rPr>
                  </w:pPr>
                  <w:r>
                    <w:rPr>
                      <w:rFonts w:hint="eastAsia"/>
                    </w:rPr>
                    <w:t>4、对重点发展的电子信息、装备制造、先进材料、食品饮料、生物医药等产业提出最严格的环境准入门槛；</w:t>
                  </w:r>
                </w:p>
                <w:p w14:paraId="66985386">
                  <w:pPr>
                    <w:pStyle w:val="106"/>
                    <w:bidi w:val="0"/>
                    <w:jc w:val="both"/>
                    <w:rPr>
                      <w:rFonts w:hint="eastAsia"/>
                    </w:rPr>
                  </w:pPr>
                  <w:r>
                    <w:rPr>
                      <w:rFonts w:hint="eastAsia"/>
                    </w:rPr>
                    <w:t>5、岷沱江流域执行岷沱江污染物排放标准；</w:t>
                  </w:r>
                </w:p>
                <w:p w14:paraId="33B9CBF2">
                  <w:pPr>
                    <w:pStyle w:val="106"/>
                    <w:bidi w:val="0"/>
                    <w:jc w:val="both"/>
                    <w:rPr>
                      <w:rFonts w:hint="eastAsia"/>
                    </w:rPr>
                  </w:pPr>
                  <w:r>
                    <w:rPr>
                      <w:rFonts w:hint="eastAsia"/>
                    </w:rPr>
                    <w:t>6、优化涉危涉化产业布局，严控环境风险，保障人居安全。</w:t>
                  </w:r>
                </w:p>
              </w:tc>
              <w:tc>
                <w:tcPr>
                  <w:tcW w:w="1374" w:type="dxa"/>
                  <w:vMerge w:val="continue"/>
                  <w:tcBorders>
                    <w:tl2br w:val="nil"/>
                    <w:tr2bl w:val="nil"/>
                  </w:tcBorders>
                  <w:vAlign w:val="center"/>
                </w:tcPr>
                <w:p w14:paraId="772452F9">
                  <w:pPr>
                    <w:pStyle w:val="106"/>
                    <w:bidi w:val="0"/>
                    <w:jc w:val="center"/>
                    <w:rPr>
                      <w:rFonts w:hint="eastAsia"/>
                    </w:rPr>
                  </w:pPr>
                </w:p>
              </w:tc>
              <w:tc>
                <w:tcPr>
                  <w:tcW w:w="708" w:type="dxa"/>
                  <w:vMerge w:val="continue"/>
                  <w:tcBorders>
                    <w:tl2br w:val="nil"/>
                    <w:tr2bl w:val="nil"/>
                  </w:tcBorders>
                  <w:vAlign w:val="center"/>
                </w:tcPr>
                <w:p w14:paraId="0466BDF7">
                  <w:pPr>
                    <w:pStyle w:val="106"/>
                    <w:bidi w:val="0"/>
                    <w:jc w:val="center"/>
                    <w:rPr>
                      <w:rFonts w:hint="eastAsia"/>
                    </w:rPr>
                  </w:pPr>
                </w:p>
              </w:tc>
            </w:tr>
          </w:tbl>
          <w:p w14:paraId="2E60C6B5">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color w:val="auto"/>
                <w:highlight w:val="none"/>
              </w:rPr>
            </w:pPr>
            <w:r>
              <w:rPr>
                <w:rFonts w:hint="eastAsia"/>
                <w:color w:val="auto"/>
                <w:highlight w:val="none"/>
              </w:rPr>
              <w:t>综上，</w:t>
            </w:r>
            <w:r>
              <w:rPr>
                <w:rFonts w:hint="eastAsia"/>
                <w:color w:val="auto"/>
                <w:highlight w:val="none"/>
                <w:lang w:eastAsia="zh-CN"/>
              </w:rPr>
              <w:t>本项目</w:t>
            </w:r>
            <w:r>
              <w:rPr>
                <w:rFonts w:hint="eastAsia"/>
                <w:color w:val="auto"/>
                <w:highlight w:val="none"/>
              </w:rPr>
              <w:t>符合</w:t>
            </w:r>
            <w:r>
              <w:rPr>
                <w:rFonts w:hint="eastAsia"/>
                <w:color w:val="auto"/>
                <w:highlight w:val="none"/>
                <w:lang w:val="en-US" w:eastAsia="zh-CN"/>
              </w:rPr>
              <w:t>遂宁市</w:t>
            </w:r>
            <w:r>
              <w:rPr>
                <w:rFonts w:hint="eastAsia"/>
                <w:color w:val="auto"/>
                <w:highlight w:val="none"/>
              </w:rPr>
              <w:t>准入清单要求，符合</w:t>
            </w:r>
            <w:r>
              <w:rPr>
                <w:rFonts w:hint="eastAsia"/>
                <w:color w:val="auto"/>
                <w:highlight w:val="none"/>
                <w:lang w:val="en-US" w:eastAsia="zh-CN"/>
              </w:rPr>
              <w:t>成都平原经济区</w:t>
            </w:r>
            <w:r>
              <w:rPr>
                <w:rFonts w:hint="eastAsia"/>
                <w:color w:val="auto"/>
                <w:highlight w:val="none"/>
              </w:rPr>
              <w:t>要求，项目不在生态红线内，未超出环境质量底线及资源利用</w:t>
            </w:r>
            <w:r>
              <w:rPr>
                <w:rFonts w:hint="eastAsia"/>
                <w:color w:val="auto"/>
                <w:highlight w:val="none"/>
                <w:lang w:eastAsia="zh-CN"/>
              </w:rPr>
              <w:t>上限</w:t>
            </w:r>
            <w:r>
              <w:rPr>
                <w:rFonts w:hint="eastAsia"/>
                <w:color w:val="auto"/>
                <w:highlight w:val="none"/>
              </w:rPr>
              <w:t>、未列入生态环境负面清单内。</w:t>
            </w:r>
          </w:p>
          <w:p w14:paraId="06D19408">
            <w:pPr>
              <w:spacing w:line="360" w:lineRule="auto"/>
              <w:ind w:firstLine="482" w:firstLineChars="200"/>
              <w:rPr>
                <w:rFonts w:hint="default"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6、</w:t>
            </w:r>
            <w:r>
              <w:rPr>
                <w:rFonts w:hint="default" w:ascii="黑体" w:hAnsi="黑体" w:eastAsia="黑体" w:cs="黑体"/>
                <w:b/>
                <w:bCs/>
                <w:color w:val="auto"/>
                <w:highlight w:val="none"/>
                <w:lang w:val="en-US" w:eastAsia="zh-CN"/>
              </w:rPr>
              <w:t>与长江保护相关政策符合性</w:t>
            </w:r>
          </w:p>
          <w:p w14:paraId="46C5DA73">
            <w:pPr>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本项目位于</w:t>
            </w:r>
            <w:r>
              <w:rPr>
                <w:rFonts w:hint="eastAsia" w:cs="Times New Roman"/>
                <w:color w:val="auto"/>
                <w:highlight w:val="none"/>
                <w:lang w:val="en-US" w:eastAsia="zh-CN"/>
              </w:rPr>
              <w:t>琼江北侧</w:t>
            </w:r>
            <w:r>
              <w:rPr>
                <w:rFonts w:hint="default" w:ascii="Times New Roman" w:hAnsi="Times New Roman" w:cs="Times New Roman"/>
                <w:color w:val="auto"/>
                <w:highlight w:val="none"/>
              </w:rPr>
              <w:t>约</w:t>
            </w:r>
            <w:r>
              <w:rPr>
                <w:rFonts w:hint="eastAsia" w:cs="Times New Roman"/>
                <w:color w:val="auto"/>
                <w:highlight w:val="none"/>
                <w:lang w:val="en-US" w:eastAsia="zh-CN"/>
              </w:rPr>
              <w:t>2.24km处</w:t>
            </w:r>
            <w:r>
              <w:rPr>
                <w:rFonts w:hint="eastAsia" w:cs="Times New Roman"/>
                <w:color w:val="auto"/>
                <w:highlight w:val="none"/>
                <w:lang w:eastAsia="zh-CN"/>
              </w:rPr>
              <w:t>，</w:t>
            </w:r>
            <w:r>
              <w:rPr>
                <w:rFonts w:hint="eastAsia" w:cs="Times New Roman"/>
                <w:color w:val="auto"/>
                <w:highlight w:val="none"/>
                <w:lang w:val="en-US" w:eastAsia="zh-CN"/>
              </w:rPr>
              <w:t>琼江涪江右岸支流，涪江为长江支流嘉陵江的右岸最大支流</w:t>
            </w:r>
            <w:r>
              <w:rPr>
                <w:rFonts w:hint="default" w:ascii="Times New Roman" w:hAnsi="Times New Roman" w:cs="Times New Roman"/>
                <w:color w:val="auto"/>
                <w:highlight w:val="none"/>
              </w:rPr>
              <w:t>，本项目与</w:t>
            </w:r>
            <w:r>
              <w:rPr>
                <w:rFonts w:hint="eastAsia" w:cs="Times New Roman"/>
                <w:color w:val="auto"/>
                <w:highlight w:val="none"/>
                <w:lang w:val="en-US" w:eastAsia="zh-CN"/>
              </w:rPr>
              <w:t>嘉陵江、</w:t>
            </w:r>
            <w:r>
              <w:rPr>
                <w:rFonts w:hint="default" w:ascii="Times New Roman" w:hAnsi="Times New Roman" w:cs="Times New Roman"/>
                <w:color w:val="auto"/>
                <w:highlight w:val="none"/>
              </w:rPr>
              <w:t>长江保护相关政策符合性分析见下表</w:t>
            </w:r>
            <w:r>
              <w:rPr>
                <w:rFonts w:hint="eastAsia" w:cs="Times New Roman"/>
                <w:color w:val="auto"/>
                <w:highlight w:val="none"/>
                <w:lang w:eastAsia="zh-CN"/>
              </w:rPr>
              <w:t>。</w:t>
            </w:r>
          </w:p>
          <w:p w14:paraId="7CB8CCBA">
            <w:pPr>
              <w:pStyle w:val="14"/>
              <w:bidi w:val="0"/>
              <w:rPr>
                <w:rFonts w:hint="default"/>
                <w:color w:val="auto"/>
                <w:highlight w:val="none"/>
                <w:lang w:val="en-US" w:eastAsia="zh-CN"/>
              </w:rPr>
            </w:pPr>
            <w:r>
              <w:rPr>
                <w:color w:val="auto"/>
                <w:highlight w:val="none"/>
              </w:rPr>
              <w:t xml:space="preserve">表1- </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lang w:val="en-US" w:eastAsia="zh-CN"/>
              </w:rPr>
              <w:t xml:space="preserve">  与嘉陵江、长江保护相关政策符合性分析</w:t>
            </w:r>
          </w:p>
          <w:tbl>
            <w:tblPr>
              <w:tblStyle w:val="29"/>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773"/>
              <w:gridCol w:w="1750"/>
              <w:gridCol w:w="926"/>
            </w:tblGrid>
            <w:tr w14:paraId="3C262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tcBorders>
                    <w:bottom w:val="single" w:color="000000" w:sz="4" w:space="0"/>
                    <w:tl2br w:val="nil"/>
                    <w:tr2bl w:val="nil"/>
                  </w:tcBorders>
                  <w:vAlign w:val="center"/>
                </w:tcPr>
                <w:p w14:paraId="16329E26">
                  <w:pPr>
                    <w:pStyle w:val="106"/>
                    <w:bidi w:val="0"/>
                    <w:rPr>
                      <w:rFonts w:hint="default"/>
                      <w:b/>
                      <w:bCs/>
                      <w:color w:val="auto"/>
                      <w:highlight w:val="none"/>
                      <w:lang w:val="en-US" w:eastAsia="zh-CN"/>
                    </w:rPr>
                  </w:pPr>
                  <w:r>
                    <w:rPr>
                      <w:rFonts w:hint="default"/>
                      <w:b/>
                      <w:bCs/>
                      <w:color w:val="auto"/>
                      <w:highlight w:val="none"/>
                      <w:lang w:val="en-US" w:eastAsia="zh-CN"/>
                    </w:rPr>
                    <w:t>名称</w:t>
                  </w:r>
                </w:p>
              </w:tc>
              <w:tc>
                <w:tcPr>
                  <w:tcW w:w="2866" w:type="pct"/>
                  <w:tcBorders>
                    <w:bottom w:val="single" w:color="000000" w:sz="4" w:space="0"/>
                    <w:tl2br w:val="nil"/>
                    <w:tr2bl w:val="nil"/>
                  </w:tcBorders>
                  <w:vAlign w:val="center"/>
                </w:tcPr>
                <w:p w14:paraId="0A9E7349">
                  <w:pPr>
                    <w:pStyle w:val="106"/>
                    <w:bidi w:val="0"/>
                    <w:jc w:val="center"/>
                    <w:rPr>
                      <w:rFonts w:hint="default"/>
                      <w:b/>
                      <w:bCs/>
                      <w:color w:val="auto"/>
                      <w:highlight w:val="none"/>
                      <w:lang w:val="en-US" w:eastAsia="zh-CN"/>
                    </w:rPr>
                  </w:pPr>
                  <w:r>
                    <w:rPr>
                      <w:rFonts w:hint="default"/>
                      <w:b/>
                      <w:bCs/>
                      <w:color w:val="auto"/>
                      <w:highlight w:val="none"/>
                      <w:lang w:val="en-US" w:eastAsia="zh-CN"/>
                    </w:rPr>
                    <w:t>相关内容</w:t>
                  </w:r>
                </w:p>
              </w:tc>
              <w:tc>
                <w:tcPr>
                  <w:tcW w:w="1051" w:type="pct"/>
                  <w:tcBorders>
                    <w:bottom w:val="single" w:color="000000" w:sz="4" w:space="0"/>
                    <w:tl2br w:val="nil"/>
                    <w:tr2bl w:val="nil"/>
                  </w:tcBorders>
                  <w:vAlign w:val="center"/>
                </w:tcPr>
                <w:p w14:paraId="7AA5C25D">
                  <w:pPr>
                    <w:pStyle w:val="106"/>
                    <w:bidi w:val="0"/>
                    <w:rPr>
                      <w:rFonts w:hint="default"/>
                      <w:b/>
                      <w:bCs/>
                      <w:color w:val="auto"/>
                      <w:highlight w:val="none"/>
                      <w:lang w:val="en-US" w:eastAsia="zh-CN"/>
                    </w:rPr>
                  </w:pPr>
                  <w:r>
                    <w:rPr>
                      <w:rFonts w:hint="default"/>
                      <w:b/>
                      <w:bCs/>
                      <w:color w:val="auto"/>
                      <w:highlight w:val="none"/>
                      <w:lang w:val="en-US" w:eastAsia="zh-CN"/>
                    </w:rPr>
                    <w:t>本项目情况</w:t>
                  </w:r>
                </w:p>
              </w:tc>
              <w:tc>
                <w:tcPr>
                  <w:tcW w:w="556" w:type="pct"/>
                  <w:tcBorders>
                    <w:bottom w:val="single" w:color="000000" w:sz="4" w:space="0"/>
                    <w:tl2br w:val="nil"/>
                    <w:tr2bl w:val="nil"/>
                  </w:tcBorders>
                  <w:vAlign w:val="center"/>
                </w:tcPr>
                <w:p w14:paraId="0EEFD8DF">
                  <w:pPr>
                    <w:pStyle w:val="106"/>
                    <w:bidi w:val="0"/>
                    <w:rPr>
                      <w:rFonts w:hint="default"/>
                      <w:b/>
                      <w:bCs/>
                      <w:color w:val="auto"/>
                      <w:highlight w:val="none"/>
                      <w:lang w:val="en-US" w:eastAsia="zh-CN"/>
                    </w:rPr>
                  </w:pPr>
                  <w:r>
                    <w:rPr>
                      <w:rFonts w:hint="default"/>
                      <w:b/>
                      <w:bCs/>
                      <w:color w:val="auto"/>
                      <w:highlight w:val="none"/>
                      <w:lang w:val="en-US" w:eastAsia="zh-CN"/>
                    </w:rPr>
                    <w:t>符合性</w:t>
                  </w:r>
                </w:p>
              </w:tc>
            </w:tr>
            <w:tr w14:paraId="7B442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restart"/>
                  <w:tcBorders>
                    <w:top w:val="single" w:color="000000" w:sz="4" w:space="0"/>
                    <w:tl2br w:val="nil"/>
                    <w:tr2bl w:val="nil"/>
                  </w:tcBorders>
                  <w:vAlign w:val="center"/>
                </w:tcPr>
                <w:p w14:paraId="1A354CD1">
                  <w:pPr>
                    <w:pStyle w:val="106"/>
                    <w:bidi w:val="0"/>
                    <w:rPr>
                      <w:rFonts w:hint="default"/>
                      <w:color w:val="auto"/>
                      <w:highlight w:val="none"/>
                    </w:rPr>
                  </w:pPr>
                  <w:r>
                    <w:rPr>
                      <w:rFonts w:hint="eastAsia"/>
                      <w:color w:val="auto"/>
                      <w:highlight w:val="none"/>
                      <w:lang w:eastAsia="zh-CN"/>
                    </w:rPr>
                    <w:t>《四川省嘉陵江流域生态环境保护条例（2024年修正）》（2021年11月25日四川省第十三届全国人民代表大会常务委员会第三十一次会议通过）</w:t>
                  </w:r>
                </w:p>
              </w:tc>
              <w:tc>
                <w:tcPr>
                  <w:tcW w:w="2866" w:type="pct"/>
                  <w:tcBorders>
                    <w:top w:val="single" w:color="000000" w:sz="4" w:space="0"/>
                    <w:tl2br w:val="nil"/>
                    <w:tr2bl w:val="nil"/>
                  </w:tcBorders>
                  <w:shd w:val="clear" w:color="auto" w:fill="auto"/>
                  <w:vAlign w:val="center"/>
                </w:tcPr>
                <w:p w14:paraId="39244387">
                  <w:pPr>
                    <w:pStyle w:val="106"/>
                    <w:bidi w:val="0"/>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第六十七条 嘉陵江流域县级以上地方人民政府应当根据国土空间规划和本行政区域的资源环境承载能力与水环境质量改善目标等要求，合理规划工业布局，引导现有工业企业入驻工业集聚区。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tc>
              <w:tc>
                <w:tcPr>
                  <w:tcW w:w="1051" w:type="pct"/>
                  <w:tcBorders>
                    <w:top w:val="single" w:color="000000" w:sz="4" w:space="0"/>
                    <w:tl2br w:val="nil"/>
                    <w:tr2bl w:val="nil"/>
                  </w:tcBorders>
                  <w:shd w:val="clear" w:color="auto" w:fill="auto"/>
                  <w:vAlign w:val="center"/>
                </w:tcPr>
                <w:p w14:paraId="2FB224C5">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本项目为食品制造项目，项目位于遂宁市安居区工业集中发展区（含经开区）内。</w:t>
                  </w:r>
                </w:p>
              </w:tc>
              <w:tc>
                <w:tcPr>
                  <w:tcW w:w="556" w:type="pct"/>
                  <w:tcBorders>
                    <w:top w:val="single" w:color="000000" w:sz="4" w:space="0"/>
                    <w:tl2br w:val="nil"/>
                    <w:tr2bl w:val="nil"/>
                  </w:tcBorders>
                  <w:shd w:val="clear" w:color="auto" w:fill="auto"/>
                  <w:vAlign w:val="center"/>
                </w:tcPr>
                <w:p w14:paraId="7FB6B21A">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符合</w:t>
                  </w:r>
                </w:p>
              </w:tc>
            </w:tr>
            <w:tr w14:paraId="43A21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087DAC10">
                  <w:pPr>
                    <w:pStyle w:val="106"/>
                    <w:bidi w:val="0"/>
                    <w:rPr>
                      <w:rFonts w:hint="default"/>
                      <w:color w:val="auto"/>
                      <w:highlight w:val="none"/>
                    </w:rPr>
                  </w:pPr>
                </w:p>
              </w:tc>
              <w:tc>
                <w:tcPr>
                  <w:tcW w:w="2866" w:type="pct"/>
                  <w:tcBorders>
                    <w:tl2br w:val="nil"/>
                    <w:tr2bl w:val="nil"/>
                  </w:tcBorders>
                  <w:shd w:val="clear" w:color="auto" w:fill="auto"/>
                  <w:vAlign w:val="center"/>
                </w:tcPr>
                <w:p w14:paraId="1425D774">
                  <w:pPr>
                    <w:pStyle w:val="106"/>
                    <w:bidi w:val="0"/>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第七十三条 嘉陵江流域县级以上地方人民政府应当加强对固体废物非法转移和倾倒的管控。禁止在嘉陵江流域河湖管理范围内倾倒、填埋、堆放、弃置、处理固体废物</w:t>
                  </w:r>
                  <w:r>
                    <w:rPr>
                      <w:rFonts w:hint="default"/>
                      <w:color w:val="auto"/>
                      <w:highlight w:val="none"/>
                      <w:lang w:val="en-US" w:eastAsia="zh-CN"/>
                    </w:rPr>
                    <w:t>。</w:t>
                  </w:r>
                </w:p>
              </w:tc>
              <w:tc>
                <w:tcPr>
                  <w:tcW w:w="1051" w:type="pct"/>
                  <w:tcBorders>
                    <w:tl2br w:val="nil"/>
                    <w:tr2bl w:val="nil"/>
                  </w:tcBorders>
                  <w:shd w:val="clear" w:color="auto" w:fill="auto"/>
                  <w:vAlign w:val="center"/>
                </w:tcPr>
                <w:p w14:paraId="56DAFFF4">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本项目固废将交由有资质的或有处理能力的单位处置，项目将严格固废管理，防治出现固废非法转移、倾倒等情况发生。</w:t>
                  </w:r>
                </w:p>
              </w:tc>
              <w:tc>
                <w:tcPr>
                  <w:tcW w:w="556" w:type="pct"/>
                  <w:tcBorders>
                    <w:tl2br w:val="nil"/>
                    <w:tr2bl w:val="nil"/>
                  </w:tcBorders>
                  <w:shd w:val="clear" w:color="auto" w:fill="auto"/>
                  <w:vAlign w:val="center"/>
                </w:tcPr>
                <w:p w14:paraId="4EC90FE3">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符合</w:t>
                  </w:r>
                </w:p>
              </w:tc>
            </w:tr>
            <w:tr w14:paraId="21EFC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restart"/>
                  <w:tcBorders>
                    <w:tl2br w:val="nil"/>
                    <w:tr2bl w:val="nil"/>
                  </w:tcBorders>
                  <w:vAlign w:val="center"/>
                </w:tcPr>
                <w:p w14:paraId="3836BAAA">
                  <w:pPr>
                    <w:pStyle w:val="106"/>
                    <w:bidi w:val="0"/>
                    <w:rPr>
                      <w:rFonts w:hint="default"/>
                      <w:color w:val="auto"/>
                      <w:highlight w:val="none"/>
                      <w:lang w:val="en-US" w:eastAsia="zh-CN"/>
                    </w:rPr>
                  </w:pPr>
                  <w:r>
                    <w:rPr>
                      <w:rFonts w:hint="default"/>
                      <w:color w:val="auto"/>
                      <w:highlight w:val="none"/>
                    </w:rPr>
                    <w:t>关于发布长江经济带发展负面清单指南（试行）的通知</w:t>
                  </w:r>
                </w:p>
              </w:tc>
              <w:tc>
                <w:tcPr>
                  <w:tcW w:w="2866" w:type="pct"/>
                  <w:tcBorders>
                    <w:tl2br w:val="nil"/>
                    <w:tr2bl w:val="nil"/>
                  </w:tcBorders>
                  <w:shd w:val="clear" w:color="auto" w:fill="auto"/>
                  <w:vAlign w:val="center"/>
                </w:tcPr>
                <w:p w14:paraId="7205756C">
                  <w:pPr>
                    <w:pStyle w:val="106"/>
                    <w:bidi w:val="0"/>
                    <w:jc w:val="both"/>
                    <w:rPr>
                      <w:rFonts w:hint="default"/>
                      <w:color w:val="auto"/>
                      <w:highlight w:val="none"/>
                      <w:lang w:val="en-US" w:eastAsia="zh-CN"/>
                    </w:rPr>
                  </w:pPr>
                  <w:r>
                    <w:rPr>
                      <w:rFonts w:hint="default"/>
                      <w:color w:val="auto"/>
                      <w:highlight w:val="none"/>
                    </w:rPr>
                    <w:t>1、禁止建设不符合全国和省级港口布局规划以及港口总体规划的码头项目，禁止建设不符合《长江干线过江通道布局规划》的过长江通道项目。</w:t>
                  </w:r>
                </w:p>
              </w:tc>
              <w:tc>
                <w:tcPr>
                  <w:tcW w:w="1051" w:type="pct"/>
                  <w:tcBorders>
                    <w:tl2br w:val="nil"/>
                    <w:tr2bl w:val="nil"/>
                  </w:tcBorders>
                  <w:shd w:val="clear" w:color="auto" w:fill="auto"/>
                  <w:vAlign w:val="center"/>
                </w:tcPr>
                <w:p w14:paraId="459DD045">
                  <w:pPr>
                    <w:pStyle w:val="106"/>
                    <w:bidi w:val="0"/>
                    <w:rPr>
                      <w:rFonts w:hint="default"/>
                      <w:color w:val="auto"/>
                      <w:highlight w:val="none"/>
                      <w:lang w:val="en-US" w:eastAsia="zh-CN"/>
                    </w:rPr>
                  </w:pPr>
                  <w:r>
                    <w:rPr>
                      <w:rFonts w:hint="default"/>
                      <w:color w:val="auto"/>
                      <w:highlight w:val="none"/>
                    </w:rPr>
                    <w:t>不涉及</w:t>
                  </w:r>
                </w:p>
              </w:tc>
              <w:tc>
                <w:tcPr>
                  <w:tcW w:w="556" w:type="pct"/>
                  <w:tcBorders>
                    <w:tl2br w:val="nil"/>
                    <w:tr2bl w:val="nil"/>
                  </w:tcBorders>
                  <w:shd w:val="clear" w:color="auto" w:fill="auto"/>
                  <w:vAlign w:val="center"/>
                </w:tcPr>
                <w:p w14:paraId="257CA65A">
                  <w:pPr>
                    <w:pStyle w:val="106"/>
                    <w:bidi w:val="0"/>
                    <w:rPr>
                      <w:rFonts w:hint="default"/>
                      <w:color w:val="auto"/>
                      <w:highlight w:val="none"/>
                      <w:lang w:val="en-US" w:eastAsia="zh-CN"/>
                    </w:rPr>
                  </w:pPr>
                  <w:r>
                    <w:rPr>
                      <w:rFonts w:hint="default"/>
                      <w:color w:val="auto"/>
                      <w:highlight w:val="none"/>
                    </w:rPr>
                    <w:t>符合</w:t>
                  </w:r>
                </w:p>
              </w:tc>
            </w:tr>
            <w:tr w14:paraId="06190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4A5F9277">
                  <w:pPr>
                    <w:pStyle w:val="106"/>
                    <w:bidi w:val="0"/>
                    <w:rPr>
                      <w:rFonts w:hint="default"/>
                      <w:color w:val="auto"/>
                      <w:highlight w:val="none"/>
                    </w:rPr>
                  </w:pPr>
                </w:p>
              </w:tc>
              <w:tc>
                <w:tcPr>
                  <w:tcW w:w="2866" w:type="pct"/>
                  <w:tcBorders>
                    <w:tl2br w:val="nil"/>
                    <w:tr2bl w:val="nil"/>
                  </w:tcBorders>
                  <w:shd w:val="clear" w:color="auto" w:fill="auto"/>
                  <w:vAlign w:val="center"/>
                </w:tcPr>
                <w:p w14:paraId="5559A3EF">
                  <w:pPr>
                    <w:pStyle w:val="106"/>
                    <w:bidi w:val="0"/>
                    <w:jc w:val="both"/>
                    <w:rPr>
                      <w:rFonts w:hint="default"/>
                      <w:color w:val="auto"/>
                      <w:highlight w:val="none"/>
                      <w:lang w:val="en-US" w:eastAsia="zh-CN"/>
                    </w:rPr>
                  </w:pPr>
                  <w:r>
                    <w:rPr>
                      <w:rFonts w:hint="default"/>
                      <w:color w:val="auto"/>
                      <w:highlight w:val="none"/>
                    </w:rPr>
                    <w:t>2、禁止在自然保护区核心区、缓冲区的岸线和河段范围内投资建设旅游和生产经营项目。禁止在风景名胜区核心景区的岸线和河段范围内投资建设与风景名胜资源保护无关的项目。</w:t>
                  </w:r>
                </w:p>
              </w:tc>
              <w:tc>
                <w:tcPr>
                  <w:tcW w:w="1051" w:type="pct"/>
                  <w:tcBorders>
                    <w:tl2br w:val="nil"/>
                    <w:tr2bl w:val="nil"/>
                  </w:tcBorders>
                  <w:shd w:val="clear" w:color="auto" w:fill="auto"/>
                  <w:vAlign w:val="center"/>
                </w:tcPr>
                <w:p w14:paraId="2D2D6F21">
                  <w:pPr>
                    <w:pStyle w:val="106"/>
                    <w:bidi w:val="0"/>
                    <w:rPr>
                      <w:rFonts w:hint="default"/>
                      <w:color w:val="auto"/>
                      <w:highlight w:val="none"/>
                      <w:lang w:val="en-US" w:eastAsia="zh-CN"/>
                    </w:rPr>
                  </w:pPr>
                  <w:r>
                    <w:rPr>
                      <w:rFonts w:hint="default"/>
                      <w:color w:val="auto"/>
                      <w:highlight w:val="none"/>
                    </w:rPr>
                    <w:t>本项目用地不涉及自然保护区核心、缓冲区、风景名胜区等。</w:t>
                  </w:r>
                </w:p>
              </w:tc>
              <w:tc>
                <w:tcPr>
                  <w:tcW w:w="556" w:type="pct"/>
                  <w:tcBorders>
                    <w:tl2br w:val="nil"/>
                    <w:tr2bl w:val="nil"/>
                  </w:tcBorders>
                  <w:shd w:val="clear" w:color="auto" w:fill="auto"/>
                  <w:vAlign w:val="center"/>
                </w:tcPr>
                <w:p w14:paraId="347D7844">
                  <w:pPr>
                    <w:pStyle w:val="106"/>
                    <w:bidi w:val="0"/>
                    <w:rPr>
                      <w:rFonts w:hint="default"/>
                      <w:color w:val="auto"/>
                      <w:highlight w:val="none"/>
                      <w:lang w:val="en-US" w:eastAsia="zh-CN"/>
                    </w:rPr>
                  </w:pPr>
                  <w:r>
                    <w:rPr>
                      <w:rFonts w:hint="default"/>
                      <w:color w:val="auto"/>
                      <w:highlight w:val="none"/>
                    </w:rPr>
                    <w:t>符合</w:t>
                  </w:r>
                </w:p>
              </w:tc>
            </w:tr>
            <w:tr w14:paraId="1CBF9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526" w:type="pct"/>
                  <w:vMerge w:val="continue"/>
                  <w:tcBorders>
                    <w:tl2br w:val="nil"/>
                    <w:tr2bl w:val="nil"/>
                  </w:tcBorders>
                  <w:vAlign w:val="center"/>
                </w:tcPr>
                <w:p w14:paraId="36B318C5">
                  <w:pPr>
                    <w:pStyle w:val="106"/>
                    <w:bidi w:val="0"/>
                    <w:rPr>
                      <w:rFonts w:hint="default"/>
                      <w:color w:val="auto"/>
                      <w:highlight w:val="none"/>
                    </w:rPr>
                  </w:pPr>
                </w:p>
              </w:tc>
              <w:tc>
                <w:tcPr>
                  <w:tcW w:w="2866" w:type="pct"/>
                  <w:tcBorders>
                    <w:tl2br w:val="nil"/>
                    <w:tr2bl w:val="nil"/>
                  </w:tcBorders>
                  <w:shd w:val="clear" w:color="auto" w:fill="auto"/>
                  <w:vAlign w:val="center"/>
                </w:tcPr>
                <w:p w14:paraId="33E739F2">
                  <w:pPr>
                    <w:pStyle w:val="106"/>
                    <w:bidi w:val="0"/>
                    <w:jc w:val="both"/>
                    <w:rPr>
                      <w:rFonts w:hint="default"/>
                      <w:color w:val="auto"/>
                      <w:highlight w:val="none"/>
                      <w:lang w:val="en-US" w:eastAsia="zh-CN"/>
                    </w:rPr>
                  </w:pPr>
                  <w:r>
                    <w:rPr>
                      <w:rFonts w:hint="default"/>
                      <w:color w:val="auto"/>
                      <w:highlight w:val="none"/>
                    </w:rPr>
                    <w:t>3、禁止在饮用水水源一级保护区的岸线和河段范围内新建、改建、扩建与供水设施和保护水源无关的项目。禁止在饮用水水源二级保护区的岸线和河段范围内新建、改建、扩建排放污染物的投资建设项目。</w:t>
                  </w:r>
                </w:p>
              </w:tc>
              <w:tc>
                <w:tcPr>
                  <w:tcW w:w="1051" w:type="pct"/>
                  <w:tcBorders>
                    <w:tl2br w:val="nil"/>
                    <w:tr2bl w:val="nil"/>
                  </w:tcBorders>
                  <w:shd w:val="clear" w:color="auto" w:fill="auto"/>
                  <w:vAlign w:val="center"/>
                </w:tcPr>
                <w:p w14:paraId="5EFB1063">
                  <w:pPr>
                    <w:pStyle w:val="106"/>
                    <w:bidi w:val="0"/>
                    <w:rPr>
                      <w:rFonts w:hint="default"/>
                      <w:color w:val="auto"/>
                      <w:highlight w:val="none"/>
                      <w:lang w:val="en-US" w:eastAsia="zh-CN"/>
                    </w:rPr>
                  </w:pPr>
                  <w:r>
                    <w:rPr>
                      <w:rFonts w:hint="default"/>
                      <w:color w:val="auto"/>
                      <w:highlight w:val="none"/>
                    </w:rPr>
                    <w:t>本项目不涉及饮用水源保护区。</w:t>
                  </w:r>
                </w:p>
              </w:tc>
              <w:tc>
                <w:tcPr>
                  <w:tcW w:w="556" w:type="pct"/>
                  <w:tcBorders>
                    <w:tl2br w:val="nil"/>
                    <w:tr2bl w:val="nil"/>
                  </w:tcBorders>
                  <w:shd w:val="clear" w:color="auto" w:fill="auto"/>
                  <w:vAlign w:val="center"/>
                </w:tcPr>
                <w:p w14:paraId="4B6E5392">
                  <w:pPr>
                    <w:pStyle w:val="106"/>
                    <w:bidi w:val="0"/>
                    <w:rPr>
                      <w:rFonts w:hint="default"/>
                      <w:color w:val="auto"/>
                      <w:highlight w:val="none"/>
                      <w:lang w:val="en-US" w:eastAsia="zh-CN"/>
                    </w:rPr>
                  </w:pPr>
                  <w:r>
                    <w:rPr>
                      <w:rFonts w:hint="default"/>
                      <w:color w:val="auto"/>
                      <w:highlight w:val="none"/>
                    </w:rPr>
                    <w:t>符合</w:t>
                  </w:r>
                </w:p>
              </w:tc>
            </w:tr>
            <w:tr w14:paraId="65A52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0B8A62BE">
                  <w:pPr>
                    <w:pStyle w:val="106"/>
                    <w:bidi w:val="0"/>
                    <w:rPr>
                      <w:rFonts w:hint="default"/>
                      <w:color w:val="auto"/>
                      <w:highlight w:val="none"/>
                    </w:rPr>
                  </w:pPr>
                </w:p>
              </w:tc>
              <w:tc>
                <w:tcPr>
                  <w:tcW w:w="2866" w:type="pct"/>
                  <w:tcBorders>
                    <w:tl2br w:val="nil"/>
                    <w:tr2bl w:val="nil"/>
                  </w:tcBorders>
                  <w:shd w:val="clear" w:color="auto" w:fill="auto"/>
                  <w:vAlign w:val="center"/>
                </w:tcPr>
                <w:p w14:paraId="04F76787">
                  <w:pPr>
                    <w:pStyle w:val="106"/>
                    <w:bidi w:val="0"/>
                    <w:jc w:val="both"/>
                    <w:rPr>
                      <w:rFonts w:hint="default"/>
                      <w:color w:val="auto"/>
                      <w:highlight w:val="none"/>
                      <w:lang w:val="en-US" w:eastAsia="zh-CN"/>
                    </w:rPr>
                  </w:pPr>
                  <w:r>
                    <w:rPr>
                      <w:rFonts w:hint="default"/>
                      <w:color w:val="auto"/>
                      <w:highlight w:val="none"/>
                    </w:rPr>
                    <w:t>4、禁止在水产种质资源保护区的岸线和河段范围内新建排污口，以及围湖造田、围海造地或围填海等投资建设项目。禁止在国家湿地公园的岸线和河段范围内挖沙、采矿，以及任何不符合主体功能单位的投资建设项目。</w:t>
                  </w:r>
                </w:p>
              </w:tc>
              <w:tc>
                <w:tcPr>
                  <w:tcW w:w="1051" w:type="pct"/>
                  <w:tcBorders>
                    <w:tl2br w:val="nil"/>
                    <w:tr2bl w:val="nil"/>
                  </w:tcBorders>
                  <w:shd w:val="clear" w:color="auto" w:fill="auto"/>
                  <w:vAlign w:val="center"/>
                </w:tcPr>
                <w:p w14:paraId="7E7495CE">
                  <w:pPr>
                    <w:pStyle w:val="106"/>
                    <w:bidi w:val="0"/>
                    <w:rPr>
                      <w:rFonts w:hint="default"/>
                      <w:color w:val="auto"/>
                      <w:highlight w:val="none"/>
                      <w:lang w:val="en-US" w:eastAsia="zh-CN"/>
                    </w:rPr>
                  </w:pPr>
                  <w:r>
                    <w:rPr>
                      <w:rFonts w:hint="default"/>
                      <w:color w:val="auto"/>
                      <w:highlight w:val="none"/>
                    </w:rPr>
                    <w:t>本项目不涉及水产种质资源保护区的岸线和河段；不涉及国家湿地公园。</w:t>
                  </w:r>
                </w:p>
              </w:tc>
              <w:tc>
                <w:tcPr>
                  <w:tcW w:w="556" w:type="pct"/>
                  <w:tcBorders>
                    <w:tl2br w:val="nil"/>
                    <w:tr2bl w:val="nil"/>
                  </w:tcBorders>
                  <w:shd w:val="clear" w:color="auto" w:fill="auto"/>
                  <w:vAlign w:val="center"/>
                </w:tcPr>
                <w:p w14:paraId="7E93E706">
                  <w:pPr>
                    <w:pStyle w:val="106"/>
                    <w:bidi w:val="0"/>
                    <w:rPr>
                      <w:rFonts w:hint="default"/>
                      <w:color w:val="auto"/>
                      <w:highlight w:val="none"/>
                      <w:lang w:val="en-US" w:eastAsia="zh-CN"/>
                    </w:rPr>
                  </w:pPr>
                  <w:r>
                    <w:rPr>
                      <w:rFonts w:hint="default"/>
                      <w:color w:val="auto"/>
                      <w:highlight w:val="none"/>
                    </w:rPr>
                    <w:t>符合</w:t>
                  </w:r>
                </w:p>
              </w:tc>
            </w:tr>
            <w:tr w14:paraId="56DF4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024C0F47">
                  <w:pPr>
                    <w:pStyle w:val="106"/>
                    <w:bidi w:val="0"/>
                    <w:rPr>
                      <w:rFonts w:hint="default"/>
                      <w:color w:val="auto"/>
                      <w:highlight w:val="none"/>
                    </w:rPr>
                  </w:pPr>
                </w:p>
              </w:tc>
              <w:tc>
                <w:tcPr>
                  <w:tcW w:w="2866" w:type="pct"/>
                  <w:tcBorders>
                    <w:tl2br w:val="nil"/>
                    <w:tr2bl w:val="nil"/>
                  </w:tcBorders>
                  <w:shd w:val="clear" w:color="auto" w:fill="auto"/>
                  <w:vAlign w:val="center"/>
                </w:tcPr>
                <w:p w14:paraId="7A54874B">
                  <w:pPr>
                    <w:pStyle w:val="106"/>
                    <w:bidi w:val="0"/>
                    <w:jc w:val="both"/>
                    <w:rPr>
                      <w:rFonts w:hint="default"/>
                      <w:color w:val="auto"/>
                      <w:highlight w:val="none"/>
                      <w:lang w:val="en-US" w:eastAsia="zh-CN"/>
                    </w:rPr>
                  </w:pPr>
                  <w:r>
                    <w:rPr>
                      <w:rFonts w:hint="default"/>
                      <w:color w:val="auto"/>
                      <w:highlight w:val="none"/>
                    </w:rPr>
                    <w:t>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已经保护生态环境以外的项目。禁止在《全国重要河流湖泊水功能区划》划定的河段保护区、保留区内投资建设不利于水资源及自然生态保护的项目。</w:t>
                  </w:r>
                </w:p>
              </w:tc>
              <w:tc>
                <w:tcPr>
                  <w:tcW w:w="1051" w:type="pct"/>
                  <w:tcBorders>
                    <w:tl2br w:val="nil"/>
                    <w:tr2bl w:val="nil"/>
                  </w:tcBorders>
                  <w:shd w:val="clear" w:color="auto" w:fill="auto"/>
                  <w:vAlign w:val="center"/>
                </w:tcPr>
                <w:p w14:paraId="7D76CD62">
                  <w:pPr>
                    <w:pStyle w:val="106"/>
                    <w:bidi w:val="0"/>
                    <w:rPr>
                      <w:rFonts w:hint="default"/>
                      <w:color w:val="auto"/>
                      <w:highlight w:val="none"/>
                      <w:lang w:val="en-US" w:eastAsia="zh-CN"/>
                    </w:rPr>
                  </w:pPr>
                  <w:r>
                    <w:rPr>
                      <w:rFonts w:hint="default"/>
                      <w:color w:val="auto"/>
                      <w:highlight w:val="none"/>
                    </w:rPr>
                    <w:t>本项目不在长江岸线保护区范围。</w:t>
                  </w:r>
                </w:p>
              </w:tc>
              <w:tc>
                <w:tcPr>
                  <w:tcW w:w="556" w:type="pct"/>
                  <w:tcBorders>
                    <w:tl2br w:val="nil"/>
                    <w:tr2bl w:val="nil"/>
                  </w:tcBorders>
                  <w:shd w:val="clear" w:color="auto" w:fill="auto"/>
                  <w:vAlign w:val="center"/>
                </w:tcPr>
                <w:p w14:paraId="69EBB18C">
                  <w:pPr>
                    <w:pStyle w:val="106"/>
                    <w:bidi w:val="0"/>
                    <w:rPr>
                      <w:rFonts w:hint="default"/>
                      <w:color w:val="auto"/>
                      <w:highlight w:val="none"/>
                      <w:lang w:val="en-US" w:eastAsia="zh-CN"/>
                    </w:rPr>
                  </w:pPr>
                  <w:r>
                    <w:rPr>
                      <w:rFonts w:hint="default"/>
                      <w:color w:val="auto"/>
                      <w:highlight w:val="none"/>
                    </w:rPr>
                    <w:t>符合</w:t>
                  </w:r>
                </w:p>
              </w:tc>
            </w:tr>
            <w:tr w14:paraId="1A784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5E37C69B">
                  <w:pPr>
                    <w:pStyle w:val="106"/>
                    <w:bidi w:val="0"/>
                    <w:rPr>
                      <w:rFonts w:hint="default"/>
                      <w:color w:val="auto"/>
                      <w:highlight w:val="none"/>
                    </w:rPr>
                  </w:pPr>
                </w:p>
              </w:tc>
              <w:tc>
                <w:tcPr>
                  <w:tcW w:w="2866" w:type="pct"/>
                  <w:tcBorders>
                    <w:tl2br w:val="nil"/>
                    <w:tr2bl w:val="nil"/>
                  </w:tcBorders>
                  <w:shd w:val="clear" w:color="auto" w:fill="auto"/>
                  <w:vAlign w:val="center"/>
                </w:tcPr>
                <w:p w14:paraId="6E3CEFAD">
                  <w:pPr>
                    <w:pStyle w:val="106"/>
                    <w:bidi w:val="0"/>
                    <w:jc w:val="both"/>
                    <w:rPr>
                      <w:rFonts w:hint="default"/>
                      <w:color w:val="auto"/>
                      <w:highlight w:val="none"/>
                      <w:lang w:val="en-US" w:eastAsia="zh-CN"/>
                    </w:rPr>
                  </w:pPr>
                  <w:r>
                    <w:rPr>
                      <w:rFonts w:hint="default"/>
                      <w:color w:val="auto"/>
                      <w:highlight w:val="none"/>
                    </w:rPr>
                    <w:t>6、禁止在生态保护红线和永久基本农田范围内投资建设除国家重大战略资源勘查项目、生态保护修复和环境治理项目、重大基础设施项目、军事国防项目以及农牧民基本生产生活等必要的民生以外的项目。</w:t>
                  </w:r>
                </w:p>
              </w:tc>
              <w:tc>
                <w:tcPr>
                  <w:tcW w:w="1051" w:type="pct"/>
                  <w:tcBorders>
                    <w:tl2br w:val="nil"/>
                    <w:tr2bl w:val="nil"/>
                  </w:tcBorders>
                  <w:shd w:val="clear" w:color="auto" w:fill="auto"/>
                  <w:vAlign w:val="center"/>
                </w:tcPr>
                <w:p w14:paraId="005D4428">
                  <w:pPr>
                    <w:pStyle w:val="106"/>
                    <w:bidi w:val="0"/>
                    <w:rPr>
                      <w:rFonts w:hint="default"/>
                      <w:color w:val="auto"/>
                      <w:highlight w:val="none"/>
                      <w:lang w:val="en-US" w:eastAsia="zh-CN"/>
                    </w:rPr>
                  </w:pPr>
                  <w:r>
                    <w:rPr>
                      <w:rFonts w:hint="default"/>
                      <w:color w:val="auto"/>
                      <w:highlight w:val="none"/>
                    </w:rPr>
                    <w:t>本项目不占用生态红线和永久基本农田。</w:t>
                  </w:r>
                </w:p>
              </w:tc>
              <w:tc>
                <w:tcPr>
                  <w:tcW w:w="556" w:type="pct"/>
                  <w:tcBorders>
                    <w:tl2br w:val="nil"/>
                    <w:tr2bl w:val="nil"/>
                  </w:tcBorders>
                  <w:shd w:val="clear" w:color="auto" w:fill="auto"/>
                  <w:vAlign w:val="center"/>
                </w:tcPr>
                <w:p w14:paraId="53DCEDFB">
                  <w:pPr>
                    <w:pStyle w:val="106"/>
                    <w:bidi w:val="0"/>
                    <w:rPr>
                      <w:rFonts w:hint="default"/>
                      <w:color w:val="auto"/>
                      <w:highlight w:val="none"/>
                      <w:lang w:val="en-US" w:eastAsia="zh-CN"/>
                    </w:rPr>
                  </w:pPr>
                  <w:r>
                    <w:rPr>
                      <w:rFonts w:hint="default"/>
                      <w:color w:val="auto"/>
                      <w:highlight w:val="none"/>
                    </w:rPr>
                    <w:t>符合</w:t>
                  </w:r>
                </w:p>
              </w:tc>
            </w:tr>
            <w:tr w14:paraId="0B514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67426069">
                  <w:pPr>
                    <w:pStyle w:val="106"/>
                    <w:bidi w:val="0"/>
                    <w:rPr>
                      <w:rFonts w:hint="default"/>
                      <w:color w:val="auto"/>
                      <w:highlight w:val="none"/>
                    </w:rPr>
                  </w:pPr>
                </w:p>
              </w:tc>
              <w:tc>
                <w:tcPr>
                  <w:tcW w:w="2866" w:type="pct"/>
                  <w:tcBorders>
                    <w:tl2br w:val="nil"/>
                    <w:tr2bl w:val="nil"/>
                  </w:tcBorders>
                  <w:shd w:val="clear" w:color="auto" w:fill="auto"/>
                  <w:vAlign w:val="center"/>
                </w:tcPr>
                <w:p w14:paraId="1DE9D3A8">
                  <w:pPr>
                    <w:pStyle w:val="106"/>
                    <w:bidi w:val="0"/>
                    <w:jc w:val="both"/>
                    <w:rPr>
                      <w:rFonts w:hint="default"/>
                      <w:color w:val="auto"/>
                      <w:highlight w:val="none"/>
                      <w:lang w:val="en-US" w:eastAsia="zh-CN"/>
                    </w:rPr>
                  </w:pPr>
                  <w:r>
                    <w:rPr>
                      <w:rFonts w:hint="default"/>
                      <w:color w:val="auto"/>
                      <w:highlight w:val="none"/>
                    </w:rPr>
                    <w:t>7、禁止在长江干支流1公里范围内新建、扩建化工园区和化工项目。禁止在合规园区外新建、扩建钢铁、化工、焦化、建材、有色等高污染项目。</w:t>
                  </w:r>
                </w:p>
              </w:tc>
              <w:tc>
                <w:tcPr>
                  <w:tcW w:w="1051" w:type="pct"/>
                  <w:tcBorders>
                    <w:tl2br w:val="nil"/>
                    <w:tr2bl w:val="nil"/>
                  </w:tcBorders>
                  <w:shd w:val="clear" w:color="auto" w:fill="auto"/>
                  <w:vAlign w:val="center"/>
                </w:tcPr>
                <w:p w14:paraId="6A48E89C">
                  <w:pPr>
                    <w:pStyle w:val="106"/>
                    <w:bidi w:val="0"/>
                    <w:rPr>
                      <w:rFonts w:hint="default"/>
                      <w:color w:val="auto"/>
                      <w:highlight w:val="none"/>
                      <w:lang w:val="en-US" w:eastAsia="zh-CN"/>
                    </w:rPr>
                  </w:pPr>
                  <w:r>
                    <w:rPr>
                      <w:rFonts w:hint="default"/>
                      <w:color w:val="auto"/>
                      <w:highlight w:val="none"/>
                    </w:rPr>
                    <w:t>本项目不属于化工和高污染项目。</w:t>
                  </w:r>
                </w:p>
              </w:tc>
              <w:tc>
                <w:tcPr>
                  <w:tcW w:w="556" w:type="pct"/>
                  <w:tcBorders>
                    <w:tl2br w:val="nil"/>
                    <w:tr2bl w:val="nil"/>
                  </w:tcBorders>
                  <w:shd w:val="clear" w:color="auto" w:fill="auto"/>
                  <w:vAlign w:val="center"/>
                </w:tcPr>
                <w:p w14:paraId="22F5957B">
                  <w:pPr>
                    <w:pStyle w:val="106"/>
                    <w:bidi w:val="0"/>
                    <w:rPr>
                      <w:rFonts w:hint="default"/>
                      <w:color w:val="auto"/>
                      <w:highlight w:val="none"/>
                      <w:lang w:val="en-US" w:eastAsia="zh-CN"/>
                    </w:rPr>
                  </w:pPr>
                  <w:r>
                    <w:rPr>
                      <w:rFonts w:hint="default"/>
                      <w:color w:val="auto"/>
                      <w:highlight w:val="none"/>
                    </w:rPr>
                    <w:t>符合</w:t>
                  </w:r>
                </w:p>
              </w:tc>
            </w:tr>
            <w:tr w14:paraId="03BC8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6FE323BF">
                  <w:pPr>
                    <w:pStyle w:val="106"/>
                    <w:bidi w:val="0"/>
                    <w:rPr>
                      <w:rFonts w:hint="default"/>
                      <w:color w:val="auto"/>
                      <w:highlight w:val="none"/>
                    </w:rPr>
                  </w:pPr>
                </w:p>
              </w:tc>
              <w:tc>
                <w:tcPr>
                  <w:tcW w:w="2866" w:type="pct"/>
                  <w:tcBorders>
                    <w:tl2br w:val="nil"/>
                    <w:tr2bl w:val="nil"/>
                  </w:tcBorders>
                  <w:shd w:val="clear" w:color="auto" w:fill="auto"/>
                  <w:vAlign w:val="center"/>
                </w:tcPr>
                <w:p w14:paraId="312B8436">
                  <w:pPr>
                    <w:pStyle w:val="106"/>
                    <w:bidi w:val="0"/>
                    <w:jc w:val="both"/>
                    <w:rPr>
                      <w:rFonts w:hint="default"/>
                      <w:color w:val="auto"/>
                      <w:highlight w:val="none"/>
                      <w:lang w:val="en-US" w:eastAsia="zh-CN"/>
                    </w:rPr>
                  </w:pPr>
                  <w:r>
                    <w:rPr>
                      <w:rFonts w:hint="default"/>
                      <w:color w:val="auto"/>
                      <w:highlight w:val="none"/>
                    </w:rPr>
                    <w:t>8、禁止新建、扩建不符合国家石化、现代煤化工等产业布局规划的项目。</w:t>
                  </w:r>
                </w:p>
              </w:tc>
              <w:tc>
                <w:tcPr>
                  <w:tcW w:w="1051" w:type="pct"/>
                  <w:tcBorders>
                    <w:tl2br w:val="nil"/>
                    <w:tr2bl w:val="nil"/>
                  </w:tcBorders>
                  <w:shd w:val="clear" w:color="auto" w:fill="auto"/>
                  <w:vAlign w:val="center"/>
                </w:tcPr>
                <w:p w14:paraId="1702807E">
                  <w:pPr>
                    <w:pStyle w:val="106"/>
                    <w:bidi w:val="0"/>
                    <w:rPr>
                      <w:rFonts w:hint="default"/>
                      <w:color w:val="auto"/>
                      <w:highlight w:val="none"/>
                      <w:lang w:val="en-US" w:eastAsia="zh-CN"/>
                    </w:rPr>
                  </w:pPr>
                  <w:r>
                    <w:rPr>
                      <w:rFonts w:hint="default"/>
                      <w:color w:val="auto"/>
                      <w:highlight w:val="none"/>
                    </w:rPr>
                    <w:t>本项目不涉及石化和煤化工。</w:t>
                  </w:r>
                </w:p>
              </w:tc>
              <w:tc>
                <w:tcPr>
                  <w:tcW w:w="556" w:type="pct"/>
                  <w:tcBorders>
                    <w:tl2br w:val="nil"/>
                    <w:tr2bl w:val="nil"/>
                  </w:tcBorders>
                  <w:shd w:val="clear" w:color="auto" w:fill="auto"/>
                  <w:vAlign w:val="center"/>
                </w:tcPr>
                <w:p w14:paraId="66D0C552">
                  <w:pPr>
                    <w:pStyle w:val="106"/>
                    <w:bidi w:val="0"/>
                    <w:rPr>
                      <w:rFonts w:hint="default"/>
                      <w:color w:val="auto"/>
                      <w:highlight w:val="none"/>
                      <w:lang w:val="en-US" w:eastAsia="zh-CN"/>
                    </w:rPr>
                  </w:pPr>
                  <w:r>
                    <w:rPr>
                      <w:rFonts w:hint="default"/>
                      <w:color w:val="auto"/>
                      <w:highlight w:val="none"/>
                    </w:rPr>
                    <w:t>符合</w:t>
                  </w:r>
                </w:p>
              </w:tc>
            </w:tr>
            <w:tr w14:paraId="333E4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2B703C54">
                  <w:pPr>
                    <w:pStyle w:val="106"/>
                    <w:bidi w:val="0"/>
                    <w:rPr>
                      <w:rFonts w:hint="default"/>
                      <w:color w:val="auto"/>
                      <w:highlight w:val="none"/>
                    </w:rPr>
                  </w:pPr>
                </w:p>
              </w:tc>
              <w:tc>
                <w:tcPr>
                  <w:tcW w:w="2866" w:type="pct"/>
                  <w:tcBorders>
                    <w:tl2br w:val="nil"/>
                    <w:tr2bl w:val="nil"/>
                  </w:tcBorders>
                  <w:shd w:val="clear" w:color="auto" w:fill="auto"/>
                  <w:vAlign w:val="center"/>
                </w:tcPr>
                <w:p w14:paraId="59153775">
                  <w:pPr>
                    <w:pStyle w:val="106"/>
                    <w:bidi w:val="0"/>
                    <w:jc w:val="both"/>
                    <w:rPr>
                      <w:rFonts w:hint="default"/>
                      <w:color w:val="auto"/>
                      <w:highlight w:val="none"/>
                      <w:lang w:val="en-US" w:eastAsia="zh-CN"/>
                    </w:rPr>
                  </w:pPr>
                  <w:r>
                    <w:rPr>
                      <w:rFonts w:hint="default"/>
                      <w:color w:val="auto"/>
                      <w:highlight w:val="none"/>
                    </w:rPr>
                    <w:t>9、禁止新建、扩建法律法规和相关政策明令禁止的落后产能项目。</w:t>
                  </w:r>
                </w:p>
              </w:tc>
              <w:tc>
                <w:tcPr>
                  <w:tcW w:w="1051" w:type="pct"/>
                  <w:tcBorders>
                    <w:tl2br w:val="nil"/>
                    <w:tr2bl w:val="nil"/>
                  </w:tcBorders>
                  <w:shd w:val="clear" w:color="auto" w:fill="auto"/>
                  <w:vAlign w:val="center"/>
                </w:tcPr>
                <w:p w14:paraId="15A3012E">
                  <w:pPr>
                    <w:pStyle w:val="106"/>
                    <w:bidi w:val="0"/>
                    <w:rPr>
                      <w:rFonts w:hint="default"/>
                      <w:color w:val="auto"/>
                      <w:highlight w:val="none"/>
                      <w:lang w:val="en-US" w:eastAsia="zh-CN"/>
                    </w:rPr>
                  </w:pPr>
                  <w:r>
                    <w:rPr>
                      <w:rFonts w:hint="default"/>
                      <w:color w:val="auto"/>
                      <w:highlight w:val="none"/>
                    </w:rPr>
                    <w:t>不涉及落后产能项目。</w:t>
                  </w:r>
                </w:p>
              </w:tc>
              <w:tc>
                <w:tcPr>
                  <w:tcW w:w="556" w:type="pct"/>
                  <w:tcBorders>
                    <w:tl2br w:val="nil"/>
                    <w:tr2bl w:val="nil"/>
                  </w:tcBorders>
                  <w:shd w:val="clear" w:color="auto" w:fill="auto"/>
                  <w:vAlign w:val="center"/>
                </w:tcPr>
                <w:p w14:paraId="3581021F">
                  <w:pPr>
                    <w:pStyle w:val="106"/>
                    <w:bidi w:val="0"/>
                    <w:rPr>
                      <w:rFonts w:hint="default"/>
                      <w:color w:val="auto"/>
                      <w:highlight w:val="none"/>
                      <w:lang w:val="en-US" w:eastAsia="zh-CN"/>
                    </w:rPr>
                  </w:pPr>
                  <w:r>
                    <w:rPr>
                      <w:rFonts w:hint="default"/>
                      <w:color w:val="auto"/>
                      <w:highlight w:val="none"/>
                    </w:rPr>
                    <w:t>符合</w:t>
                  </w:r>
                </w:p>
              </w:tc>
            </w:tr>
            <w:tr w14:paraId="77A2D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585BBCC4">
                  <w:pPr>
                    <w:pStyle w:val="106"/>
                    <w:bidi w:val="0"/>
                    <w:rPr>
                      <w:rFonts w:hint="default"/>
                      <w:color w:val="auto"/>
                      <w:highlight w:val="none"/>
                    </w:rPr>
                  </w:pPr>
                </w:p>
              </w:tc>
              <w:tc>
                <w:tcPr>
                  <w:tcW w:w="2866" w:type="pct"/>
                  <w:tcBorders>
                    <w:tl2br w:val="nil"/>
                    <w:tr2bl w:val="nil"/>
                  </w:tcBorders>
                  <w:shd w:val="clear" w:color="auto" w:fill="auto"/>
                  <w:vAlign w:val="center"/>
                </w:tcPr>
                <w:p w14:paraId="51CD238E">
                  <w:pPr>
                    <w:pStyle w:val="106"/>
                    <w:bidi w:val="0"/>
                    <w:jc w:val="both"/>
                    <w:rPr>
                      <w:rFonts w:hint="default"/>
                      <w:color w:val="auto"/>
                      <w:highlight w:val="none"/>
                      <w:lang w:val="en-US" w:eastAsia="zh-CN"/>
                    </w:rPr>
                  </w:pPr>
                  <w:r>
                    <w:rPr>
                      <w:rFonts w:hint="default"/>
                      <w:color w:val="auto"/>
                      <w:highlight w:val="none"/>
                    </w:rPr>
                    <w:t>10、禁止新建、扩建不符合国家产能置换要求的严重过剩产能行业的项目。</w:t>
                  </w:r>
                </w:p>
              </w:tc>
              <w:tc>
                <w:tcPr>
                  <w:tcW w:w="1051" w:type="pct"/>
                  <w:tcBorders>
                    <w:tl2br w:val="nil"/>
                    <w:tr2bl w:val="nil"/>
                  </w:tcBorders>
                  <w:shd w:val="clear" w:color="auto" w:fill="auto"/>
                  <w:vAlign w:val="center"/>
                </w:tcPr>
                <w:p w14:paraId="2E549A98">
                  <w:pPr>
                    <w:pStyle w:val="106"/>
                    <w:bidi w:val="0"/>
                    <w:rPr>
                      <w:rFonts w:hint="default"/>
                      <w:color w:val="auto"/>
                      <w:highlight w:val="none"/>
                      <w:lang w:val="en-US" w:eastAsia="zh-CN"/>
                    </w:rPr>
                  </w:pPr>
                  <w:r>
                    <w:rPr>
                      <w:rFonts w:hint="default"/>
                      <w:color w:val="auto"/>
                      <w:highlight w:val="none"/>
                    </w:rPr>
                    <w:t>不涉及严重过剩产能行业的项目。</w:t>
                  </w:r>
                </w:p>
              </w:tc>
              <w:tc>
                <w:tcPr>
                  <w:tcW w:w="556" w:type="pct"/>
                  <w:tcBorders>
                    <w:tl2br w:val="nil"/>
                    <w:tr2bl w:val="nil"/>
                  </w:tcBorders>
                  <w:shd w:val="clear" w:color="auto" w:fill="auto"/>
                  <w:vAlign w:val="center"/>
                </w:tcPr>
                <w:p w14:paraId="5E684F0F">
                  <w:pPr>
                    <w:pStyle w:val="106"/>
                    <w:bidi w:val="0"/>
                    <w:rPr>
                      <w:rFonts w:hint="default"/>
                      <w:color w:val="auto"/>
                      <w:highlight w:val="none"/>
                      <w:lang w:val="en-US" w:eastAsia="zh-CN"/>
                    </w:rPr>
                  </w:pPr>
                  <w:r>
                    <w:rPr>
                      <w:rFonts w:hint="default"/>
                      <w:color w:val="auto"/>
                      <w:highlight w:val="none"/>
                    </w:rPr>
                    <w:t>符合</w:t>
                  </w:r>
                </w:p>
              </w:tc>
            </w:tr>
            <w:tr w14:paraId="4E35B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restart"/>
                  <w:tcBorders>
                    <w:tl2br w:val="nil"/>
                    <w:tr2bl w:val="nil"/>
                  </w:tcBorders>
                  <w:vAlign w:val="center"/>
                </w:tcPr>
                <w:p w14:paraId="20AD6354">
                  <w:pPr>
                    <w:pStyle w:val="106"/>
                    <w:bidi w:val="0"/>
                    <w:rPr>
                      <w:rFonts w:hint="default"/>
                      <w:color w:val="auto"/>
                      <w:highlight w:val="none"/>
                    </w:rPr>
                  </w:pPr>
                  <w:r>
                    <w:rPr>
                      <w:rFonts w:hint="default"/>
                      <w:color w:val="auto"/>
                      <w:highlight w:val="none"/>
                    </w:rPr>
                    <w:t>《四川省、重庆市长江经济带发展负面清单实施细则（试行，2022年版）》</w:t>
                  </w:r>
                </w:p>
              </w:tc>
              <w:tc>
                <w:tcPr>
                  <w:tcW w:w="2866" w:type="pct"/>
                  <w:tcBorders>
                    <w:tl2br w:val="nil"/>
                    <w:tr2bl w:val="nil"/>
                  </w:tcBorders>
                  <w:shd w:val="clear" w:color="auto" w:fill="auto"/>
                  <w:vAlign w:val="center"/>
                </w:tcPr>
                <w:p w14:paraId="6215BC98">
                  <w:pPr>
                    <w:pStyle w:val="106"/>
                    <w:bidi w:val="0"/>
                    <w:jc w:val="both"/>
                    <w:rPr>
                      <w:rFonts w:hint="default"/>
                      <w:color w:val="auto"/>
                      <w:highlight w:val="none"/>
                    </w:rPr>
                  </w:pPr>
                  <w:r>
                    <w:rPr>
                      <w:rFonts w:hint="default"/>
                      <w:color w:val="auto"/>
                      <w:highlight w:val="none"/>
                    </w:rPr>
                    <w:t>第五条 禁止新建、改建和扩建不符合《全国内河航道与港口布局规划》等全国港口规划，以及《四川省内河水运发展规划》《泸州—宜宾—乐山港口群布局规划》《重庆港总体规划（2035年）》等省级港口布局规划及市级港口总体规划的码头项目。</w:t>
                  </w:r>
                </w:p>
                <w:p w14:paraId="7893C68A">
                  <w:pPr>
                    <w:pStyle w:val="106"/>
                    <w:bidi w:val="0"/>
                    <w:jc w:val="both"/>
                    <w:rPr>
                      <w:rFonts w:hint="default"/>
                      <w:color w:val="auto"/>
                      <w:highlight w:val="none"/>
                      <w:lang w:val="en-US" w:eastAsia="zh-CN"/>
                    </w:rPr>
                  </w:pPr>
                  <w:r>
                    <w:rPr>
                      <w:rFonts w:hint="default"/>
                      <w:color w:val="auto"/>
                      <w:highlight w:val="none"/>
                    </w:rPr>
                    <w:t>第六条 禁止新建、改建和扩建不符合《长江干线过江通道布局规划（2020-2035年）》的过长江通道项目（含桥梁、隧道），国家发展改革委同意过长江通道线位调整的除外。</w:t>
                  </w:r>
                </w:p>
              </w:tc>
              <w:tc>
                <w:tcPr>
                  <w:tcW w:w="1051" w:type="pct"/>
                  <w:tcBorders>
                    <w:tl2br w:val="nil"/>
                    <w:tr2bl w:val="nil"/>
                  </w:tcBorders>
                  <w:shd w:val="clear" w:color="auto" w:fill="auto"/>
                  <w:vAlign w:val="center"/>
                </w:tcPr>
                <w:p w14:paraId="2FE39B6E">
                  <w:pPr>
                    <w:pStyle w:val="106"/>
                    <w:bidi w:val="0"/>
                    <w:rPr>
                      <w:rFonts w:hint="default"/>
                      <w:color w:val="auto"/>
                      <w:highlight w:val="none"/>
                      <w:lang w:val="en-US" w:eastAsia="zh-CN"/>
                    </w:rPr>
                  </w:pPr>
                  <w:r>
                    <w:rPr>
                      <w:rFonts w:hint="default"/>
                      <w:color w:val="auto"/>
                      <w:highlight w:val="none"/>
                    </w:rPr>
                    <w:t>本项目不属于码头项目及过长江通道项目。</w:t>
                  </w:r>
                </w:p>
              </w:tc>
              <w:tc>
                <w:tcPr>
                  <w:tcW w:w="556" w:type="pct"/>
                  <w:tcBorders>
                    <w:tl2br w:val="nil"/>
                    <w:tr2bl w:val="nil"/>
                  </w:tcBorders>
                  <w:shd w:val="clear" w:color="auto" w:fill="auto"/>
                  <w:vAlign w:val="center"/>
                </w:tcPr>
                <w:p w14:paraId="18E3B3B1">
                  <w:pPr>
                    <w:pStyle w:val="106"/>
                    <w:bidi w:val="0"/>
                    <w:rPr>
                      <w:rFonts w:hint="default"/>
                      <w:color w:val="auto"/>
                      <w:highlight w:val="none"/>
                      <w:lang w:val="en-US" w:eastAsia="zh-CN"/>
                    </w:rPr>
                  </w:pPr>
                  <w:r>
                    <w:rPr>
                      <w:rFonts w:hint="default"/>
                      <w:color w:val="auto"/>
                      <w:highlight w:val="none"/>
                    </w:rPr>
                    <w:t>符合</w:t>
                  </w:r>
                </w:p>
              </w:tc>
            </w:tr>
            <w:tr w14:paraId="57A10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6429C58B">
                  <w:pPr>
                    <w:pStyle w:val="106"/>
                    <w:bidi w:val="0"/>
                    <w:rPr>
                      <w:rFonts w:hint="default"/>
                      <w:color w:val="auto"/>
                      <w:highlight w:val="none"/>
                    </w:rPr>
                  </w:pPr>
                </w:p>
              </w:tc>
              <w:tc>
                <w:tcPr>
                  <w:tcW w:w="2866" w:type="pct"/>
                  <w:tcBorders>
                    <w:tl2br w:val="nil"/>
                    <w:tr2bl w:val="nil"/>
                  </w:tcBorders>
                  <w:shd w:val="clear" w:color="auto" w:fill="auto"/>
                  <w:vAlign w:val="center"/>
                </w:tcPr>
                <w:p w14:paraId="5AC0D2B2">
                  <w:pPr>
                    <w:pStyle w:val="106"/>
                    <w:bidi w:val="0"/>
                    <w:jc w:val="both"/>
                    <w:rPr>
                      <w:rFonts w:hint="default"/>
                      <w:color w:val="auto"/>
                      <w:highlight w:val="none"/>
                    </w:rPr>
                  </w:pPr>
                  <w:r>
                    <w:rPr>
                      <w:rFonts w:hint="default"/>
                      <w:color w:val="auto"/>
                      <w:highlight w:val="none"/>
                    </w:rPr>
                    <w:t>第七条 禁止在自然保护区核心区、缓冲区的岸线和河段范围内投资建设旅游和生产经营项目。自然保护区的内部未分区的，依照本实施细则核心区和缓冲区的规定管控。</w:t>
                  </w:r>
                </w:p>
                <w:p w14:paraId="58DC2C18">
                  <w:pPr>
                    <w:pStyle w:val="106"/>
                    <w:bidi w:val="0"/>
                    <w:jc w:val="both"/>
                    <w:rPr>
                      <w:rFonts w:hint="default"/>
                      <w:color w:val="auto"/>
                      <w:highlight w:val="none"/>
                      <w:lang w:val="en-US" w:eastAsia="zh-CN"/>
                    </w:rPr>
                  </w:pPr>
                  <w:r>
                    <w:rPr>
                      <w:rFonts w:hint="default"/>
                      <w:color w:val="auto"/>
                      <w:highlight w:val="none"/>
                    </w:rPr>
                    <w:t>第八条 禁止违反风景名胜区规划，在风景名胜区内设立各类开发区。禁止在风景名胜区核心景区的岸线和河段范围内建设宾馆、招待所、培训中心、疗养院以及与风景名胜资源保护无关的项目。</w:t>
                  </w:r>
                </w:p>
              </w:tc>
              <w:tc>
                <w:tcPr>
                  <w:tcW w:w="1051" w:type="pct"/>
                  <w:tcBorders>
                    <w:tl2br w:val="nil"/>
                    <w:tr2bl w:val="nil"/>
                  </w:tcBorders>
                  <w:shd w:val="clear" w:color="auto" w:fill="auto"/>
                  <w:vAlign w:val="center"/>
                </w:tcPr>
                <w:p w14:paraId="169F7DDD">
                  <w:pPr>
                    <w:pStyle w:val="106"/>
                    <w:bidi w:val="0"/>
                    <w:rPr>
                      <w:rFonts w:hint="default"/>
                      <w:color w:val="auto"/>
                      <w:highlight w:val="none"/>
                      <w:lang w:val="en-US" w:eastAsia="zh-CN"/>
                    </w:rPr>
                  </w:pPr>
                  <w:r>
                    <w:rPr>
                      <w:rFonts w:hint="default"/>
                      <w:color w:val="auto"/>
                      <w:highlight w:val="none"/>
                    </w:rPr>
                    <w:t>本项目不在自然保护区、风景名胜区核心区、缓冲区的岸线和河段范围内。</w:t>
                  </w:r>
                </w:p>
              </w:tc>
              <w:tc>
                <w:tcPr>
                  <w:tcW w:w="556" w:type="pct"/>
                  <w:tcBorders>
                    <w:tl2br w:val="nil"/>
                    <w:tr2bl w:val="nil"/>
                  </w:tcBorders>
                  <w:shd w:val="clear" w:color="auto" w:fill="auto"/>
                  <w:vAlign w:val="center"/>
                </w:tcPr>
                <w:p w14:paraId="3D8BD064">
                  <w:pPr>
                    <w:pStyle w:val="106"/>
                    <w:bidi w:val="0"/>
                    <w:rPr>
                      <w:rFonts w:hint="default"/>
                      <w:color w:val="auto"/>
                      <w:highlight w:val="none"/>
                      <w:lang w:val="en-US" w:eastAsia="zh-CN"/>
                    </w:rPr>
                  </w:pPr>
                  <w:r>
                    <w:rPr>
                      <w:rFonts w:hint="default"/>
                      <w:color w:val="auto"/>
                      <w:highlight w:val="none"/>
                    </w:rPr>
                    <w:t>符合</w:t>
                  </w:r>
                </w:p>
              </w:tc>
            </w:tr>
            <w:tr w14:paraId="24A52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342958E6">
                  <w:pPr>
                    <w:pStyle w:val="106"/>
                    <w:bidi w:val="0"/>
                    <w:rPr>
                      <w:rFonts w:hint="default"/>
                      <w:color w:val="auto"/>
                      <w:highlight w:val="none"/>
                    </w:rPr>
                  </w:pPr>
                </w:p>
              </w:tc>
              <w:tc>
                <w:tcPr>
                  <w:tcW w:w="2866" w:type="pct"/>
                  <w:tcBorders>
                    <w:tl2br w:val="nil"/>
                    <w:tr2bl w:val="nil"/>
                  </w:tcBorders>
                  <w:shd w:val="clear" w:color="auto" w:fill="auto"/>
                  <w:vAlign w:val="center"/>
                </w:tcPr>
                <w:p w14:paraId="0F914CDF">
                  <w:pPr>
                    <w:pStyle w:val="106"/>
                    <w:bidi w:val="0"/>
                    <w:jc w:val="both"/>
                    <w:rPr>
                      <w:rFonts w:hint="default"/>
                      <w:color w:val="auto"/>
                      <w:highlight w:val="none"/>
                    </w:rPr>
                  </w:pPr>
                  <w:r>
                    <w:rPr>
                      <w:rFonts w:hint="default"/>
                      <w:color w:val="auto"/>
                      <w:highlight w:val="none"/>
                    </w:rPr>
                    <w:t>第九条 禁止在饮用水水源准保护区的岸线和河段范围内新建、扩建对水体污染严重的建设项目，禁止改建增加排污量的建设项目。</w:t>
                  </w:r>
                </w:p>
                <w:p w14:paraId="6509686E">
                  <w:pPr>
                    <w:pStyle w:val="106"/>
                    <w:bidi w:val="0"/>
                    <w:jc w:val="both"/>
                    <w:rPr>
                      <w:rFonts w:hint="default"/>
                      <w:color w:val="auto"/>
                      <w:highlight w:val="none"/>
                    </w:rPr>
                  </w:pPr>
                  <w:r>
                    <w:rPr>
                      <w:rFonts w:hint="default"/>
                      <w:color w:val="auto"/>
                      <w:highlight w:val="none"/>
                    </w:rPr>
                    <w:t>第十条 饮用水水源二级保护区的岸线和河段范围内，除应遵守准保护区规定外，禁止新建、改建、扩建排放污染物的投资建设项目；禁止从事采石（砂）、对水体有污染的水产养殖等活动。</w:t>
                  </w:r>
                </w:p>
                <w:p w14:paraId="721D9C42">
                  <w:pPr>
                    <w:pStyle w:val="106"/>
                    <w:bidi w:val="0"/>
                    <w:jc w:val="both"/>
                    <w:rPr>
                      <w:rFonts w:hint="default"/>
                      <w:color w:val="auto"/>
                      <w:highlight w:val="none"/>
                      <w:lang w:val="en-US" w:eastAsia="zh-CN"/>
                    </w:rPr>
                  </w:pPr>
                  <w:r>
                    <w:rPr>
                      <w:rFonts w:hint="default"/>
                      <w:color w:val="auto"/>
                      <w:highlight w:val="none"/>
                    </w:rPr>
                    <w:t>第十一条 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051" w:type="pct"/>
                  <w:tcBorders>
                    <w:tl2br w:val="nil"/>
                    <w:tr2bl w:val="nil"/>
                  </w:tcBorders>
                  <w:shd w:val="clear" w:color="auto" w:fill="auto"/>
                  <w:vAlign w:val="center"/>
                </w:tcPr>
                <w:p w14:paraId="0F095550">
                  <w:pPr>
                    <w:pStyle w:val="106"/>
                    <w:bidi w:val="0"/>
                    <w:rPr>
                      <w:rFonts w:hint="default"/>
                      <w:color w:val="auto"/>
                      <w:highlight w:val="none"/>
                      <w:lang w:val="en-US" w:eastAsia="zh-CN"/>
                    </w:rPr>
                  </w:pPr>
                  <w:r>
                    <w:rPr>
                      <w:rFonts w:hint="default"/>
                      <w:color w:val="auto"/>
                      <w:highlight w:val="none"/>
                    </w:rPr>
                    <w:t>本项目不涉及饮用水源保护区。</w:t>
                  </w:r>
                </w:p>
              </w:tc>
              <w:tc>
                <w:tcPr>
                  <w:tcW w:w="556" w:type="pct"/>
                  <w:tcBorders>
                    <w:tl2br w:val="nil"/>
                    <w:tr2bl w:val="nil"/>
                  </w:tcBorders>
                  <w:shd w:val="clear" w:color="auto" w:fill="auto"/>
                  <w:vAlign w:val="center"/>
                </w:tcPr>
                <w:p w14:paraId="4F407F62">
                  <w:pPr>
                    <w:pStyle w:val="106"/>
                    <w:bidi w:val="0"/>
                    <w:rPr>
                      <w:rFonts w:hint="default"/>
                      <w:color w:val="auto"/>
                      <w:highlight w:val="none"/>
                      <w:lang w:val="en-US" w:eastAsia="zh-CN"/>
                    </w:rPr>
                  </w:pPr>
                  <w:r>
                    <w:rPr>
                      <w:rFonts w:hint="default"/>
                      <w:color w:val="auto"/>
                      <w:highlight w:val="none"/>
                    </w:rPr>
                    <w:t>符合</w:t>
                  </w:r>
                </w:p>
              </w:tc>
            </w:tr>
            <w:tr w14:paraId="5366A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6F6CE64A">
                  <w:pPr>
                    <w:pStyle w:val="106"/>
                    <w:bidi w:val="0"/>
                    <w:rPr>
                      <w:rFonts w:hint="default"/>
                      <w:color w:val="auto"/>
                      <w:highlight w:val="none"/>
                    </w:rPr>
                  </w:pPr>
                </w:p>
              </w:tc>
              <w:tc>
                <w:tcPr>
                  <w:tcW w:w="2866" w:type="pct"/>
                  <w:tcBorders>
                    <w:tl2br w:val="nil"/>
                    <w:tr2bl w:val="nil"/>
                  </w:tcBorders>
                  <w:shd w:val="clear" w:color="auto" w:fill="auto"/>
                  <w:vAlign w:val="center"/>
                </w:tcPr>
                <w:p w14:paraId="59737C73">
                  <w:pPr>
                    <w:pStyle w:val="106"/>
                    <w:bidi w:val="0"/>
                    <w:jc w:val="both"/>
                    <w:rPr>
                      <w:rFonts w:hint="default"/>
                      <w:color w:val="auto"/>
                      <w:highlight w:val="none"/>
                    </w:rPr>
                  </w:pPr>
                  <w:r>
                    <w:rPr>
                      <w:rFonts w:hint="default"/>
                      <w:color w:val="auto"/>
                      <w:highlight w:val="none"/>
                    </w:rPr>
                    <w:t>第十二条 禁止在水产种质资源保护区岸线和河段范围内新建围湖造田、围湖造地或挖沙采石等投资建设项目。</w:t>
                  </w:r>
                </w:p>
                <w:p w14:paraId="75448570">
                  <w:pPr>
                    <w:pStyle w:val="106"/>
                    <w:bidi w:val="0"/>
                    <w:jc w:val="both"/>
                    <w:rPr>
                      <w:rFonts w:hint="default"/>
                      <w:color w:val="auto"/>
                      <w:highlight w:val="none"/>
                      <w:lang w:val="en-US" w:eastAsia="zh-CN"/>
                    </w:rPr>
                  </w:pPr>
                  <w:r>
                    <w:rPr>
                      <w:rFonts w:hint="default"/>
                      <w:color w:val="auto"/>
                      <w:highlight w:val="none"/>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051" w:type="pct"/>
                  <w:tcBorders>
                    <w:tl2br w:val="nil"/>
                    <w:tr2bl w:val="nil"/>
                  </w:tcBorders>
                  <w:shd w:val="clear" w:color="auto" w:fill="auto"/>
                  <w:vAlign w:val="center"/>
                </w:tcPr>
                <w:p w14:paraId="0F195BAF">
                  <w:pPr>
                    <w:pStyle w:val="106"/>
                    <w:bidi w:val="0"/>
                    <w:rPr>
                      <w:rFonts w:hint="default"/>
                      <w:color w:val="auto"/>
                      <w:highlight w:val="none"/>
                      <w:lang w:val="en-US" w:eastAsia="zh-CN"/>
                    </w:rPr>
                  </w:pPr>
                  <w:r>
                    <w:rPr>
                      <w:rFonts w:hint="default"/>
                      <w:color w:val="auto"/>
                      <w:highlight w:val="none"/>
                    </w:rPr>
                    <w:t>本项目不在水产种质资源保护区的岸线和河段范围内，不在国家湿地公园的岸线和河段范围内。</w:t>
                  </w:r>
                </w:p>
              </w:tc>
              <w:tc>
                <w:tcPr>
                  <w:tcW w:w="556" w:type="pct"/>
                  <w:tcBorders>
                    <w:tl2br w:val="nil"/>
                    <w:tr2bl w:val="nil"/>
                  </w:tcBorders>
                  <w:shd w:val="clear" w:color="auto" w:fill="auto"/>
                  <w:vAlign w:val="center"/>
                </w:tcPr>
                <w:p w14:paraId="7674FEF3">
                  <w:pPr>
                    <w:pStyle w:val="106"/>
                    <w:bidi w:val="0"/>
                    <w:rPr>
                      <w:rFonts w:hint="default"/>
                      <w:color w:val="auto"/>
                      <w:highlight w:val="none"/>
                      <w:lang w:val="en-US" w:eastAsia="zh-CN"/>
                    </w:rPr>
                  </w:pPr>
                  <w:r>
                    <w:rPr>
                      <w:rFonts w:hint="default"/>
                      <w:color w:val="auto"/>
                      <w:highlight w:val="none"/>
                    </w:rPr>
                    <w:t>符合</w:t>
                  </w:r>
                </w:p>
              </w:tc>
            </w:tr>
            <w:tr w14:paraId="1F062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57A78B20">
                  <w:pPr>
                    <w:pStyle w:val="106"/>
                    <w:bidi w:val="0"/>
                    <w:rPr>
                      <w:rFonts w:hint="default"/>
                      <w:color w:val="auto"/>
                      <w:highlight w:val="none"/>
                    </w:rPr>
                  </w:pPr>
                </w:p>
              </w:tc>
              <w:tc>
                <w:tcPr>
                  <w:tcW w:w="2866" w:type="pct"/>
                  <w:tcBorders>
                    <w:tl2br w:val="nil"/>
                    <w:tr2bl w:val="nil"/>
                  </w:tcBorders>
                  <w:shd w:val="clear" w:color="auto" w:fill="auto"/>
                  <w:vAlign w:val="center"/>
                </w:tcPr>
                <w:p w14:paraId="0E378658">
                  <w:pPr>
                    <w:pStyle w:val="106"/>
                    <w:bidi w:val="0"/>
                    <w:jc w:val="both"/>
                    <w:rPr>
                      <w:rFonts w:hint="default"/>
                      <w:color w:val="auto"/>
                      <w:highlight w:val="none"/>
                    </w:rPr>
                  </w:pPr>
                  <w:r>
                    <w:rPr>
                      <w:rFonts w:hint="default"/>
                      <w:color w:val="auto"/>
                      <w:highlight w:val="none"/>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p w14:paraId="32FFA5FC">
                  <w:pPr>
                    <w:pStyle w:val="106"/>
                    <w:bidi w:val="0"/>
                    <w:jc w:val="both"/>
                    <w:rPr>
                      <w:rFonts w:hint="default"/>
                      <w:color w:val="auto"/>
                      <w:highlight w:val="none"/>
                      <w:lang w:val="en-US" w:eastAsia="zh-CN"/>
                    </w:rPr>
                  </w:pPr>
                  <w:r>
                    <w:rPr>
                      <w:rFonts w:hint="default"/>
                      <w:color w:val="auto"/>
                      <w:highlight w:val="none"/>
                    </w:rPr>
                    <w:t>第十五条 禁止在《全国重要江河湖泊水功能区划》划定的河段及湖泊保护区、保留区内投资建设不利于水资源及自然生态保护的项目。</w:t>
                  </w:r>
                </w:p>
              </w:tc>
              <w:tc>
                <w:tcPr>
                  <w:tcW w:w="1051" w:type="pct"/>
                  <w:tcBorders>
                    <w:tl2br w:val="nil"/>
                    <w:tr2bl w:val="nil"/>
                  </w:tcBorders>
                  <w:shd w:val="clear" w:color="auto" w:fill="auto"/>
                  <w:vAlign w:val="center"/>
                </w:tcPr>
                <w:p w14:paraId="21C8F1D1">
                  <w:pPr>
                    <w:pStyle w:val="106"/>
                    <w:bidi w:val="0"/>
                    <w:rPr>
                      <w:rFonts w:hint="default"/>
                      <w:color w:val="auto"/>
                      <w:highlight w:val="none"/>
                      <w:lang w:val="en-US" w:eastAsia="zh-CN"/>
                    </w:rPr>
                  </w:pPr>
                  <w:r>
                    <w:rPr>
                      <w:rFonts w:hint="default"/>
                      <w:color w:val="auto"/>
                      <w:highlight w:val="none"/>
                    </w:rPr>
                    <w:t>本项目不占用长江流域河湖岸线，不在划定的岸线保护区和保留区内，不在划定的河段及湖泊保护区、保留区内。</w:t>
                  </w:r>
                </w:p>
              </w:tc>
              <w:tc>
                <w:tcPr>
                  <w:tcW w:w="556" w:type="pct"/>
                  <w:tcBorders>
                    <w:tl2br w:val="nil"/>
                    <w:tr2bl w:val="nil"/>
                  </w:tcBorders>
                  <w:shd w:val="clear" w:color="auto" w:fill="auto"/>
                  <w:vAlign w:val="center"/>
                </w:tcPr>
                <w:p w14:paraId="03916AF6">
                  <w:pPr>
                    <w:pStyle w:val="106"/>
                    <w:bidi w:val="0"/>
                    <w:rPr>
                      <w:rFonts w:hint="default"/>
                      <w:color w:val="auto"/>
                      <w:highlight w:val="none"/>
                      <w:lang w:val="en-US" w:eastAsia="zh-CN"/>
                    </w:rPr>
                  </w:pPr>
                  <w:r>
                    <w:rPr>
                      <w:rFonts w:hint="default"/>
                      <w:color w:val="auto"/>
                      <w:highlight w:val="none"/>
                    </w:rPr>
                    <w:t>符合</w:t>
                  </w:r>
                </w:p>
              </w:tc>
            </w:tr>
            <w:tr w14:paraId="545A7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59C36908">
                  <w:pPr>
                    <w:pStyle w:val="106"/>
                    <w:bidi w:val="0"/>
                    <w:rPr>
                      <w:rFonts w:hint="default"/>
                      <w:color w:val="auto"/>
                      <w:highlight w:val="none"/>
                    </w:rPr>
                  </w:pPr>
                </w:p>
              </w:tc>
              <w:tc>
                <w:tcPr>
                  <w:tcW w:w="2866" w:type="pct"/>
                  <w:tcBorders>
                    <w:tl2br w:val="nil"/>
                    <w:tr2bl w:val="nil"/>
                  </w:tcBorders>
                  <w:shd w:val="clear" w:color="auto" w:fill="auto"/>
                  <w:vAlign w:val="center"/>
                </w:tcPr>
                <w:p w14:paraId="37B8859A">
                  <w:pPr>
                    <w:pStyle w:val="106"/>
                    <w:bidi w:val="0"/>
                    <w:jc w:val="both"/>
                    <w:rPr>
                      <w:rFonts w:hint="default"/>
                      <w:color w:val="auto"/>
                      <w:highlight w:val="none"/>
                      <w:lang w:val="en-US" w:eastAsia="zh-CN"/>
                    </w:rPr>
                  </w:pPr>
                  <w:r>
                    <w:rPr>
                      <w:rFonts w:hint="default"/>
                      <w:color w:val="auto"/>
                      <w:highlight w:val="none"/>
                    </w:rPr>
                    <w:t>第十六条 禁止在长江流域江河、湖泊新设、改设或者扩大排污口，经有管辖权的生态环境主管部门或者长江流域生态环境监督管理机构同意的除外。</w:t>
                  </w:r>
                </w:p>
              </w:tc>
              <w:tc>
                <w:tcPr>
                  <w:tcW w:w="1051" w:type="pct"/>
                  <w:tcBorders>
                    <w:tl2br w:val="nil"/>
                    <w:tr2bl w:val="nil"/>
                  </w:tcBorders>
                  <w:shd w:val="clear" w:color="auto" w:fill="auto"/>
                  <w:vAlign w:val="center"/>
                </w:tcPr>
                <w:p w14:paraId="75238F60">
                  <w:pPr>
                    <w:pStyle w:val="106"/>
                    <w:bidi w:val="0"/>
                    <w:rPr>
                      <w:rFonts w:hint="default"/>
                      <w:color w:val="auto"/>
                      <w:highlight w:val="none"/>
                      <w:lang w:val="en-US" w:eastAsia="zh-CN"/>
                    </w:rPr>
                  </w:pPr>
                  <w:r>
                    <w:rPr>
                      <w:rFonts w:hint="default"/>
                      <w:color w:val="auto"/>
                      <w:highlight w:val="none"/>
                    </w:rPr>
                    <w:t>本项目</w:t>
                  </w:r>
                  <w:r>
                    <w:rPr>
                      <w:rFonts w:hint="eastAsia"/>
                      <w:color w:val="auto"/>
                      <w:highlight w:val="none"/>
                      <w:lang w:val="en-US" w:eastAsia="zh-CN"/>
                    </w:rPr>
                    <w:t>废水拟经预处理后经市政污水管网排入龙眼井污水处理厂处理达标后排放</w:t>
                  </w:r>
                  <w:r>
                    <w:rPr>
                      <w:rFonts w:hint="default"/>
                      <w:color w:val="auto"/>
                      <w:highlight w:val="none"/>
                    </w:rPr>
                    <w:t>。</w:t>
                  </w:r>
                </w:p>
              </w:tc>
              <w:tc>
                <w:tcPr>
                  <w:tcW w:w="556" w:type="pct"/>
                  <w:tcBorders>
                    <w:tl2br w:val="nil"/>
                    <w:tr2bl w:val="nil"/>
                  </w:tcBorders>
                  <w:shd w:val="clear" w:color="auto" w:fill="auto"/>
                  <w:vAlign w:val="center"/>
                </w:tcPr>
                <w:p w14:paraId="5E4D2D1D">
                  <w:pPr>
                    <w:pStyle w:val="106"/>
                    <w:bidi w:val="0"/>
                    <w:rPr>
                      <w:rFonts w:hint="default"/>
                      <w:color w:val="auto"/>
                      <w:highlight w:val="none"/>
                      <w:lang w:val="en-US" w:eastAsia="zh-CN"/>
                    </w:rPr>
                  </w:pPr>
                  <w:r>
                    <w:rPr>
                      <w:rFonts w:hint="default"/>
                      <w:color w:val="auto"/>
                      <w:highlight w:val="none"/>
                    </w:rPr>
                    <w:t>符合</w:t>
                  </w:r>
                </w:p>
              </w:tc>
            </w:tr>
            <w:tr w14:paraId="0BBD7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3A68023A">
                  <w:pPr>
                    <w:pStyle w:val="106"/>
                    <w:bidi w:val="0"/>
                    <w:rPr>
                      <w:rFonts w:hint="default"/>
                      <w:color w:val="auto"/>
                      <w:highlight w:val="none"/>
                    </w:rPr>
                  </w:pPr>
                </w:p>
              </w:tc>
              <w:tc>
                <w:tcPr>
                  <w:tcW w:w="2866" w:type="pct"/>
                  <w:tcBorders>
                    <w:tl2br w:val="nil"/>
                    <w:tr2bl w:val="nil"/>
                  </w:tcBorders>
                  <w:shd w:val="clear" w:color="auto" w:fill="auto"/>
                  <w:vAlign w:val="center"/>
                </w:tcPr>
                <w:p w14:paraId="7CD0D17E">
                  <w:pPr>
                    <w:pStyle w:val="106"/>
                    <w:bidi w:val="0"/>
                    <w:jc w:val="both"/>
                    <w:rPr>
                      <w:rFonts w:hint="default"/>
                      <w:color w:val="auto"/>
                      <w:highlight w:val="none"/>
                      <w:lang w:val="en-US" w:eastAsia="zh-CN"/>
                    </w:rPr>
                  </w:pPr>
                  <w:r>
                    <w:rPr>
                      <w:rFonts w:hint="default"/>
                      <w:color w:val="auto"/>
                      <w:highlight w:val="none"/>
                    </w:rPr>
                    <w:t>第十七条 禁止在长江、大渡河、岷江、赤水河、沱江、嘉陵江、乌江、汉江和51个（四川省45个、重庆市6个）水生生物保护区开展生产性捕捞。</w:t>
                  </w:r>
                </w:p>
              </w:tc>
              <w:tc>
                <w:tcPr>
                  <w:tcW w:w="1051" w:type="pct"/>
                  <w:tcBorders>
                    <w:tl2br w:val="nil"/>
                    <w:tr2bl w:val="nil"/>
                  </w:tcBorders>
                  <w:shd w:val="clear" w:color="auto" w:fill="auto"/>
                  <w:vAlign w:val="center"/>
                </w:tcPr>
                <w:p w14:paraId="54F3FDA0">
                  <w:pPr>
                    <w:pStyle w:val="106"/>
                    <w:bidi w:val="0"/>
                    <w:rPr>
                      <w:rFonts w:hint="default"/>
                      <w:color w:val="auto"/>
                      <w:highlight w:val="none"/>
                      <w:lang w:val="en-US" w:eastAsia="zh-CN"/>
                    </w:rPr>
                  </w:pPr>
                  <w:r>
                    <w:rPr>
                      <w:rFonts w:hint="default"/>
                      <w:color w:val="auto"/>
                      <w:highlight w:val="none"/>
                    </w:rPr>
                    <w:t>不涉及</w:t>
                  </w:r>
                </w:p>
              </w:tc>
              <w:tc>
                <w:tcPr>
                  <w:tcW w:w="556" w:type="pct"/>
                  <w:tcBorders>
                    <w:tl2br w:val="nil"/>
                    <w:tr2bl w:val="nil"/>
                  </w:tcBorders>
                  <w:shd w:val="clear" w:color="auto" w:fill="auto"/>
                  <w:vAlign w:val="center"/>
                </w:tcPr>
                <w:p w14:paraId="5290166E">
                  <w:pPr>
                    <w:pStyle w:val="106"/>
                    <w:bidi w:val="0"/>
                    <w:rPr>
                      <w:rFonts w:hint="default"/>
                      <w:color w:val="auto"/>
                      <w:highlight w:val="none"/>
                      <w:lang w:val="en-US" w:eastAsia="zh-CN"/>
                    </w:rPr>
                  </w:pPr>
                  <w:r>
                    <w:rPr>
                      <w:rFonts w:hint="default"/>
                      <w:color w:val="auto"/>
                      <w:highlight w:val="none"/>
                    </w:rPr>
                    <w:t>符合</w:t>
                  </w:r>
                </w:p>
              </w:tc>
            </w:tr>
            <w:tr w14:paraId="446ED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430BE911">
                  <w:pPr>
                    <w:pStyle w:val="106"/>
                    <w:bidi w:val="0"/>
                    <w:rPr>
                      <w:rFonts w:hint="default"/>
                      <w:color w:val="auto"/>
                      <w:highlight w:val="none"/>
                    </w:rPr>
                  </w:pPr>
                </w:p>
              </w:tc>
              <w:tc>
                <w:tcPr>
                  <w:tcW w:w="2866" w:type="pct"/>
                  <w:tcBorders>
                    <w:tl2br w:val="nil"/>
                    <w:tr2bl w:val="nil"/>
                  </w:tcBorders>
                  <w:shd w:val="clear" w:color="auto" w:fill="auto"/>
                  <w:vAlign w:val="center"/>
                </w:tcPr>
                <w:p w14:paraId="21A19F3B">
                  <w:pPr>
                    <w:pStyle w:val="106"/>
                    <w:bidi w:val="0"/>
                    <w:jc w:val="both"/>
                    <w:rPr>
                      <w:rFonts w:hint="default"/>
                      <w:color w:val="auto"/>
                      <w:highlight w:val="none"/>
                    </w:rPr>
                  </w:pPr>
                  <w:r>
                    <w:rPr>
                      <w:rFonts w:hint="default"/>
                      <w:color w:val="auto"/>
                      <w:highlight w:val="none"/>
                    </w:rPr>
                    <w:t>第十八条 禁止在长江干支流、重要湖泊岸线一公里范围内新建、扩建化工园区和化工项目。</w:t>
                  </w:r>
                </w:p>
                <w:p w14:paraId="714766FC">
                  <w:pPr>
                    <w:pStyle w:val="106"/>
                    <w:bidi w:val="0"/>
                    <w:jc w:val="both"/>
                    <w:rPr>
                      <w:rFonts w:hint="default"/>
                      <w:color w:val="auto"/>
                      <w:highlight w:val="none"/>
                    </w:rPr>
                  </w:pPr>
                  <w:r>
                    <w:rPr>
                      <w:rFonts w:hint="default"/>
                      <w:color w:val="auto"/>
                      <w:highlight w:val="none"/>
                    </w:rPr>
                    <w:t>第十九条 禁止在长江干流岸线三公里范围内和重要支流岸线一公里范围内新建、改建、扩建尾矿库、冶炼渣库、磷石膏库，以提升安全、生态环境保护水平为目的的改建除外。</w:t>
                  </w:r>
                </w:p>
                <w:p w14:paraId="18DCB9F0">
                  <w:pPr>
                    <w:pStyle w:val="106"/>
                    <w:bidi w:val="0"/>
                    <w:jc w:val="both"/>
                    <w:rPr>
                      <w:rFonts w:hint="default"/>
                      <w:color w:val="auto"/>
                      <w:highlight w:val="none"/>
                      <w:lang w:val="en-US" w:eastAsia="zh-CN"/>
                    </w:rPr>
                  </w:pPr>
                  <w:r>
                    <w:rPr>
                      <w:rFonts w:hint="default"/>
                      <w:color w:val="auto"/>
                      <w:highlight w:val="none"/>
                    </w:rPr>
                    <w:t>第二十条 禁止在生态保护红线区域、永久基本农田集中区域和其他需要特别保护的区域内选址建设尾矿库、冶炼渣库、磷石膏库。</w:t>
                  </w:r>
                </w:p>
              </w:tc>
              <w:tc>
                <w:tcPr>
                  <w:tcW w:w="1051" w:type="pct"/>
                  <w:tcBorders>
                    <w:tl2br w:val="nil"/>
                    <w:tr2bl w:val="nil"/>
                  </w:tcBorders>
                  <w:shd w:val="clear" w:color="auto" w:fill="auto"/>
                  <w:vAlign w:val="center"/>
                </w:tcPr>
                <w:p w14:paraId="47E2DB58">
                  <w:pPr>
                    <w:pStyle w:val="106"/>
                    <w:bidi w:val="0"/>
                    <w:rPr>
                      <w:rFonts w:hint="default"/>
                      <w:color w:val="auto"/>
                      <w:highlight w:val="none"/>
                      <w:lang w:val="en-US" w:eastAsia="zh-CN"/>
                    </w:rPr>
                  </w:pPr>
                  <w:r>
                    <w:rPr>
                      <w:rFonts w:hint="default"/>
                      <w:color w:val="auto"/>
                      <w:highlight w:val="none"/>
                    </w:rPr>
                    <w:t>本项目不属于化工、尾矿库、冶炼渣库、磷石膏库项目。</w:t>
                  </w:r>
                </w:p>
              </w:tc>
              <w:tc>
                <w:tcPr>
                  <w:tcW w:w="556" w:type="pct"/>
                  <w:tcBorders>
                    <w:tl2br w:val="nil"/>
                    <w:tr2bl w:val="nil"/>
                  </w:tcBorders>
                  <w:shd w:val="clear" w:color="auto" w:fill="auto"/>
                  <w:vAlign w:val="center"/>
                </w:tcPr>
                <w:p w14:paraId="1A0088C2">
                  <w:pPr>
                    <w:pStyle w:val="106"/>
                    <w:bidi w:val="0"/>
                    <w:rPr>
                      <w:rFonts w:hint="default"/>
                      <w:color w:val="auto"/>
                      <w:highlight w:val="none"/>
                      <w:lang w:val="en-US" w:eastAsia="zh-CN"/>
                    </w:rPr>
                  </w:pPr>
                  <w:r>
                    <w:rPr>
                      <w:rFonts w:hint="default"/>
                      <w:color w:val="auto"/>
                      <w:highlight w:val="none"/>
                    </w:rPr>
                    <w:t>符合</w:t>
                  </w:r>
                </w:p>
              </w:tc>
            </w:tr>
            <w:tr w14:paraId="43E01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2108A1AE">
                  <w:pPr>
                    <w:pStyle w:val="106"/>
                    <w:bidi w:val="0"/>
                    <w:rPr>
                      <w:rFonts w:hint="default"/>
                      <w:color w:val="auto"/>
                      <w:highlight w:val="none"/>
                    </w:rPr>
                  </w:pPr>
                </w:p>
              </w:tc>
              <w:tc>
                <w:tcPr>
                  <w:tcW w:w="2866" w:type="pct"/>
                  <w:tcBorders>
                    <w:tl2br w:val="nil"/>
                    <w:tr2bl w:val="nil"/>
                  </w:tcBorders>
                  <w:shd w:val="clear" w:color="auto" w:fill="auto"/>
                  <w:vAlign w:val="center"/>
                </w:tcPr>
                <w:p w14:paraId="33986BBC">
                  <w:pPr>
                    <w:pStyle w:val="106"/>
                    <w:bidi w:val="0"/>
                    <w:jc w:val="both"/>
                    <w:rPr>
                      <w:rFonts w:hint="default"/>
                      <w:color w:val="auto"/>
                      <w:highlight w:val="none"/>
                      <w:lang w:val="en-US" w:eastAsia="zh-CN"/>
                    </w:rPr>
                  </w:pPr>
                  <w:r>
                    <w:rPr>
                      <w:rFonts w:hint="default"/>
                      <w:color w:val="auto"/>
                      <w:highlight w:val="none"/>
                    </w:rPr>
                    <w:t>第二十一条 禁止在合规园区外新建、扩建钢铁、石化、化工、焦化、建材、有色、制浆造纸等高污染项目。</w:t>
                  </w:r>
                </w:p>
              </w:tc>
              <w:tc>
                <w:tcPr>
                  <w:tcW w:w="1051" w:type="pct"/>
                  <w:tcBorders>
                    <w:tl2br w:val="nil"/>
                    <w:tr2bl w:val="nil"/>
                  </w:tcBorders>
                  <w:shd w:val="clear" w:color="auto" w:fill="auto"/>
                  <w:vAlign w:val="center"/>
                </w:tcPr>
                <w:p w14:paraId="54350379">
                  <w:pPr>
                    <w:pStyle w:val="106"/>
                    <w:bidi w:val="0"/>
                    <w:rPr>
                      <w:rFonts w:hint="default"/>
                      <w:color w:val="auto"/>
                      <w:highlight w:val="none"/>
                      <w:lang w:val="en-US" w:eastAsia="zh-CN"/>
                    </w:rPr>
                  </w:pPr>
                  <w:r>
                    <w:rPr>
                      <w:rFonts w:hint="default"/>
                      <w:color w:val="auto"/>
                      <w:highlight w:val="none"/>
                    </w:rPr>
                    <w:t>本项目不属于高污染项目。</w:t>
                  </w:r>
                </w:p>
              </w:tc>
              <w:tc>
                <w:tcPr>
                  <w:tcW w:w="556" w:type="pct"/>
                  <w:tcBorders>
                    <w:tl2br w:val="nil"/>
                    <w:tr2bl w:val="nil"/>
                  </w:tcBorders>
                  <w:shd w:val="clear" w:color="auto" w:fill="auto"/>
                  <w:vAlign w:val="center"/>
                </w:tcPr>
                <w:p w14:paraId="3311BC65">
                  <w:pPr>
                    <w:pStyle w:val="106"/>
                    <w:bidi w:val="0"/>
                    <w:rPr>
                      <w:rFonts w:hint="default"/>
                      <w:color w:val="auto"/>
                      <w:highlight w:val="none"/>
                      <w:lang w:val="en-US" w:eastAsia="zh-CN"/>
                    </w:rPr>
                  </w:pPr>
                  <w:r>
                    <w:rPr>
                      <w:rFonts w:hint="default"/>
                      <w:color w:val="auto"/>
                      <w:highlight w:val="none"/>
                    </w:rPr>
                    <w:t>符合</w:t>
                  </w:r>
                </w:p>
              </w:tc>
            </w:tr>
            <w:tr w14:paraId="08F12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0A209F2E">
                  <w:pPr>
                    <w:pStyle w:val="106"/>
                    <w:bidi w:val="0"/>
                    <w:rPr>
                      <w:rFonts w:hint="default"/>
                      <w:color w:val="auto"/>
                      <w:highlight w:val="none"/>
                    </w:rPr>
                  </w:pPr>
                </w:p>
              </w:tc>
              <w:tc>
                <w:tcPr>
                  <w:tcW w:w="2866" w:type="pct"/>
                  <w:tcBorders>
                    <w:tl2br w:val="nil"/>
                    <w:tr2bl w:val="nil"/>
                  </w:tcBorders>
                  <w:shd w:val="clear" w:color="auto" w:fill="auto"/>
                  <w:vAlign w:val="center"/>
                </w:tcPr>
                <w:p w14:paraId="2ADDF553">
                  <w:pPr>
                    <w:pStyle w:val="106"/>
                    <w:bidi w:val="0"/>
                    <w:jc w:val="both"/>
                    <w:rPr>
                      <w:rFonts w:hint="default"/>
                      <w:color w:val="auto"/>
                      <w:highlight w:val="none"/>
                    </w:rPr>
                  </w:pPr>
                  <w:r>
                    <w:rPr>
                      <w:rFonts w:hint="default"/>
                      <w:color w:val="auto"/>
                      <w:highlight w:val="none"/>
                    </w:rPr>
                    <w:t>第二十二条 禁止新建、扩建不符合国家石化、现代煤化工等产业布局规划的项目。</w:t>
                  </w:r>
                </w:p>
                <w:p w14:paraId="375AD415">
                  <w:pPr>
                    <w:pStyle w:val="106"/>
                    <w:bidi w:val="0"/>
                    <w:jc w:val="both"/>
                    <w:rPr>
                      <w:rFonts w:hint="default"/>
                      <w:color w:val="auto"/>
                      <w:highlight w:val="none"/>
                    </w:rPr>
                  </w:pPr>
                  <w:r>
                    <w:rPr>
                      <w:rFonts w:hint="default"/>
                      <w:color w:val="auto"/>
                      <w:highlight w:val="none"/>
                    </w:rPr>
                    <w:t>（一）严格控制新增炼油项目，未列入《石化产业规划布局方案（修订版）》的新增炼油产能一律不得建设。</w:t>
                  </w:r>
                </w:p>
                <w:p w14:paraId="258F1864">
                  <w:pPr>
                    <w:pStyle w:val="106"/>
                    <w:bidi w:val="0"/>
                    <w:jc w:val="both"/>
                    <w:rPr>
                      <w:rFonts w:hint="default"/>
                      <w:color w:val="auto"/>
                      <w:highlight w:val="none"/>
                      <w:lang w:val="en-US" w:eastAsia="zh-CN"/>
                    </w:rPr>
                  </w:pPr>
                  <w:r>
                    <w:rPr>
                      <w:rFonts w:hint="default"/>
                      <w:color w:val="auto"/>
                      <w:highlight w:val="none"/>
                    </w:rPr>
                    <w:t>（二）新建煤制烯烃、煤制芳烃项目必须列入《现代煤化工产业创新发展布局方案》，必须符合《现代煤化工建设项目环境准入条件（试行）》要求。</w:t>
                  </w:r>
                </w:p>
              </w:tc>
              <w:tc>
                <w:tcPr>
                  <w:tcW w:w="1051" w:type="pct"/>
                  <w:tcBorders>
                    <w:tl2br w:val="nil"/>
                    <w:tr2bl w:val="nil"/>
                  </w:tcBorders>
                  <w:shd w:val="clear" w:color="auto" w:fill="auto"/>
                  <w:vAlign w:val="center"/>
                </w:tcPr>
                <w:p w14:paraId="6ECF9C4A">
                  <w:pPr>
                    <w:pStyle w:val="106"/>
                    <w:bidi w:val="0"/>
                    <w:rPr>
                      <w:rFonts w:hint="default"/>
                      <w:color w:val="auto"/>
                      <w:highlight w:val="none"/>
                      <w:lang w:val="en-US" w:eastAsia="zh-CN"/>
                    </w:rPr>
                  </w:pPr>
                  <w:r>
                    <w:rPr>
                      <w:rFonts w:hint="default"/>
                      <w:color w:val="auto"/>
                      <w:highlight w:val="none"/>
                    </w:rPr>
                    <w:t>不涉及</w:t>
                  </w:r>
                </w:p>
              </w:tc>
              <w:tc>
                <w:tcPr>
                  <w:tcW w:w="556" w:type="pct"/>
                  <w:tcBorders>
                    <w:tl2br w:val="nil"/>
                    <w:tr2bl w:val="nil"/>
                  </w:tcBorders>
                  <w:shd w:val="clear" w:color="auto" w:fill="auto"/>
                  <w:vAlign w:val="center"/>
                </w:tcPr>
                <w:p w14:paraId="7A5B6C52">
                  <w:pPr>
                    <w:pStyle w:val="106"/>
                    <w:bidi w:val="0"/>
                    <w:rPr>
                      <w:rFonts w:hint="default"/>
                      <w:color w:val="auto"/>
                      <w:highlight w:val="none"/>
                      <w:lang w:val="en-US" w:eastAsia="zh-CN"/>
                    </w:rPr>
                  </w:pPr>
                  <w:r>
                    <w:rPr>
                      <w:rFonts w:hint="default"/>
                      <w:color w:val="auto"/>
                      <w:highlight w:val="none"/>
                    </w:rPr>
                    <w:t>符合</w:t>
                  </w:r>
                </w:p>
              </w:tc>
            </w:tr>
            <w:tr w14:paraId="5BF3B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3A32EBD8">
                  <w:pPr>
                    <w:pStyle w:val="106"/>
                    <w:bidi w:val="0"/>
                    <w:rPr>
                      <w:rFonts w:hint="default"/>
                      <w:color w:val="auto"/>
                      <w:highlight w:val="none"/>
                    </w:rPr>
                  </w:pPr>
                </w:p>
              </w:tc>
              <w:tc>
                <w:tcPr>
                  <w:tcW w:w="2866" w:type="pct"/>
                  <w:tcBorders>
                    <w:tl2br w:val="nil"/>
                    <w:tr2bl w:val="nil"/>
                  </w:tcBorders>
                  <w:shd w:val="clear" w:color="auto" w:fill="auto"/>
                  <w:vAlign w:val="center"/>
                </w:tcPr>
                <w:p w14:paraId="2E3B8172">
                  <w:pPr>
                    <w:pStyle w:val="106"/>
                    <w:bidi w:val="0"/>
                    <w:jc w:val="both"/>
                    <w:rPr>
                      <w:rFonts w:hint="default"/>
                      <w:color w:val="auto"/>
                      <w:highlight w:val="none"/>
                    </w:rPr>
                  </w:pPr>
                  <w:r>
                    <w:rPr>
                      <w:rFonts w:hint="default"/>
                      <w:color w:val="auto"/>
                      <w:highlight w:val="none"/>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p w14:paraId="35D4F67C">
                  <w:pPr>
                    <w:pStyle w:val="106"/>
                    <w:bidi w:val="0"/>
                    <w:jc w:val="both"/>
                    <w:rPr>
                      <w:rFonts w:hint="default"/>
                      <w:color w:val="auto"/>
                      <w:highlight w:val="none"/>
                    </w:rPr>
                  </w:pPr>
                  <w:r>
                    <w:rPr>
                      <w:rFonts w:hint="default"/>
                      <w:color w:val="auto"/>
                      <w:highlight w:val="none"/>
                    </w:rPr>
                    <w:t>第二十四条 禁止新建、扩建不符合国家产能置换要求的严重过剩产能行业的项目。对于不符合国家产能置换要求的严重过剩产能行业，不得以其他任何名义、任何方式备案新增产能项目。</w:t>
                  </w:r>
                </w:p>
                <w:p w14:paraId="1E75AA3C">
                  <w:pPr>
                    <w:pStyle w:val="106"/>
                    <w:bidi w:val="0"/>
                    <w:jc w:val="both"/>
                    <w:rPr>
                      <w:rFonts w:hint="default"/>
                      <w:color w:val="auto"/>
                      <w:highlight w:val="none"/>
                    </w:rPr>
                  </w:pPr>
                  <w:r>
                    <w:rPr>
                      <w:rFonts w:hint="default"/>
                      <w:color w:val="auto"/>
                      <w:highlight w:val="none"/>
                    </w:rPr>
                    <w:t>第二十五条 禁止建设以下燃油汽车投资项目（不在中国境内销售产品的投资项目除外）：</w:t>
                  </w:r>
                </w:p>
                <w:p w14:paraId="7BD8A55A">
                  <w:pPr>
                    <w:pStyle w:val="106"/>
                    <w:bidi w:val="0"/>
                    <w:jc w:val="both"/>
                    <w:rPr>
                      <w:rFonts w:hint="default"/>
                      <w:color w:val="auto"/>
                      <w:highlight w:val="none"/>
                    </w:rPr>
                  </w:pPr>
                  <w:r>
                    <w:rPr>
                      <w:rFonts w:hint="default"/>
                      <w:color w:val="auto"/>
                      <w:highlight w:val="none"/>
                    </w:rPr>
                    <w:t>（一）新建独立燃油汽车企业；</w:t>
                  </w:r>
                </w:p>
                <w:p w14:paraId="0BEFAAD0">
                  <w:pPr>
                    <w:pStyle w:val="106"/>
                    <w:bidi w:val="0"/>
                    <w:jc w:val="both"/>
                    <w:rPr>
                      <w:rFonts w:hint="default"/>
                      <w:color w:val="auto"/>
                      <w:highlight w:val="none"/>
                    </w:rPr>
                  </w:pPr>
                  <w:r>
                    <w:rPr>
                      <w:rFonts w:hint="default"/>
                      <w:color w:val="auto"/>
                      <w:highlight w:val="none"/>
                    </w:rPr>
                    <w:t>（二）现有汽车企业跨乘用车、商用车类别建设燃油汽车生产能力；</w:t>
                  </w:r>
                </w:p>
                <w:p w14:paraId="5B370A48">
                  <w:pPr>
                    <w:pStyle w:val="106"/>
                    <w:bidi w:val="0"/>
                    <w:jc w:val="both"/>
                    <w:rPr>
                      <w:rFonts w:hint="default"/>
                      <w:color w:val="auto"/>
                      <w:highlight w:val="none"/>
                    </w:rPr>
                  </w:pPr>
                  <w:r>
                    <w:rPr>
                      <w:rFonts w:hint="default"/>
                      <w:color w:val="auto"/>
                      <w:highlight w:val="none"/>
                    </w:rPr>
                    <w:t>（三）外省现有燃油汽车企业整体搬迁至本省（列入国家级区域发展规划或不改变企业股权结构的项目除外）；</w:t>
                  </w:r>
                </w:p>
                <w:p w14:paraId="73445FE9">
                  <w:pPr>
                    <w:pStyle w:val="106"/>
                    <w:bidi w:val="0"/>
                    <w:jc w:val="both"/>
                    <w:rPr>
                      <w:rFonts w:hint="default"/>
                      <w:color w:val="auto"/>
                      <w:highlight w:val="none"/>
                    </w:rPr>
                  </w:pPr>
                  <w:r>
                    <w:rPr>
                      <w:rFonts w:hint="default"/>
                      <w:color w:val="auto"/>
                      <w:highlight w:val="none"/>
                    </w:rPr>
                    <w:t>（四）对行业管理部门特别公示的燃油汽车企业进行投资（企业原有股东投资或将该企业转为非独立法人的投资项目除外）。</w:t>
                  </w:r>
                </w:p>
                <w:p w14:paraId="52C7A4BB">
                  <w:pPr>
                    <w:pStyle w:val="106"/>
                    <w:bidi w:val="0"/>
                    <w:jc w:val="both"/>
                    <w:rPr>
                      <w:rFonts w:hint="default"/>
                      <w:color w:val="auto"/>
                      <w:highlight w:val="none"/>
                      <w:lang w:val="en-US" w:eastAsia="zh-CN"/>
                    </w:rPr>
                  </w:pPr>
                  <w:r>
                    <w:rPr>
                      <w:rFonts w:hint="default"/>
                      <w:color w:val="auto"/>
                      <w:highlight w:val="none"/>
                    </w:rPr>
                    <w:t>第二十六条 禁止新建、扩建不符合要求的高耗能、高排放、低水平项目。</w:t>
                  </w:r>
                </w:p>
              </w:tc>
              <w:tc>
                <w:tcPr>
                  <w:tcW w:w="1051" w:type="pct"/>
                  <w:tcBorders>
                    <w:tl2br w:val="nil"/>
                    <w:tr2bl w:val="nil"/>
                  </w:tcBorders>
                  <w:shd w:val="clear" w:color="auto" w:fill="auto"/>
                  <w:vAlign w:val="center"/>
                </w:tcPr>
                <w:p w14:paraId="5674CF21">
                  <w:pPr>
                    <w:pStyle w:val="106"/>
                    <w:bidi w:val="0"/>
                    <w:rPr>
                      <w:rFonts w:hint="default"/>
                      <w:color w:val="auto"/>
                      <w:highlight w:val="none"/>
                      <w:lang w:val="en-US" w:eastAsia="zh-CN"/>
                    </w:rPr>
                  </w:pPr>
                  <w:r>
                    <w:rPr>
                      <w:rFonts w:hint="default"/>
                      <w:color w:val="auto"/>
                      <w:highlight w:val="none"/>
                    </w:rPr>
                    <w:t>本项目不属于落后产能及过剩产能项目，不属于高耗能高排放项目。</w:t>
                  </w:r>
                </w:p>
              </w:tc>
              <w:tc>
                <w:tcPr>
                  <w:tcW w:w="556" w:type="pct"/>
                  <w:tcBorders>
                    <w:tl2br w:val="nil"/>
                    <w:tr2bl w:val="nil"/>
                  </w:tcBorders>
                  <w:shd w:val="clear" w:color="auto" w:fill="auto"/>
                  <w:vAlign w:val="center"/>
                </w:tcPr>
                <w:p w14:paraId="45E08DC2">
                  <w:pPr>
                    <w:pStyle w:val="106"/>
                    <w:bidi w:val="0"/>
                    <w:rPr>
                      <w:rFonts w:hint="default"/>
                      <w:color w:val="auto"/>
                      <w:highlight w:val="none"/>
                      <w:lang w:val="en-US" w:eastAsia="zh-CN"/>
                    </w:rPr>
                  </w:pPr>
                  <w:r>
                    <w:rPr>
                      <w:rFonts w:hint="default"/>
                      <w:color w:val="auto"/>
                      <w:highlight w:val="none"/>
                    </w:rPr>
                    <w:t>符合</w:t>
                  </w:r>
                </w:p>
              </w:tc>
            </w:tr>
            <w:tr w14:paraId="2E7EF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6" w:type="pct"/>
                  <w:vMerge w:val="continue"/>
                  <w:tcBorders>
                    <w:tl2br w:val="nil"/>
                    <w:tr2bl w:val="nil"/>
                  </w:tcBorders>
                  <w:vAlign w:val="center"/>
                </w:tcPr>
                <w:p w14:paraId="7F622EB4">
                  <w:pPr>
                    <w:pStyle w:val="106"/>
                    <w:bidi w:val="0"/>
                    <w:rPr>
                      <w:rFonts w:hint="default"/>
                      <w:color w:val="auto"/>
                      <w:highlight w:val="none"/>
                    </w:rPr>
                  </w:pPr>
                </w:p>
              </w:tc>
              <w:tc>
                <w:tcPr>
                  <w:tcW w:w="2866" w:type="pct"/>
                  <w:tcBorders>
                    <w:tl2br w:val="nil"/>
                    <w:tr2bl w:val="nil"/>
                  </w:tcBorders>
                  <w:shd w:val="clear" w:color="auto" w:fill="auto"/>
                  <w:vAlign w:val="center"/>
                </w:tcPr>
                <w:p w14:paraId="7ABB3462">
                  <w:pPr>
                    <w:pStyle w:val="106"/>
                    <w:bidi w:val="0"/>
                    <w:jc w:val="both"/>
                    <w:rPr>
                      <w:rFonts w:hint="default"/>
                      <w:color w:val="auto"/>
                      <w:highlight w:val="none"/>
                      <w:lang w:val="en-US" w:eastAsia="zh-CN"/>
                    </w:rPr>
                  </w:pPr>
                  <w:r>
                    <w:rPr>
                      <w:rFonts w:hint="default"/>
                      <w:color w:val="auto"/>
                      <w:highlight w:val="none"/>
                    </w:rPr>
                    <w:t>法律法规及相关政策文件有更加严格规定的从其规定。</w:t>
                  </w:r>
                </w:p>
              </w:tc>
              <w:tc>
                <w:tcPr>
                  <w:tcW w:w="1051" w:type="pct"/>
                  <w:tcBorders>
                    <w:tl2br w:val="nil"/>
                    <w:tr2bl w:val="nil"/>
                  </w:tcBorders>
                  <w:shd w:val="clear" w:color="auto" w:fill="auto"/>
                  <w:vAlign w:val="center"/>
                </w:tcPr>
                <w:p w14:paraId="36BAEEC4">
                  <w:pPr>
                    <w:pStyle w:val="106"/>
                    <w:bidi w:val="0"/>
                    <w:rPr>
                      <w:rFonts w:hint="default"/>
                      <w:color w:val="auto"/>
                      <w:highlight w:val="none"/>
                      <w:lang w:val="en-US" w:eastAsia="zh-CN"/>
                    </w:rPr>
                  </w:pPr>
                  <w:r>
                    <w:rPr>
                      <w:rFonts w:hint="default"/>
                      <w:color w:val="auto"/>
                      <w:highlight w:val="none"/>
                    </w:rPr>
                    <w:t>不涉及</w:t>
                  </w:r>
                </w:p>
              </w:tc>
              <w:tc>
                <w:tcPr>
                  <w:tcW w:w="556" w:type="pct"/>
                  <w:tcBorders>
                    <w:tl2br w:val="nil"/>
                    <w:tr2bl w:val="nil"/>
                  </w:tcBorders>
                  <w:shd w:val="clear" w:color="auto" w:fill="auto"/>
                  <w:vAlign w:val="center"/>
                </w:tcPr>
                <w:p w14:paraId="382F49C9">
                  <w:pPr>
                    <w:pStyle w:val="106"/>
                    <w:bidi w:val="0"/>
                    <w:rPr>
                      <w:rFonts w:hint="default"/>
                      <w:color w:val="auto"/>
                      <w:highlight w:val="none"/>
                      <w:lang w:val="en-US" w:eastAsia="zh-CN"/>
                    </w:rPr>
                  </w:pPr>
                  <w:r>
                    <w:rPr>
                      <w:rFonts w:hint="default"/>
                      <w:color w:val="auto"/>
                      <w:highlight w:val="none"/>
                    </w:rPr>
                    <w:t>符合</w:t>
                  </w:r>
                </w:p>
              </w:tc>
            </w:tr>
          </w:tbl>
          <w:p w14:paraId="285073AB">
            <w:pPr>
              <w:keepNext w:val="0"/>
              <w:keepLines w:val="0"/>
              <w:pageBreakBefore w:val="0"/>
              <w:widowControl w:val="0"/>
              <w:kinsoku/>
              <w:wordWrap/>
              <w:overflowPunct/>
              <w:topLinePunct w:val="0"/>
              <w:autoSpaceDE w:val="0"/>
              <w:autoSpaceDN w:val="0"/>
              <w:bidi w:val="0"/>
              <w:adjustRightInd w:val="0"/>
              <w:snapToGrid w:val="0"/>
              <w:spacing w:before="120"/>
              <w:ind w:firstLine="482"/>
              <w:textAlignment w:val="auto"/>
              <w:rPr>
                <w:b/>
                <w:bCs/>
                <w:color w:val="auto"/>
                <w:sz w:val="24"/>
                <w:highlight w:val="none"/>
              </w:rPr>
            </w:pPr>
            <w:r>
              <w:rPr>
                <w:rFonts w:hint="default" w:ascii="Times New Roman" w:hAnsi="Times New Roman" w:cs="Times New Roman"/>
                <w:color w:val="auto"/>
                <w:sz w:val="24"/>
                <w:szCs w:val="24"/>
                <w:highlight w:val="none"/>
              </w:rPr>
              <w:t>综上分析，本项目符合</w:t>
            </w:r>
            <w:r>
              <w:rPr>
                <w:rFonts w:hint="eastAsia" w:cs="Times New Roman"/>
                <w:color w:val="auto"/>
                <w:sz w:val="24"/>
                <w:szCs w:val="24"/>
                <w:highlight w:val="none"/>
                <w:lang w:val="en-US" w:eastAsia="zh-CN"/>
              </w:rPr>
              <w:t>嘉陵江、</w:t>
            </w:r>
            <w:r>
              <w:rPr>
                <w:rFonts w:hint="default" w:ascii="Times New Roman" w:hAnsi="Times New Roman" w:cs="Times New Roman"/>
                <w:color w:val="auto"/>
                <w:sz w:val="24"/>
                <w:szCs w:val="24"/>
                <w:highlight w:val="none"/>
              </w:rPr>
              <w:t>长江保护相关政策要求。</w:t>
            </w:r>
          </w:p>
          <w:p w14:paraId="7840E019">
            <w:pPr>
              <w:spacing w:line="360" w:lineRule="auto"/>
              <w:ind w:firstLine="482" w:firstLineChars="200"/>
              <w:rPr>
                <w:rFonts w:hint="eastAsia"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7、与相关污染防治技术政策的符合性分析</w:t>
            </w:r>
          </w:p>
          <w:p w14:paraId="3C2B2C31">
            <w:pPr>
              <w:bidi w:val="0"/>
              <w:rPr>
                <w:rFonts w:hint="eastAsia"/>
                <w:color w:val="auto"/>
                <w:highlight w:val="none"/>
                <w:lang w:eastAsia="zh-CN"/>
              </w:rPr>
            </w:pPr>
            <w:r>
              <w:rPr>
                <w:rFonts w:hint="eastAsia"/>
                <w:color w:val="auto"/>
                <w:sz w:val="24"/>
                <w:highlight w:val="none"/>
                <w:lang w:val="en-US" w:eastAsia="zh-CN"/>
              </w:rPr>
              <w:t>本项目与相关污染防治规划</w:t>
            </w:r>
            <w:r>
              <w:rPr>
                <w:rFonts w:hint="eastAsia"/>
                <w:color w:val="auto"/>
                <w:sz w:val="24"/>
                <w:highlight w:val="none"/>
              </w:rPr>
              <w:t>符合性</w:t>
            </w:r>
            <w:r>
              <w:rPr>
                <w:color w:val="auto"/>
                <w:sz w:val="24"/>
                <w:highlight w:val="none"/>
              </w:rPr>
              <w:t>分析</w:t>
            </w:r>
            <w:r>
              <w:rPr>
                <w:rFonts w:hint="eastAsia"/>
                <w:color w:val="auto"/>
                <w:sz w:val="24"/>
                <w:highlight w:val="none"/>
                <w:lang w:val="en-US" w:eastAsia="zh-CN"/>
              </w:rPr>
              <w:t>见下表</w:t>
            </w:r>
            <w:r>
              <w:rPr>
                <w:rFonts w:hint="eastAsia"/>
                <w:color w:val="auto"/>
                <w:highlight w:val="none"/>
                <w:lang w:eastAsia="zh-CN"/>
              </w:rPr>
              <w:t>。</w:t>
            </w:r>
          </w:p>
          <w:p w14:paraId="6883E491">
            <w:pPr>
              <w:pStyle w:val="14"/>
              <w:bidi w:val="0"/>
              <w:rPr>
                <w:color w:val="auto"/>
                <w:highlight w:val="none"/>
              </w:rPr>
            </w:pPr>
            <w:r>
              <w:rPr>
                <w:color w:val="auto"/>
                <w:highlight w:val="none"/>
              </w:rPr>
              <w:t xml:space="preserve">表1- </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9</w:t>
            </w:r>
            <w:r>
              <w:rPr>
                <w:color w:val="auto"/>
                <w:highlight w:val="none"/>
              </w:rPr>
              <w:fldChar w:fldCharType="end"/>
            </w:r>
            <w:r>
              <w:rPr>
                <w:rFonts w:hint="eastAsia"/>
                <w:color w:val="auto"/>
                <w:highlight w:val="none"/>
                <w:lang w:val="en-US" w:eastAsia="zh-CN"/>
              </w:rPr>
              <w:t xml:space="preserve">  项目</w:t>
            </w:r>
            <w:r>
              <w:rPr>
                <w:color w:val="auto"/>
                <w:highlight w:val="none"/>
              </w:rPr>
              <w:t>与污染防治等相关规划符合性</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4106"/>
              <w:gridCol w:w="2257"/>
              <w:gridCol w:w="748"/>
            </w:tblGrid>
            <w:tr w14:paraId="064E4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tcBorders>
                    <w:bottom w:val="single" w:color="000000" w:sz="4" w:space="0"/>
                    <w:tl2br w:val="nil"/>
                    <w:tr2bl w:val="nil"/>
                  </w:tcBorders>
                  <w:vAlign w:val="center"/>
                </w:tcPr>
                <w:p w14:paraId="364937B8">
                  <w:pPr>
                    <w:pStyle w:val="94"/>
                    <w:bidi w:val="0"/>
                    <w:rPr>
                      <w:b/>
                      <w:bCs w:val="0"/>
                      <w:color w:val="auto"/>
                      <w:highlight w:val="none"/>
                    </w:rPr>
                  </w:pPr>
                  <w:r>
                    <w:rPr>
                      <w:b/>
                      <w:bCs w:val="0"/>
                      <w:color w:val="auto"/>
                      <w:highlight w:val="none"/>
                    </w:rPr>
                    <w:t>政策名称</w:t>
                  </w:r>
                </w:p>
              </w:tc>
              <w:tc>
                <w:tcPr>
                  <w:tcW w:w="2465" w:type="pct"/>
                  <w:tcBorders>
                    <w:bottom w:val="single" w:color="000000" w:sz="4" w:space="0"/>
                    <w:tl2br w:val="nil"/>
                    <w:tr2bl w:val="nil"/>
                  </w:tcBorders>
                  <w:vAlign w:val="center"/>
                </w:tcPr>
                <w:p w14:paraId="21CB0C63">
                  <w:pPr>
                    <w:pStyle w:val="94"/>
                    <w:bidi w:val="0"/>
                    <w:jc w:val="center"/>
                    <w:rPr>
                      <w:b/>
                      <w:bCs w:val="0"/>
                      <w:color w:val="auto"/>
                      <w:highlight w:val="none"/>
                    </w:rPr>
                  </w:pPr>
                  <w:r>
                    <w:rPr>
                      <w:b/>
                      <w:bCs w:val="0"/>
                      <w:color w:val="auto"/>
                      <w:highlight w:val="none"/>
                    </w:rPr>
                    <w:t>要求</w:t>
                  </w:r>
                </w:p>
              </w:tc>
              <w:tc>
                <w:tcPr>
                  <w:tcW w:w="1354" w:type="pct"/>
                  <w:tcBorders>
                    <w:bottom w:val="single" w:color="000000" w:sz="4" w:space="0"/>
                    <w:tl2br w:val="nil"/>
                    <w:tr2bl w:val="nil"/>
                  </w:tcBorders>
                  <w:vAlign w:val="center"/>
                </w:tcPr>
                <w:p w14:paraId="5FAEDA04">
                  <w:pPr>
                    <w:pStyle w:val="94"/>
                    <w:bidi w:val="0"/>
                    <w:jc w:val="center"/>
                    <w:rPr>
                      <w:b/>
                      <w:bCs w:val="0"/>
                      <w:color w:val="auto"/>
                      <w:highlight w:val="none"/>
                    </w:rPr>
                  </w:pPr>
                  <w:r>
                    <w:rPr>
                      <w:rFonts w:hint="eastAsia"/>
                      <w:b/>
                      <w:bCs w:val="0"/>
                      <w:color w:val="auto"/>
                      <w:highlight w:val="none"/>
                      <w:lang w:eastAsia="zh-CN"/>
                    </w:rPr>
                    <w:t>本项目</w:t>
                  </w:r>
                  <w:r>
                    <w:rPr>
                      <w:rFonts w:hint="eastAsia"/>
                      <w:b/>
                      <w:bCs w:val="0"/>
                      <w:color w:val="auto"/>
                      <w:highlight w:val="none"/>
                    </w:rPr>
                    <w:t>情况</w:t>
                  </w:r>
                </w:p>
              </w:tc>
              <w:tc>
                <w:tcPr>
                  <w:tcW w:w="449" w:type="pct"/>
                  <w:tcBorders>
                    <w:bottom w:val="single" w:color="000000" w:sz="4" w:space="0"/>
                    <w:tl2br w:val="nil"/>
                    <w:tr2bl w:val="nil"/>
                  </w:tcBorders>
                  <w:vAlign w:val="center"/>
                </w:tcPr>
                <w:p w14:paraId="5E4055A0">
                  <w:pPr>
                    <w:pStyle w:val="94"/>
                    <w:bidi w:val="0"/>
                    <w:jc w:val="center"/>
                    <w:rPr>
                      <w:b/>
                      <w:bCs w:val="0"/>
                      <w:color w:val="auto"/>
                      <w:highlight w:val="none"/>
                    </w:rPr>
                  </w:pPr>
                  <w:r>
                    <w:rPr>
                      <w:b/>
                      <w:bCs w:val="0"/>
                      <w:color w:val="auto"/>
                      <w:highlight w:val="none"/>
                    </w:rPr>
                    <w:t>符合</w:t>
                  </w:r>
                </w:p>
              </w:tc>
            </w:tr>
            <w:tr w14:paraId="10527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0" w:type="pct"/>
                  <w:vMerge w:val="restart"/>
                  <w:tcBorders>
                    <w:top w:val="single" w:color="000000" w:sz="4" w:space="0"/>
                    <w:tl2br w:val="nil"/>
                    <w:tr2bl w:val="nil"/>
                  </w:tcBorders>
                  <w:vAlign w:val="center"/>
                </w:tcPr>
                <w:p w14:paraId="37CA5E97">
                  <w:pPr>
                    <w:pStyle w:val="94"/>
                    <w:bidi w:val="0"/>
                    <w:rPr>
                      <w:color w:val="auto"/>
                      <w:highlight w:val="none"/>
                    </w:rPr>
                  </w:pPr>
                  <w:r>
                    <w:rPr>
                      <w:rFonts w:hint="eastAsia"/>
                      <w:color w:val="auto"/>
                      <w:szCs w:val="21"/>
                      <w:highlight w:val="none"/>
                    </w:rPr>
                    <w:t>《关于深入打好污染防治攻坚战的意见》（中发〔2021〕40号）</w:t>
                  </w:r>
                </w:p>
              </w:tc>
              <w:tc>
                <w:tcPr>
                  <w:tcW w:w="2465" w:type="pct"/>
                  <w:tcBorders>
                    <w:top w:val="single" w:color="000000" w:sz="4" w:space="0"/>
                    <w:tl2br w:val="nil"/>
                    <w:tr2bl w:val="nil"/>
                  </w:tcBorders>
                  <w:vAlign w:val="center"/>
                </w:tcPr>
                <w:p w14:paraId="5982B6FB">
                  <w:pPr>
                    <w:pStyle w:val="94"/>
                    <w:bidi w:val="0"/>
                    <w:rPr>
                      <w:rFonts w:hint="eastAsia"/>
                      <w:color w:val="auto"/>
                      <w:highlight w:val="none"/>
                    </w:rPr>
                  </w:pPr>
                  <w:r>
                    <w:rPr>
                      <w:rFonts w:hint="eastAsia"/>
                      <w:color w:val="auto"/>
                      <w:highlight w:val="none"/>
                    </w:rPr>
                    <w:t>二、加快推动绿色低碳发展：坚决遏制高耗能高排放项目盲目发展。严把高耗能高排放项目准入关口，严格落实污染物排放区域削减要求，对不符合规定的项目坚决停批停建。依法依规淘汰落后产能和化解过剩产能。推进清洁生产和能源资源节约高效利用。引导重点行业深入实施清洁生产改造，依法开展自愿性清洁生产评价认证。大力推行绿色制造，构建资源循环利用体系。加强生态环境分区管控。衔接国土空间规划分区和用途管制要求，将生态保护红线、环境质量底线、资源利用上线的硬约束落实到环境管控单元，建立差别化的生态环境准入清单，加强“三线一单”成果在政策制定、环境准入、园区管理、执法监管等方面的应用。</w:t>
                  </w:r>
                </w:p>
              </w:tc>
              <w:tc>
                <w:tcPr>
                  <w:tcW w:w="1354" w:type="pct"/>
                  <w:tcBorders>
                    <w:top w:val="single" w:color="000000" w:sz="4" w:space="0"/>
                    <w:tl2br w:val="nil"/>
                    <w:tr2bl w:val="nil"/>
                  </w:tcBorders>
                  <w:vAlign w:val="center"/>
                </w:tcPr>
                <w:p w14:paraId="49A3E2A8">
                  <w:pPr>
                    <w:pStyle w:val="94"/>
                    <w:bidi w:val="0"/>
                    <w:rPr>
                      <w:rFonts w:hint="eastAsia"/>
                      <w:color w:val="auto"/>
                      <w:highlight w:val="none"/>
                    </w:rPr>
                  </w:pPr>
                  <w:r>
                    <w:rPr>
                      <w:rFonts w:hint="eastAsia"/>
                      <w:color w:val="auto"/>
                      <w:highlight w:val="none"/>
                      <w:lang w:val="en-US" w:eastAsia="zh-CN"/>
                    </w:rPr>
                    <w:t>本项目为食品制造项目，不属于高耗能高排放项目；本项目用地为工业用地，符合</w:t>
                  </w:r>
                  <w:r>
                    <w:rPr>
                      <w:rFonts w:hint="eastAsia"/>
                      <w:color w:val="auto"/>
                      <w:highlight w:val="none"/>
                    </w:rPr>
                    <w:t>国土空间规划分区和用途管制要求</w:t>
                  </w:r>
                  <w:r>
                    <w:rPr>
                      <w:rFonts w:hint="eastAsia"/>
                      <w:color w:val="auto"/>
                      <w:highlight w:val="none"/>
                      <w:lang w:eastAsia="zh-CN"/>
                    </w:rPr>
                    <w:t>；</w:t>
                  </w:r>
                  <w:r>
                    <w:rPr>
                      <w:rFonts w:hint="eastAsia"/>
                      <w:color w:val="auto"/>
                      <w:highlight w:val="none"/>
                      <w:lang w:val="en-US" w:eastAsia="zh-CN"/>
                    </w:rPr>
                    <w:t>本项目位于</w:t>
                  </w:r>
                  <w:r>
                    <w:rPr>
                      <w:rFonts w:hint="eastAsia" w:cs="Times New Roman"/>
                      <w:color w:val="auto"/>
                      <w:sz w:val="21"/>
                      <w:szCs w:val="21"/>
                      <w:highlight w:val="none"/>
                      <w:lang w:val="en-US" w:eastAsia="zh-CN"/>
                    </w:rPr>
                    <w:t>遂宁市安居区工业集中发展区（含经开区）内</w:t>
                  </w:r>
                  <w:r>
                    <w:rPr>
                      <w:rFonts w:hint="eastAsia"/>
                      <w:color w:val="auto"/>
                      <w:highlight w:val="none"/>
                      <w:lang w:val="en-US" w:eastAsia="zh-CN"/>
                    </w:rPr>
                    <w:t>，</w:t>
                  </w:r>
                  <w:r>
                    <w:rPr>
                      <w:color w:val="auto"/>
                      <w:highlight w:val="none"/>
                    </w:rPr>
                    <w:t>符合</w:t>
                  </w:r>
                  <w:r>
                    <w:rPr>
                      <w:rFonts w:hint="eastAsia"/>
                      <w:color w:val="auto"/>
                      <w:highlight w:val="none"/>
                    </w:rPr>
                    <w:t>“</w:t>
                  </w:r>
                  <w:r>
                    <w:rPr>
                      <w:color w:val="auto"/>
                      <w:highlight w:val="none"/>
                    </w:rPr>
                    <w:t>三线一单</w:t>
                  </w:r>
                  <w:r>
                    <w:rPr>
                      <w:rFonts w:hint="eastAsia"/>
                      <w:color w:val="auto"/>
                      <w:highlight w:val="none"/>
                    </w:rPr>
                    <w:t>”</w:t>
                  </w:r>
                  <w:r>
                    <w:rPr>
                      <w:rFonts w:hint="eastAsia"/>
                      <w:color w:val="auto"/>
                      <w:highlight w:val="none"/>
                      <w:lang w:val="en-US" w:eastAsia="zh-CN"/>
                    </w:rPr>
                    <w:t>相关</w:t>
                  </w:r>
                  <w:r>
                    <w:rPr>
                      <w:color w:val="auto"/>
                      <w:highlight w:val="none"/>
                    </w:rPr>
                    <w:t>要求</w:t>
                  </w:r>
                </w:p>
              </w:tc>
              <w:tc>
                <w:tcPr>
                  <w:tcW w:w="449" w:type="pct"/>
                  <w:tcBorders>
                    <w:top w:val="single" w:color="000000" w:sz="4" w:space="0"/>
                    <w:tl2br w:val="nil"/>
                    <w:tr2bl w:val="nil"/>
                  </w:tcBorders>
                  <w:vAlign w:val="center"/>
                </w:tcPr>
                <w:p w14:paraId="765E7E24">
                  <w:pPr>
                    <w:pStyle w:val="94"/>
                    <w:bidi w:val="0"/>
                    <w:jc w:val="center"/>
                    <w:rPr>
                      <w:color w:val="auto"/>
                      <w:highlight w:val="none"/>
                    </w:rPr>
                  </w:pPr>
                  <w:r>
                    <w:rPr>
                      <w:color w:val="auto"/>
                      <w:highlight w:val="none"/>
                    </w:rPr>
                    <w:t>符合</w:t>
                  </w:r>
                </w:p>
              </w:tc>
            </w:tr>
            <w:tr w14:paraId="16814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0" w:type="pct"/>
                  <w:vMerge w:val="continue"/>
                  <w:tcBorders>
                    <w:tl2br w:val="nil"/>
                    <w:tr2bl w:val="nil"/>
                  </w:tcBorders>
                  <w:vAlign w:val="center"/>
                </w:tcPr>
                <w:p w14:paraId="15202B9D">
                  <w:pPr>
                    <w:pStyle w:val="94"/>
                    <w:bidi w:val="0"/>
                    <w:rPr>
                      <w:color w:val="auto"/>
                      <w:highlight w:val="none"/>
                    </w:rPr>
                  </w:pPr>
                </w:p>
              </w:tc>
              <w:tc>
                <w:tcPr>
                  <w:tcW w:w="2465" w:type="pct"/>
                  <w:tcBorders>
                    <w:tl2br w:val="nil"/>
                    <w:tr2bl w:val="nil"/>
                  </w:tcBorders>
                  <w:vAlign w:val="center"/>
                </w:tcPr>
                <w:p w14:paraId="0F55E882">
                  <w:pPr>
                    <w:pStyle w:val="94"/>
                    <w:bidi w:val="0"/>
                    <w:jc w:val="both"/>
                    <w:rPr>
                      <w:rFonts w:hint="eastAsia"/>
                      <w:color w:val="auto"/>
                      <w:highlight w:val="none"/>
                    </w:rPr>
                  </w:pPr>
                  <w:r>
                    <w:rPr>
                      <w:rFonts w:hint="eastAsia"/>
                      <w:color w:val="auto"/>
                      <w:highlight w:val="none"/>
                    </w:rPr>
                    <w:t>三</w:t>
                  </w:r>
                  <w:r>
                    <w:rPr>
                      <w:color w:val="auto"/>
                      <w:highlight w:val="none"/>
                    </w:rPr>
                    <w:t>、</w:t>
                  </w:r>
                  <w:r>
                    <w:rPr>
                      <w:rFonts w:hint="eastAsia"/>
                      <w:color w:val="auto"/>
                      <w:highlight w:val="none"/>
                    </w:rPr>
                    <w:t>深入打好蓝天保卫战：着力打好重污染天气消除攻坚战。聚焦秋冬季细颗粒物污染，加大重点区域、重点行业结构调整和污染治理力度。持续打好柴油货车污染治理攻坚战。深入实施清洁柴油车（机）行动，全国基本淘汰国三及以下排放标准汽车，推动氢燃料电池汽车示范应用，有序推广清洁能源汽车。加强大气面源和噪声污染治理。强化施工、道路、堆场、裸露地面等扬尘管控，加强城市保洁和清扫。加大餐饮油烟污染、恶臭异味治理力度。</w:t>
                  </w:r>
                </w:p>
              </w:tc>
              <w:tc>
                <w:tcPr>
                  <w:tcW w:w="1354" w:type="pct"/>
                  <w:tcBorders>
                    <w:tl2br w:val="nil"/>
                    <w:tr2bl w:val="nil"/>
                  </w:tcBorders>
                  <w:vAlign w:val="center"/>
                </w:tcPr>
                <w:p w14:paraId="2A3FED55">
                  <w:pPr>
                    <w:pStyle w:val="94"/>
                    <w:bidi w:val="0"/>
                    <w:rPr>
                      <w:rFonts w:hint="default" w:eastAsia="宋体"/>
                      <w:color w:val="auto"/>
                      <w:highlight w:val="none"/>
                      <w:lang w:val="en-US" w:eastAsia="zh-CN"/>
                    </w:rPr>
                  </w:pPr>
                  <w:r>
                    <w:rPr>
                      <w:rFonts w:hint="eastAsia"/>
                      <w:color w:val="auto"/>
                      <w:highlight w:val="none"/>
                    </w:rPr>
                    <w:t>项目</w:t>
                  </w:r>
                  <w:r>
                    <w:rPr>
                      <w:color w:val="auto"/>
                      <w:highlight w:val="none"/>
                    </w:rPr>
                    <w:t>施工期、营运期</w:t>
                  </w:r>
                  <w:r>
                    <w:rPr>
                      <w:rFonts w:hint="eastAsia"/>
                      <w:color w:val="auto"/>
                      <w:highlight w:val="none"/>
                    </w:rPr>
                    <w:t>加强</w:t>
                  </w:r>
                  <w:r>
                    <w:rPr>
                      <w:color w:val="auto"/>
                      <w:highlight w:val="none"/>
                    </w:rPr>
                    <w:t>废气治理，使用符合国家要求的</w:t>
                  </w:r>
                  <w:r>
                    <w:rPr>
                      <w:rFonts w:hint="eastAsia"/>
                      <w:color w:val="auto"/>
                      <w:highlight w:val="none"/>
                    </w:rPr>
                    <w:t>运输</w:t>
                  </w:r>
                  <w:r>
                    <w:rPr>
                      <w:color w:val="auto"/>
                      <w:highlight w:val="none"/>
                    </w:rPr>
                    <w:t>工具</w:t>
                  </w:r>
                  <w:r>
                    <w:rPr>
                      <w:rFonts w:hint="eastAsia"/>
                      <w:color w:val="auto"/>
                      <w:highlight w:val="none"/>
                      <w:lang w:eastAsia="zh-CN"/>
                    </w:rPr>
                    <w:t>。</w:t>
                  </w:r>
                </w:p>
              </w:tc>
              <w:tc>
                <w:tcPr>
                  <w:tcW w:w="449" w:type="pct"/>
                  <w:tcBorders>
                    <w:tl2br w:val="nil"/>
                    <w:tr2bl w:val="nil"/>
                  </w:tcBorders>
                  <w:vAlign w:val="center"/>
                </w:tcPr>
                <w:p w14:paraId="452122AE">
                  <w:pPr>
                    <w:pStyle w:val="94"/>
                    <w:bidi w:val="0"/>
                    <w:jc w:val="center"/>
                    <w:rPr>
                      <w:color w:val="auto"/>
                      <w:highlight w:val="none"/>
                    </w:rPr>
                  </w:pPr>
                  <w:r>
                    <w:rPr>
                      <w:color w:val="auto"/>
                      <w:highlight w:val="none"/>
                    </w:rPr>
                    <w:t>符合</w:t>
                  </w:r>
                </w:p>
              </w:tc>
            </w:tr>
            <w:tr w14:paraId="73A5D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30" w:type="pct"/>
                  <w:tcBorders>
                    <w:tl2br w:val="nil"/>
                    <w:tr2bl w:val="nil"/>
                  </w:tcBorders>
                  <w:vAlign w:val="center"/>
                </w:tcPr>
                <w:p w14:paraId="2A033573">
                  <w:pPr>
                    <w:pStyle w:val="94"/>
                    <w:bidi w:val="0"/>
                    <w:rPr>
                      <w:color w:val="auto"/>
                      <w:highlight w:val="none"/>
                    </w:rPr>
                  </w:pPr>
                  <w:r>
                    <w:rPr>
                      <w:rFonts w:hint="eastAsia"/>
                      <w:color w:val="auto"/>
                      <w:highlight w:val="none"/>
                    </w:rPr>
                    <w:t>《中华人民共和国固体废物污染环境防治法》(2020年4月29日第二次修订)</w:t>
                  </w:r>
                </w:p>
              </w:tc>
              <w:tc>
                <w:tcPr>
                  <w:tcW w:w="2465" w:type="pct"/>
                  <w:tcBorders>
                    <w:tl2br w:val="nil"/>
                    <w:tr2bl w:val="nil"/>
                  </w:tcBorders>
                  <w:vAlign w:val="center"/>
                </w:tcPr>
                <w:p w14:paraId="0759B208">
                  <w:pPr>
                    <w:pStyle w:val="94"/>
                    <w:bidi w:val="0"/>
                    <w:jc w:val="both"/>
                    <w:rPr>
                      <w:rFonts w:hint="eastAsia"/>
                      <w:color w:val="auto"/>
                      <w:highlight w:val="none"/>
                    </w:rPr>
                  </w:pPr>
                  <w:r>
                    <w:rPr>
                      <w:rFonts w:hint="eastAsia"/>
                      <w:color w:val="auto"/>
                      <w:highlight w:val="none"/>
                    </w:rPr>
                    <w:t>第三十六条产生工业固体废物的单位应当建立健全工业固体废物产生、收集贮存、运输、利用、处置全过程的污染环境防治责任制度，建立工业固体废物管理台账，如实记录产生工业固体废物的种类、</w:t>
                  </w:r>
                  <w:r>
                    <w:rPr>
                      <w:rFonts w:hint="eastAsia"/>
                      <w:color w:val="auto"/>
                      <w:highlight w:val="none"/>
                      <w:lang w:val="en-US" w:eastAsia="zh-CN"/>
                    </w:rPr>
                    <w:t>数量</w:t>
                  </w:r>
                  <w:r>
                    <w:rPr>
                      <w:rFonts w:hint="eastAsia"/>
                      <w:color w:val="auto"/>
                      <w:highlight w:val="none"/>
                    </w:rPr>
                    <w:t>、流向、贮存、利用、处置等信息，实现工业固体废物可追溯、可查询，并采取防治工业固体废物污染环境的措施。禁止向生活垃圾收集设施中投放工业固体废物。</w:t>
                  </w:r>
                </w:p>
                <w:p w14:paraId="4D912D7C">
                  <w:pPr>
                    <w:pStyle w:val="94"/>
                    <w:bidi w:val="0"/>
                    <w:jc w:val="both"/>
                    <w:rPr>
                      <w:rFonts w:hint="eastAsia"/>
                      <w:color w:val="auto"/>
                      <w:highlight w:val="none"/>
                    </w:rPr>
                  </w:pPr>
                  <w:r>
                    <w:rPr>
                      <w:rFonts w:hint="eastAsia"/>
                      <w:color w:val="auto"/>
                      <w:highlight w:val="none"/>
                    </w:rPr>
                    <w:t>第七十八条产生危险废物的单位，应当按照国家有关规定制定危险废物管理计划，建立危险废物管理台账，如实记录有关信息，并通过国家危险废物信息管理系统向所在地生态环境主管部门申报危险废物的种类、产生、流向、贮存处置等有关资料。</w:t>
                  </w:r>
                </w:p>
                <w:p w14:paraId="3EE3DA9E">
                  <w:pPr>
                    <w:pStyle w:val="94"/>
                    <w:bidi w:val="0"/>
                    <w:jc w:val="both"/>
                    <w:rPr>
                      <w:rFonts w:hint="eastAsia" w:eastAsia="宋体"/>
                      <w:color w:val="auto"/>
                      <w:highlight w:val="none"/>
                      <w:lang w:eastAsia="zh-CN"/>
                    </w:rPr>
                  </w:pPr>
                  <w:r>
                    <w:rPr>
                      <w:rFonts w:hint="eastAsia"/>
                      <w:color w:val="auto"/>
                      <w:highlight w:val="none"/>
                    </w:rPr>
                    <w:t>第七十九条产生危险废物的单位，应当按照国家有关规定和环境保护标准要求贮存、利用、处置危险废物，不得擅自倾倒、堆放。禁止将危险废物提供或者委托给无许可证的单位或者其他生产经营者从事收集、贮存、</w:t>
                  </w:r>
                  <w:r>
                    <w:rPr>
                      <w:rFonts w:hint="eastAsia"/>
                      <w:color w:val="auto"/>
                      <w:highlight w:val="none"/>
                      <w:lang w:val="en-US" w:eastAsia="zh-CN"/>
                    </w:rPr>
                    <w:t>使</w:t>
                  </w:r>
                  <w:r>
                    <w:rPr>
                      <w:rFonts w:hint="eastAsia"/>
                      <w:color w:val="auto"/>
                      <w:highlight w:val="none"/>
                    </w:rPr>
                    <w:t>用、</w:t>
                  </w:r>
                  <w:r>
                    <w:rPr>
                      <w:rFonts w:hint="eastAsia"/>
                      <w:color w:val="auto"/>
                      <w:highlight w:val="none"/>
                      <w:lang w:val="en-US" w:eastAsia="zh-CN"/>
                    </w:rPr>
                    <w:t>处置</w:t>
                  </w:r>
                  <w:r>
                    <w:rPr>
                      <w:rFonts w:hint="eastAsia"/>
                      <w:color w:val="auto"/>
                      <w:highlight w:val="none"/>
                    </w:rPr>
                    <w:t>活动</w:t>
                  </w:r>
                  <w:r>
                    <w:rPr>
                      <w:rFonts w:hint="eastAsia"/>
                      <w:color w:val="auto"/>
                      <w:highlight w:val="none"/>
                      <w:lang w:eastAsia="zh-CN"/>
                    </w:rPr>
                    <w:t>。</w:t>
                  </w:r>
                </w:p>
              </w:tc>
              <w:tc>
                <w:tcPr>
                  <w:tcW w:w="1354" w:type="pct"/>
                  <w:tcBorders>
                    <w:tl2br w:val="nil"/>
                    <w:tr2bl w:val="nil"/>
                  </w:tcBorders>
                  <w:vAlign w:val="center"/>
                </w:tcPr>
                <w:p w14:paraId="0AFF1113">
                  <w:pPr>
                    <w:pStyle w:val="94"/>
                    <w:bidi w:val="0"/>
                    <w:rPr>
                      <w:rFonts w:hint="default"/>
                      <w:color w:val="auto"/>
                      <w:highlight w:val="none"/>
                      <w:lang w:val="en-US"/>
                    </w:rPr>
                  </w:pPr>
                  <w:r>
                    <w:rPr>
                      <w:rFonts w:hint="eastAsia" w:cs="Times New Roman"/>
                      <w:color w:val="auto"/>
                      <w:highlight w:val="none"/>
                      <w:lang w:val="en-US" w:eastAsia="zh-CN"/>
                    </w:rPr>
                    <w:t>本项目一般工业固废交由有处置能力的单位处置；危废交由有资质的单位处置；生活垃圾交由环卫部门清运处置</w:t>
                  </w:r>
                  <w:r>
                    <w:rPr>
                      <w:rFonts w:hint="eastAsia"/>
                      <w:color w:val="auto"/>
                      <w:highlight w:val="none"/>
                      <w:lang w:val="en-US" w:eastAsia="zh-CN"/>
                    </w:rPr>
                    <w:t>。项目运营期将按相关要求建立工业固废和危废管理台账，并制定相关管理计划。</w:t>
                  </w:r>
                </w:p>
              </w:tc>
              <w:tc>
                <w:tcPr>
                  <w:tcW w:w="449" w:type="pct"/>
                  <w:tcBorders>
                    <w:tl2br w:val="nil"/>
                    <w:tr2bl w:val="nil"/>
                  </w:tcBorders>
                  <w:vAlign w:val="center"/>
                </w:tcPr>
                <w:p w14:paraId="7FF22B2B">
                  <w:pPr>
                    <w:pStyle w:val="94"/>
                    <w:bidi w:val="0"/>
                    <w:jc w:val="center"/>
                    <w:rPr>
                      <w:color w:val="auto"/>
                      <w:highlight w:val="none"/>
                    </w:rPr>
                  </w:pPr>
                  <w:r>
                    <w:rPr>
                      <w:rFonts w:hint="eastAsia"/>
                      <w:color w:val="auto"/>
                      <w:highlight w:val="none"/>
                      <w:lang w:val="en-US" w:eastAsia="zh-CN"/>
                    </w:rPr>
                    <w:t>符合</w:t>
                  </w:r>
                </w:p>
              </w:tc>
            </w:tr>
            <w:tr w14:paraId="68449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6" w:hRule="atLeast"/>
              </w:trPr>
              <w:tc>
                <w:tcPr>
                  <w:tcW w:w="730" w:type="pct"/>
                  <w:tcBorders>
                    <w:tl2br w:val="nil"/>
                    <w:tr2bl w:val="nil"/>
                  </w:tcBorders>
                  <w:vAlign w:val="center"/>
                </w:tcPr>
                <w:p w14:paraId="6D8F07CF">
                  <w:pPr>
                    <w:pStyle w:val="94"/>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color w:val="auto"/>
                      <w:highlight w:val="none"/>
                    </w:rPr>
                    <w:t>《大气污染物防治行动计划》(国发</w:t>
                  </w:r>
                  <w:r>
                    <w:rPr>
                      <w:rFonts w:hint="eastAsia"/>
                      <w:color w:val="auto"/>
                      <w:highlight w:val="none"/>
                      <w:lang w:eastAsia="zh-CN"/>
                    </w:rPr>
                    <w:t>〔2013〕37号</w:t>
                  </w:r>
                  <w:r>
                    <w:rPr>
                      <w:color w:val="auto"/>
                      <w:highlight w:val="none"/>
                    </w:rPr>
                    <w:t>)</w:t>
                  </w:r>
                </w:p>
              </w:tc>
              <w:tc>
                <w:tcPr>
                  <w:tcW w:w="2465" w:type="pct"/>
                  <w:tcBorders>
                    <w:tl2br w:val="nil"/>
                    <w:tr2bl w:val="nil"/>
                  </w:tcBorders>
                  <w:shd w:val="clear" w:color="auto" w:fill="auto"/>
                  <w:vAlign w:val="center"/>
                </w:tcPr>
                <w:p w14:paraId="1E3AD307">
                  <w:pPr>
                    <w:pStyle w:val="94"/>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highlight w:val="none"/>
                    </w:rPr>
                    <w:t>全面整治燃煤小锅炉。到2017年，除必要保留的以外，地级及以上城市建成区基本淘汰每小时10蒸吨及以下的燃煤锅炉，禁止新建每小时20蒸吨以下的燃煤锅炉；其他地区原则上不再新建每小时10蒸吨以下的燃煤锅炉。</w:t>
                  </w:r>
                </w:p>
              </w:tc>
              <w:tc>
                <w:tcPr>
                  <w:tcW w:w="1354" w:type="pct"/>
                  <w:tcBorders>
                    <w:tl2br w:val="nil"/>
                    <w:tr2bl w:val="nil"/>
                  </w:tcBorders>
                  <w:shd w:val="clear" w:color="auto" w:fill="auto"/>
                  <w:vAlign w:val="center"/>
                </w:tcPr>
                <w:p w14:paraId="48E729EC">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本项目使用能源为天然气和电能，不涉及燃煤锅炉的使用</w:t>
                  </w:r>
                  <w:r>
                    <w:rPr>
                      <w:rFonts w:hint="eastAsia" w:cs="Times New Roman"/>
                      <w:color w:val="auto"/>
                      <w:highlight w:val="none"/>
                      <w:lang w:val="en-US" w:eastAsia="zh-CN"/>
                    </w:rPr>
                    <w:t>，为天然气锅炉</w:t>
                  </w:r>
                  <w:r>
                    <w:rPr>
                      <w:rFonts w:hint="eastAsia" w:ascii="Times New Roman" w:hAnsi="Times New Roman" w:cs="Times New Roman"/>
                      <w:color w:val="auto"/>
                      <w:highlight w:val="none"/>
                      <w:lang w:val="en-US" w:eastAsia="zh-CN"/>
                    </w:rPr>
                    <w:t>。</w:t>
                  </w:r>
                </w:p>
              </w:tc>
              <w:tc>
                <w:tcPr>
                  <w:tcW w:w="449" w:type="pct"/>
                  <w:tcBorders>
                    <w:tl2br w:val="nil"/>
                    <w:tr2bl w:val="nil"/>
                  </w:tcBorders>
                  <w:vAlign w:val="center"/>
                </w:tcPr>
                <w:p w14:paraId="2F700307">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color w:val="auto"/>
                      <w:highlight w:val="none"/>
                    </w:rPr>
                    <w:t>符合</w:t>
                  </w:r>
                </w:p>
              </w:tc>
            </w:tr>
            <w:tr w14:paraId="17D42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30" w:type="pct"/>
                  <w:vMerge w:val="restart"/>
                  <w:tcBorders>
                    <w:tl2br w:val="nil"/>
                    <w:tr2bl w:val="nil"/>
                  </w:tcBorders>
                  <w:vAlign w:val="center"/>
                </w:tcPr>
                <w:p w14:paraId="0504E8DA">
                  <w:pPr>
                    <w:pStyle w:val="94"/>
                    <w:bidi w:val="0"/>
                    <w:ind w:firstLine="0" w:firstLineChars="0"/>
                    <w:rPr>
                      <w:color w:val="auto"/>
                      <w:highlight w:val="none"/>
                    </w:rPr>
                  </w:pPr>
                  <w:r>
                    <w:rPr>
                      <w:rFonts w:hint="eastAsia"/>
                      <w:color w:val="auto"/>
                      <w:highlight w:val="none"/>
                    </w:rPr>
                    <w:t>《国务院关于印发水污染防治行动计划的通知》（国发〔2015〕17号）</w:t>
                  </w:r>
                </w:p>
              </w:tc>
              <w:tc>
                <w:tcPr>
                  <w:tcW w:w="2465" w:type="pct"/>
                  <w:tcBorders>
                    <w:tl2br w:val="nil"/>
                    <w:tr2bl w:val="nil"/>
                  </w:tcBorders>
                  <w:shd w:val="clear" w:color="auto" w:fill="auto"/>
                  <w:vAlign w:val="center"/>
                </w:tcPr>
                <w:p w14:paraId="62C60AD3">
                  <w:pPr>
                    <w:pStyle w:val="106"/>
                    <w:bidi w:val="0"/>
                    <w:jc w:val="both"/>
                    <w:rPr>
                      <w:rFonts w:hint="eastAsia"/>
                      <w:color w:val="auto"/>
                      <w:highlight w:val="none"/>
                      <w:lang w:val="en-US" w:eastAsia="zh-CN"/>
                    </w:rPr>
                  </w:pPr>
                  <w:r>
                    <w:rPr>
                      <w:rFonts w:hint="eastAsia"/>
                      <w:color w:val="auto"/>
                      <w:highlight w:val="none"/>
                    </w:rPr>
                    <w:t>取缔“十</w:t>
                  </w:r>
                  <w:r>
                    <w:rPr>
                      <w:color w:val="auto"/>
                      <w:highlight w:val="none"/>
                    </w:rPr>
                    <w:t>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354" w:type="pct"/>
                  <w:tcBorders>
                    <w:tl2br w:val="nil"/>
                    <w:tr2bl w:val="nil"/>
                  </w:tcBorders>
                  <w:shd w:val="clear" w:color="auto" w:fill="auto"/>
                  <w:vAlign w:val="center"/>
                </w:tcPr>
                <w:p w14:paraId="31D2901A">
                  <w:pPr>
                    <w:pStyle w:val="106"/>
                    <w:bidi w:val="0"/>
                    <w:jc w:val="both"/>
                    <w:rPr>
                      <w:rFonts w:hint="eastAsia"/>
                      <w:color w:val="auto"/>
                      <w:highlight w:val="none"/>
                      <w:lang w:val="en-US" w:eastAsia="zh-CN"/>
                    </w:rPr>
                  </w:pPr>
                  <w:r>
                    <w:rPr>
                      <w:rFonts w:hint="eastAsia"/>
                      <w:color w:val="auto"/>
                      <w:highlight w:val="none"/>
                    </w:rPr>
                    <w:t>本项目为</w:t>
                  </w:r>
                  <w:r>
                    <w:rPr>
                      <w:rFonts w:hint="eastAsia"/>
                      <w:color w:val="auto"/>
                      <w:highlight w:val="none"/>
                      <w:lang w:eastAsia="zh-CN"/>
                    </w:rPr>
                    <w:t>食品制造项目</w:t>
                  </w:r>
                  <w:r>
                    <w:rPr>
                      <w:rFonts w:hint="eastAsia"/>
                      <w:color w:val="auto"/>
                      <w:highlight w:val="none"/>
                    </w:rPr>
                    <w:t>，不属于“小型造纸、制革、印染、染料、炼焦、炼硫、炼砷、炼油、电镀、农药”等“十小”企业。</w:t>
                  </w:r>
                </w:p>
              </w:tc>
              <w:tc>
                <w:tcPr>
                  <w:tcW w:w="449" w:type="pct"/>
                  <w:tcBorders>
                    <w:tl2br w:val="nil"/>
                    <w:tr2bl w:val="nil"/>
                  </w:tcBorders>
                  <w:shd w:val="clear" w:color="auto" w:fill="auto"/>
                  <w:vAlign w:val="center"/>
                </w:tcPr>
                <w:p w14:paraId="3FCCA5FD">
                  <w:pPr>
                    <w:pStyle w:val="106"/>
                    <w:bidi w:val="0"/>
                    <w:jc w:val="center"/>
                    <w:rPr>
                      <w:rFonts w:hint="eastAsia"/>
                      <w:color w:val="auto"/>
                      <w:highlight w:val="none"/>
                      <w:lang w:val="en-US" w:eastAsia="zh-CN"/>
                    </w:rPr>
                  </w:pPr>
                  <w:r>
                    <w:rPr>
                      <w:rFonts w:hint="eastAsia"/>
                      <w:color w:val="auto"/>
                      <w:highlight w:val="none"/>
                    </w:rPr>
                    <w:t>符合</w:t>
                  </w:r>
                </w:p>
              </w:tc>
            </w:tr>
            <w:tr w14:paraId="727B5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30" w:type="pct"/>
                  <w:vMerge w:val="continue"/>
                  <w:tcBorders>
                    <w:tl2br w:val="nil"/>
                    <w:tr2bl w:val="nil"/>
                  </w:tcBorders>
                  <w:vAlign w:val="center"/>
                </w:tcPr>
                <w:p w14:paraId="1BBC2098">
                  <w:pPr>
                    <w:pStyle w:val="94"/>
                    <w:bidi w:val="0"/>
                    <w:ind w:firstLine="0" w:firstLineChars="0"/>
                    <w:rPr>
                      <w:rFonts w:hint="eastAsia"/>
                      <w:color w:val="auto"/>
                      <w:highlight w:val="none"/>
                    </w:rPr>
                  </w:pPr>
                </w:p>
              </w:tc>
              <w:tc>
                <w:tcPr>
                  <w:tcW w:w="2465" w:type="pct"/>
                  <w:tcBorders>
                    <w:tl2br w:val="nil"/>
                    <w:tr2bl w:val="nil"/>
                  </w:tcBorders>
                  <w:shd w:val="clear" w:color="auto" w:fill="auto"/>
                  <w:vAlign w:val="center"/>
                </w:tcPr>
                <w:p w14:paraId="23B42BF1">
                  <w:pPr>
                    <w:pStyle w:val="106"/>
                    <w:bidi w:val="0"/>
                    <w:jc w:val="both"/>
                    <w:rPr>
                      <w:rFonts w:hint="eastAsia"/>
                      <w:color w:val="auto"/>
                      <w:highlight w:val="none"/>
                      <w:lang w:val="en-US" w:eastAsia="zh-CN"/>
                    </w:rPr>
                  </w:pPr>
                  <w:r>
                    <w:rPr>
                      <w:rFonts w:hint="eastAsia"/>
                      <w:color w:val="auto"/>
                      <w:highlight w:val="none"/>
                    </w:rPr>
                    <w:t>依法淘汰落后产能，严格环境准入。</w:t>
                  </w:r>
                </w:p>
              </w:tc>
              <w:tc>
                <w:tcPr>
                  <w:tcW w:w="1354" w:type="pct"/>
                  <w:tcBorders>
                    <w:tl2br w:val="nil"/>
                    <w:tr2bl w:val="nil"/>
                  </w:tcBorders>
                  <w:shd w:val="clear" w:color="auto" w:fill="auto"/>
                  <w:vAlign w:val="center"/>
                </w:tcPr>
                <w:p w14:paraId="1DFA23DF">
                  <w:pPr>
                    <w:pStyle w:val="106"/>
                    <w:bidi w:val="0"/>
                    <w:jc w:val="both"/>
                    <w:rPr>
                      <w:rFonts w:hint="eastAsia"/>
                      <w:color w:val="auto"/>
                      <w:highlight w:val="none"/>
                      <w:lang w:val="en-US" w:eastAsia="zh-CN"/>
                    </w:rPr>
                  </w:pPr>
                  <w:r>
                    <w:rPr>
                      <w:rFonts w:hint="eastAsia"/>
                      <w:color w:val="auto"/>
                      <w:highlight w:val="none"/>
                    </w:rPr>
                    <w:t>本项目不属于落后产能。</w:t>
                  </w:r>
                </w:p>
              </w:tc>
              <w:tc>
                <w:tcPr>
                  <w:tcW w:w="449" w:type="pct"/>
                  <w:tcBorders>
                    <w:tl2br w:val="nil"/>
                    <w:tr2bl w:val="nil"/>
                  </w:tcBorders>
                  <w:shd w:val="clear" w:color="auto" w:fill="auto"/>
                  <w:vAlign w:val="center"/>
                </w:tcPr>
                <w:p w14:paraId="2D176C75">
                  <w:pPr>
                    <w:pStyle w:val="106"/>
                    <w:bidi w:val="0"/>
                    <w:jc w:val="center"/>
                    <w:rPr>
                      <w:rFonts w:hint="eastAsia"/>
                      <w:color w:val="auto"/>
                      <w:highlight w:val="none"/>
                      <w:lang w:val="en-US" w:eastAsia="zh-CN"/>
                    </w:rPr>
                  </w:pPr>
                  <w:r>
                    <w:rPr>
                      <w:rFonts w:hint="eastAsia"/>
                      <w:color w:val="auto"/>
                      <w:highlight w:val="none"/>
                    </w:rPr>
                    <w:t>符合</w:t>
                  </w:r>
                </w:p>
              </w:tc>
            </w:tr>
            <w:tr w14:paraId="7DE92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30" w:type="pct"/>
                  <w:vMerge w:val="continue"/>
                  <w:tcBorders>
                    <w:tl2br w:val="nil"/>
                    <w:tr2bl w:val="nil"/>
                  </w:tcBorders>
                  <w:vAlign w:val="center"/>
                </w:tcPr>
                <w:p w14:paraId="735467F2">
                  <w:pPr>
                    <w:pStyle w:val="94"/>
                    <w:bidi w:val="0"/>
                    <w:ind w:firstLine="0" w:firstLineChars="0"/>
                    <w:rPr>
                      <w:rFonts w:hint="eastAsia"/>
                      <w:color w:val="auto"/>
                      <w:highlight w:val="none"/>
                    </w:rPr>
                  </w:pPr>
                </w:p>
              </w:tc>
              <w:tc>
                <w:tcPr>
                  <w:tcW w:w="2465" w:type="pct"/>
                  <w:tcBorders>
                    <w:tl2br w:val="nil"/>
                    <w:tr2bl w:val="nil"/>
                  </w:tcBorders>
                  <w:shd w:val="clear" w:color="auto" w:fill="auto"/>
                  <w:vAlign w:val="center"/>
                </w:tcPr>
                <w:p w14:paraId="3BD85E09">
                  <w:pPr>
                    <w:pStyle w:val="106"/>
                    <w:bidi w:val="0"/>
                    <w:jc w:val="both"/>
                    <w:rPr>
                      <w:rFonts w:hint="eastAsia"/>
                      <w:color w:val="auto"/>
                      <w:highlight w:val="none"/>
                      <w:lang w:val="en-US" w:eastAsia="zh-CN"/>
                    </w:rPr>
                  </w:pPr>
                  <w:r>
                    <w:rPr>
                      <w:rFonts w:hint="eastAsia"/>
                      <w:color w:val="auto"/>
                      <w:highlight w:val="none"/>
                    </w:rPr>
                    <w:t>严格控制缺水地区、水污染严重地区和敏感区域高耗水、高污染行业发展。七大重点流域干流沿岸，要严格控制石油加工、化学原料和化学制品制造、医药制造、化学纤维制造、有色金属冶炼、纺织印染等项目环境风险，合理布局生产装置及危险化学品仓储等设施。推动污染企业退出。</w:t>
                  </w:r>
                </w:p>
              </w:tc>
              <w:tc>
                <w:tcPr>
                  <w:tcW w:w="1354" w:type="pct"/>
                  <w:tcBorders>
                    <w:tl2br w:val="nil"/>
                    <w:tr2bl w:val="nil"/>
                  </w:tcBorders>
                  <w:shd w:val="clear" w:color="auto" w:fill="auto"/>
                  <w:vAlign w:val="center"/>
                </w:tcPr>
                <w:p w14:paraId="0A519F8B">
                  <w:pPr>
                    <w:pStyle w:val="106"/>
                    <w:bidi w:val="0"/>
                    <w:jc w:val="both"/>
                    <w:rPr>
                      <w:rFonts w:hint="eastAsia"/>
                      <w:color w:val="auto"/>
                      <w:highlight w:val="none"/>
                      <w:lang w:val="en-US" w:eastAsia="zh-CN"/>
                    </w:rPr>
                  </w:pPr>
                  <w:r>
                    <w:rPr>
                      <w:rFonts w:hint="eastAsia"/>
                      <w:color w:val="auto"/>
                      <w:highlight w:val="none"/>
                    </w:rPr>
                    <w:t>本项目不属于高耗水、高污染行业。</w:t>
                  </w:r>
                </w:p>
              </w:tc>
              <w:tc>
                <w:tcPr>
                  <w:tcW w:w="449" w:type="pct"/>
                  <w:tcBorders>
                    <w:tl2br w:val="nil"/>
                    <w:tr2bl w:val="nil"/>
                  </w:tcBorders>
                  <w:shd w:val="clear" w:color="auto" w:fill="auto"/>
                  <w:vAlign w:val="center"/>
                </w:tcPr>
                <w:p w14:paraId="60DDB561">
                  <w:pPr>
                    <w:pStyle w:val="106"/>
                    <w:bidi w:val="0"/>
                    <w:jc w:val="center"/>
                    <w:rPr>
                      <w:rFonts w:hint="eastAsia"/>
                      <w:color w:val="auto"/>
                      <w:highlight w:val="none"/>
                      <w:lang w:val="en-US" w:eastAsia="zh-CN"/>
                    </w:rPr>
                  </w:pPr>
                  <w:r>
                    <w:rPr>
                      <w:rFonts w:hint="eastAsia"/>
                      <w:color w:val="auto"/>
                      <w:highlight w:val="none"/>
                    </w:rPr>
                    <w:t>符合</w:t>
                  </w:r>
                </w:p>
              </w:tc>
            </w:tr>
            <w:tr w14:paraId="30F19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0" w:type="pct"/>
                  <w:tcBorders>
                    <w:tl2br w:val="nil"/>
                    <w:tr2bl w:val="nil"/>
                  </w:tcBorders>
                  <w:vAlign w:val="center"/>
                </w:tcPr>
                <w:p w14:paraId="1F8B616F">
                  <w:pPr>
                    <w:pStyle w:val="94"/>
                    <w:bidi w:val="0"/>
                    <w:rPr>
                      <w:color w:val="auto"/>
                      <w:highlight w:val="none"/>
                    </w:rPr>
                  </w:pPr>
                  <w:r>
                    <w:rPr>
                      <w:rFonts w:hint="eastAsia"/>
                      <w:color w:val="auto"/>
                      <w:highlight w:val="none"/>
                    </w:rPr>
                    <w:t>《中共四川省委四川省人民政府关于深入打好污染防治攻坚战的实施意见》（川委发〔2022〕18号）</w:t>
                  </w:r>
                </w:p>
              </w:tc>
              <w:tc>
                <w:tcPr>
                  <w:tcW w:w="2465" w:type="pct"/>
                  <w:tcBorders>
                    <w:tl2br w:val="nil"/>
                    <w:tr2bl w:val="nil"/>
                  </w:tcBorders>
                  <w:vAlign w:val="center"/>
                </w:tcPr>
                <w:p w14:paraId="20C2CE6E">
                  <w:pPr>
                    <w:pStyle w:val="94"/>
                    <w:bidi w:val="0"/>
                    <w:jc w:val="left"/>
                    <w:rPr>
                      <w:color w:val="auto"/>
                      <w:highlight w:val="none"/>
                    </w:rPr>
                  </w:pPr>
                  <w:r>
                    <w:rPr>
                      <w:rFonts w:hint="eastAsia"/>
                      <w:color w:val="auto"/>
                      <w:highlight w:val="none"/>
                    </w:rPr>
                    <w:t>三</w:t>
                  </w:r>
                  <w:r>
                    <w:rPr>
                      <w:color w:val="auto"/>
                      <w:highlight w:val="none"/>
                    </w:rPr>
                    <w:t>、</w:t>
                  </w:r>
                  <w:r>
                    <w:rPr>
                      <w:rFonts w:hint="eastAsia"/>
                      <w:color w:val="auto"/>
                      <w:highlight w:val="none"/>
                    </w:rPr>
                    <w:t>持续深入打好蓝天保卫战</w:t>
                  </w:r>
                </w:p>
                <w:p w14:paraId="70E6F8D4">
                  <w:pPr>
                    <w:pStyle w:val="94"/>
                    <w:bidi w:val="0"/>
                    <w:jc w:val="left"/>
                    <w:rPr>
                      <w:color w:val="auto"/>
                      <w:highlight w:val="none"/>
                    </w:rPr>
                  </w:pPr>
                  <w:r>
                    <w:rPr>
                      <w:rFonts w:hint="eastAsia"/>
                      <w:color w:val="auto"/>
                      <w:highlight w:val="none"/>
                    </w:rPr>
                    <w:t>打好重污染天气消除攻坚战。突出秋冬季细颗粒物污染防治，强化成都平原、川南和川东北地区工业源、移动源、扬尘源综合整治。着力解决大气面源和噪声污染问题。全面加强各类施工工地、道路、工业企业料场堆场等扬尘标准化管控，将绿色施工纳入企业信用管理。</w:t>
                  </w:r>
                </w:p>
              </w:tc>
              <w:tc>
                <w:tcPr>
                  <w:tcW w:w="1354" w:type="pct"/>
                  <w:tcBorders>
                    <w:tl2br w:val="nil"/>
                    <w:tr2bl w:val="nil"/>
                  </w:tcBorders>
                  <w:vAlign w:val="center"/>
                </w:tcPr>
                <w:p w14:paraId="28D5BADE">
                  <w:pPr>
                    <w:pStyle w:val="94"/>
                    <w:bidi w:val="0"/>
                    <w:jc w:val="both"/>
                    <w:rPr>
                      <w:rFonts w:hint="default"/>
                      <w:color w:val="auto"/>
                      <w:highlight w:val="none"/>
                      <w:lang w:val="en-US"/>
                    </w:rPr>
                  </w:pPr>
                  <w:r>
                    <w:rPr>
                      <w:rFonts w:hint="eastAsia"/>
                      <w:color w:val="auto"/>
                      <w:highlight w:val="none"/>
                    </w:rPr>
                    <w:t>项目</w:t>
                  </w:r>
                  <w:r>
                    <w:rPr>
                      <w:color w:val="auto"/>
                      <w:highlight w:val="none"/>
                    </w:rPr>
                    <w:t>施工期</w:t>
                  </w:r>
                  <w:r>
                    <w:rPr>
                      <w:rFonts w:hint="eastAsia"/>
                      <w:color w:val="auto"/>
                      <w:highlight w:val="none"/>
                    </w:rPr>
                    <w:t>加强</w:t>
                  </w:r>
                  <w:r>
                    <w:rPr>
                      <w:rFonts w:hint="eastAsia"/>
                      <w:color w:val="auto"/>
                      <w:highlight w:val="none"/>
                      <w:lang w:val="en-US" w:eastAsia="zh-CN"/>
                    </w:rPr>
                    <w:t>扬尘治理，项目运营期生产过程中主要产生天然气燃烧废气、粉尘等。蒸汽发生器天然气拟低氮燃烧处理后经1根15m排气筒DA001排放；纸制品生产过程中切纸等工序会产生少量粉尘，拟直接无组织排放。</w:t>
                  </w:r>
                </w:p>
              </w:tc>
              <w:tc>
                <w:tcPr>
                  <w:tcW w:w="449" w:type="pct"/>
                  <w:tcBorders>
                    <w:tl2br w:val="nil"/>
                    <w:tr2bl w:val="nil"/>
                  </w:tcBorders>
                  <w:vAlign w:val="center"/>
                </w:tcPr>
                <w:p w14:paraId="42F320EA">
                  <w:pPr>
                    <w:pStyle w:val="94"/>
                    <w:bidi w:val="0"/>
                    <w:jc w:val="center"/>
                    <w:rPr>
                      <w:color w:val="auto"/>
                      <w:highlight w:val="none"/>
                    </w:rPr>
                  </w:pPr>
                  <w:r>
                    <w:rPr>
                      <w:color w:val="auto"/>
                      <w:highlight w:val="none"/>
                    </w:rPr>
                    <w:t>符合</w:t>
                  </w:r>
                </w:p>
              </w:tc>
            </w:tr>
            <w:tr w14:paraId="5F120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tcBorders>
                    <w:tl2br w:val="nil"/>
                    <w:tr2bl w:val="nil"/>
                  </w:tcBorders>
                  <w:shd w:val="clear" w:color="auto" w:fill="auto"/>
                  <w:vAlign w:val="center"/>
                </w:tcPr>
                <w:p w14:paraId="7B24170A">
                  <w:pPr>
                    <w:pStyle w:val="94"/>
                    <w:bidi w:val="0"/>
                    <w:ind w:firstLine="0" w:firstLineChars="0"/>
                    <w:rPr>
                      <w:rFonts w:hint="eastAsia"/>
                      <w:color w:val="auto"/>
                      <w:highlight w:val="none"/>
                      <w:lang w:eastAsia="zh-CN"/>
                    </w:rPr>
                  </w:pPr>
                  <w:r>
                    <w:rPr>
                      <w:rFonts w:hint="eastAsia"/>
                      <w:color w:val="auto"/>
                      <w:highlight w:val="none"/>
                      <w:lang w:eastAsia="zh-CN"/>
                    </w:rPr>
                    <w:t>《四川省“十四五”生态环境保护规划》</w:t>
                  </w:r>
                </w:p>
              </w:tc>
              <w:tc>
                <w:tcPr>
                  <w:tcW w:w="2465" w:type="pct"/>
                  <w:tcBorders>
                    <w:tl2br w:val="nil"/>
                    <w:tr2bl w:val="nil"/>
                  </w:tcBorders>
                  <w:shd w:val="clear" w:color="auto" w:fill="auto"/>
                  <w:vAlign w:val="center"/>
                </w:tcPr>
                <w:p w14:paraId="651D947F">
                  <w:pPr>
                    <w:pStyle w:val="106"/>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强化工业污水综合整治。深入实施工业企业污水处理设施升级改造，重点开展电子信息、造纸、印染、化工、酿造等行业废水专项治理，全面实现工业废水达标排放。开展开发区污水集中处理设施升级改造和污水管网排查整治，完善园区及企业雨污分流系统，推动初期雨水收集处理，鼓励有条件的园区实施“一企一管、明管输送、实时监测”。推进现有企业和园区开展以节水为重点的绿色高质量转型升级和循环化改造，加快节水及水循环利用设施建设，促进企业间串联用水、分质用水、一水多用和循环利用，鼓励岷江、沱江及长江干流流域省级及以上园区积极开展节水标杆园区创建。</w:t>
                  </w:r>
                </w:p>
              </w:tc>
              <w:tc>
                <w:tcPr>
                  <w:tcW w:w="1354" w:type="pct"/>
                  <w:tcBorders>
                    <w:tl2br w:val="nil"/>
                    <w:tr2bl w:val="nil"/>
                  </w:tcBorders>
                  <w:shd w:val="clear" w:color="auto" w:fill="auto"/>
                  <w:vAlign w:val="center"/>
                </w:tcPr>
                <w:p w14:paraId="57E27533">
                  <w:pPr>
                    <w:pStyle w:val="94"/>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本项目废水生活污水、原料清洗废水、设备清洗废水、漂烫废水</w:t>
                  </w:r>
                  <w:r>
                    <w:rPr>
                      <w:rFonts w:hint="eastAsia" w:cs="Times New Roman"/>
                      <w:color w:val="auto"/>
                      <w:sz w:val="21"/>
                      <w:highlight w:val="none"/>
                      <w:lang w:val="en-US" w:eastAsia="zh-CN"/>
                    </w:rPr>
                    <w:t>、猪肉解冻废水、空罐及实罐清洗废水</w:t>
                  </w:r>
                  <w:r>
                    <w:rPr>
                      <w:rFonts w:hint="default" w:ascii="Times New Roman" w:hAnsi="Times New Roman" w:eastAsia="宋体" w:cs="Times New Roman"/>
                      <w:color w:val="auto"/>
                      <w:sz w:val="21"/>
                      <w:highlight w:val="none"/>
                      <w:lang w:val="en-US" w:eastAsia="zh-CN"/>
                    </w:rPr>
                    <w:t>、蒸汽发生器废水、地面清洁废水、实验器皿清洗废水</w:t>
                  </w:r>
                  <w:r>
                    <w:rPr>
                      <w:rFonts w:hint="eastAsia" w:cs="Times New Roman"/>
                      <w:color w:val="auto"/>
                      <w:sz w:val="21"/>
                      <w:highlight w:val="none"/>
                      <w:lang w:val="en-US" w:eastAsia="zh-CN"/>
                    </w:rPr>
                    <w:t>。生活污水拟经预处理池处理</w:t>
                  </w:r>
                  <w:r>
                    <w:rPr>
                      <w:rFonts w:hint="default"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5</w:t>
                  </w:r>
                  <w:r>
                    <w:rPr>
                      <w:rFonts w:hint="default" w:ascii="Times New Roman" w:hAnsi="Times New Roman" w:eastAsia="宋体" w:cs="Times New Roman"/>
                      <w:color w:val="auto"/>
                      <w:sz w:val="21"/>
                      <w:highlight w:val="none"/>
                      <w:lang w:val="en-US" w:eastAsia="zh-CN"/>
                    </w:rPr>
                    <w:t>m</w:t>
                  </w:r>
                  <w:r>
                    <w:rPr>
                      <w:rFonts w:hint="default" w:ascii="Times New Roman" w:hAnsi="Times New Roman" w:eastAsia="宋体" w:cs="Times New Roman"/>
                      <w:color w:val="auto"/>
                      <w:sz w:val="21"/>
                      <w:highlight w:val="none"/>
                      <w:vertAlign w:val="superscript"/>
                      <w:lang w:val="en-US" w:eastAsia="zh-CN"/>
                    </w:rPr>
                    <w:t>3</w:t>
                  </w:r>
                  <w:r>
                    <w:rPr>
                      <w:rFonts w:hint="default"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，生产废水</w:t>
                  </w:r>
                  <w:r>
                    <w:rPr>
                      <w:rFonts w:hint="default" w:ascii="Times New Roman" w:hAnsi="Times New Roman" w:eastAsia="宋体" w:cs="Times New Roman"/>
                      <w:color w:val="auto"/>
                      <w:sz w:val="21"/>
                      <w:highlight w:val="none"/>
                      <w:lang w:val="en-US" w:eastAsia="zh-CN"/>
                    </w:rPr>
                    <w:t>拟经过本项目新建</w:t>
                  </w:r>
                  <w:r>
                    <w:rPr>
                      <w:rFonts w:hint="eastAsia" w:cs="Times New Roman"/>
                      <w:color w:val="auto"/>
                      <w:sz w:val="21"/>
                      <w:highlight w:val="none"/>
                      <w:lang w:val="en-US" w:eastAsia="zh-CN"/>
                    </w:rPr>
                    <w:t>污水</w:t>
                  </w:r>
                  <w:r>
                    <w:rPr>
                      <w:rFonts w:hint="default" w:ascii="Times New Roman" w:hAnsi="Times New Roman" w:eastAsia="宋体" w:cs="Times New Roman"/>
                      <w:color w:val="auto"/>
                      <w:sz w:val="21"/>
                      <w:highlight w:val="none"/>
                      <w:lang w:val="en-US" w:eastAsia="zh-CN"/>
                    </w:rPr>
                    <w:t>处理池（</w:t>
                  </w:r>
                  <w:r>
                    <w:rPr>
                      <w:rFonts w:hint="eastAsia" w:cs="Times New Roman"/>
                      <w:color w:val="auto"/>
                      <w:sz w:val="21"/>
                      <w:highlight w:val="none"/>
                      <w:lang w:val="en-US" w:eastAsia="zh-CN"/>
                    </w:rPr>
                    <w:t>6</w:t>
                  </w:r>
                  <w:r>
                    <w:rPr>
                      <w:rFonts w:hint="default" w:ascii="Times New Roman" w:hAnsi="Times New Roman" w:eastAsia="宋体" w:cs="Times New Roman"/>
                      <w:color w:val="auto"/>
                      <w:sz w:val="21"/>
                      <w:highlight w:val="none"/>
                      <w:lang w:val="en-US" w:eastAsia="zh-CN"/>
                    </w:rPr>
                    <w:t>0m</w:t>
                  </w:r>
                  <w:r>
                    <w:rPr>
                      <w:rFonts w:hint="default" w:ascii="Times New Roman" w:hAnsi="Times New Roman" w:eastAsia="宋体" w:cs="Times New Roman"/>
                      <w:color w:val="auto"/>
                      <w:sz w:val="21"/>
                      <w:highlight w:val="none"/>
                      <w:vertAlign w:val="superscript"/>
                      <w:lang w:val="en-US" w:eastAsia="zh-CN"/>
                    </w:rPr>
                    <w:t>3</w:t>
                  </w:r>
                  <w:r>
                    <w:rPr>
                      <w:rFonts w:hint="default" w:ascii="Times New Roman" w:hAnsi="Times New Roman" w:eastAsia="宋体" w:cs="Times New Roman"/>
                      <w:color w:val="auto"/>
                      <w:sz w:val="21"/>
                      <w:highlight w:val="none"/>
                      <w:lang w:val="en-US" w:eastAsia="zh-CN"/>
                    </w:rPr>
                    <w:t>）处理达到《污水综合排放标准》（GB8978-1996）三级标准后经污水管网排至龙眼井污水处理厂处理，处理达到《城镇污水处理厂污染物排放标准》（GB18918-2002）中一级A标准后排入琼江</w:t>
                  </w:r>
                  <w:r>
                    <w:rPr>
                      <w:rFonts w:hint="eastAsia" w:ascii="Times New Roman" w:hAnsi="Times New Roman" w:cs="Times New Roman"/>
                      <w:color w:val="auto"/>
                      <w:sz w:val="21"/>
                      <w:szCs w:val="21"/>
                      <w:highlight w:val="none"/>
                      <w:lang w:val="en-US" w:eastAsia="zh-CN"/>
                    </w:rPr>
                    <w:t>。</w:t>
                  </w:r>
                </w:p>
              </w:tc>
              <w:tc>
                <w:tcPr>
                  <w:tcW w:w="449" w:type="pct"/>
                  <w:tcBorders>
                    <w:tl2br w:val="nil"/>
                    <w:tr2bl w:val="nil"/>
                  </w:tcBorders>
                  <w:shd w:val="clear" w:color="auto" w:fill="auto"/>
                  <w:vAlign w:val="center"/>
                </w:tcPr>
                <w:p w14:paraId="0E659912">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符合</w:t>
                  </w:r>
                </w:p>
              </w:tc>
            </w:tr>
            <w:tr w14:paraId="5A15F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vMerge w:val="restart"/>
                  <w:tcBorders>
                    <w:tl2br w:val="nil"/>
                    <w:tr2bl w:val="nil"/>
                  </w:tcBorders>
                  <w:shd w:val="clear" w:color="auto" w:fill="auto"/>
                  <w:vAlign w:val="center"/>
                </w:tcPr>
                <w:p w14:paraId="071019B0">
                  <w:pPr>
                    <w:pStyle w:val="94"/>
                    <w:bidi w:val="0"/>
                    <w:ind w:firstLine="0" w:firstLineChars="0"/>
                    <w:rPr>
                      <w:rFonts w:hint="default"/>
                      <w:color w:val="auto"/>
                      <w:highlight w:val="none"/>
                      <w:lang w:val="en-US" w:eastAsia="zh-CN"/>
                    </w:rPr>
                  </w:pPr>
                  <w:r>
                    <w:rPr>
                      <w:rFonts w:hint="eastAsia"/>
                      <w:color w:val="auto"/>
                      <w:highlight w:val="none"/>
                      <w:lang w:eastAsia="zh-CN"/>
                    </w:rPr>
                    <w:t>《四川省人民政府关于印发</w:t>
                  </w:r>
                  <w:r>
                    <w:rPr>
                      <w:rFonts w:hint="eastAsia"/>
                      <w:color w:val="auto"/>
                      <w:highlight w:val="none"/>
                      <w:lang w:val="en-US" w:eastAsia="zh-CN"/>
                    </w:rPr>
                    <w:t>&lt;</w:t>
                  </w:r>
                  <w:r>
                    <w:rPr>
                      <w:rFonts w:hint="eastAsia"/>
                      <w:color w:val="auto"/>
                      <w:highlight w:val="none"/>
                      <w:lang w:eastAsia="zh-CN"/>
                    </w:rPr>
                    <w:t>四川省空气质量持续改善行动计划实施方案</w:t>
                  </w:r>
                  <w:r>
                    <w:rPr>
                      <w:rFonts w:hint="eastAsia"/>
                      <w:color w:val="auto"/>
                      <w:highlight w:val="none"/>
                      <w:lang w:val="en-US" w:eastAsia="zh-CN"/>
                    </w:rPr>
                    <w:t>&gt;</w:t>
                  </w:r>
                  <w:r>
                    <w:rPr>
                      <w:rFonts w:hint="eastAsia"/>
                      <w:color w:val="auto"/>
                      <w:highlight w:val="none"/>
                      <w:lang w:eastAsia="zh-CN"/>
                    </w:rPr>
                    <w:t>的通知》川府发〔2024〕15号</w:t>
                  </w:r>
                </w:p>
              </w:tc>
              <w:tc>
                <w:tcPr>
                  <w:tcW w:w="2465" w:type="pct"/>
                  <w:tcBorders>
                    <w:tl2br w:val="nil"/>
                    <w:tr2bl w:val="nil"/>
                  </w:tcBorders>
                  <w:shd w:val="clear" w:color="auto" w:fill="auto"/>
                  <w:vAlign w:val="center"/>
                </w:tcPr>
                <w:p w14:paraId="752908D8">
                  <w:pPr>
                    <w:pStyle w:val="94"/>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(七)严控煤炭消费总量。重点削减非电用煤，到2025年，全省原煤消费量控制在7000万吨以内</w:t>
                  </w:r>
                  <w:r>
                    <w:rPr>
                      <w:rFonts w:hint="eastAsia" w:cs="Times New Roman"/>
                      <w:bCs/>
                      <w:color w:val="auto"/>
                      <w:kern w:val="2"/>
                      <w:sz w:val="21"/>
                      <w:szCs w:val="21"/>
                      <w:highlight w:val="none"/>
                      <w:lang w:val="en-US" w:eastAsia="zh-CN" w:bidi="ar-SA"/>
                    </w:rPr>
                    <w:t>，</w:t>
                  </w:r>
                  <w:r>
                    <w:rPr>
                      <w:rFonts w:hint="eastAsia" w:ascii="Times New Roman" w:hAnsi="Times New Roman" w:eastAsia="宋体" w:cs="Times New Roman"/>
                      <w:bCs/>
                      <w:color w:val="auto"/>
                      <w:kern w:val="2"/>
                      <w:sz w:val="21"/>
                      <w:szCs w:val="21"/>
                      <w:highlight w:val="none"/>
                      <w:lang w:val="en-US" w:eastAsia="zh-CN" w:bidi="ar-SA"/>
                    </w:rPr>
                    <w:t>实现煤炭消费量达峰。新改扩建用煤项目</w:t>
                  </w:r>
                  <w:r>
                    <w:rPr>
                      <w:rFonts w:hint="eastAsia" w:cs="Times New Roman"/>
                      <w:bCs/>
                      <w:color w:val="auto"/>
                      <w:kern w:val="2"/>
                      <w:sz w:val="21"/>
                      <w:szCs w:val="21"/>
                      <w:highlight w:val="none"/>
                      <w:lang w:val="en-US" w:eastAsia="zh-CN" w:bidi="ar-SA"/>
                    </w:rPr>
                    <w:t>，</w:t>
                  </w:r>
                  <w:r>
                    <w:rPr>
                      <w:rFonts w:hint="eastAsia" w:ascii="Times New Roman" w:hAnsi="Times New Roman" w:eastAsia="宋体" w:cs="Times New Roman"/>
                      <w:bCs/>
                      <w:color w:val="auto"/>
                      <w:kern w:val="2"/>
                      <w:sz w:val="21"/>
                      <w:szCs w:val="21"/>
                      <w:highlight w:val="none"/>
                      <w:lang w:val="en-US" w:eastAsia="zh-CN" w:bidi="ar-SA"/>
                    </w:rPr>
                    <w:t>依法实行煤炭等量或减量替代,替代方案不完善的不予审批</w:t>
                  </w:r>
                  <w:r>
                    <w:rPr>
                      <w:rFonts w:hint="eastAsia" w:cs="Times New Roman"/>
                      <w:bCs/>
                      <w:color w:val="auto"/>
                      <w:kern w:val="2"/>
                      <w:sz w:val="21"/>
                      <w:szCs w:val="21"/>
                      <w:highlight w:val="none"/>
                      <w:lang w:val="en-US" w:eastAsia="zh-CN" w:bidi="ar-SA"/>
                    </w:rPr>
                    <w:t>；</w:t>
                  </w:r>
                  <w:r>
                    <w:rPr>
                      <w:rFonts w:hint="eastAsia" w:ascii="Times New Roman" w:hAnsi="Times New Roman" w:eastAsia="宋体" w:cs="Times New Roman"/>
                      <w:bCs/>
                      <w:color w:val="auto"/>
                      <w:kern w:val="2"/>
                      <w:sz w:val="21"/>
                      <w:szCs w:val="21"/>
                      <w:highlight w:val="none"/>
                      <w:lang w:val="en-US" w:eastAsia="zh-CN" w:bidi="ar-SA"/>
                    </w:rPr>
                    <w:t>不得将使用石油焦、焦炭、兰炭等高污染燃料作为煤炭减量替代措施。原则上不再新增自备燃煤机组，支持自备燃煤机组实施清洁能源替代。对支撑电力稳定供应、电网安全运行、清洁能源大规模并网消纳的煤电项目及其用煤量应予以合理保障。强化商品煤质量监管</w:t>
                  </w:r>
                  <w:r>
                    <w:rPr>
                      <w:rFonts w:hint="eastAsia" w:cs="Times New Roman"/>
                      <w:bCs/>
                      <w:color w:val="auto"/>
                      <w:kern w:val="2"/>
                      <w:sz w:val="21"/>
                      <w:szCs w:val="21"/>
                      <w:highlight w:val="none"/>
                      <w:lang w:val="en-US" w:eastAsia="zh-CN" w:bidi="ar-SA"/>
                    </w:rPr>
                    <w:t>，</w:t>
                  </w:r>
                  <w:r>
                    <w:rPr>
                      <w:rFonts w:hint="eastAsia" w:ascii="Times New Roman" w:hAnsi="Times New Roman" w:eastAsia="宋体" w:cs="Times New Roman"/>
                      <w:bCs/>
                      <w:color w:val="auto"/>
                      <w:kern w:val="2"/>
                      <w:sz w:val="21"/>
                      <w:szCs w:val="21"/>
                      <w:highlight w:val="none"/>
                      <w:lang w:val="en-US" w:eastAsia="zh-CN" w:bidi="ar-SA"/>
                    </w:rPr>
                    <w:t>防止劣质煤炭流入市场。</w:t>
                  </w:r>
                </w:p>
              </w:tc>
              <w:tc>
                <w:tcPr>
                  <w:tcW w:w="1354" w:type="pct"/>
                  <w:tcBorders>
                    <w:tl2br w:val="nil"/>
                    <w:tr2bl w:val="nil"/>
                  </w:tcBorders>
                  <w:shd w:val="clear" w:color="auto" w:fill="auto"/>
                  <w:vAlign w:val="center"/>
                </w:tcPr>
                <w:p w14:paraId="70DF84A6">
                  <w:pPr>
                    <w:pStyle w:val="94"/>
                    <w:bidi w:val="0"/>
                    <w:ind w:firstLine="0" w:firstLineChars="0"/>
                    <w:jc w:val="both"/>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highlight w:val="none"/>
                      <w:lang w:val="en-US" w:eastAsia="zh-CN"/>
                    </w:rPr>
                    <w:t>本项目使用能源主要为电能和天然气，不涉及使用煤炭等。</w:t>
                  </w:r>
                </w:p>
              </w:tc>
              <w:tc>
                <w:tcPr>
                  <w:tcW w:w="449" w:type="pct"/>
                  <w:tcBorders>
                    <w:tl2br w:val="nil"/>
                    <w:tr2bl w:val="nil"/>
                  </w:tcBorders>
                  <w:shd w:val="clear" w:color="auto" w:fill="auto"/>
                  <w:vAlign w:val="center"/>
                </w:tcPr>
                <w:p w14:paraId="0C0F15A2">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符合</w:t>
                  </w:r>
                </w:p>
              </w:tc>
            </w:tr>
            <w:tr w14:paraId="16D90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vMerge w:val="continue"/>
                  <w:tcBorders>
                    <w:tl2br w:val="nil"/>
                    <w:tr2bl w:val="nil"/>
                  </w:tcBorders>
                  <w:shd w:val="clear" w:color="auto" w:fill="auto"/>
                  <w:vAlign w:val="center"/>
                </w:tcPr>
                <w:p w14:paraId="7DA57251">
                  <w:pPr>
                    <w:pStyle w:val="94"/>
                    <w:bidi w:val="0"/>
                    <w:ind w:firstLine="0" w:firstLineChars="0"/>
                    <w:rPr>
                      <w:rFonts w:hint="eastAsia"/>
                      <w:color w:val="auto"/>
                      <w:highlight w:val="none"/>
                      <w:lang w:eastAsia="zh-CN"/>
                    </w:rPr>
                  </w:pPr>
                </w:p>
              </w:tc>
              <w:tc>
                <w:tcPr>
                  <w:tcW w:w="2465" w:type="pct"/>
                  <w:tcBorders>
                    <w:tl2br w:val="nil"/>
                    <w:tr2bl w:val="nil"/>
                  </w:tcBorders>
                  <w:shd w:val="clear" w:color="auto" w:fill="auto"/>
                  <w:vAlign w:val="center"/>
                </w:tcPr>
                <w:p w14:paraId="2418A6E4">
                  <w:pPr>
                    <w:pStyle w:val="94"/>
                    <w:bidi w:val="0"/>
                    <w:ind w:firstLine="0" w:firstLineChars="0"/>
                    <w:jc w:val="both"/>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(八)积极推进锅炉淘汰重点区域原则上不再新建燃煤锅炉</w:t>
                  </w:r>
                  <w:r>
                    <w:rPr>
                      <w:rFonts w:hint="default" w:ascii="Times New Roman" w:hAnsi="Times New Roman" w:eastAsia="宋体" w:cs="Times New Roman"/>
                      <w:bCs/>
                      <w:color w:val="auto"/>
                      <w:kern w:val="2"/>
                      <w:sz w:val="21"/>
                      <w:szCs w:val="21"/>
                      <w:highlight w:val="none"/>
                      <w:lang w:val="en-US" w:eastAsia="zh-CN" w:bidi="ar-SA"/>
                    </w:rPr>
                    <w:t>其余县级及以上城市建成区原则上不再新增</w:t>
                  </w:r>
                  <w:r>
                    <w:rPr>
                      <w:rFonts w:hint="eastAsia" w:ascii="Times New Roman" w:hAnsi="Times New Roman" w:cs="Times New Roman"/>
                      <w:bCs/>
                      <w:color w:val="auto"/>
                      <w:kern w:val="2"/>
                      <w:sz w:val="21"/>
                      <w:szCs w:val="21"/>
                      <w:highlight w:val="none"/>
                      <w:lang w:val="en-US" w:eastAsia="zh-CN" w:bidi="ar-SA"/>
                    </w:rPr>
                    <w:t>35</w:t>
                  </w:r>
                  <w:r>
                    <w:rPr>
                      <w:rFonts w:hint="default" w:ascii="Times New Roman" w:hAnsi="Times New Roman" w:eastAsia="宋体" w:cs="Times New Roman"/>
                      <w:bCs/>
                      <w:color w:val="auto"/>
                      <w:kern w:val="2"/>
                      <w:sz w:val="21"/>
                      <w:szCs w:val="21"/>
                      <w:highlight w:val="none"/>
                      <w:lang w:val="en-US" w:eastAsia="zh-CN" w:bidi="ar-SA"/>
                    </w:rPr>
                    <w:t>蒸吨/小时及</w:t>
                  </w:r>
                </w:p>
                <w:p w14:paraId="77268BAD">
                  <w:pPr>
                    <w:pStyle w:val="94"/>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以下燃煤锅炉淘汰</w:t>
                  </w:r>
                  <w:r>
                    <w:rPr>
                      <w:rFonts w:hint="eastAsia" w:ascii="Times New Roman" w:hAnsi="Times New Roman"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lang w:val="en-US" w:eastAsia="zh-CN" w:bidi="ar-SA"/>
                    </w:rPr>
                    <w:t>蒸吨/小时及以下燃煤锅炉和</w:t>
                  </w:r>
                  <w:r>
                    <w:rPr>
                      <w:rFonts w:hint="eastAsia" w:ascii="Times New Roman" w:hAnsi="Times New Roman" w:cs="Times New Roman"/>
                      <w:bCs/>
                      <w:color w:val="auto"/>
                      <w:kern w:val="2"/>
                      <w:sz w:val="21"/>
                      <w:szCs w:val="21"/>
                      <w:highlight w:val="none"/>
                      <w:lang w:val="en-US" w:eastAsia="zh-CN" w:bidi="ar-SA"/>
                    </w:rPr>
                    <w:t>2</w:t>
                  </w:r>
                  <w:r>
                    <w:rPr>
                      <w:rFonts w:hint="default" w:ascii="Times New Roman" w:hAnsi="Times New Roman" w:eastAsia="宋体" w:cs="Times New Roman"/>
                      <w:bCs/>
                      <w:color w:val="auto"/>
                      <w:kern w:val="2"/>
                      <w:sz w:val="21"/>
                      <w:szCs w:val="21"/>
                      <w:highlight w:val="none"/>
                      <w:lang w:val="en-US" w:eastAsia="zh-CN" w:bidi="ar-SA"/>
                    </w:rPr>
                    <w:t>蒸吨/小时及以下生物质锅炉加快推进</w:t>
                  </w:r>
                  <w:r>
                    <w:rPr>
                      <w:rFonts w:hint="eastAsia" w:ascii="Times New Roman" w:hAnsi="Times New Roman" w:cs="Times New Roman"/>
                      <w:bCs/>
                      <w:color w:val="auto"/>
                      <w:kern w:val="2"/>
                      <w:sz w:val="21"/>
                      <w:szCs w:val="21"/>
                      <w:highlight w:val="none"/>
                      <w:lang w:val="en-US" w:eastAsia="zh-CN" w:bidi="ar-SA"/>
                    </w:rPr>
                    <w:t>35</w:t>
                  </w:r>
                  <w:r>
                    <w:rPr>
                      <w:rFonts w:hint="default" w:ascii="Times New Roman" w:hAnsi="Times New Roman" w:eastAsia="宋体" w:cs="Times New Roman"/>
                      <w:bCs/>
                      <w:color w:val="auto"/>
                      <w:kern w:val="2"/>
                      <w:sz w:val="21"/>
                      <w:szCs w:val="21"/>
                      <w:highlight w:val="none"/>
                      <w:lang w:val="en-US" w:eastAsia="zh-CN" w:bidi="ar-SA"/>
                    </w:rPr>
                    <w:t>蒸吨/小时及以下的燃煤锅炉及茶水炉、经营性炉灶、储粮烘干设备、农产品加工等燃煤设施淘汰重点区域城市建成区到</w:t>
                  </w:r>
                  <w:r>
                    <w:rPr>
                      <w:rFonts w:hint="eastAsia" w:ascii="Times New Roman" w:hAnsi="Times New Roman" w:cs="Times New Roman"/>
                      <w:bCs/>
                      <w:color w:val="auto"/>
                      <w:kern w:val="2"/>
                      <w:sz w:val="21"/>
                      <w:szCs w:val="21"/>
                      <w:highlight w:val="none"/>
                      <w:lang w:val="en-US" w:eastAsia="zh-CN" w:bidi="ar-SA"/>
                    </w:rPr>
                    <w:t>2025</w:t>
                  </w:r>
                  <w:r>
                    <w:rPr>
                      <w:rFonts w:hint="default" w:ascii="Times New Roman" w:hAnsi="Times New Roman" w:eastAsia="宋体" w:cs="Times New Roman"/>
                      <w:bCs/>
                      <w:color w:val="auto"/>
                      <w:kern w:val="2"/>
                      <w:sz w:val="21"/>
                      <w:szCs w:val="21"/>
                      <w:highlight w:val="none"/>
                      <w:lang w:val="en-US" w:eastAsia="zh-CN" w:bidi="ar-SA"/>
                    </w:rPr>
                    <w:t>年基本完成加快热力管网建设推进</w:t>
                  </w:r>
                  <w:r>
                    <w:rPr>
                      <w:rFonts w:hint="eastAsia" w:ascii="Times New Roman" w:hAnsi="Times New Roman" w:cs="Times New Roman"/>
                      <w:bCs/>
                      <w:color w:val="auto"/>
                      <w:kern w:val="2"/>
                      <w:sz w:val="21"/>
                      <w:szCs w:val="21"/>
                      <w:highlight w:val="none"/>
                      <w:lang w:val="en-US" w:eastAsia="zh-CN" w:bidi="ar-SA"/>
                    </w:rPr>
                    <w:t>30</w:t>
                  </w:r>
                  <w:r>
                    <w:rPr>
                      <w:rFonts w:hint="default" w:ascii="Times New Roman" w:hAnsi="Times New Roman" w:eastAsia="宋体" w:cs="Times New Roman"/>
                      <w:bCs/>
                      <w:color w:val="auto"/>
                      <w:kern w:val="2"/>
                      <w:sz w:val="21"/>
                      <w:szCs w:val="21"/>
                      <w:highlight w:val="none"/>
                      <w:lang w:val="en-US" w:eastAsia="zh-CN" w:bidi="ar-SA"/>
                    </w:rPr>
                    <w:t>万千瓦及以上热电联产电厂供热半径</w:t>
                  </w:r>
                  <w:r>
                    <w:rPr>
                      <w:rFonts w:hint="eastAsia" w:ascii="Times New Roman" w:hAnsi="Times New Roman" w:cs="Times New Roman"/>
                      <w:bCs/>
                      <w:color w:val="auto"/>
                      <w:kern w:val="2"/>
                      <w:sz w:val="21"/>
                      <w:szCs w:val="21"/>
                      <w:highlight w:val="none"/>
                      <w:lang w:val="en-US" w:eastAsia="zh-CN" w:bidi="ar-SA"/>
                    </w:rPr>
                    <w:t>30</w:t>
                  </w:r>
                  <w:r>
                    <w:rPr>
                      <w:rFonts w:hint="default" w:ascii="Times New Roman" w:hAnsi="Times New Roman" w:eastAsia="宋体" w:cs="Times New Roman"/>
                      <w:bCs/>
                      <w:color w:val="auto"/>
                      <w:kern w:val="2"/>
                      <w:sz w:val="21"/>
                      <w:szCs w:val="21"/>
                      <w:highlight w:val="none"/>
                      <w:lang w:val="en-US" w:eastAsia="zh-CN" w:bidi="ar-SA"/>
                    </w:rPr>
                    <w:t>公里范围内的燃煤锅炉和落后燃煤小热电机组(含</w:t>
                  </w:r>
                  <w:r>
                    <w:rPr>
                      <w:rFonts w:hint="eastAsia" w:ascii="Times New Roman" w:hAnsi="Times New Roman" w:eastAsia="宋体" w:cs="Times New Roman"/>
                      <w:bCs/>
                      <w:color w:val="auto"/>
                      <w:kern w:val="2"/>
                      <w:sz w:val="21"/>
                      <w:szCs w:val="21"/>
                      <w:highlight w:val="none"/>
                      <w:lang w:val="en-US" w:eastAsia="zh-CN" w:bidi="ar-SA"/>
                    </w:rPr>
                    <w:t>自备电厂)关停或整合</w:t>
                  </w:r>
                  <w:r>
                    <w:rPr>
                      <w:rFonts w:hint="eastAsia" w:cs="Times New Roman"/>
                      <w:bCs/>
                      <w:color w:val="auto"/>
                      <w:kern w:val="2"/>
                      <w:sz w:val="21"/>
                      <w:szCs w:val="21"/>
                      <w:highlight w:val="none"/>
                      <w:lang w:val="en-US" w:eastAsia="zh-CN" w:bidi="ar-SA"/>
                    </w:rPr>
                    <w:t>。</w:t>
                  </w:r>
                </w:p>
              </w:tc>
              <w:tc>
                <w:tcPr>
                  <w:tcW w:w="1354" w:type="pct"/>
                  <w:tcBorders>
                    <w:tl2br w:val="nil"/>
                    <w:tr2bl w:val="nil"/>
                  </w:tcBorders>
                  <w:shd w:val="clear" w:color="auto" w:fill="auto"/>
                  <w:vAlign w:val="center"/>
                </w:tcPr>
                <w:p w14:paraId="5903AA70">
                  <w:pPr>
                    <w:pStyle w:val="94"/>
                    <w:bidi w:val="0"/>
                    <w:ind w:firstLine="0" w:firstLineChars="0"/>
                    <w:jc w:val="both"/>
                    <w:rPr>
                      <w:rFonts w:hint="eastAsia" w:cs="Times New Roman"/>
                      <w:color w:val="auto"/>
                      <w:sz w:val="21"/>
                      <w:highlight w:val="none"/>
                      <w:lang w:val="en-US" w:eastAsia="zh-CN"/>
                    </w:rPr>
                  </w:pPr>
                  <w:r>
                    <w:rPr>
                      <w:rFonts w:hint="eastAsia" w:cs="Times New Roman"/>
                      <w:color w:val="auto"/>
                      <w:sz w:val="21"/>
                      <w:highlight w:val="none"/>
                      <w:lang w:val="en-US" w:eastAsia="zh-CN"/>
                    </w:rPr>
                    <w:t>本项目不涉及燃煤锅炉，为天然气锅炉。</w:t>
                  </w:r>
                </w:p>
              </w:tc>
              <w:tc>
                <w:tcPr>
                  <w:tcW w:w="449" w:type="pct"/>
                  <w:tcBorders>
                    <w:tl2br w:val="nil"/>
                    <w:tr2bl w:val="nil"/>
                  </w:tcBorders>
                  <w:shd w:val="clear" w:color="auto" w:fill="auto"/>
                  <w:vAlign w:val="center"/>
                </w:tcPr>
                <w:p w14:paraId="30CD221B">
                  <w:pPr>
                    <w:pStyle w:val="94"/>
                    <w:bidi w:val="0"/>
                    <w:ind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符合</w:t>
                  </w:r>
                </w:p>
              </w:tc>
            </w:tr>
            <w:tr w14:paraId="4BFE5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vMerge w:val="continue"/>
                  <w:tcBorders>
                    <w:tl2br w:val="nil"/>
                    <w:tr2bl w:val="nil"/>
                  </w:tcBorders>
                  <w:shd w:val="clear" w:color="auto" w:fill="auto"/>
                  <w:vAlign w:val="center"/>
                </w:tcPr>
                <w:p w14:paraId="7EB6E56C">
                  <w:pPr>
                    <w:pStyle w:val="94"/>
                    <w:bidi w:val="0"/>
                    <w:ind w:firstLine="0" w:firstLineChars="0"/>
                    <w:rPr>
                      <w:rFonts w:hint="eastAsia"/>
                      <w:color w:val="auto"/>
                      <w:highlight w:val="none"/>
                      <w:lang w:eastAsia="zh-CN"/>
                    </w:rPr>
                  </w:pPr>
                </w:p>
              </w:tc>
              <w:tc>
                <w:tcPr>
                  <w:tcW w:w="2465" w:type="pct"/>
                  <w:tcBorders>
                    <w:tl2br w:val="nil"/>
                    <w:tr2bl w:val="nil"/>
                  </w:tcBorders>
                  <w:shd w:val="clear" w:color="auto" w:fill="auto"/>
                  <w:vAlign w:val="center"/>
                </w:tcPr>
                <w:p w14:paraId="389FD3FE">
                  <w:pPr>
                    <w:pStyle w:val="94"/>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(九)加快工业炉窑清洁化改造。重点区域原则上不再新增燃料类煤气发生炉</w:t>
                  </w:r>
                  <w:r>
                    <w:rPr>
                      <w:rFonts w:hint="eastAsia" w:cs="Times New Roman"/>
                      <w:bCs/>
                      <w:color w:val="auto"/>
                      <w:kern w:val="2"/>
                      <w:sz w:val="21"/>
                      <w:szCs w:val="21"/>
                      <w:highlight w:val="none"/>
                      <w:lang w:val="en-US" w:eastAsia="zh-CN" w:bidi="ar-SA"/>
                    </w:rPr>
                    <w:t>，</w:t>
                  </w:r>
                  <w:r>
                    <w:rPr>
                      <w:rFonts w:hint="eastAsia" w:ascii="Times New Roman" w:hAnsi="Times New Roman" w:eastAsia="宋体" w:cs="Times New Roman"/>
                      <w:bCs/>
                      <w:color w:val="auto"/>
                      <w:kern w:val="2"/>
                      <w:sz w:val="21"/>
                      <w:szCs w:val="21"/>
                      <w:highlight w:val="none"/>
                      <w:lang w:val="en-US" w:eastAsia="zh-CN" w:bidi="ar-SA"/>
                    </w:rPr>
                    <w:t>现有燃料类煤气发生炉实行清洁能源替代</w:t>
                  </w:r>
                  <w:r>
                    <w:rPr>
                      <w:rFonts w:hint="eastAsia" w:cs="Times New Roman"/>
                      <w:bCs/>
                      <w:color w:val="auto"/>
                      <w:kern w:val="2"/>
                      <w:sz w:val="21"/>
                      <w:szCs w:val="21"/>
                      <w:highlight w:val="none"/>
                      <w:lang w:val="en-US" w:eastAsia="zh-CN" w:bidi="ar-SA"/>
                    </w:rPr>
                    <w:t>，</w:t>
                  </w:r>
                  <w:r>
                    <w:rPr>
                      <w:rFonts w:hint="eastAsia" w:ascii="Times New Roman" w:hAnsi="Times New Roman" w:eastAsia="宋体" w:cs="Times New Roman"/>
                      <w:bCs/>
                      <w:color w:val="auto"/>
                      <w:kern w:val="2"/>
                      <w:sz w:val="21"/>
                      <w:szCs w:val="21"/>
                      <w:highlight w:val="none"/>
                      <w:lang w:val="en-US" w:eastAsia="zh-CN" w:bidi="ar-SA"/>
                    </w:rPr>
                    <w:t>或因地制宜采取园区(集群)集中供气、分散使用方式</w:t>
                  </w:r>
                  <w:r>
                    <w:rPr>
                      <w:rFonts w:hint="eastAsia" w:cs="Times New Roman"/>
                      <w:bCs/>
                      <w:color w:val="auto"/>
                      <w:kern w:val="2"/>
                      <w:sz w:val="21"/>
                      <w:szCs w:val="21"/>
                      <w:highlight w:val="none"/>
                      <w:lang w:val="en-US" w:eastAsia="zh-CN" w:bidi="ar-SA"/>
                    </w:rPr>
                    <w:t>；</w:t>
                  </w:r>
                  <w:r>
                    <w:rPr>
                      <w:rFonts w:hint="eastAsia" w:ascii="Times New Roman" w:hAnsi="Times New Roman" w:eastAsia="宋体" w:cs="Times New Roman"/>
                      <w:bCs/>
                      <w:color w:val="auto"/>
                      <w:kern w:val="2"/>
                      <w:sz w:val="21"/>
                      <w:szCs w:val="21"/>
                      <w:highlight w:val="none"/>
                      <w:lang w:val="en-US" w:eastAsia="zh-CN" w:bidi="ar-SA"/>
                    </w:rPr>
                    <w:t>逐步淘汰固定床间歇式煤气发生炉。新改扩建加热炉、热处理炉、干燥炉、熔化炉原则上采用清洁低碳能源</w:t>
                  </w:r>
                  <w:r>
                    <w:rPr>
                      <w:rFonts w:hint="eastAsia" w:cs="Times New Roman"/>
                      <w:bCs/>
                      <w:color w:val="auto"/>
                      <w:kern w:val="2"/>
                      <w:sz w:val="21"/>
                      <w:szCs w:val="21"/>
                      <w:highlight w:val="none"/>
                      <w:lang w:val="en-US" w:eastAsia="zh-CN" w:bidi="ar-SA"/>
                    </w:rPr>
                    <w:t>，</w:t>
                  </w:r>
                  <w:r>
                    <w:rPr>
                      <w:rFonts w:hint="eastAsia" w:ascii="Times New Roman" w:hAnsi="Times New Roman" w:eastAsia="宋体" w:cs="Times New Roman"/>
                      <w:bCs/>
                      <w:color w:val="auto"/>
                      <w:kern w:val="2"/>
                      <w:sz w:val="21"/>
                      <w:szCs w:val="21"/>
                      <w:highlight w:val="none"/>
                      <w:lang w:val="en-US" w:eastAsia="zh-CN" w:bidi="ar-SA"/>
                    </w:rPr>
                    <w:t>安全稳妥推进使用高污染燃料的工业炉窑改用工业余热、电能、天然气等。持续抓好燃煤(油、柴、气)锅炉密炉电能替代传统项目</w:t>
                  </w:r>
                  <w:r>
                    <w:rPr>
                      <w:rFonts w:hint="eastAsia" w:cs="Times New Roman"/>
                      <w:bCs/>
                      <w:color w:val="auto"/>
                      <w:kern w:val="2"/>
                      <w:sz w:val="21"/>
                      <w:szCs w:val="21"/>
                      <w:highlight w:val="none"/>
                      <w:lang w:val="en-US" w:eastAsia="zh-CN" w:bidi="ar-SA"/>
                    </w:rPr>
                    <w:t>，</w:t>
                  </w:r>
                  <w:r>
                    <w:rPr>
                      <w:rFonts w:hint="eastAsia" w:ascii="Times New Roman" w:hAnsi="Times New Roman" w:eastAsia="宋体" w:cs="Times New Roman"/>
                      <w:bCs/>
                      <w:color w:val="auto"/>
                      <w:kern w:val="2"/>
                      <w:sz w:val="21"/>
                      <w:szCs w:val="21"/>
                      <w:highlight w:val="none"/>
                      <w:lang w:val="en-US" w:eastAsia="zh-CN" w:bidi="ar-SA"/>
                    </w:rPr>
                    <w:t>重点做好“电烤烟”“电制茶”页岩气开采“以电代油”等电能替代示范项目。到2025年，力争完成80%的集中式烤烟房煤改电改造，全省电制茶比例达到80%</w:t>
                  </w:r>
                  <w:r>
                    <w:rPr>
                      <w:rFonts w:hint="eastAsia" w:cs="Times New Roman"/>
                      <w:bCs/>
                      <w:color w:val="auto"/>
                      <w:kern w:val="2"/>
                      <w:sz w:val="21"/>
                      <w:szCs w:val="21"/>
                      <w:highlight w:val="none"/>
                      <w:lang w:val="en-US" w:eastAsia="zh-CN" w:bidi="ar-SA"/>
                    </w:rPr>
                    <w:t>。</w:t>
                  </w:r>
                </w:p>
              </w:tc>
              <w:tc>
                <w:tcPr>
                  <w:tcW w:w="1354" w:type="pct"/>
                  <w:tcBorders>
                    <w:tl2br w:val="nil"/>
                    <w:tr2bl w:val="nil"/>
                  </w:tcBorders>
                  <w:shd w:val="clear" w:color="auto" w:fill="auto"/>
                  <w:vAlign w:val="center"/>
                </w:tcPr>
                <w:p w14:paraId="527AD414">
                  <w:pPr>
                    <w:pStyle w:val="94"/>
                    <w:bidi w:val="0"/>
                    <w:ind w:firstLine="0" w:firstLineChars="0"/>
                    <w:jc w:val="both"/>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本项目不涉及工业炉窑，拟设天然气锅炉。</w:t>
                  </w:r>
                </w:p>
              </w:tc>
              <w:tc>
                <w:tcPr>
                  <w:tcW w:w="449" w:type="pct"/>
                  <w:tcBorders>
                    <w:tl2br w:val="nil"/>
                    <w:tr2bl w:val="nil"/>
                  </w:tcBorders>
                  <w:shd w:val="clear" w:color="auto" w:fill="auto"/>
                  <w:vAlign w:val="center"/>
                </w:tcPr>
                <w:p w14:paraId="46D9F3E6">
                  <w:pPr>
                    <w:pStyle w:val="94"/>
                    <w:bidi w:val="0"/>
                    <w:ind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符合</w:t>
                  </w:r>
                </w:p>
              </w:tc>
            </w:tr>
            <w:tr w14:paraId="60C2F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vMerge w:val="restart"/>
                  <w:tcBorders>
                    <w:tl2br w:val="nil"/>
                    <w:tr2bl w:val="nil"/>
                  </w:tcBorders>
                  <w:shd w:val="clear" w:color="auto" w:fill="auto"/>
                  <w:vAlign w:val="center"/>
                </w:tcPr>
                <w:p w14:paraId="572B4BEC">
                  <w:pPr>
                    <w:pStyle w:val="94"/>
                    <w:bidi w:val="0"/>
                    <w:ind w:firstLine="0" w:firstLineChars="0"/>
                    <w:rPr>
                      <w:rFonts w:hint="eastAsia"/>
                      <w:color w:val="auto"/>
                      <w:highlight w:val="none"/>
                      <w:lang w:eastAsia="zh-CN"/>
                    </w:rPr>
                  </w:pPr>
                  <w:r>
                    <w:rPr>
                      <w:rFonts w:hint="eastAsia"/>
                      <w:color w:val="auto"/>
                      <w:highlight w:val="none"/>
                      <w:lang w:eastAsia="zh-CN"/>
                    </w:rPr>
                    <w:t>《遂宁市“十四五”生态环境保护规划》</w:t>
                  </w:r>
                </w:p>
              </w:tc>
              <w:tc>
                <w:tcPr>
                  <w:tcW w:w="2465" w:type="pct"/>
                  <w:tcBorders>
                    <w:tl2br w:val="nil"/>
                    <w:tr2bl w:val="nil"/>
                  </w:tcBorders>
                  <w:shd w:val="clear" w:color="auto" w:fill="auto"/>
                  <w:vAlign w:val="center"/>
                </w:tcPr>
                <w:p w14:paraId="578F91B5">
                  <w:pPr>
                    <w:pStyle w:val="94"/>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压减煤炭消费总量。提速煤炭减量步伐，实施煤改电、煤改气等工程，严格实施煤炭消费减量替代，制定煤炭消费压减方案，实现全市煤炭消费总量及比重持续下降。禁止新建35蒸吨/小时及以下燃煤锅炉，对新建35蒸吨/小时以上的燃煤锅炉严格执行煤炭减量替代办法。新建生物质锅炉不得掺烧煤炭等化石燃料。</w:t>
                  </w:r>
                </w:p>
                <w:p w14:paraId="759693B3">
                  <w:pPr>
                    <w:pStyle w:val="94"/>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实施终端用能清洁化替代。完善清洁能源推广和提效政策，推行国际先进的能效标准，加快工业、建筑、交通等各用能领域电气化、智能化发展，推行清洁能源替代。按照集中使用、清洁利用原则，重点削减小型燃煤锅炉、民用散煤与农业用煤消费量。对以煤炭为燃料的锅炉和工业炉窑，实施清洁低碳能源、电力等替代。实施乡村清洁能源建设工程。加大农村电网建设力度，全面巩固提升农村电力保障水平。推进燃气下乡，支持建设安全可靠的乡村储气罐站和微管网供气系统。推动煤炭等化石能源清洁高效利用。发展农村生物质能源</w:t>
                  </w:r>
                </w:p>
              </w:tc>
              <w:tc>
                <w:tcPr>
                  <w:tcW w:w="1354" w:type="pct"/>
                  <w:tcBorders>
                    <w:tl2br w:val="nil"/>
                    <w:tr2bl w:val="nil"/>
                  </w:tcBorders>
                  <w:shd w:val="clear" w:color="auto" w:fill="auto"/>
                  <w:vAlign w:val="center"/>
                </w:tcPr>
                <w:p w14:paraId="72F3FEB4">
                  <w:pPr>
                    <w:pStyle w:val="94"/>
                    <w:bidi w:val="0"/>
                    <w:ind w:firstLine="0" w:firstLineChars="0"/>
                    <w:jc w:val="both"/>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本项目使用能源主要为电能和天然气，不涉及使用煤炭等</w:t>
                  </w:r>
                  <w:r>
                    <w:rPr>
                      <w:rFonts w:hint="eastAsia" w:cs="Times New Roman"/>
                      <w:color w:val="auto"/>
                      <w:highlight w:val="none"/>
                      <w:lang w:val="en-US" w:eastAsia="zh-CN"/>
                    </w:rPr>
                    <w:t>，拟设天然气锅炉</w:t>
                  </w:r>
                  <w:r>
                    <w:rPr>
                      <w:rFonts w:hint="default" w:ascii="Times New Roman" w:hAnsi="Times New Roman" w:cs="Times New Roman"/>
                      <w:color w:val="auto"/>
                      <w:highlight w:val="none"/>
                      <w:lang w:val="en-US"/>
                    </w:rPr>
                    <w:t>。</w:t>
                  </w:r>
                </w:p>
              </w:tc>
              <w:tc>
                <w:tcPr>
                  <w:tcW w:w="449" w:type="pct"/>
                  <w:tcBorders>
                    <w:tl2br w:val="nil"/>
                    <w:tr2bl w:val="nil"/>
                  </w:tcBorders>
                  <w:shd w:val="clear" w:color="auto" w:fill="auto"/>
                  <w:vAlign w:val="center"/>
                </w:tcPr>
                <w:p w14:paraId="624A49CC">
                  <w:pPr>
                    <w:pStyle w:val="94"/>
                    <w:bidi w:val="0"/>
                    <w:ind w:firstLine="0" w:firstLineChars="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符合</w:t>
                  </w:r>
                </w:p>
              </w:tc>
            </w:tr>
            <w:tr w14:paraId="4FE81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vMerge w:val="continue"/>
                  <w:tcBorders>
                    <w:tl2br w:val="nil"/>
                    <w:tr2bl w:val="nil"/>
                  </w:tcBorders>
                  <w:shd w:val="clear" w:color="auto" w:fill="auto"/>
                  <w:vAlign w:val="center"/>
                </w:tcPr>
                <w:p w14:paraId="25ABEA92">
                  <w:pPr>
                    <w:pStyle w:val="94"/>
                    <w:bidi w:val="0"/>
                    <w:ind w:firstLine="0" w:firstLineChars="0"/>
                    <w:rPr>
                      <w:rFonts w:hint="eastAsia"/>
                      <w:color w:val="auto"/>
                      <w:highlight w:val="none"/>
                      <w:lang w:eastAsia="zh-CN"/>
                    </w:rPr>
                  </w:pPr>
                </w:p>
              </w:tc>
              <w:tc>
                <w:tcPr>
                  <w:tcW w:w="2465" w:type="pct"/>
                  <w:tcBorders>
                    <w:tl2br w:val="nil"/>
                    <w:tr2bl w:val="nil"/>
                  </w:tcBorders>
                  <w:shd w:val="clear" w:color="auto" w:fill="auto"/>
                  <w:vAlign w:val="center"/>
                </w:tcPr>
                <w:p w14:paraId="0A83237F">
                  <w:pPr>
                    <w:pStyle w:val="94"/>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大力推进重点行业VOCs治理。严格新增VOCs排放建设项目环境准入，更新、优化VOCs和NOx排放清单，制定NOx与VOCs协同减排计划，建立VOCs治理台账，加快推进整改。突出抓好化工、涂装、包装印刷、油品储运销等行业（领域）关键环节VOCs治理突出问题排查整治，推进建设高效治污设施，深入推行“一厂一策”，提高VOCs治理效率。</w:t>
                  </w:r>
                </w:p>
              </w:tc>
              <w:tc>
                <w:tcPr>
                  <w:tcW w:w="1354" w:type="pct"/>
                  <w:tcBorders>
                    <w:tl2br w:val="nil"/>
                    <w:tr2bl w:val="nil"/>
                  </w:tcBorders>
                  <w:shd w:val="clear" w:color="auto" w:fill="auto"/>
                  <w:vAlign w:val="center"/>
                </w:tcPr>
                <w:p w14:paraId="25D854A6">
                  <w:pPr>
                    <w:pStyle w:val="94"/>
                    <w:bidi w:val="0"/>
                    <w:ind w:firstLine="0" w:firstLineChars="0"/>
                    <w:jc w:val="both"/>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本项目不涉及VOCs的排放。</w:t>
                  </w:r>
                </w:p>
              </w:tc>
              <w:tc>
                <w:tcPr>
                  <w:tcW w:w="449" w:type="pct"/>
                  <w:tcBorders>
                    <w:tl2br w:val="nil"/>
                    <w:tr2bl w:val="nil"/>
                  </w:tcBorders>
                  <w:shd w:val="clear" w:color="auto" w:fill="auto"/>
                  <w:vAlign w:val="center"/>
                </w:tcPr>
                <w:p w14:paraId="6782F71A">
                  <w:pPr>
                    <w:pStyle w:val="94"/>
                    <w:bidi w:val="0"/>
                    <w:ind w:firstLine="0" w:firstLineChars="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符合</w:t>
                  </w:r>
                </w:p>
              </w:tc>
            </w:tr>
            <w:tr w14:paraId="6D8A0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vMerge w:val="continue"/>
                  <w:tcBorders>
                    <w:tl2br w:val="nil"/>
                    <w:tr2bl w:val="nil"/>
                  </w:tcBorders>
                  <w:shd w:val="clear" w:color="auto" w:fill="auto"/>
                  <w:vAlign w:val="center"/>
                </w:tcPr>
                <w:p w14:paraId="3944462C">
                  <w:pPr>
                    <w:pStyle w:val="94"/>
                    <w:bidi w:val="0"/>
                    <w:ind w:firstLine="0" w:firstLineChars="0"/>
                    <w:rPr>
                      <w:rFonts w:hint="eastAsia"/>
                      <w:color w:val="auto"/>
                      <w:highlight w:val="none"/>
                      <w:lang w:eastAsia="zh-CN"/>
                    </w:rPr>
                  </w:pPr>
                </w:p>
              </w:tc>
              <w:tc>
                <w:tcPr>
                  <w:tcW w:w="2465" w:type="pct"/>
                  <w:tcBorders>
                    <w:tl2br w:val="nil"/>
                    <w:tr2bl w:val="nil"/>
                  </w:tcBorders>
                  <w:shd w:val="clear" w:color="auto" w:fill="auto"/>
                  <w:vAlign w:val="center"/>
                </w:tcPr>
                <w:p w14:paraId="136D633A">
                  <w:pPr>
                    <w:pStyle w:val="94"/>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强化大气面源污染治理。全面加强各类施工工地、道路、工业企业料场堆场扬尘精细化管控。在县（市、区）城市范围内试点推行绿色施工，将绿色施工纳入企业资质评价。严格落实建筑施工“六个百分百”，道路等线性工程科学有序施工。加大城市出入口、城乡接合部、支路街巷等道路冲洗保洁力度，提高机械化清扫率和洒水率，扩大主次干道深度保洁覆盖范围，实施道路分类保洁分级作业方式。落实餐饮油烟系统治理、源头治理、综合治理和分类治理，建立城管执法、生态环境、商务、自然资源和规划、住房城乡建设、市场监管、科技等部门共同参与的管理制度。严控餐饮油烟污染，建设遂宁市餐饮油烟在线监控系统。到2023年，全市实现油烟净化设施有效运行率90%以上。建立全覆盖网格化监管体系，严禁秸秆露天焚烧，大力推进秸秆综合利用，到2024年，秸秆综合利用率保持在90%以上。</w:t>
                  </w:r>
                </w:p>
              </w:tc>
              <w:tc>
                <w:tcPr>
                  <w:tcW w:w="1354" w:type="pct"/>
                  <w:tcBorders>
                    <w:tl2br w:val="nil"/>
                    <w:tr2bl w:val="nil"/>
                  </w:tcBorders>
                  <w:shd w:val="clear" w:color="auto" w:fill="auto"/>
                  <w:vAlign w:val="center"/>
                </w:tcPr>
                <w:p w14:paraId="7225356F">
                  <w:pPr>
                    <w:pStyle w:val="94"/>
                    <w:bidi w:val="0"/>
                    <w:ind w:firstLine="0" w:firstLineChars="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本项目施工期将按照相关要求进行施工，以减少扬尘污染。</w:t>
                  </w:r>
                </w:p>
              </w:tc>
              <w:tc>
                <w:tcPr>
                  <w:tcW w:w="449" w:type="pct"/>
                  <w:tcBorders>
                    <w:tl2br w:val="nil"/>
                    <w:tr2bl w:val="nil"/>
                  </w:tcBorders>
                  <w:shd w:val="clear" w:color="auto" w:fill="auto"/>
                  <w:vAlign w:val="center"/>
                </w:tcPr>
                <w:p w14:paraId="56B9B5FE">
                  <w:pPr>
                    <w:pStyle w:val="94"/>
                    <w:bidi w:val="0"/>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符合</w:t>
                  </w:r>
                </w:p>
              </w:tc>
            </w:tr>
            <w:tr w14:paraId="47C80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pct"/>
                  <w:vMerge w:val="continue"/>
                  <w:tcBorders>
                    <w:tl2br w:val="nil"/>
                    <w:tr2bl w:val="nil"/>
                  </w:tcBorders>
                  <w:shd w:val="clear" w:color="auto" w:fill="auto"/>
                  <w:vAlign w:val="center"/>
                </w:tcPr>
                <w:p w14:paraId="6B6964B5">
                  <w:pPr>
                    <w:pStyle w:val="94"/>
                    <w:bidi w:val="0"/>
                    <w:ind w:firstLine="0" w:firstLineChars="0"/>
                    <w:rPr>
                      <w:rFonts w:hint="eastAsia"/>
                      <w:color w:val="auto"/>
                      <w:highlight w:val="none"/>
                      <w:lang w:eastAsia="zh-CN"/>
                    </w:rPr>
                  </w:pPr>
                </w:p>
              </w:tc>
              <w:tc>
                <w:tcPr>
                  <w:tcW w:w="2465" w:type="pct"/>
                  <w:tcBorders>
                    <w:tl2br w:val="nil"/>
                    <w:tr2bl w:val="nil"/>
                  </w:tcBorders>
                  <w:shd w:val="clear" w:color="auto" w:fill="auto"/>
                  <w:vAlign w:val="center"/>
                </w:tcPr>
                <w:p w14:paraId="61BF6A8C">
                  <w:pPr>
                    <w:pStyle w:val="94"/>
                    <w:bidi w:val="0"/>
                    <w:ind w:firstLine="0" w:firstLineChars="0"/>
                    <w:jc w:val="both"/>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推动大气氨排放控制。探索建立大气氨规范化排放清单，摸清重点排放源。严格执行重点行业大气氨排放标准。推进养殖业、种植业大气氨排放控制，加强源头防控，优化肥料、饲料结构。开展大型规模化养殖场大气氨排放总量控制试点。加强其他涉气污染物治理。加强恶臭、有毒有害大气污染物防控，对恶臭投诉较多的重点企业和园区安装监控设施。加大其他涉气污染物的治理力度，强化多污染物协同控制。加强生物质锅炉燃料品质及排放管控，禁止掺烧垃圾、工业固废，对污染物排放不能稳定达到锅炉排放标准和重点区域特别排放限值要求的生物质锅炉进行整改或淘汰</w:t>
                  </w:r>
                  <w:r>
                    <w:rPr>
                      <w:rFonts w:hint="eastAsia" w:cs="Times New Roman"/>
                      <w:bCs/>
                      <w:color w:val="auto"/>
                      <w:kern w:val="2"/>
                      <w:sz w:val="21"/>
                      <w:szCs w:val="21"/>
                      <w:highlight w:val="none"/>
                      <w:lang w:val="en-US" w:eastAsia="zh-CN" w:bidi="ar-SA"/>
                    </w:rPr>
                    <w:t>。</w:t>
                  </w:r>
                </w:p>
              </w:tc>
              <w:tc>
                <w:tcPr>
                  <w:tcW w:w="1354" w:type="pct"/>
                  <w:tcBorders>
                    <w:tl2br w:val="nil"/>
                    <w:tr2bl w:val="nil"/>
                  </w:tcBorders>
                  <w:shd w:val="clear" w:color="auto" w:fill="auto"/>
                  <w:vAlign w:val="center"/>
                </w:tcPr>
                <w:p w14:paraId="1FB9EC38">
                  <w:pPr>
                    <w:pStyle w:val="94"/>
                    <w:bidi w:val="0"/>
                    <w:ind w:firstLine="0" w:firstLineChars="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本项目不涉及氨的排放。</w:t>
                  </w:r>
                </w:p>
              </w:tc>
              <w:tc>
                <w:tcPr>
                  <w:tcW w:w="449" w:type="pct"/>
                  <w:tcBorders>
                    <w:tl2br w:val="nil"/>
                    <w:tr2bl w:val="nil"/>
                  </w:tcBorders>
                  <w:shd w:val="clear" w:color="auto" w:fill="auto"/>
                  <w:vAlign w:val="center"/>
                </w:tcPr>
                <w:p w14:paraId="11104B6E">
                  <w:pPr>
                    <w:pStyle w:val="94"/>
                    <w:bidi w:val="0"/>
                    <w:ind w:firstLine="0" w:firstLineChars="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符合</w:t>
                  </w:r>
                </w:p>
              </w:tc>
            </w:tr>
          </w:tbl>
          <w:p w14:paraId="5D5CC12A">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w:t>
            </w:r>
            <w:r>
              <w:rPr>
                <w:rFonts w:hint="eastAsia" w:cs="Times New Roman"/>
                <w:color w:val="auto"/>
                <w:sz w:val="24"/>
                <w:highlight w:val="none"/>
                <w:lang w:eastAsia="zh-CN"/>
              </w:rPr>
              <w:t>本项目</w:t>
            </w:r>
            <w:r>
              <w:rPr>
                <w:rFonts w:hint="default" w:ascii="Times New Roman" w:hAnsi="Times New Roman" w:cs="Times New Roman"/>
                <w:color w:val="auto"/>
                <w:sz w:val="24"/>
                <w:highlight w:val="none"/>
              </w:rPr>
              <w:t>符合相关法规、规范的相关要求。</w:t>
            </w:r>
          </w:p>
          <w:p w14:paraId="56BBA8FE">
            <w:pPr>
              <w:spacing w:line="360" w:lineRule="auto"/>
              <w:ind w:firstLine="482" w:firstLineChars="200"/>
              <w:rPr>
                <w:rFonts w:hint="default"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8、承诺制符合性分析</w:t>
            </w:r>
          </w:p>
          <w:p w14:paraId="191F06FF">
            <w:pPr>
              <w:widowControl/>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w:t>
            </w:r>
            <w:r>
              <w:rPr>
                <w:rFonts w:hint="eastAsia" w:cs="Times New Roman"/>
                <w:color w:val="auto"/>
                <w:kern w:val="2"/>
                <w:sz w:val="24"/>
                <w:szCs w:val="24"/>
                <w:highlight w:val="none"/>
                <w:lang w:val="en-US" w:eastAsia="zh-CN" w:bidi="ar-SA"/>
              </w:rPr>
              <w:t>遂宁市生态环境局</w:t>
            </w:r>
            <w:r>
              <w:rPr>
                <w:rFonts w:hint="eastAsia" w:ascii="Times New Roman" w:hAnsi="Times New Roman" w:eastAsia="宋体" w:cs="Times New Roman"/>
                <w:color w:val="auto"/>
                <w:kern w:val="2"/>
                <w:sz w:val="24"/>
                <w:szCs w:val="24"/>
                <w:highlight w:val="none"/>
                <w:lang w:val="en-US" w:eastAsia="zh-CN" w:bidi="ar-SA"/>
              </w:rPr>
              <w:t>《关于优化环评审批告知承诺制提升建设项目审批效率的通知》（遂环函〔2024〕210号）中实施范围、</w:t>
            </w:r>
            <w:r>
              <w:rPr>
                <w:rFonts w:hint="eastAsia" w:cs="Times New Roman"/>
                <w:color w:val="auto"/>
                <w:kern w:val="2"/>
                <w:sz w:val="24"/>
                <w:szCs w:val="24"/>
                <w:highlight w:val="none"/>
                <w:lang w:val="en-US" w:eastAsia="zh-CN" w:bidi="ar-SA"/>
              </w:rPr>
              <w:t>工作程序</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保障措施、实施时间等</w:t>
            </w:r>
            <w:r>
              <w:rPr>
                <w:rFonts w:hint="eastAsia" w:ascii="Times New Roman" w:hAnsi="Times New Roman" w:eastAsia="宋体" w:cs="Times New Roman"/>
                <w:color w:val="auto"/>
                <w:kern w:val="2"/>
                <w:sz w:val="24"/>
                <w:szCs w:val="24"/>
                <w:highlight w:val="none"/>
                <w:lang w:val="en-US" w:eastAsia="zh-CN" w:bidi="ar-SA"/>
              </w:rPr>
              <w:t>的相关要求，以及</w:t>
            </w:r>
            <w:r>
              <w:rPr>
                <w:rFonts w:hint="eastAsia" w:cs="Times New Roman"/>
                <w:color w:val="auto"/>
                <w:kern w:val="2"/>
                <w:sz w:val="24"/>
                <w:szCs w:val="24"/>
                <w:highlight w:val="none"/>
                <w:lang w:val="en-US" w:eastAsia="zh-CN" w:bidi="ar-SA"/>
              </w:rPr>
              <w:t>附件《遂宁市环评告知承诺制审批名录》</w:t>
            </w:r>
            <w:r>
              <w:rPr>
                <w:rFonts w:hint="eastAsia" w:ascii="Times New Roman" w:hAnsi="Times New Roman" w:eastAsia="宋体" w:cs="Times New Roman"/>
                <w:color w:val="auto"/>
                <w:kern w:val="2"/>
                <w:sz w:val="24"/>
                <w:szCs w:val="24"/>
                <w:highlight w:val="none"/>
                <w:lang w:val="en-US" w:eastAsia="zh-CN" w:bidi="ar-SA"/>
              </w:rPr>
              <w:t>，结合本项目实际情况，本项目与其符合性分析见下表：</w:t>
            </w:r>
          </w:p>
          <w:p w14:paraId="0D7528A1">
            <w:pPr>
              <w:pStyle w:val="14"/>
              <w:bidi w:val="0"/>
              <w:rPr>
                <w:color w:val="auto"/>
                <w:highlight w:val="none"/>
                <w:lang w:val="en-US" w:eastAsia="zh-CN"/>
              </w:rPr>
            </w:pPr>
            <w:r>
              <w:rPr>
                <w:color w:val="auto"/>
                <w:highlight w:val="none"/>
                <w:lang w:val="en-US" w:eastAsia="zh-CN"/>
              </w:rPr>
              <w:t>表1-</w:t>
            </w:r>
            <w:r>
              <w:rPr>
                <w:color w:val="auto"/>
                <w:highlight w:val="none"/>
                <w:lang w:val="en-US" w:eastAsia="zh-CN"/>
              </w:rPr>
              <w:fldChar w:fldCharType="begin"/>
            </w:r>
            <w:r>
              <w:rPr>
                <w:color w:val="auto"/>
                <w:highlight w:val="none"/>
                <w:lang w:val="en-US" w:eastAsia="zh-CN"/>
              </w:rPr>
              <w:instrText xml:space="preserve"> SEQ 表1- \* ARABIC </w:instrText>
            </w:r>
            <w:r>
              <w:rPr>
                <w:color w:val="auto"/>
                <w:highlight w:val="none"/>
                <w:lang w:val="en-US" w:eastAsia="zh-CN"/>
              </w:rPr>
              <w:fldChar w:fldCharType="separate"/>
            </w:r>
            <w:r>
              <w:rPr>
                <w:color w:val="auto"/>
                <w:highlight w:val="none"/>
                <w:lang w:val="en-US" w:eastAsia="zh-CN"/>
              </w:rPr>
              <w:t>10</w:t>
            </w:r>
            <w:r>
              <w:rPr>
                <w:color w:val="auto"/>
                <w:highlight w:val="none"/>
                <w:lang w:val="en-US" w:eastAsia="zh-CN"/>
              </w:rPr>
              <w:fldChar w:fldCharType="end"/>
            </w:r>
            <w:r>
              <w:rPr>
                <w:rFonts w:hint="eastAsia"/>
                <w:color w:val="auto"/>
                <w:highlight w:val="none"/>
                <w:lang w:val="en-US" w:eastAsia="zh-CN"/>
              </w:rPr>
              <w:t xml:space="preserve">  项目与承诺制审批符合性分析一览表</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718"/>
              <w:gridCol w:w="2881"/>
              <w:gridCol w:w="816"/>
            </w:tblGrid>
            <w:tr w14:paraId="67FB1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11" w:type="dxa"/>
                  <w:tcBorders>
                    <w:bottom w:val="single" w:color="000000" w:sz="4" w:space="0"/>
                    <w:tl2br w:val="nil"/>
                    <w:tr2bl w:val="nil"/>
                  </w:tcBorders>
                  <w:noWrap w:val="0"/>
                  <w:vAlign w:val="center"/>
                </w:tcPr>
                <w:p w14:paraId="47CC5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highlight w:val="none"/>
                      <w:vertAlign w:val="baseline"/>
                      <w:lang w:val="en-US" w:eastAsia="zh-CN" w:bidi="ar"/>
                    </w:rPr>
                  </w:pPr>
                  <w:r>
                    <w:rPr>
                      <w:rFonts w:hint="eastAsia" w:ascii="Times New Roman" w:hAnsi="Times New Roman" w:cs="Times New Roman"/>
                      <w:b/>
                      <w:bCs/>
                      <w:color w:val="auto"/>
                      <w:kern w:val="0"/>
                      <w:sz w:val="21"/>
                      <w:szCs w:val="21"/>
                      <w:highlight w:val="none"/>
                      <w:vertAlign w:val="baseline"/>
                      <w:lang w:val="en-US" w:eastAsia="zh-CN" w:bidi="ar"/>
                    </w:rPr>
                    <w:t>文件名</w:t>
                  </w:r>
                </w:p>
              </w:tc>
              <w:tc>
                <w:tcPr>
                  <w:tcW w:w="3714" w:type="dxa"/>
                  <w:tcBorders>
                    <w:bottom w:val="single" w:color="000000" w:sz="4" w:space="0"/>
                    <w:tl2br w:val="nil"/>
                    <w:tr2bl w:val="nil"/>
                  </w:tcBorders>
                  <w:noWrap w:val="0"/>
                  <w:vAlign w:val="center"/>
                </w:tcPr>
                <w:p w14:paraId="36A8DA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highlight w:val="none"/>
                      <w:vertAlign w:val="baseline"/>
                      <w:lang w:val="en-US" w:eastAsia="zh-CN" w:bidi="ar"/>
                    </w:rPr>
                  </w:pPr>
                  <w:r>
                    <w:rPr>
                      <w:rFonts w:hint="eastAsia" w:ascii="Times New Roman" w:hAnsi="Times New Roman" w:cs="Times New Roman"/>
                      <w:b/>
                      <w:bCs/>
                      <w:color w:val="auto"/>
                      <w:kern w:val="0"/>
                      <w:sz w:val="21"/>
                      <w:szCs w:val="21"/>
                      <w:highlight w:val="none"/>
                      <w:vertAlign w:val="baseline"/>
                      <w:lang w:val="en-US" w:eastAsia="zh-CN" w:bidi="ar"/>
                    </w:rPr>
                    <w:t>相关要求</w:t>
                  </w:r>
                </w:p>
              </w:tc>
              <w:tc>
                <w:tcPr>
                  <w:tcW w:w="2878" w:type="dxa"/>
                  <w:tcBorders>
                    <w:bottom w:val="single" w:color="000000" w:sz="4" w:space="0"/>
                    <w:tl2br w:val="nil"/>
                    <w:tr2bl w:val="nil"/>
                  </w:tcBorders>
                  <w:noWrap w:val="0"/>
                  <w:vAlign w:val="center"/>
                </w:tcPr>
                <w:p w14:paraId="6094AA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本项目相关情况</w:t>
                  </w:r>
                </w:p>
              </w:tc>
              <w:tc>
                <w:tcPr>
                  <w:tcW w:w="815" w:type="dxa"/>
                  <w:tcBorders>
                    <w:bottom w:val="single" w:color="000000" w:sz="4" w:space="0"/>
                    <w:tl2br w:val="nil"/>
                    <w:tr2bl w:val="nil"/>
                  </w:tcBorders>
                  <w:noWrap w:val="0"/>
                  <w:vAlign w:val="center"/>
                </w:tcPr>
                <w:p w14:paraId="0D9787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highlight w:val="none"/>
                      <w:vertAlign w:val="baseline"/>
                      <w:lang w:val="en-US" w:eastAsia="zh-CN" w:bidi="ar"/>
                    </w:rPr>
                  </w:pPr>
                  <w:r>
                    <w:rPr>
                      <w:rFonts w:hint="eastAsia" w:ascii="Times New Roman" w:hAnsi="Times New Roman" w:cs="Times New Roman"/>
                      <w:b/>
                      <w:bCs/>
                      <w:color w:val="auto"/>
                      <w:kern w:val="0"/>
                      <w:sz w:val="21"/>
                      <w:szCs w:val="21"/>
                      <w:highlight w:val="none"/>
                      <w:vertAlign w:val="baseline"/>
                      <w:lang w:val="en-US" w:eastAsia="zh-CN" w:bidi="ar"/>
                    </w:rPr>
                    <w:t>符合性</w:t>
                  </w:r>
                </w:p>
              </w:tc>
            </w:tr>
            <w:tr w14:paraId="2927C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11" w:type="dxa"/>
                  <w:vMerge w:val="restart"/>
                  <w:tcBorders>
                    <w:top w:val="single" w:color="000000" w:sz="4" w:space="0"/>
                    <w:tl2br w:val="nil"/>
                    <w:tr2bl w:val="nil"/>
                  </w:tcBorders>
                  <w:noWrap w:val="0"/>
                  <w:vAlign w:val="center"/>
                </w:tcPr>
                <w:p w14:paraId="3FCFF087">
                  <w:pPr>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遂环函〔2024〕210号</w:t>
                  </w:r>
                </w:p>
              </w:tc>
              <w:tc>
                <w:tcPr>
                  <w:tcW w:w="3714" w:type="dxa"/>
                  <w:tcBorders>
                    <w:top w:val="single" w:color="000000" w:sz="4" w:space="0"/>
                    <w:tl2br w:val="nil"/>
                    <w:tr2bl w:val="nil"/>
                  </w:tcBorders>
                  <w:noWrap w:val="0"/>
                  <w:vAlign w:val="center"/>
                </w:tcPr>
                <w:p w14:paraId="5D0A6B14">
                  <w:pPr>
                    <w:autoSpaceDE/>
                    <w:autoSpaceDN/>
                    <w:bidi w:val="0"/>
                    <w:adjustRightInd/>
                    <w:snapToGrid/>
                    <w:spacing w:line="240" w:lineRule="auto"/>
                    <w:ind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实施范围：环境影响总体可控、重大产业布局部分行业纳入此次环评告知承诺制审批改革范围，共涉及《建设项目环境影响评价分类管理名录》（部令第16号）中17大类32小类行业（见附件1</w:t>
                  </w:r>
                  <w:r>
                    <w:rPr>
                      <w:rFonts w:hint="eastAsia" w:cs="Times New Roman"/>
                      <w:color w:val="auto"/>
                      <w:kern w:val="2"/>
                      <w:sz w:val="21"/>
                      <w:szCs w:val="24"/>
                      <w:highlight w:val="none"/>
                      <w:lang w:val="en-US" w:eastAsia="zh-CN" w:bidi="ar-SA"/>
                    </w:rPr>
                    <w:t>，即遂宁市环评告知承诺制审批名录</w:t>
                  </w:r>
                  <w:r>
                    <w:rPr>
                      <w:rFonts w:hint="default" w:ascii="Times New Roman" w:hAnsi="Times New Roman" w:eastAsia="宋体" w:cs="Times New Roman"/>
                      <w:color w:val="auto"/>
                      <w:kern w:val="2"/>
                      <w:sz w:val="21"/>
                      <w:szCs w:val="24"/>
                      <w:highlight w:val="none"/>
                      <w:lang w:val="en-US" w:eastAsia="zh-CN" w:bidi="ar-SA"/>
                    </w:rPr>
                    <w:t>）</w:t>
                  </w:r>
                </w:p>
              </w:tc>
              <w:tc>
                <w:tcPr>
                  <w:tcW w:w="2878" w:type="dxa"/>
                  <w:tcBorders>
                    <w:top w:val="single" w:color="000000" w:sz="4" w:space="0"/>
                    <w:tl2br w:val="nil"/>
                    <w:tr2bl w:val="nil"/>
                  </w:tcBorders>
                  <w:noWrap w:val="0"/>
                  <w:vAlign w:val="center"/>
                </w:tcPr>
                <w:p w14:paraId="767473A5">
                  <w:pPr>
                    <w:widowControl w:val="0"/>
                    <w:numPr>
                      <w:ilvl w:val="0"/>
                      <w:numId w:val="0"/>
                    </w:numPr>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本项目属于“十一</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食品制造</w:t>
                  </w:r>
                  <w:r>
                    <w:rPr>
                      <w:rFonts w:hint="eastAsia" w:ascii="Times New Roman" w:hAnsi="Times New Roman" w:eastAsia="宋体" w:cs="Times New Roman"/>
                      <w:color w:val="auto"/>
                      <w:kern w:val="2"/>
                      <w:sz w:val="21"/>
                      <w:szCs w:val="24"/>
                      <w:highlight w:val="none"/>
                      <w:lang w:val="en-US" w:eastAsia="zh-CN" w:bidi="ar-SA"/>
                    </w:rPr>
                    <w:t>业（</w:t>
                  </w:r>
                  <w:r>
                    <w:rPr>
                      <w:rFonts w:hint="eastAsia" w:cs="Times New Roman"/>
                      <w:color w:val="auto"/>
                      <w:kern w:val="2"/>
                      <w:sz w:val="21"/>
                      <w:szCs w:val="24"/>
                      <w:highlight w:val="none"/>
                      <w:lang w:val="en-US" w:eastAsia="zh-CN" w:bidi="ar-SA"/>
                    </w:rPr>
                    <w:t>21</w:t>
                  </w:r>
                  <w:r>
                    <w:rPr>
                      <w:rFonts w:hint="eastAsia" w:ascii="Times New Roman" w:hAnsi="Times New Roman" w:eastAsia="宋体" w:cs="Times New Roman"/>
                      <w:color w:val="auto"/>
                      <w:kern w:val="2"/>
                      <w:sz w:val="21"/>
                      <w:szCs w:val="24"/>
                      <w:highlight w:val="none"/>
                      <w:lang w:val="en-US" w:eastAsia="zh-CN" w:bidi="ar-SA"/>
                    </w:rPr>
                    <w:t>）”</w:t>
                  </w:r>
                  <w:r>
                    <w:rPr>
                      <w:rFonts w:hint="default" w:ascii="Times New Roman" w:hAnsi="Times New Roman" w:eastAsia="宋体" w:cs="Times New Roman"/>
                      <w:color w:val="auto"/>
                      <w:kern w:val="2"/>
                      <w:sz w:val="21"/>
                      <w:szCs w:val="24"/>
                      <w:highlight w:val="none"/>
                      <w:lang w:val="en-US" w:eastAsia="zh-CN" w:bidi="ar-SA"/>
                    </w:rPr>
                    <w:t>-</w:t>
                  </w:r>
                  <w:r>
                    <w:rPr>
                      <w:rFonts w:hint="eastAsia" w:ascii="Times New Roman" w:hAnsi="Times New Roman" w:eastAsia="宋体" w:cs="Times New Roman"/>
                      <w:color w:val="auto"/>
                      <w:kern w:val="2"/>
                      <w:sz w:val="21"/>
                      <w:szCs w:val="24"/>
                      <w:highlight w:val="none"/>
                      <w:lang w:val="en-US" w:eastAsia="zh-CN" w:bidi="ar-SA"/>
                    </w:rPr>
                    <w:t>“罐头食品制造”</w:t>
                  </w:r>
                  <w:r>
                    <w:rPr>
                      <w:rFonts w:hint="default" w:ascii="Times New Roman" w:hAnsi="Times New Roman" w:eastAsia="宋体" w:cs="Times New Roman"/>
                      <w:color w:val="auto"/>
                      <w:kern w:val="2"/>
                      <w:sz w:val="21"/>
                      <w:szCs w:val="24"/>
                      <w:highlight w:val="none"/>
                      <w:lang w:val="en-US" w:eastAsia="zh-CN" w:bidi="ar-SA"/>
                    </w:rPr>
                    <w:t>的报告表项目</w:t>
                  </w:r>
                </w:p>
              </w:tc>
              <w:tc>
                <w:tcPr>
                  <w:tcW w:w="815" w:type="dxa"/>
                  <w:vMerge w:val="restart"/>
                  <w:tcBorders>
                    <w:top w:val="single" w:color="000000" w:sz="4" w:space="0"/>
                    <w:tl2br w:val="nil"/>
                    <w:tr2bl w:val="nil"/>
                  </w:tcBorders>
                  <w:noWrap w:val="0"/>
                  <w:vAlign w:val="center"/>
                </w:tcPr>
                <w:p w14:paraId="39EACF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符合</w:t>
                  </w:r>
                </w:p>
              </w:tc>
            </w:tr>
            <w:tr w14:paraId="00F1F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11" w:type="dxa"/>
                  <w:vMerge w:val="continue"/>
                  <w:tcBorders>
                    <w:tl2br w:val="nil"/>
                    <w:tr2bl w:val="nil"/>
                  </w:tcBorders>
                  <w:noWrap w:val="0"/>
                  <w:vAlign w:val="center"/>
                </w:tcPr>
                <w:p w14:paraId="00780D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0"/>
                      <w:sz w:val="21"/>
                      <w:szCs w:val="21"/>
                      <w:highlight w:val="none"/>
                      <w:vertAlign w:val="baseline"/>
                      <w:lang w:bidi="ar"/>
                    </w:rPr>
                  </w:pPr>
                </w:p>
              </w:tc>
              <w:tc>
                <w:tcPr>
                  <w:tcW w:w="3714" w:type="dxa"/>
                  <w:tcBorders>
                    <w:tl2br w:val="nil"/>
                    <w:tr2bl w:val="nil"/>
                  </w:tcBorders>
                  <w:noWrap w:val="0"/>
                  <w:vAlign w:val="center"/>
                </w:tcPr>
                <w:p w14:paraId="3EC3EE10">
                  <w:pPr>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工作程序</w:t>
                  </w:r>
                  <w:r>
                    <w:rPr>
                      <w:rFonts w:hint="default" w:ascii="Times New Roman" w:hAnsi="Times New Roman" w:eastAsia="宋体" w:cs="Times New Roman"/>
                      <w:color w:val="auto"/>
                      <w:kern w:val="2"/>
                      <w:sz w:val="21"/>
                      <w:szCs w:val="24"/>
                      <w:highlight w:val="none"/>
                      <w:lang w:val="en-US" w:eastAsia="zh-CN" w:bidi="ar-SA"/>
                    </w:rPr>
                    <w:t>：不适用告知承诺制的情形：</w:t>
                  </w:r>
                </w:p>
                <w:p w14:paraId="00E2F16A">
                  <w:pPr>
                    <w:autoSpaceDE/>
                    <w:autoSpaceDN/>
                    <w:bidi w:val="0"/>
                    <w:adjustRightInd/>
                    <w:snapToGrid/>
                    <w:spacing w:line="240" w:lineRule="auto"/>
                    <w:ind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1．位于生态保护红线、各类自然保护地范围内的项目，以及审批后发生重大变动重新报批的，不适用告知承诺制；</w:t>
                  </w:r>
                </w:p>
                <w:p w14:paraId="5F3CC312">
                  <w:pPr>
                    <w:autoSpaceDE/>
                    <w:autoSpaceDN/>
                    <w:bidi w:val="0"/>
                    <w:adjustRightInd/>
                    <w:snapToGrid/>
                    <w:spacing w:line="240" w:lineRule="auto"/>
                    <w:ind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2．申请人有不良信用记录或曾作出虚假承诺等情形的，不适用告知承诺制；</w:t>
                  </w:r>
                </w:p>
                <w:p w14:paraId="4C9D9DEA">
                  <w:pPr>
                    <w:autoSpaceDE/>
                    <w:autoSpaceDN/>
                    <w:bidi w:val="0"/>
                    <w:adjustRightInd/>
                    <w:snapToGrid/>
                    <w:spacing w:line="240" w:lineRule="auto"/>
                    <w:ind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3．列入《建设项目环境影响报告书（表）编制监督管理办法》以及三个配套文件规定的限期整改名单或者“黑名单”的编制单位、编制人员编制的，不适用告知承诺制；</w:t>
                  </w:r>
                </w:p>
                <w:p w14:paraId="09136D6B">
                  <w:pPr>
                    <w:autoSpaceDE/>
                    <w:autoSpaceDN/>
                    <w:bidi w:val="0"/>
                    <w:adjustRightInd/>
                    <w:snapToGrid/>
                    <w:spacing w:line="240" w:lineRule="auto"/>
                    <w:ind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4．建设项目类型及其选址、选线不符合环境保护法律法规和相关法定规划的，不适用告知承诺制；</w:t>
                  </w:r>
                </w:p>
                <w:p w14:paraId="77D352FF">
                  <w:pPr>
                    <w:autoSpaceDE/>
                    <w:autoSpaceDN/>
                    <w:bidi w:val="0"/>
                    <w:adjustRightInd/>
                    <w:snapToGrid/>
                    <w:spacing w:line="240" w:lineRule="auto"/>
                    <w:ind w:firstLine="0" w:firstLineChars="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5．“未批先建”建设项目不适用告知承诺制。</w:t>
                  </w:r>
                </w:p>
              </w:tc>
              <w:tc>
                <w:tcPr>
                  <w:tcW w:w="2878" w:type="dxa"/>
                  <w:tcBorders>
                    <w:tl2br w:val="nil"/>
                    <w:tr2bl w:val="nil"/>
                  </w:tcBorders>
                  <w:noWrap w:val="0"/>
                  <w:vAlign w:val="center"/>
                </w:tcPr>
                <w:p w14:paraId="20D6DA9F">
                  <w:pPr>
                    <w:pStyle w:val="106"/>
                    <w:bidi w:val="0"/>
                    <w:jc w:val="both"/>
                    <w:rPr>
                      <w:rFonts w:hint="default"/>
                      <w:lang w:val="en-US" w:eastAsia="zh-CN"/>
                    </w:rPr>
                  </w:pPr>
                  <w:r>
                    <w:rPr>
                      <w:rFonts w:hint="eastAsia"/>
                      <w:lang w:val="en-US" w:eastAsia="zh-CN"/>
                    </w:rPr>
                    <w:t>1、本项目不属于生态保护红线、</w:t>
                  </w:r>
                  <w:r>
                    <w:rPr>
                      <w:rFonts w:hint="default"/>
                      <w:lang w:val="en-US" w:eastAsia="zh-CN"/>
                    </w:rPr>
                    <w:t>自然保护地范围内的项目</w:t>
                  </w:r>
                  <w:r>
                    <w:rPr>
                      <w:rFonts w:hint="eastAsia"/>
                      <w:lang w:val="en-US" w:eastAsia="zh-CN"/>
                    </w:rPr>
                    <w:t>；本项目为首次报批项目，不属于重新报批；</w:t>
                  </w:r>
                </w:p>
                <w:p w14:paraId="2B7C8822">
                  <w:pPr>
                    <w:pStyle w:val="106"/>
                    <w:bidi w:val="0"/>
                    <w:jc w:val="both"/>
                    <w:rPr>
                      <w:rFonts w:hint="eastAsia"/>
                      <w:lang w:val="en-US" w:eastAsia="zh-CN"/>
                    </w:rPr>
                  </w:pPr>
                  <w:r>
                    <w:rPr>
                      <w:rFonts w:hint="eastAsia"/>
                      <w:lang w:val="en-US" w:eastAsia="zh-CN"/>
                    </w:rPr>
                    <w:t>2、本项目为新建项目，申请人无不良信用记录</w:t>
                  </w:r>
                  <w:r>
                    <w:rPr>
                      <w:rFonts w:hint="default"/>
                      <w:lang w:val="en-US" w:eastAsia="zh-CN"/>
                    </w:rPr>
                    <w:t>或曾作出虚假承诺等情形</w:t>
                  </w:r>
                  <w:r>
                    <w:rPr>
                      <w:rFonts w:hint="eastAsia"/>
                      <w:lang w:val="en-US" w:eastAsia="zh-CN"/>
                    </w:rPr>
                    <w:t>；</w:t>
                  </w:r>
                </w:p>
                <w:p w14:paraId="3BEA5C62">
                  <w:pPr>
                    <w:pStyle w:val="106"/>
                    <w:bidi w:val="0"/>
                    <w:jc w:val="both"/>
                    <w:rPr>
                      <w:rFonts w:hint="default"/>
                      <w:lang w:val="en-US" w:eastAsia="zh-CN"/>
                    </w:rPr>
                  </w:pPr>
                  <w:r>
                    <w:rPr>
                      <w:rFonts w:hint="eastAsia"/>
                      <w:lang w:val="en-US" w:eastAsia="zh-CN"/>
                    </w:rPr>
                    <w:t>3、环评编制单位为环保信用良好单位，详见图1-5；</w:t>
                  </w:r>
                </w:p>
                <w:p w14:paraId="703F8C76">
                  <w:pPr>
                    <w:pStyle w:val="106"/>
                    <w:bidi w:val="0"/>
                    <w:jc w:val="both"/>
                    <w:rPr>
                      <w:rFonts w:hint="eastAsia" w:ascii="Times New Roman" w:hAnsi="Times New Roman" w:eastAsia="宋体" w:cs="Times New Roman"/>
                      <w:color w:val="auto"/>
                      <w:kern w:val="2"/>
                      <w:sz w:val="21"/>
                      <w:szCs w:val="24"/>
                      <w:highlight w:val="none"/>
                      <w:lang w:val="en-US" w:eastAsia="zh-CN" w:bidi="ar-SA"/>
                    </w:rPr>
                  </w:pPr>
                  <w:r>
                    <w:rPr>
                      <w:rFonts w:hint="eastAsia"/>
                      <w:lang w:val="en-US" w:eastAsia="zh-CN"/>
                    </w:rPr>
                    <w:t>4、本项目位于</w:t>
                  </w:r>
                  <w:r>
                    <w:rPr>
                      <w:rFonts w:hint="eastAsia"/>
                      <w:color w:val="auto"/>
                      <w:highlight w:val="none"/>
                      <w:lang w:eastAsia="zh-CN"/>
                    </w:rPr>
                    <w:t>遂宁市安居区工业集中发展区（含经开区）</w:t>
                  </w:r>
                  <w:r>
                    <w:rPr>
                      <w:rFonts w:hint="eastAsia"/>
                      <w:color w:val="auto"/>
                      <w:highlight w:val="none"/>
                      <w:lang w:val="en-US" w:eastAsia="zh-CN"/>
                    </w:rPr>
                    <w:t>内，为园区主导产业，用地类型为二类工业用地，选址符合环境保护</w:t>
                  </w:r>
                  <w:r>
                    <w:rPr>
                      <w:rFonts w:hint="default" w:ascii="Times New Roman" w:hAnsi="Times New Roman" w:eastAsia="宋体" w:cs="Times New Roman"/>
                      <w:color w:val="auto"/>
                      <w:kern w:val="2"/>
                      <w:sz w:val="21"/>
                      <w:szCs w:val="24"/>
                      <w:highlight w:val="none"/>
                      <w:lang w:val="en-US" w:eastAsia="zh-CN" w:bidi="ar-SA"/>
                    </w:rPr>
                    <w:t>法律法规和相关法定规划</w:t>
                  </w:r>
                  <w:r>
                    <w:rPr>
                      <w:rFonts w:hint="eastAsia" w:ascii="Times New Roman" w:hAnsi="Times New Roman" w:eastAsia="宋体" w:cs="Times New Roman"/>
                      <w:color w:val="auto"/>
                      <w:kern w:val="2"/>
                      <w:sz w:val="21"/>
                      <w:szCs w:val="24"/>
                      <w:highlight w:val="none"/>
                      <w:lang w:val="en-US" w:eastAsia="zh-CN" w:bidi="ar-SA"/>
                    </w:rPr>
                    <w:t>；</w:t>
                  </w:r>
                </w:p>
                <w:p w14:paraId="28AA155E">
                  <w:pPr>
                    <w:pStyle w:val="106"/>
                    <w:bidi w:val="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5、根据现场勘查，本项目还未开始建设，不属于“未批先建”项目。</w:t>
                  </w:r>
                </w:p>
              </w:tc>
              <w:tc>
                <w:tcPr>
                  <w:tcW w:w="815" w:type="dxa"/>
                  <w:vMerge w:val="continue"/>
                  <w:tcBorders>
                    <w:tl2br w:val="nil"/>
                    <w:tr2bl w:val="nil"/>
                  </w:tcBorders>
                  <w:noWrap w:val="0"/>
                  <w:vAlign w:val="center"/>
                </w:tcPr>
                <w:p w14:paraId="109E5B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
                    </w:rPr>
                  </w:pPr>
                </w:p>
              </w:tc>
            </w:tr>
            <w:tr w14:paraId="4133D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911" w:type="dxa"/>
                  <w:vMerge w:val="continue"/>
                  <w:tcBorders>
                    <w:tl2br w:val="nil"/>
                    <w:tr2bl w:val="nil"/>
                  </w:tcBorders>
                  <w:noWrap w:val="0"/>
                  <w:vAlign w:val="center"/>
                </w:tcPr>
                <w:p w14:paraId="1FF373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0"/>
                      <w:sz w:val="21"/>
                      <w:szCs w:val="21"/>
                      <w:highlight w:val="none"/>
                      <w:vertAlign w:val="baseline"/>
                      <w:lang w:bidi="ar"/>
                    </w:rPr>
                  </w:pPr>
                </w:p>
              </w:tc>
              <w:tc>
                <w:tcPr>
                  <w:tcW w:w="3714" w:type="dxa"/>
                  <w:tcBorders>
                    <w:tl2br w:val="nil"/>
                    <w:tr2bl w:val="nil"/>
                  </w:tcBorders>
                  <w:noWrap w:val="0"/>
                  <w:vAlign w:val="center"/>
                </w:tcPr>
                <w:p w14:paraId="17368135">
                  <w:pPr>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实施</w:t>
                  </w:r>
                  <w:r>
                    <w:rPr>
                      <w:rFonts w:hint="eastAsia" w:cs="Times New Roman"/>
                      <w:color w:val="auto"/>
                      <w:kern w:val="2"/>
                      <w:sz w:val="21"/>
                      <w:szCs w:val="24"/>
                      <w:highlight w:val="none"/>
                      <w:lang w:val="en-US" w:eastAsia="zh-CN" w:bidi="ar-SA"/>
                    </w:rPr>
                    <w:t>时间</w:t>
                  </w:r>
                  <w:r>
                    <w:rPr>
                      <w:rFonts w:hint="default" w:ascii="Times New Roman" w:hAnsi="Times New Roman" w:eastAsia="宋体" w:cs="Times New Roman"/>
                      <w:color w:val="auto"/>
                      <w:kern w:val="2"/>
                      <w:sz w:val="21"/>
                      <w:szCs w:val="24"/>
                      <w:highlight w:val="none"/>
                      <w:lang w:val="en-US" w:eastAsia="zh-CN" w:bidi="ar-SA"/>
                    </w:rPr>
                    <w:t>：本次实施环评告知承诺审批时限截至2026年12月31日</w:t>
                  </w:r>
                  <w:r>
                    <w:rPr>
                      <w:rFonts w:hint="eastAsia" w:cs="Times New Roman"/>
                      <w:color w:val="auto"/>
                      <w:kern w:val="2"/>
                      <w:sz w:val="21"/>
                      <w:szCs w:val="24"/>
                      <w:highlight w:val="none"/>
                      <w:lang w:val="en-US" w:eastAsia="zh-CN" w:bidi="ar-SA"/>
                    </w:rPr>
                    <w:t>。通知执行期间，若中央、省委有新的相关法律法规出台、相关法律法规有调整或者出台相关文件规定的，从其规定。</w:t>
                  </w:r>
                </w:p>
              </w:tc>
              <w:tc>
                <w:tcPr>
                  <w:tcW w:w="2878" w:type="dxa"/>
                  <w:tcBorders>
                    <w:tl2br w:val="nil"/>
                    <w:tr2bl w:val="nil"/>
                  </w:tcBorders>
                  <w:noWrap w:val="0"/>
                  <w:vAlign w:val="center"/>
                </w:tcPr>
                <w:p w14:paraId="7136C61C">
                  <w:pPr>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815" w:type="dxa"/>
                  <w:vMerge w:val="continue"/>
                  <w:tcBorders>
                    <w:tl2br w:val="nil"/>
                    <w:tr2bl w:val="nil"/>
                  </w:tcBorders>
                  <w:noWrap w:val="0"/>
                  <w:vAlign w:val="center"/>
                </w:tcPr>
                <w:p w14:paraId="5DB3A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
                    </w:rPr>
                  </w:pPr>
                </w:p>
              </w:tc>
            </w:tr>
            <w:tr w14:paraId="4A73D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11" w:type="dxa"/>
                  <w:tcBorders>
                    <w:tl2br w:val="nil"/>
                    <w:tr2bl w:val="nil"/>
                  </w:tcBorders>
                  <w:noWrap w:val="0"/>
                  <w:vAlign w:val="center"/>
                </w:tcPr>
                <w:p w14:paraId="3044DB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遂宁市环评告知承诺制审批项目名录</w:t>
                  </w:r>
                </w:p>
              </w:tc>
              <w:tc>
                <w:tcPr>
                  <w:tcW w:w="3714" w:type="dxa"/>
                  <w:tcBorders>
                    <w:tl2br w:val="nil"/>
                    <w:tr2bl w:val="nil"/>
                  </w:tcBorders>
                  <w:noWrap w:val="0"/>
                  <w:vAlign w:val="center"/>
                </w:tcPr>
                <w:p w14:paraId="513C81A9">
                  <w:pPr>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十一</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食品制造</w:t>
                  </w:r>
                  <w:r>
                    <w:rPr>
                      <w:rFonts w:hint="eastAsia" w:ascii="Times New Roman" w:hAnsi="Times New Roman" w:eastAsia="宋体" w:cs="Times New Roman"/>
                      <w:color w:val="auto"/>
                      <w:kern w:val="2"/>
                      <w:sz w:val="21"/>
                      <w:szCs w:val="24"/>
                      <w:highlight w:val="none"/>
                      <w:lang w:val="en-US" w:eastAsia="zh-CN" w:bidi="ar-SA"/>
                    </w:rPr>
                    <w:t>业（</w:t>
                  </w:r>
                  <w:r>
                    <w:rPr>
                      <w:rFonts w:hint="eastAsia" w:cs="Times New Roman"/>
                      <w:color w:val="auto"/>
                      <w:kern w:val="2"/>
                      <w:sz w:val="21"/>
                      <w:szCs w:val="24"/>
                      <w:highlight w:val="none"/>
                      <w:lang w:val="en-US" w:eastAsia="zh-CN" w:bidi="ar-SA"/>
                    </w:rPr>
                    <w:t>21</w:t>
                  </w:r>
                  <w:r>
                    <w:rPr>
                      <w:rFonts w:hint="eastAsia" w:ascii="Times New Roman" w:hAnsi="Times New Roman" w:eastAsia="宋体" w:cs="Times New Roman"/>
                      <w:color w:val="auto"/>
                      <w:kern w:val="2"/>
                      <w:sz w:val="21"/>
                      <w:szCs w:val="24"/>
                      <w:highlight w:val="none"/>
                      <w:lang w:val="en-US" w:eastAsia="zh-CN" w:bidi="ar-SA"/>
                    </w:rPr>
                    <w:t>）”</w:t>
                  </w:r>
                  <w:r>
                    <w:rPr>
                      <w:rFonts w:hint="default" w:ascii="Times New Roman" w:hAnsi="Times New Roman" w:eastAsia="宋体" w:cs="Times New Roman"/>
                      <w:color w:val="auto"/>
                      <w:kern w:val="2"/>
                      <w:sz w:val="21"/>
                      <w:szCs w:val="24"/>
                      <w:highlight w:val="none"/>
                      <w:lang w:val="en-US" w:eastAsia="zh-CN" w:bidi="ar-SA"/>
                    </w:rPr>
                    <w:t>-</w:t>
                  </w:r>
                  <w:r>
                    <w:rPr>
                      <w:rFonts w:hint="eastAsia" w:ascii="Times New Roman" w:hAnsi="Times New Roman" w:eastAsia="宋体" w:cs="Times New Roman"/>
                      <w:color w:val="auto"/>
                      <w:kern w:val="2"/>
                      <w:sz w:val="21"/>
                      <w:szCs w:val="24"/>
                      <w:highlight w:val="none"/>
                      <w:lang w:val="en-US" w:eastAsia="zh-CN" w:bidi="ar-SA"/>
                    </w:rPr>
                    <w:t>“罐头食品制造”</w:t>
                  </w:r>
                  <w:r>
                    <w:rPr>
                      <w:rFonts w:hint="default" w:ascii="Times New Roman" w:hAnsi="Times New Roman" w:eastAsia="宋体" w:cs="Times New Roman"/>
                      <w:color w:val="auto"/>
                      <w:kern w:val="2"/>
                      <w:sz w:val="21"/>
                      <w:szCs w:val="24"/>
                      <w:highlight w:val="none"/>
                      <w:lang w:val="en-US" w:eastAsia="zh-CN" w:bidi="ar-SA"/>
                    </w:rPr>
                    <w:t>的报告表项目</w:t>
                  </w:r>
                </w:p>
              </w:tc>
              <w:tc>
                <w:tcPr>
                  <w:tcW w:w="2878" w:type="dxa"/>
                  <w:tcBorders>
                    <w:tl2br w:val="nil"/>
                    <w:tr2bl w:val="nil"/>
                  </w:tcBorders>
                  <w:noWrap w:val="0"/>
                  <w:vAlign w:val="center"/>
                </w:tcPr>
                <w:p w14:paraId="1B87EB86">
                  <w:pPr>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项目属于</w:t>
                  </w:r>
                  <w:r>
                    <w:rPr>
                      <w:rFonts w:hint="eastAsia" w:cs="Times New Roman"/>
                      <w:color w:val="auto"/>
                      <w:kern w:val="2"/>
                      <w:sz w:val="21"/>
                      <w:szCs w:val="24"/>
                      <w:highlight w:val="none"/>
                      <w:lang w:val="en-US" w:eastAsia="zh-CN" w:bidi="ar-SA"/>
                    </w:rPr>
                    <w:t>“十一</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食品制造</w:t>
                  </w:r>
                  <w:r>
                    <w:rPr>
                      <w:rFonts w:hint="eastAsia" w:ascii="Times New Roman" w:hAnsi="Times New Roman" w:eastAsia="宋体" w:cs="Times New Roman"/>
                      <w:color w:val="auto"/>
                      <w:kern w:val="2"/>
                      <w:sz w:val="21"/>
                      <w:szCs w:val="24"/>
                      <w:highlight w:val="none"/>
                      <w:lang w:val="en-US" w:eastAsia="zh-CN" w:bidi="ar-SA"/>
                    </w:rPr>
                    <w:t>业（</w:t>
                  </w:r>
                  <w:r>
                    <w:rPr>
                      <w:rFonts w:hint="eastAsia" w:cs="Times New Roman"/>
                      <w:color w:val="auto"/>
                      <w:kern w:val="2"/>
                      <w:sz w:val="21"/>
                      <w:szCs w:val="24"/>
                      <w:highlight w:val="none"/>
                      <w:lang w:val="en-US" w:eastAsia="zh-CN" w:bidi="ar-SA"/>
                    </w:rPr>
                    <w:t>21</w:t>
                  </w:r>
                  <w:r>
                    <w:rPr>
                      <w:rFonts w:hint="eastAsia" w:ascii="Times New Roman" w:hAnsi="Times New Roman" w:eastAsia="宋体" w:cs="Times New Roman"/>
                      <w:color w:val="auto"/>
                      <w:kern w:val="2"/>
                      <w:sz w:val="21"/>
                      <w:szCs w:val="24"/>
                      <w:highlight w:val="none"/>
                      <w:lang w:val="en-US" w:eastAsia="zh-CN" w:bidi="ar-SA"/>
                    </w:rPr>
                    <w:t>）”</w:t>
                  </w:r>
                  <w:r>
                    <w:rPr>
                      <w:rFonts w:hint="default" w:ascii="Times New Roman" w:hAnsi="Times New Roman" w:eastAsia="宋体" w:cs="Times New Roman"/>
                      <w:color w:val="auto"/>
                      <w:kern w:val="2"/>
                      <w:sz w:val="21"/>
                      <w:szCs w:val="24"/>
                      <w:highlight w:val="none"/>
                      <w:lang w:val="en-US" w:eastAsia="zh-CN" w:bidi="ar-SA"/>
                    </w:rPr>
                    <w:t>-</w:t>
                  </w:r>
                  <w:r>
                    <w:rPr>
                      <w:rFonts w:hint="eastAsia" w:ascii="Times New Roman" w:hAnsi="Times New Roman" w:eastAsia="宋体" w:cs="Times New Roman"/>
                      <w:color w:val="auto"/>
                      <w:kern w:val="2"/>
                      <w:sz w:val="21"/>
                      <w:szCs w:val="24"/>
                      <w:highlight w:val="none"/>
                      <w:lang w:val="en-US" w:eastAsia="zh-CN" w:bidi="ar-SA"/>
                    </w:rPr>
                    <w:t>“罐头食品制造”</w:t>
                  </w:r>
                  <w:r>
                    <w:rPr>
                      <w:rFonts w:hint="default" w:ascii="Times New Roman" w:hAnsi="Times New Roman" w:eastAsia="宋体" w:cs="Times New Roman"/>
                      <w:color w:val="auto"/>
                      <w:kern w:val="2"/>
                      <w:sz w:val="21"/>
                      <w:szCs w:val="24"/>
                      <w:highlight w:val="none"/>
                      <w:lang w:val="en-US" w:eastAsia="zh-CN" w:bidi="ar-SA"/>
                    </w:rPr>
                    <w:t>的报告表项目</w:t>
                  </w:r>
                </w:p>
              </w:tc>
              <w:tc>
                <w:tcPr>
                  <w:tcW w:w="815" w:type="dxa"/>
                  <w:vMerge w:val="continue"/>
                  <w:tcBorders>
                    <w:tl2br w:val="nil"/>
                    <w:tr2bl w:val="nil"/>
                  </w:tcBorders>
                  <w:noWrap w:val="0"/>
                  <w:vAlign w:val="center"/>
                </w:tcPr>
                <w:p w14:paraId="360F16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r>
          </w:tbl>
          <w:p w14:paraId="400EFFE7">
            <w:pPr>
              <w:autoSpaceDE/>
              <w:autoSpaceDN/>
              <w:adjustRightInd/>
              <w:snapToGrid/>
              <w:spacing w:before="49" w:line="375" w:lineRule="auto"/>
              <w:ind w:left="114" w:right="103" w:firstLine="479" w:firstLineChars="0"/>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环评单位环保信用评价见下图：</w:t>
            </w:r>
          </w:p>
          <w:p w14:paraId="4B425991">
            <w:pPr>
              <w:autoSpaceDE/>
              <w:autoSpaceDN/>
              <w:adjustRightInd/>
              <w:snapToGrid/>
              <w:spacing w:before="49" w:line="375" w:lineRule="auto"/>
              <w:ind w:left="0" w:leftChars="0" w:right="103" w:firstLine="0" w:firstLineChars="0"/>
              <w:rPr>
                <w:color w:val="auto"/>
                <w:highlight w:val="none"/>
              </w:rPr>
            </w:pPr>
            <w:r>
              <w:rPr>
                <w:color w:val="auto"/>
                <w:highlight w:val="none"/>
              </w:rPr>
              <w:drawing>
                <wp:inline distT="0" distB="0" distL="114300" distR="114300">
                  <wp:extent cx="5283835" cy="2167255"/>
                  <wp:effectExtent l="0" t="0" r="12065"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8"/>
                          <a:stretch>
                            <a:fillRect/>
                          </a:stretch>
                        </pic:blipFill>
                        <pic:spPr>
                          <a:xfrm>
                            <a:off x="0" y="0"/>
                            <a:ext cx="5283835" cy="2167255"/>
                          </a:xfrm>
                          <a:prstGeom prst="rect">
                            <a:avLst/>
                          </a:prstGeom>
                          <a:noFill/>
                          <a:ln>
                            <a:noFill/>
                          </a:ln>
                        </pic:spPr>
                      </pic:pic>
                    </a:graphicData>
                  </a:graphic>
                </wp:inline>
              </w:drawing>
            </w:r>
          </w:p>
          <w:p w14:paraId="73041E05">
            <w:pPr>
              <w:pStyle w:val="14"/>
              <w:bidi w:val="0"/>
              <w:rPr>
                <w:rFonts w:hint="default"/>
                <w:color w:val="auto"/>
                <w:highlight w:val="none"/>
                <w:lang w:val="en-US" w:eastAsia="zh-CN"/>
              </w:rPr>
            </w:pPr>
            <w:r>
              <w:rPr>
                <w:color w:val="auto"/>
                <w:highlight w:val="none"/>
              </w:rPr>
              <w:t xml:space="preserve">图1- </w:t>
            </w:r>
            <w:r>
              <w:rPr>
                <w:color w:val="auto"/>
                <w:highlight w:val="none"/>
              </w:rPr>
              <w:fldChar w:fldCharType="begin"/>
            </w:r>
            <w:r>
              <w:rPr>
                <w:color w:val="auto"/>
                <w:highlight w:val="none"/>
              </w:rPr>
              <w:instrText xml:space="preserve"> SEQ 图1- \* ARABIC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lang w:val="en-US" w:eastAsia="zh-CN"/>
              </w:rPr>
              <w:t xml:space="preserve">  环评单位环保信用评价截图</w:t>
            </w:r>
          </w:p>
          <w:p w14:paraId="2853FF6D">
            <w:pPr>
              <w:autoSpaceDE/>
              <w:autoSpaceDN/>
              <w:adjustRightInd/>
              <w:snapToGrid/>
              <w:spacing w:before="49" w:line="375" w:lineRule="auto"/>
              <w:ind w:left="114" w:right="103" w:firstLine="479" w:firstLineChars="0"/>
              <w:rPr>
                <w:rFonts w:ascii="宋体" w:hAnsi="宋体" w:eastAsia="宋体" w:cs="宋体"/>
                <w:b w:val="0"/>
                <w:bCs w:val="0"/>
                <w:color w:val="auto"/>
                <w:sz w:val="23"/>
                <w:szCs w:val="23"/>
                <w:highlight w:val="none"/>
              </w:rPr>
            </w:pPr>
            <w:r>
              <w:rPr>
                <w:rFonts w:hint="eastAsia" w:ascii="Times New Roman" w:hAnsi="Times New Roman" w:eastAsia="宋体" w:cs="Times New Roman"/>
                <w:b w:val="0"/>
                <w:bCs w:val="0"/>
                <w:color w:val="auto"/>
                <w:kern w:val="2"/>
                <w:sz w:val="24"/>
                <w:szCs w:val="24"/>
                <w:highlight w:val="none"/>
                <w:lang w:val="en-US" w:eastAsia="zh-CN" w:bidi="ar-SA"/>
              </w:rPr>
              <w:t>综上，本项目符合</w:t>
            </w:r>
            <w:r>
              <w:rPr>
                <w:rFonts w:hint="eastAsia" w:ascii="Times New Roman" w:hAnsi="Times New Roman" w:eastAsia="宋体" w:cs="Times New Roman"/>
                <w:color w:val="auto"/>
                <w:kern w:val="2"/>
                <w:sz w:val="24"/>
                <w:szCs w:val="24"/>
                <w:highlight w:val="none"/>
                <w:lang w:val="en-US" w:eastAsia="zh-CN" w:bidi="ar-SA"/>
              </w:rPr>
              <w:t>《关于优化环评审批告知承诺制提升建设项目审批效率的通知》（遂环函〔2024〕210号）</w:t>
            </w:r>
            <w:r>
              <w:rPr>
                <w:rFonts w:hint="eastAsia" w:ascii="Times New Roman" w:hAnsi="Times New Roman" w:eastAsia="宋体" w:cs="Times New Roman"/>
                <w:b w:val="0"/>
                <w:bCs w:val="0"/>
                <w:color w:val="auto"/>
                <w:kern w:val="2"/>
                <w:sz w:val="24"/>
                <w:szCs w:val="24"/>
                <w:highlight w:val="none"/>
                <w:lang w:val="en-US" w:eastAsia="zh-CN" w:bidi="ar-SA"/>
              </w:rPr>
              <w:t>要求，</w:t>
            </w:r>
            <w:r>
              <w:rPr>
                <w:rFonts w:hint="eastAsia" w:ascii="Times New Roman" w:hAnsi="Times New Roman" w:eastAsia="宋体" w:cs="Times New Roman"/>
                <w:b/>
                <w:bCs/>
                <w:color w:val="auto"/>
                <w:kern w:val="2"/>
                <w:sz w:val="24"/>
                <w:szCs w:val="24"/>
                <w:highlight w:val="none"/>
                <w:lang w:val="en-US" w:eastAsia="zh-CN" w:bidi="ar-SA"/>
              </w:rPr>
              <w:t>属于承诺制项目</w:t>
            </w:r>
            <w:r>
              <w:rPr>
                <w:rFonts w:hint="eastAsia" w:ascii="Times New Roman" w:hAnsi="Times New Roman" w:cs="Times New Roman"/>
                <w:b/>
                <w:bCs/>
                <w:color w:val="auto"/>
                <w:kern w:val="2"/>
                <w:sz w:val="24"/>
                <w:szCs w:val="24"/>
                <w:highlight w:val="none"/>
                <w:lang w:val="en-US" w:eastAsia="zh-CN" w:bidi="ar-SA"/>
              </w:rPr>
              <w:t>。</w:t>
            </w:r>
          </w:p>
          <w:p w14:paraId="7E55BC27">
            <w:pPr>
              <w:spacing w:line="360" w:lineRule="auto"/>
              <w:ind w:firstLine="482" w:firstLineChars="200"/>
              <w:rPr>
                <w:rFonts w:hint="eastAsia"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9、与《蒙特利尔议定书》符合性</w:t>
            </w:r>
          </w:p>
          <w:p w14:paraId="72C1CFB1">
            <w:pPr>
              <w:spacing w:line="360" w:lineRule="auto"/>
              <w:ind w:firstLine="480" w:firstLineChars="200"/>
              <w:rPr>
                <w:rFonts w:hAnsi="宋体"/>
                <w:snapToGrid w:val="0"/>
                <w:color w:val="auto"/>
                <w:kern w:val="0"/>
                <w:sz w:val="24"/>
                <w:szCs w:val="28"/>
                <w:highlight w:val="none"/>
              </w:rPr>
            </w:pPr>
            <w:r>
              <w:rPr>
                <w:rFonts w:hint="eastAsia" w:hAnsi="宋体"/>
                <w:snapToGrid w:val="0"/>
                <w:color w:val="auto"/>
                <w:kern w:val="0"/>
                <w:sz w:val="24"/>
                <w:szCs w:val="28"/>
                <w:highlight w:val="none"/>
              </w:rPr>
              <w:t>本项目冷库使用R404a作为制冷剂，根据《蒙特利尔议定书》中“HFC-404a为HFC类别，为鼓励类制冷剂，因此，目前项目使用的制冷剂R404a不属于《保护臭氧层维也纳公约》《蒙特利尔议定书》及《中国逐步淘汰消耗臭氧层物质国家方案》中的淘汰型。</w:t>
            </w:r>
          </w:p>
          <w:p w14:paraId="1E158DBD">
            <w:pPr>
              <w:spacing w:line="360" w:lineRule="auto"/>
              <w:ind w:firstLine="482" w:firstLineChars="200"/>
              <w:rPr>
                <w:rFonts w:hint="default"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10、选址合理性</w:t>
            </w:r>
          </w:p>
          <w:p w14:paraId="29CCAAA1">
            <w:pPr>
              <w:autoSpaceDE w:val="0"/>
              <w:autoSpaceDN w:val="0"/>
              <w:adjustRightInd w:val="0"/>
              <w:snapToGrid w:val="0"/>
              <w:ind w:firstLine="482"/>
              <w:rPr>
                <w:b/>
                <w:bCs/>
                <w:color w:val="auto"/>
                <w:sz w:val="24"/>
                <w:highlight w:val="none"/>
              </w:rPr>
            </w:pPr>
            <w:r>
              <w:rPr>
                <w:rFonts w:hint="eastAsia"/>
                <w:b/>
                <w:bCs/>
                <w:color w:val="auto"/>
                <w:sz w:val="24"/>
                <w:highlight w:val="none"/>
              </w:rPr>
              <w:t>（1）</w:t>
            </w:r>
            <w:r>
              <w:rPr>
                <w:rFonts w:hint="eastAsia"/>
                <w:b/>
                <w:bCs/>
                <w:color w:val="auto"/>
                <w:sz w:val="24"/>
                <w:highlight w:val="none"/>
                <w:lang w:eastAsia="zh-CN"/>
              </w:rPr>
              <w:t>本项目</w:t>
            </w:r>
            <w:r>
              <w:rPr>
                <w:rFonts w:hint="eastAsia"/>
                <w:b/>
                <w:bCs/>
                <w:color w:val="auto"/>
                <w:sz w:val="24"/>
                <w:highlight w:val="none"/>
              </w:rPr>
              <w:t>外环境</w:t>
            </w:r>
          </w:p>
          <w:p w14:paraId="424E640B">
            <w:pPr>
              <w:autoSpaceDE w:val="0"/>
              <w:autoSpaceDN w:val="0"/>
              <w:adjustRightInd w:val="0"/>
              <w:snapToGrid w:val="0"/>
              <w:ind w:firstLine="480"/>
              <w:rPr>
                <w:rFonts w:hint="eastAsia" w:eastAsia="宋体"/>
                <w:color w:val="auto"/>
                <w:sz w:val="24"/>
                <w:highlight w:val="none"/>
                <w:lang w:val="en-US" w:eastAsia="zh-CN"/>
              </w:rPr>
            </w:pPr>
            <w:r>
              <w:rPr>
                <w:color w:val="auto"/>
                <w:sz w:val="24"/>
                <w:highlight w:val="none"/>
              </w:rPr>
              <w:t>项目位于</w:t>
            </w:r>
            <w:r>
              <w:rPr>
                <w:rFonts w:hint="eastAsia"/>
                <w:color w:val="auto"/>
                <w:sz w:val="24"/>
                <w:highlight w:val="none"/>
                <w:lang w:eastAsia="zh-CN"/>
              </w:rPr>
              <w:t>四川省遂宁市安居区省级经济开发区现代装备制造产业园区 4-5</w:t>
            </w:r>
            <w:r>
              <w:rPr>
                <w:color w:val="auto"/>
                <w:sz w:val="24"/>
                <w:highlight w:val="none"/>
              </w:rPr>
              <w:t>，</w:t>
            </w:r>
            <w:r>
              <w:rPr>
                <w:rFonts w:hint="eastAsia" w:cs="Times New Roman"/>
                <w:color w:val="auto"/>
                <w:kern w:val="0"/>
                <w:sz w:val="24"/>
                <w:highlight w:val="none"/>
                <w:lang w:val="en-US" w:eastAsia="zh-CN" w:bidi="ar"/>
              </w:rPr>
              <w:t>为购买此地块</w:t>
            </w:r>
            <w:r>
              <w:rPr>
                <w:rFonts w:hint="eastAsia" w:ascii="Times New Roman" w:hAnsi="Times New Roman" w:eastAsia="宋体" w:cs="Times New Roman"/>
                <w:color w:val="auto"/>
                <w:kern w:val="0"/>
                <w:sz w:val="24"/>
                <w:highlight w:val="none"/>
                <w:lang w:val="en-US" w:eastAsia="zh-CN" w:bidi="ar"/>
              </w:rPr>
              <w:t>进行项目建设</w:t>
            </w:r>
            <w:r>
              <w:rPr>
                <w:rFonts w:hint="eastAsia"/>
                <w:color w:val="auto"/>
                <w:sz w:val="24"/>
                <w:highlight w:val="none"/>
                <w:lang w:val="en-US" w:eastAsia="zh-CN"/>
              </w:rPr>
              <w:t>。</w:t>
            </w:r>
            <w:r>
              <w:rPr>
                <w:rFonts w:hint="eastAsia"/>
                <w:color w:val="auto"/>
                <w:sz w:val="24"/>
                <w:highlight w:val="none"/>
              </w:rPr>
              <w:t>厂区500m范围内主要为</w:t>
            </w:r>
            <w:r>
              <w:rPr>
                <w:rFonts w:hint="eastAsia"/>
                <w:color w:val="auto"/>
                <w:sz w:val="24"/>
                <w:highlight w:val="none"/>
                <w:lang w:val="en-US" w:eastAsia="zh-CN"/>
              </w:rPr>
              <w:t>工业</w:t>
            </w:r>
            <w:r>
              <w:rPr>
                <w:rFonts w:hint="eastAsia"/>
                <w:color w:val="auto"/>
                <w:sz w:val="24"/>
                <w:highlight w:val="none"/>
              </w:rPr>
              <w:t>企业</w:t>
            </w:r>
            <w:r>
              <w:rPr>
                <w:rFonts w:hint="eastAsia"/>
                <w:color w:val="auto"/>
                <w:sz w:val="24"/>
                <w:highlight w:val="none"/>
                <w:lang w:eastAsia="zh-CN"/>
              </w:rPr>
              <w:t>，</w:t>
            </w:r>
            <w:r>
              <w:rPr>
                <w:rFonts w:hint="eastAsia"/>
                <w:color w:val="auto"/>
                <w:sz w:val="24"/>
                <w:highlight w:val="none"/>
                <w:lang w:val="en-US" w:eastAsia="zh-CN"/>
              </w:rPr>
              <w:t>无环境保护目标</w:t>
            </w:r>
            <w:r>
              <w:rPr>
                <w:rFonts w:hint="eastAsia"/>
                <w:color w:val="auto"/>
                <w:sz w:val="24"/>
                <w:highlight w:val="none"/>
              </w:rPr>
              <w:t>，</w:t>
            </w:r>
            <w:r>
              <w:rPr>
                <w:rFonts w:hint="eastAsia"/>
                <w:color w:val="auto"/>
                <w:sz w:val="24"/>
                <w:highlight w:val="none"/>
                <w:lang w:val="en-US" w:eastAsia="zh-CN"/>
              </w:rPr>
              <w:t>项目区域</w:t>
            </w:r>
            <w:r>
              <w:rPr>
                <w:rFonts w:hint="eastAsia"/>
                <w:color w:val="auto"/>
                <w:sz w:val="24"/>
                <w:highlight w:val="none"/>
              </w:rPr>
              <w:t>不涉及饮用水源保护区、自然保护区、医院和学校等环境敏感区，本项目外环境关系见附图</w:t>
            </w:r>
            <w:r>
              <w:rPr>
                <w:rFonts w:hint="eastAsia"/>
                <w:color w:val="auto"/>
                <w:sz w:val="24"/>
                <w:highlight w:val="none"/>
                <w:lang w:val="en-US" w:eastAsia="zh-CN"/>
              </w:rPr>
              <w:t>6</w:t>
            </w:r>
            <w:r>
              <w:rPr>
                <w:rFonts w:hint="eastAsia"/>
                <w:color w:val="auto"/>
                <w:sz w:val="24"/>
                <w:highlight w:val="none"/>
              </w:rPr>
              <w:t>。</w:t>
            </w:r>
          </w:p>
          <w:p w14:paraId="011ABFBD">
            <w:pPr>
              <w:bidi w:val="0"/>
              <w:rPr>
                <w:color w:val="auto"/>
                <w:highlight w:val="none"/>
              </w:rPr>
            </w:pPr>
            <w:r>
              <w:rPr>
                <w:rFonts w:hint="eastAsia"/>
                <w:color w:val="auto"/>
                <w:highlight w:val="none"/>
              </w:rPr>
              <w:t>根据现场调查，</w:t>
            </w:r>
            <w:r>
              <w:rPr>
                <w:rFonts w:hint="eastAsia"/>
                <w:color w:val="auto"/>
                <w:highlight w:val="none"/>
                <w:lang w:val="en-US" w:eastAsia="zh-CN"/>
              </w:rPr>
              <w:t>项目周边</w:t>
            </w:r>
            <w:r>
              <w:rPr>
                <w:rFonts w:hint="eastAsia"/>
                <w:color w:val="auto"/>
                <w:highlight w:val="none"/>
              </w:rPr>
              <w:t>主要</w:t>
            </w:r>
            <w:r>
              <w:rPr>
                <w:rFonts w:hint="eastAsia"/>
                <w:color w:val="auto"/>
                <w:highlight w:val="none"/>
                <w:lang w:val="en-US" w:eastAsia="zh-CN"/>
              </w:rPr>
              <w:t>工业</w:t>
            </w:r>
            <w:r>
              <w:rPr>
                <w:rFonts w:hint="eastAsia"/>
                <w:color w:val="auto"/>
                <w:highlight w:val="none"/>
              </w:rPr>
              <w:t>企业情况见下表。</w:t>
            </w:r>
          </w:p>
          <w:p w14:paraId="22F7DC54">
            <w:pPr>
              <w:pStyle w:val="14"/>
              <w:bidi w:val="0"/>
              <w:rPr>
                <w:color w:val="auto"/>
                <w:highlight w:val="none"/>
              </w:rPr>
            </w:pPr>
          </w:p>
          <w:p w14:paraId="5936853A">
            <w:pPr>
              <w:pStyle w:val="14"/>
              <w:bidi w:val="0"/>
              <w:rPr>
                <w:color w:val="auto"/>
                <w:highlight w:val="none"/>
              </w:rPr>
            </w:pPr>
          </w:p>
          <w:p w14:paraId="310E2D84"/>
          <w:p w14:paraId="68EE6E5F">
            <w:pPr>
              <w:pStyle w:val="14"/>
              <w:bidi w:val="0"/>
              <w:rPr>
                <w:rFonts w:hint="default"/>
                <w:color w:val="auto"/>
                <w:highlight w:val="none"/>
                <w:lang w:val="en-US" w:eastAsia="zh-CN"/>
              </w:rPr>
            </w:pPr>
            <w:r>
              <w:rPr>
                <w:color w:val="auto"/>
                <w:highlight w:val="none"/>
              </w:rPr>
              <w:t xml:space="preserve">表1- </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11</w:t>
            </w:r>
            <w:r>
              <w:rPr>
                <w:color w:val="auto"/>
                <w:highlight w:val="none"/>
              </w:rPr>
              <w:fldChar w:fldCharType="end"/>
            </w:r>
            <w:r>
              <w:rPr>
                <w:rFonts w:hint="eastAsia"/>
                <w:color w:val="auto"/>
                <w:highlight w:val="none"/>
                <w:lang w:val="en-US" w:eastAsia="zh-CN"/>
              </w:rPr>
              <w:t xml:space="preserve">  项目周边主要工业企业一览表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2"/>
              <w:gridCol w:w="3779"/>
              <w:gridCol w:w="677"/>
              <w:gridCol w:w="986"/>
              <w:gridCol w:w="2245"/>
            </w:tblGrid>
            <w:tr w14:paraId="6EA8D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bottom w:val="single" w:color="000000" w:sz="4" w:space="0"/>
                    <w:tl2br w:val="nil"/>
                    <w:tr2bl w:val="nil"/>
                  </w:tcBorders>
                  <w:vAlign w:val="center"/>
                </w:tcPr>
                <w:p w14:paraId="2D0B7EF6">
                  <w:pPr>
                    <w:pStyle w:val="106"/>
                    <w:bidi w:val="0"/>
                    <w:rPr>
                      <w:b/>
                      <w:bCs/>
                      <w:color w:val="auto"/>
                      <w:highlight w:val="none"/>
                    </w:rPr>
                  </w:pPr>
                  <w:r>
                    <w:rPr>
                      <w:b/>
                      <w:bCs/>
                      <w:color w:val="auto"/>
                      <w:highlight w:val="none"/>
                    </w:rPr>
                    <w:t>序号</w:t>
                  </w:r>
                </w:p>
              </w:tc>
              <w:tc>
                <w:tcPr>
                  <w:tcW w:w="3774" w:type="dxa"/>
                  <w:tcBorders>
                    <w:bottom w:val="single" w:color="000000" w:sz="4" w:space="0"/>
                    <w:tl2br w:val="nil"/>
                    <w:tr2bl w:val="nil"/>
                  </w:tcBorders>
                  <w:vAlign w:val="center"/>
                </w:tcPr>
                <w:p w14:paraId="2D125FFC">
                  <w:pPr>
                    <w:pStyle w:val="106"/>
                    <w:bidi w:val="0"/>
                    <w:rPr>
                      <w:b/>
                      <w:bCs/>
                      <w:color w:val="auto"/>
                      <w:highlight w:val="none"/>
                    </w:rPr>
                  </w:pPr>
                  <w:r>
                    <w:rPr>
                      <w:b/>
                      <w:bCs/>
                      <w:color w:val="auto"/>
                      <w:highlight w:val="none"/>
                    </w:rPr>
                    <w:t>企业名称</w:t>
                  </w:r>
                </w:p>
              </w:tc>
              <w:tc>
                <w:tcPr>
                  <w:tcW w:w="676" w:type="dxa"/>
                  <w:tcBorders>
                    <w:bottom w:val="single" w:color="000000" w:sz="4" w:space="0"/>
                    <w:tl2br w:val="nil"/>
                    <w:tr2bl w:val="nil"/>
                  </w:tcBorders>
                  <w:vAlign w:val="center"/>
                </w:tcPr>
                <w:p w14:paraId="540EAB21">
                  <w:pPr>
                    <w:pStyle w:val="106"/>
                    <w:bidi w:val="0"/>
                    <w:rPr>
                      <w:b/>
                      <w:bCs/>
                      <w:color w:val="auto"/>
                      <w:highlight w:val="none"/>
                      <w:lang w:eastAsia="zh-CN"/>
                    </w:rPr>
                  </w:pPr>
                  <w:r>
                    <w:rPr>
                      <w:rFonts w:hint="eastAsia"/>
                      <w:b/>
                      <w:bCs/>
                      <w:color w:val="auto"/>
                      <w:highlight w:val="none"/>
                      <w:lang w:eastAsia="zh-CN"/>
                    </w:rPr>
                    <w:t>方位</w:t>
                  </w:r>
                </w:p>
              </w:tc>
              <w:tc>
                <w:tcPr>
                  <w:tcW w:w="985" w:type="dxa"/>
                  <w:tcBorders>
                    <w:bottom w:val="single" w:color="000000" w:sz="4" w:space="0"/>
                    <w:tl2br w:val="nil"/>
                    <w:tr2bl w:val="nil"/>
                  </w:tcBorders>
                  <w:vAlign w:val="center"/>
                </w:tcPr>
                <w:p w14:paraId="51C7E68E">
                  <w:pPr>
                    <w:pStyle w:val="106"/>
                    <w:bidi w:val="0"/>
                    <w:rPr>
                      <w:b/>
                      <w:bCs/>
                      <w:color w:val="auto"/>
                      <w:highlight w:val="none"/>
                      <w:lang w:eastAsia="zh-CN"/>
                    </w:rPr>
                  </w:pPr>
                  <w:r>
                    <w:rPr>
                      <w:b/>
                      <w:bCs/>
                      <w:color w:val="auto"/>
                      <w:highlight w:val="none"/>
                    </w:rPr>
                    <w:t>与本项目距离</w:t>
                  </w:r>
                  <w:r>
                    <w:rPr>
                      <w:rFonts w:hint="eastAsia"/>
                      <w:b/>
                      <w:bCs/>
                      <w:color w:val="auto"/>
                      <w:highlight w:val="none"/>
                      <w:lang w:eastAsia="zh-CN"/>
                    </w:rPr>
                    <w:t>m</w:t>
                  </w:r>
                </w:p>
              </w:tc>
              <w:tc>
                <w:tcPr>
                  <w:tcW w:w="2242" w:type="dxa"/>
                  <w:tcBorders>
                    <w:bottom w:val="single" w:color="000000" w:sz="4" w:space="0"/>
                    <w:tl2br w:val="nil"/>
                    <w:tr2bl w:val="nil"/>
                  </w:tcBorders>
                  <w:vAlign w:val="center"/>
                </w:tcPr>
                <w:p w14:paraId="7CE4C00E">
                  <w:pPr>
                    <w:pStyle w:val="106"/>
                    <w:bidi w:val="0"/>
                    <w:rPr>
                      <w:b/>
                      <w:bCs/>
                      <w:color w:val="auto"/>
                      <w:highlight w:val="none"/>
                    </w:rPr>
                  </w:pPr>
                  <w:r>
                    <w:rPr>
                      <w:rFonts w:hint="eastAsia"/>
                      <w:b/>
                      <w:bCs/>
                      <w:color w:val="auto"/>
                      <w:highlight w:val="none"/>
                      <w:lang w:val="en-US" w:eastAsia="zh-CN"/>
                    </w:rPr>
                    <w:t>业务类型/</w:t>
                  </w:r>
                  <w:r>
                    <w:rPr>
                      <w:b/>
                      <w:bCs/>
                      <w:color w:val="auto"/>
                      <w:highlight w:val="none"/>
                    </w:rPr>
                    <w:t>产品</w:t>
                  </w:r>
                </w:p>
              </w:tc>
            </w:tr>
            <w:tr w14:paraId="0D543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op w:val="single" w:color="000000" w:sz="4" w:space="0"/>
                    <w:tl2br w:val="nil"/>
                    <w:tr2bl w:val="nil"/>
                  </w:tcBorders>
                  <w:vAlign w:val="center"/>
                </w:tcPr>
                <w:p w14:paraId="5F48962E">
                  <w:pPr>
                    <w:pStyle w:val="106"/>
                    <w:bidi w:val="0"/>
                    <w:rPr>
                      <w:color w:val="auto"/>
                      <w:highlight w:val="none"/>
                      <w:lang w:eastAsia="zh-CN"/>
                    </w:rPr>
                  </w:pPr>
                  <w:r>
                    <w:rPr>
                      <w:color w:val="auto"/>
                      <w:highlight w:val="none"/>
                      <w:lang w:eastAsia="zh-CN"/>
                    </w:rPr>
                    <w:t>1</w:t>
                  </w:r>
                </w:p>
              </w:tc>
              <w:tc>
                <w:tcPr>
                  <w:tcW w:w="3774" w:type="dxa"/>
                  <w:tcBorders>
                    <w:top w:val="single" w:color="000000" w:sz="4" w:space="0"/>
                    <w:tl2br w:val="nil"/>
                    <w:tr2bl w:val="nil"/>
                  </w:tcBorders>
                  <w:vAlign w:val="center"/>
                </w:tcPr>
                <w:p w14:paraId="7EB65DD1">
                  <w:pPr>
                    <w:pStyle w:val="106"/>
                    <w:bidi w:val="0"/>
                    <w:rPr>
                      <w:color w:val="auto"/>
                      <w:highlight w:val="none"/>
                    </w:rPr>
                  </w:pPr>
                  <w:r>
                    <w:rPr>
                      <w:rFonts w:hint="eastAsia"/>
                      <w:color w:val="auto"/>
                      <w:highlight w:val="none"/>
                    </w:rPr>
                    <w:t>JAC江汽物流零储公司</w:t>
                  </w:r>
                </w:p>
              </w:tc>
              <w:tc>
                <w:tcPr>
                  <w:tcW w:w="676" w:type="dxa"/>
                  <w:tcBorders>
                    <w:top w:val="single" w:color="000000" w:sz="4" w:space="0"/>
                    <w:tl2br w:val="nil"/>
                    <w:tr2bl w:val="nil"/>
                  </w:tcBorders>
                  <w:vAlign w:val="center"/>
                </w:tcPr>
                <w:p w14:paraId="0DF0D830">
                  <w:pPr>
                    <w:pStyle w:val="106"/>
                    <w:bidi w:val="0"/>
                    <w:rPr>
                      <w:rFonts w:hint="default"/>
                      <w:color w:val="auto"/>
                      <w:highlight w:val="none"/>
                      <w:lang w:val="en-US" w:eastAsia="zh-CN"/>
                    </w:rPr>
                  </w:pPr>
                  <w:r>
                    <w:rPr>
                      <w:rFonts w:hint="eastAsia"/>
                      <w:color w:val="auto"/>
                      <w:highlight w:val="none"/>
                      <w:lang w:val="en-US" w:eastAsia="zh-CN"/>
                    </w:rPr>
                    <w:t>东北</w:t>
                  </w:r>
                </w:p>
              </w:tc>
              <w:tc>
                <w:tcPr>
                  <w:tcW w:w="985" w:type="dxa"/>
                  <w:tcBorders>
                    <w:top w:val="single" w:color="000000" w:sz="4" w:space="0"/>
                    <w:tl2br w:val="nil"/>
                    <w:tr2bl w:val="nil"/>
                  </w:tcBorders>
                  <w:vAlign w:val="center"/>
                </w:tcPr>
                <w:p w14:paraId="6BA26C1F">
                  <w:pPr>
                    <w:pStyle w:val="106"/>
                    <w:bidi w:val="0"/>
                    <w:rPr>
                      <w:rFonts w:hint="default"/>
                      <w:color w:val="auto"/>
                      <w:highlight w:val="none"/>
                      <w:lang w:val="en-US" w:eastAsia="zh-CN"/>
                    </w:rPr>
                  </w:pPr>
                  <w:r>
                    <w:rPr>
                      <w:rFonts w:hint="eastAsia"/>
                      <w:color w:val="auto"/>
                      <w:highlight w:val="none"/>
                      <w:lang w:val="en-US" w:eastAsia="zh-CN"/>
                    </w:rPr>
                    <w:t>388</w:t>
                  </w:r>
                </w:p>
              </w:tc>
              <w:tc>
                <w:tcPr>
                  <w:tcW w:w="2242" w:type="dxa"/>
                  <w:tcBorders>
                    <w:top w:val="single" w:color="000000" w:sz="4" w:space="0"/>
                    <w:tl2br w:val="nil"/>
                    <w:tr2bl w:val="nil"/>
                  </w:tcBorders>
                  <w:vAlign w:val="center"/>
                </w:tcPr>
                <w:p w14:paraId="511AD46D">
                  <w:pPr>
                    <w:pStyle w:val="106"/>
                    <w:bidi w:val="0"/>
                    <w:rPr>
                      <w:rFonts w:hint="default" w:eastAsia="宋体"/>
                      <w:color w:val="auto"/>
                      <w:highlight w:val="none"/>
                      <w:lang w:val="en-US" w:eastAsia="zh-CN"/>
                    </w:rPr>
                  </w:pPr>
                  <w:r>
                    <w:rPr>
                      <w:rFonts w:hint="eastAsia"/>
                      <w:color w:val="auto"/>
                      <w:highlight w:val="none"/>
                      <w:lang w:val="en-US" w:eastAsia="zh-CN"/>
                    </w:rPr>
                    <w:t>物流运输</w:t>
                  </w:r>
                </w:p>
              </w:tc>
            </w:tr>
            <w:tr w14:paraId="2C1D2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vAlign w:val="center"/>
                </w:tcPr>
                <w:p w14:paraId="73545533">
                  <w:pPr>
                    <w:pStyle w:val="106"/>
                    <w:bidi w:val="0"/>
                    <w:rPr>
                      <w:color w:val="auto"/>
                      <w:highlight w:val="none"/>
                      <w:lang w:eastAsia="zh-CN"/>
                    </w:rPr>
                  </w:pPr>
                  <w:r>
                    <w:rPr>
                      <w:color w:val="auto"/>
                      <w:highlight w:val="none"/>
                      <w:lang w:eastAsia="zh-CN"/>
                    </w:rPr>
                    <w:t>2</w:t>
                  </w:r>
                </w:p>
              </w:tc>
              <w:tc>
                <w:tcPr>
                  <w:tcW w:w="3774" w:type="dxa"/>
                  <w:tcBorders>
                    <w:tl2br w:val="nil"/>
                    <w:tr2bl w:val="nil"/>
                  </w:tcBorders>
                  <w:vAlign w:val="center"/>
                </w:tcPr>
                <w:p w14:paraId="0555818A">
                  <w:pPr>
                    <w:pStyle w:val="106"/>
                    <w:bidi w:val="0"/>
                    <w:rPr>
                      <w:rFonts w:hint="default" w:eastAsia="宋体"/>
                      <w:color w:val="auto"/>
                      <w:highlight w:val="none"/>
                      <w:lang w:val="en-US" w:eastAsia="zh-CN"/>
                    </w:rPr>
                  </w:pPr>
                  <w:r>
                    <w:rPr>
                      <w:rFonts w:hint="default" w:eastAsia="宋体"/>
                      <w:color w:val="auto"/>
                      <w:highlight w:val="none"/>
                      <w:lang w:val="en-US" w:eastAsia="zh-CN"/>
                    </w:rPr>
                    <w:t>四川阿宁食品有限公司</w:t>
                  </w:r>
                </w:p>
              </w:tc>
              <w:tc>
                <w:tcPr>
                  <w:tcW w:w="676" w:type="dxa"/>
                  <w:vMerge w:val="restart"/>
                  <w:tcBorders>
                    <w:tl2br w:val="nil"/>
                    <w:tr2bl w:val="nil"/>
                  </w:tcBorders>
                  <w:vAlign w:val="center"/>
                </w:tcPr>
                <w:p w14:paraId="77D651B0">
                  <w:pPr>
                    <w:pStyle w:val="106"/>
                    <w:bidi w:val="0"/>
                    <w:rPr>
                      <w:rFonts w:hint="default" w:eastAsia="宋体"/>
                      <w:color w:val="auto"/>
                      <w:highlight w:val="none"/>
                      <w:lang w:val="en-US" w:eastAsia="zh-CN"/>
                    </w:rPr>
                  </w:pPr>
                  <w:r>
                    <w:rPr>
                      <w:rFonts w:hint="eastAsia"/>
                      <w:color w:val="auto"/>
                      <w:highlight w:val="none"/>
                      <w:lang w:val="en-US" w:eastAsia="zh-CN"/>
                    </w:rPr>
                    <w:t>西北</w:t>
                  </w:r>
                </w:p>
              </w:tc>
              <w:tc>
                <w:tcPr>
                  <w:tcW w:w="985" w:type="dxa"/>
                  <w:tcBorders>
                    <w:tl2br w:val="nil"/>
                    <w:tr2bl w:val="nil"/>
                  </w:tcBorders>
                  <w:vAlign w:val="center"/>
                </w:tcPr>
                <w:p w14:paraId="7408CEC9">
                  <w:pPr>
                    <w:pStyle w:val="106"/>
                    <w:bidi w:val="0"/>
                    <w:rPr>
                      <w:rFonts w:hint="default"/>
                      <w:color w:val="auto"/>
                      <w:highlight w:val="none"/>
                      <w:lang w:val="en-US" w:eastAsia="zh-CN"/>
                    </w:rPr>
                  </w:pPr>
                  <w:r>
                    <w:rPr>
                      <w:rFonts w:hint="eastAsia"/>
                      <w:color w:val="auto"/>
                      <w:highlight w:val="none"/>
                      <w:lang w:val="en-US" w:eastAsia="zh-CN"/>
                    </w:rPr>
                    <w:t>35</w:t>
                  </w:r>
                </w:p>
              </w:tc>
              <w:tc>
                <w:tcPr>
                  <w:tcW w:w="2242" w:type="dxa"/>
                  <w:tcBorders>
                    <w:tl2br w:val="nil"/>
                    <w:tr2bl w:val="nil"/>
                  </w:tcBorders>
                  <w:vAlign w:val="center"/>
                </w:tcPr>
                <w:p w14:paraId="10F1ECFC">
                  <w:pPr>
                    <w:pStyle w:val="106"/>
                    <w:bidi w:val="0"/>
                    <w:rPr>
                      <w:rFonts w:hint="default" w:eastAsia="宋体"/>
                      <w:color w:val="auto"/>
                      <w:highlight w:val="none"/>
                      <w:lang w:val="en-US" w:eastAsia="zh-CN"/>
                    </w:rPr>
                  </w:pPr>
                  <w:r>
                    <w:rPr>
                      <w:rFonts w:hint="eastAsia"/>
                      <w:color w:val="auto"/>
                      <w:highlight w:val="none"/>
                      <w:lang w:val="en-US" w:eastAsia="zh-CN"/>
                    </w:rPr>
                    <w:t>食品生产销售</w:t>
                  </w:r>
                </w:p>
              </w:tc>
            </w:tr>
            <w:tr w14:paraId="3D288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vAlign w:val="center"/>
                </w:tcPr>
                <w:p w14:paraId="6D29CFB7">
                  <w:pPr>
                    <w:pStyle w:val="106"/>
                    <w:bidi w:val="0"/>
                    <w:rPr>
                      <w:color w:val="auto"/>
                      <w:highlight w:val="none"/>
                      <w:lang w:eastAsia="zh-CN"/>
                    </w:rPr>
                  </w:pPr>
                  <w:r>
                    <w:rPr>
                      <w:color w:val="auto"/>
                      <w:highlight w:val="none"/>
                      <w:lang w:eastAsia="zh-CN"/>
                    </w:rPr>
                    <w:t>3</w:t>
                  </w:r>
                </w:p>
              </w:tc>
              <w:tc>
                <w:tcPr>
                  <w:tcW w:w="3774" w:type="dxa"/>
                  <w:tcBorders>
                    <w:tl2br w:val="nil"/>
                    <w:tr2bl w:val="nil"/>
                  </w:tcBorders>
                  <w:shd w:val="clear" w:color="auto" w:fill="auto"/>
                  <w:vAlign w:val="center"/>
                </w:tcPr>
                <w:p w14:paraId="16ADBC8F">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eastAsia="宋体"/>
                      <w:color w:val="auto"/>
                      <w:highlight w:val="none"/>
                      <w:lang w:val="en-US" w:eastAsia="zh-CN"/>
                    </w:rPr>
                    <w:t>四川雅巢食品有限公司</w:t>
                  </w:r>
                </w:p>
              </w:tc>
              <w:tc>
                <w:tcPr>
                  <w:tcW w:w="676" w:type="dxa"/>
                  <w:vMerge w:val="continue"/>
                  <w:tcBorders>
                    <w:tl2br w:val="nil"/>
                    <w:tr2bl w:val="nil"/>
                  </w:tcBorders>
                  <w:shd w:val="clear" w:color="auto" w:fill="auto"/>
                  <w:vAlign w:val="center"/>
                </w:tcPr>
                <w:p w14:paraId="66112B93">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p>
              </w:tc>
              <w:tc>
                <w:tcPr>
                  <w:tcW w:w="985" w:type="dxa"/>
                  <w:tcBorders>
                    <w:tl2br w:val="nil"/>
                    <w:tr2bl w:val="nil"/>
                  </w:tcBorders>
                  <w:shd w:val="clear" w:color="auto" w:fill="auto"/>
                  <w:vAlign w:val="center"/>
                </w:tcPr>
                <w:p w14:paraId="1D5C5FA0">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280</w:t>
                  </w:r>
                </w:p>
              </w:tc>
              <w:tc>
                <w:tcPr>
                  <w:tcW w:w="2242" w:type="dxa"/>
                  <w:tcBorders>
                    <w:tl2br w:val="nil"/>
                    <w:tr2bl w:val="nil"/>
                  </w:tcBorders>
                  <w:shd w:val="clear" w:color="auto" w:fill="auto"/>
                  <w:vAlign w:val="center"/>
                </w:tcPr>
                <w:p w14:paraId="2B3E90EF">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食品生产销售</w:t>
                  </w:r>
                </w:p>
              </w:tc>
            </w:tr>
            <w:tr w14:paraId="30CDF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shd w:val="clear" w:color="auto" w:fill="auto"/>
                  <w:vAlign w:val="center"/>
                </w:tcPr>
                <w:p w14:paraId="774EF8CF">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lang w:eastAsia="zh-CN"/>
                    </w:rPr>
                    <w:t>4</w:t>
                  </w:r>
                </w:p>
              </w:tc>
              <w:tc>
                <w:tcPr>
                  <w:tcW w:w="3774" w:type="dxa"/>
                  <w:tcBorders>
                    <w:tl2br w:val="nil"/>
                    <w:tr2bl w:val="nil"/>
                  </w:tcBorders>
                  <w:shd w:val="clear" w:color="auto" w:fill="auto"/>
                  <w:vAlign w:val="center"/>
                </w:tcPr>
                <w:p w14:paraId="7789EC67">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eastAsia="宋体"/>
                      <w:color w:val="auto"/>
                      <w:highlight w:val="none"/>
                      <w:lang w:val="en-US" w:eastAsia="zh-CN"/>
                    </w:rPr>
                    <w:t>四川省金旺食品进出口有限公司</w:t>
                  </w:r>
                </w:p>
              </w:tc>
              <w:tc>
                <w:tcPr>
                  <w:tcW w:w="676" w:type="dxa"/>
                  <w:vMerge w:val="continue"/>
                  <w:tcBorders>
                    <w:tl2br w:val="nil"/>
                    <w:tr2bl w:val="nil"/>
                  </w:tcBorders>
                  <w:shd w:val="clear" w:color="auto" w:fill="auto"/>
                  <w:vAlign w:val="center"/>
                </w:tcPr>
                <w:p w14:paraId="08EC1967">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p>
              </w:tc>
              <w:tc>
                <w:tcPr>
                  <w:tcW w:w="985" w:type="dxa"/>
                  <w:tcBorders>
                    <w:tl2br w:val="nil"/>
                    <w:tr2bl w:val="nil"/>
                  </w:tcBorders>
                  <w:shd w:val="clear" w:color="auto" w:fill="auto"/>
                  <w:vAlign w:val="center"/>
                </w:tcPr>
                <w:p w14:paraId="222685A0">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322</w:t>
                  </w:r>
                </w:p>
              </w:tc>
              <w:tc>
                <w:tcPr>
                  <w:tcW w:w="2242" w:type="dxa"/>
                  <w:tcBorders>
                    <w:tl2br w:val="nil"/>
                    <w:tr2bl w:val="nil"/>
                  </w:tcBorders>
                  <w:shd w:val="clear" w:color="auto" w:fill="auto"/>
                  <w:vAlign w:val="center"/>
                </w:tcPr>
                <w:p w14:paraId="739481B1">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食品生产销售</w:t>
                  </w:r>
                </w:p>
              </w:tc>
            </w:tr>
            <w:tr w14:paraId="36A65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shd w:val="clear" w:color="auto" w:fill="auto"/>
                  <w:vAlign w:val="center"/>
                </w:tcPr>
                <w:p w14:paraId="0DA6E91D">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lang w:eastAsia="zh-CN"/>
                    </w:rPr>
                    <w:t>5</w:t>
                  </w:r>
                </w:p>
              </w:tc>
              <w:tc>
                <w:tcPr>
                  <w:tcW w:w="3774" w:type="dxa"/>
                  <w:tcBorders>
                    <w:tl2br w:val="nil"/>
                    <w:tr2bl w:val="nil"/>
                  </w:tcBorders>
                  <w:vAlign w:val="center"/>
                </w:tcPr>
                <w:p w14:paraId="3555D4E4">
                  <w:pPr>
                    <w:pStyle w:val="106"/>
                    <w:bidi w:val="0"/>
                    <w:rPr>
                      <w:rFonts w:hint="default" w:eastAsia="宋体"/>
                      <w:color w:val="auto"/>
                      <w:highlight w:val="none"/>
                      <w:lang w:val="en-US" w:eastAsia="zh-CN"/>
                    </w:rPr>
                  </w:pPr>
                  <w:r>
                    <w:rPr>
                      <w:rFonts w:hint="eastAsia"/>
                      <w:color w:val="auto"/>
                      <w:sz w:val="21"/>
                      <w:szCs w:val="21"/>
                    </w:rPr>
                    <w:t>遂宁思瑞食品有限公司</w:t>
                  </w:r>
                </w:p>
              </w:tc>
              <w:tc>
                <w:tcPr>
                  <w:tcW w:w="676" w:type="dxa"/>
                  <w:vMerge w:val="continue"/>
                  <w:tcBorders>
                    <w:tl2br w:val="nil"/>
                    <w:tr2bl w:val="nil"/>
                  </w:tcBorders>
                  <w:vAlign w:val="center"/>
                </w:tcPr>
                <w:p w14:paraId="4F1D7779">
                  <w:pPr>
                    <w:pStyle w:val="106"/>
                    <w:bidi w:val="0"/>
                    <w:rPr>
                      <w:rFonts w:hint="eastAsia"/>
                      <w:color w:val="auto"/>
                      <w:highlight w:val="none"/>
                      <w:lang w:val="en-US" w:eastAsia="zh-CN"/>
                    </w:rPr>
                  </w:pPr>
                </w:p>
              </w:tc>
              <w:tc>
                <w:tcPr>
                  <w:tcW w:w="985" w:type="dxa"/>
                  <w:tcBorders>
                    <w:tl2br w:val="nil"/>
                    <w:tr2bl w:val="nil"/>
                  </w:tcBorders>
                  <w:vAlign w:val="center"/>
                </w:tcPr>
                <w:p w14:paraId="0FB89F90">
                  <w:pPr>
                    <w:pStyle w:val="106"/>
                    <w:bidi w:val="0"/>
                    <w:rPr>
                      <w:rFonts w:hint="default"/>
                      <w:color w:val="auto"/>
                      <w:highlight w:val="none"/>
                      <w:lang w:val="en-US" w:eastAsia="zh-CN"/>
                    </w:rPr>
                  </w:pPr>
                  <w:r>
                    <w:rPr>
                      <w:rFonts w:hint="eastAsia"/>
                      <w:color w:val="auto"/>
                      <w:highlight w:val="none"/>
                      <w:lang w:val="en-US" w:eastAsia="zh-CN"/>
                    </w:rPr>
                    <w:t>380</w:t>
                  </w:r>
                </w:p>
              </w:tc>
              <w:tc>
                <w:tcPr>
                  <w:tcW w:w="2242" w:type="dxa"/>
                  <w:tcBorders>
                    <w:tl2br w:val="nil"/>
                    <w:tr2bl w:val="nil"/>
                  </w:tcBorders>
                  <w:vAlign w:val="center"/>
                </w:tcPr>
                <w:p w14:paraId="668365D3">
                  <w:pPr>
                    <w:pStyle w:val="106"/>
                    <w:bidi w:val="0"/>
                    <w:rPr>
                      <w:rFonts w:hint="default" w:eastAsia="宋体"/>
                      <w:color w:val="auto"/>
                      <w:highlight w:val="none"/>
                      <w:lang w:val="en-US" w:eastAsia="zh-CN"/>
                    </w:rPr>
                  </w:pPr>
                  <w:r>
                    <w:rPr>
                      <w:rFonts w:hint="eastAsia"/>
                      <w:color w:val="auto"/>
                      <w:highlight w:val="none"/>
                      <w:lang w:val="en-US" w:eastAsia="zh-CN"/>
                    </w:rPr>
                    <w:t>食品生产销售</w:t>
                  </w:r>
                </w:p>
              </w:tc>
            </w:tr>
            <w:tr w14:paraId="42012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shd w:val="clear" w:color="auto" w:fill="auto"/>
                  <w:vAlign w:val="center"/>
                </w:tcPr>
                <w:p w14:paraId="76218B86">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lang w:eastAsia="zh-CN"/>
                    </w:rPr>
                    <w:t>6</w:t>
                  </w:r>
                </w:p>
              </w:tc>
              <w:tc>
                <w:tcPr>
                  <w:tcW w:w="3774" w:type="dxa"/>
                  <w:tcBorders>
                    <w:tl2br w:val="nil"/>
                    <w:tr2bl w:val="nil"/>
                  </w:tcBorders>
                  <w:vAlign w:val="center"/>
                </w:tcPr>
                <w:p w14:paraId="635492AB">
                  <w:pPr>
                    <w:pStyle w:val="106"/>
                    <w:bidi w:val="0"/>
                    <w:rPr>
                      <w:rFonts w:hint="default"/>
                      <w:color w:val="auto"/>
                      <w:highlight w:val="none"/>
                      <w:lang w:val="en-US" w:eastAsia="zh-CN"/>
                    </w:rPr>
                  </w:pPr>
                  <w:r>
                    <w:rPr>
                      <w:rFonts w:hint="eastAsia"/>
                    </w:rPr>
                    <w:t>四川国润食品有限公司</w:t>
                  </w:r>
                </w:p>
              </w:tc>
              <w:tc>
                <w:tcPr>
                  <w:tcW w:w="676" w:type="dxa"/>
                  <w:vMerge w:val="restart"/>
                  <w:tcBorders>
                    <w:tl2br w:val="nil"/>
                    <w:tr2bl w:val="nil"/>
                  </w:tcBorders>
                  <w:vAlign w:val="center"/>
                </w:tcPr>
                <w:p w14:paraId="4DE2CE61">
                  <w:pPr>
                    <w:pStyle w:val="106"/>
                    <w:bidi w:val="0"/>
                    <w:rPr>
                      <w:rFonts w:hint="default" w:eastAsia="宋体"/>
                      <w:color w:val="auto"/>
                      <w:highlight w:val="none"/>
                      <w:lang w:val="en-US" w:eastAsia="zh-CN"/>
                    </w:rPr>
                  </w:pPr>
                  <w:r>
                    <w:rPr>
                      <w:rFonts w:hint="eastAsia"/>
                      <w:color w:val="auto"/>
                      <w:highlight w:val="none"/>
                      <w:lang w:val="en-US" w:eastAsia="zh-CN"/>
                    </w:rPr>
                    <w:t>西</w:t>
                  </w:r>
                </w:p>
              </w:tc>
              <w:tc>
                <w:tcPr>
                  <w:tcW w:w="985" w:type="dxa"/>
                  <w:tcBorders>
                    <w:tl2br w:val="nil"/>
                    <w:tr2bl w:val="nil"/>
                  </w:tcBorders>
                  <w:vAlign w:val="center"/>
                </w:tcPr>
                <w:p w14:paraId="1114467E">
                  <w:pPr>
                    <w:pStyle w:val="106"/>
                    <w:bidi w:val="0"/>
                    <w:rPr>
                      <w:rFonts w:hint="default"/>
                      <w:color w:val="auto"/>
                      <w:highlight w:val="none"/>
                      <w:lang w:val="en-US" w:eastAsia="zh-CN"/>
                    </w:rPr>
                  </w:pPr>
                  <w:r>
                    <w:rPr>
                      <w:rFonts w:hint="eastAsia"/>
                      <w:color w:val="auto"/>
                      <w:highlight w:val="none"/>
                      <w:lang w:val="en-US" w:eastAsia="zh-CN"/>
                    </w:rPr>
                    <w:t>35</w:t>
                  </w:r>
                </w:p>
              </w:tc>
              <w:tc>
                <w:tcPr>
                  <w:tcW w:w="2242" w:type="dxa"/>
                  <w:tcBorders>
                    <w:tl2br w:val="nil"/>
                    <w:tr2bl w:val="nil"/>
                  </w:tcBorders>
                  <w:vAlign w:val="center"/>
                </w:tcPr>
                <w:p w14:paraId="51E10ECA">
                  <w:pPr>
                    <w:pStyle w:val="106"/>
                    <w:bidi w:val="0"/>
                    <w:rPr>
                      <w:rFonts w:hint="default" w:eastAsia="宋体"/>
                      <w:color w:val="auto"/>
                      <w:highlight w:val="none"/>
                      <w:lang w:val="en-US" w:eastAsia="zh-CN"/>
                    </w:rPr>
                  </w:pPr>
                  <w:r>
                    <w:rPr>
                      <w:rFonts w:hint="eastAsia"/>
                      <w:color w:val="auto"/>
                      <w:highlight w:val="none"/>
                      <w:lang w:val="en-US" w:eastAsia="zh-CN"/>
                    </w:rPr>
                    <w:t>食品生产销售</w:t>
                  </w:r>
                </w:p>
              </w:tc>
            </w:tr>
            <w:tr w14:paraId="4CF5C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vAlign w:val="center"/>
                </w:tcPr>
                <w:p w14:paraId="285DB977">
                  <w:pPr>
                    <w:pStyle w:val="106"/>
                    <w:bidi w:val="0"/>
                    <w:rPr>
                      <w:rFonts w:hint="default"/>
                      <w:color w:val="auto"/>
                      <w:highlight w:val="none"/>
                      <w:lang w:val="en-US" w:eastAsia="zh-CN"/>
                    </w:rPr>
                  </w:pPr>
                  <w:r>
                    <w:rPr>
                      <w:rFonts w:hint="eastAsia"/>
                      <w:color w:val="auto"/>
                      <w:highlight w:val="none"/>
                      <w:lang w:val="en-US" w:eastAsia="zh-CN"/>
                    </w:rPr>
                    <w:t>7</w:t>
                  </w:r>
                </w:p>
              </w:tc>
              <w:tc>
                <w:tcPr>
                  <w:tcW w:w="3774" w:type="dxa"/>
                  <w:tcBorders>
                    <w:tl2br w:val="nil"/>
                    <w:tr2bl w:val="nil"/>
                  </w:tcBorders>
                  <w:vAlign w:val="center"/>
                </w:tcPr>
                <w:p w14:paraId="6E4FE06B">
                  <w:pPr>
                    <w:pStyle w:val="106"/>
                    <w:bidi w:val="0"/>
                    <w:rPr>
                      <w:rFonts w:hint="eastAsia"/>
                    </w:rPr>
                  </w:pPr>
                  <w:r>
                    <w:rPr>
                      <w:rFonts w:hint="eastAsia"/>
                    </w:rPr>
                    <w:t>四川华翔玻陶制品有限公司</w:t>
                  </w:r>
                </w:p>
              </w:tc>
              <w:tc>
                <w:tcPr>
                  <w:tcW w:w="676" w:type="dxa"/>
                  <w:vMerge w:val="continue"/>
                  <w:tcBorders>
                    <w:tl2br w:val="nil"/>
                    <w:tr2bl w:val="nil"/>
                  </w:tcBorders>
                  <w:vAlign w:val="center"/>
                </w:tcPr>
                <w:p w14:paraId="30F7C2EF">
                  <w:pPr>
                    <w:pStyle w:val="106"/>
                    <w:bidi w:val="0"/>
                    <w:rPr>
                      <w:rFonts w:hint="eastAsia"/>
                      <w:color w:val="auto"/>
                      <w:highlight w:val="none"/>
                      <w:lang w:val="en-US" w:eastAsia="zh-CN"/>
                    </w:rPr>
                  </w:pPr>
                </w:p>
              </w:tc>
              <w:tc>
                <w:tcPr>
                  <w:tcW w:w="985" w:type="dxa"/>
                  <w:tcBorders>
                    <w:tl2br w:val="nil"/>
                    <w:tr2bl w:val="nil"/>
                  </w:tcBorders>
                  <w:vAlign w:val="center"/>
                </w:tcPr>
                <w:p w14:paraId="76C93682">
                  <w:pPr>
                    <w:pStyle w:val="106"/>
                    <w:bidi w:val="0"/>
                    <w:rPr>
                      <w:rFonts w:hint="default"/>
                      <w:color w:val="auto"/>
                      <w:highlight w:val="none"/>
                      <w:lang w:val="en-US" w:eastAsia="zh-CN"/>
                    </w:rPr>
                  </w:pPr>
                  <w:r>
                    <w:rPr>
                      <w:rFonts w:hint="eastAsia"/>
                      <w:color w:val="auto"/>
                      <w:highlight w:val="none"/>
                      <w:lang w:val="en-US" w:eastAsia="zh-CN"/>
                    </w:rPr>
                    <w:t>225</w:t>
                  </w:r>
                </w:p>
              </w:tc>
              <w:tc>
                <w:tcPr>
                  <w:tcW w:w="2242" w:type="dxa"/>
                  <w:tcBorders>
                    <w:tl2br w:val="nil"/>
                    <w:tr2bl w:val="nil"/>
                  </w:tcBorders>
                  <w:shd w:val="clear" w:color="auto" w:fill="auto"/>
                  <w:vAlign w:val="center"/>
                </w:tcPr>
                <w:p w14:paraId="480CE646">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食品包装制造</w:t>
                  </w:r>
                </w:p>
              </w:tc>
            </w:tr>
            <w:tr w14:paraId="1090D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vAlign w:val="center"/>
                </w:tcPr>
                <w:p w14:paraId="19E6B82A">
                  <w:pPr>
                    <w:pStyle w:val="106"/>
                    <w:bidi w:val="0"/>
                    <w:rPr>
                      <w:rFonts w:hint="eastAsia"/>
                      <w:color w:val="auto"/>
                      <w:highlight w:val="none"/>
                      <w:lang w:val="en-US" w:eastAsia="zh-CN"/>
                    </w:rPr>
                  </w:pPr>
                  <w:r>
                    <w:rPr>
                      <w:rFonts w:hint="eastAsia"/>
                      <w:color w:val="auto"/>
                      <w:highlight w:val="none"/>
                      <w:lang w:val="en-US" w:eastAsia="zh-CN"/>
                    </w:rPr>
                    <w:t>8</w:t>
                  </w:r>
                </w:p>
              </w:tc>
              <w:tc>
                <w:tcPr>
                  <w:tcW w:w="3774" w:type="dxa"/>
                  <w:tcBorders>
                    <w:tl2br w:val="nil"/>
                    <w:tr2bl w:val="nil"/>
                  </w:tcBorders>
                  <w:vAlign w:val="center"/>
                </w:tcPr>
                <w:p w14:paraId="1F9EB7FA">
                  <w:pPr>
                    <w:pStyle w:val="106"/>
                    <w:bidi w:val="0"/>
                    <w:rPr>
                      <w:rFonts w:hint="eastAsia"/>
                    </w:rPr>
                  </w:pPr>
                  <w:r>
                    <w:rPr>
                      <w:rFonts w:hint="eastAsia"/>
                    </w:rPr>
                    <w:t>四川华翔一品包装制品有限公司</w:t>
                  </w:r>
                </w:p>
              </w:tc>
              <w:tc>
                <w:tcPr>
                  <w:tcW w:w="676" w:type="dxa"/>
                  <w:vMerge w:val="continue"/>
                  <w:tcBorders>
                    <w:tl2br w:val="nil"/>
                    <w:tr2bl w:val="nil"/>
                  </w:tcBorders>
                  <w:vAlign w:val="center"/>
                </w:tcPr>
                <w:p w14:paraId="4C08B106">
                  <w:pPr>
                    <w:pStyle w:val="106"/>
                    <w:bidi w:val="0"/>
                    <w:rPr>
                      <w:rFonts w:hint="eastAsia"/>
                      <w:color w:val="auto"/>
                      <w:highlight w:val="none"/>
                      <w:lang w:val="en-US" w:eastAsia="zh-CN"/>
                    </w:rPr>
                  </w:pPr>
                </w:p>
              </w:tc>
              <w:tc>
                <w:tcPr>
                  <w:tcW w:w="985" w:type="dxa"/>
                  <w:tcBorders>
                    <w:tl2br w:val="nil"/>
                    <w:tr2bl w:val="nil"/>
                  </w:tcBorders>
                  <w:vAlign w:val="center"/>
                </w:tcPr>
                <w:p w14:paraId="582746BD">
                  <w:pPr>
                    <w:pStyle w:val="106"/>
                    <w:bidi w:val="0"/>
                    <w:rPr>
                      <w:rFonts w:hint="default"/>
                      <w:color w:val="auto"/>
                      <w:highlight w:val="none"/>
                      <w:lang w:val="en-US" w:eastAsia="zh-CN"/>
                    </w:rPr>
                  </w:pPr>
                  <w:r>
                    <w:rPr>
                      <w:rFonts w:hint="eastAsia"/>
                      <w:color w:val="auto"/>
                      <w:highlight w:val="none"/>
                      <w:lang w:val="en-US" w:eastAsia="zh-CN"/>
                    </w:rPr>
                    <w:t>230</w:t>
                  </w:r>
                </w:p>
              </w:tc>
              <w:tc>
                <w:tcPr>
                  <w:tcW w:w="2242" w:type="dxa"/>
                  <w:tcBorders>
                    <w:tl2br w:val="nil"/>
                    <w:tr2bl w:val="nil"/>
                  </w:tcBorders>
                  <w:vAlign w:val="center"/>
                </w:tcPr>
                <w:p w14:paraId="6C6B4F32">
                  <w:pPr>
                    <w:pStyle w:val="106"/>
                    <w:bidi w:val="0"/>
                    <w:rPr>
                      <w:rFonts w:hint="default" w:eastAsia="宋体"/>
                      <w:color w:val="auto"/>
                      <w:highlight w:val="none"/>
                      <w:lang w:val="en-US" w:eastAsia="zh-CN"/>
                    </w:rPr>
                  </w:pPr>
                  <w:r>
                    <w:rPr>
                      <w:rFonts w:hint="eastAsia"/>
                      <w:color w:val="auto"/>
                      <w:highlight w:val="none"/>
                      <w:lang w:val="en-US" w:eastAsia="zh-CN"/>
                    </w:rPr>
                    <w:t>包装装潢印刷品印刷</w:t>
                  </w:r>
                </w:p>
              </w:tc>
            </w:tr>
            <w:tr w14:paraId="58F0D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shd w:val="clear" w:color="auto" w:fill="auto"/>
                  <w:vAlign w:val="center"/>
                </w:tcPr>
                <w:p w14:paraId="2A076EEA">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9</w:t>
                  </w:r>
                </w:p>
              </w:tc>
              <w:tc>
                <w:tcPr>
                  <w:tcW w:w="3774" w:type="dxa"/>
                  <w:tcBorders>
                    <w:tl2br w:val="nil"/>
                    <w:tr2bl w:val="nil"/>
                  </w:tcBorders>
                  <w:vAlign w:val="center"/>
                </w:tcPr>
                <w:p w14:paraId="0A5DC14C">
                  <w:pPr>
                    <w:pStyle w:val="106"/>
                    <w:bidi w:val="0"/>
                    <w:rPr>
                      <w:rFonts w:hint="eastAsia"/>
                    </w:rPr>
                  </w:pPr>
                  <w:r>
                    <w:rPr>
                      <w:rFonts w:hint="eastAsia"/>
                    </w:rPr>
                    <w:t>四川先海食品科技有限公司</w:t>
                  </w:r>
                </w:p>
              </w:tc>
              <w:tc>
                <w:tcPr>
                  <w:tcW w:w="676" w:type="dxa"/>
                  <w:vMerge w:val="continue"/>
                  <w:tcBorders>
                    <w:tl2br w:val="nil"/>
                    <w:tr2bl w:val="nil"/>
                  </w:tcBorders>
                  <w:vAlign w:val="center"/>
                </w:tcPr>
                <w:p w14:paraId="568CC8F7">
                  <w:pPr>
                    <w:pStyle w:val="106"/>
                    <w:bidi w:val="0"/>
                    <w:rPr>
                      <w:rFonts w:hint="eastAsia"/>
                      <w:color w:val="auto"/>
                      <w:highlight w:val="none"/>
                      <w:lang w:val="en-US" w:eastAsia="zh-CN"/>
                    </w:rPr>
                  </w:pPr>
                </w:p>
              </w:tc>
              <w:tc>
                <w:tcPr>
                  <w:tcW w:w="985" w:type="dxa"/>
                  <w:tcBorders>
                    <w:tl2br w:val="nil"/>
                    <w:tr2bl w:val="nil"/>
                  </w:tcBorders>
                  <w:vAlign w:val="center"/>
                </w:tcPr>
                <w:p w14:paraId="7F4F5C24">
                  <w:pPr>
                    <w:pStyle w:val="106"/>
                    <w:bidi w:val="0"/>
                    <w:rPr>
                      <w:rFonts w:hint="default"/>
                      <w:color w:val="auto"/>
                      <w:highlight w:val="none"/>
                      <w:lang w:val="en-US" w:eastAsia="zh-CN"/>
                    </w:rPr>
                  </w:pPr>
                  <w:r>
                    <w:rPr>
                      <w:rFonts w:hint="eastAsia"/>
                      <w:color w:val="auto"/>
                      <w:highlight w:val="none"/>
                      <w:lang w:val="en-US" w:eastAsia="zh-CN"/>
                    </w:rPr>
                    <w:t>227</w:t>
                  </w:r>
                </w:p>
              </w:tc>
              <w:tc>
                <w:tcPr>
                  <w:tcW w:w="2242" w:type="dxa"/>
                  <w:tcBorders>
                    <w:tl2br w:val="nil"/>
                    <w:tr2bl w:val="nil"/>
                  </w:tcBorders>
                  <w:vAlign w:val="center"/>
                </w:tcPr>
                <w:p w14:paraId="2189BA92">
                  <w:pPr>
                    <w:pStyle w:val="106"/>
                    <w:bidi w:val="0"/>
                    <w:rPr>
                      <w:rFonts w:hint="default" w:eastAsia="宋体"/>
                      <w:color w:val="auto"/>
                      <w:highlight w:val="none"/>
                      <w:lang w:val="en-US" w:eastAsia="zh-CN"/>
                    </w:rPr>
                  </w:pPr>
                  <w:r>
                    <w:rPr>
                      <w:rFonts w:hint="eastAsia"/>
                      <w:color w:val="auto"/>
                      <w:highlight w:val="none"/>
                      <w:lang w:val="en-US" w:eastAsia="zh-CN"/>
                    </w:rPr>
                    <w:t>食品生产销售</w:t>
                  </w:r>
                </w:p>
              </w:tc>
            </w:tr>
            <w:tr w14:paraId="5070E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shd w:val="clear" w:color="auto" w:fill="auto"/>
                  <w:vAlign w:val="center"/>
                </w:tcPr>
                <w:p w14:paraId="42020D49">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3774" w:type="dxa"/>
                  <w:tcBorders>
                    <w:tl2br w:val="nil"/>
                    <w:tr2bl w:val="nil"/>
                  </w:tcBorders>
                  <w:vAlign w:val="center"/>
                </w:tcPr>
                <w:p w14:paraId="5D93F6C3">
                  <w:pPr>
                    <w:pStyle w:val="106"/>
                    <w:bidi w:val="0"/>
                    <w:rPr>
                      <w:color w:val="auto"/>
                      <w:highlight w:val="none"/>
                    </w:rPr>
                  </w:pPr>
                  <w:r>
                    <w:rPr>
                      <w:rFonts w:hint="eastAsia"/>
                      <w:color w:val="auto"/>
                      <w:highlight w:val="none"/>
                    </w:rPr>
                    <w:t>四川正源康柠檬有限公司</w:t>
                  </w:r>
                </w:p>
              </w:tc>
              <w:tc>
                <w:tcPr>
                  <w:tcW w:w="676" w:type="dxa"/>
                  <w:vMerge w:val="restart"/>
                  <w:tcBorders>
                    <w:tl2br w:val="nil"/>
                    <w:tr2bl w:val="nil"/>
                  </w:tcBorders>
                  <w:vAlign w:val="center"/>
                </w:tcPr>
                <w:p w14:paraId="6C1336D8">
                  <w:pPr>
                    <w:pStyle w:val="106"/>
                    <w:bidi w:val="0"/>
                    <w:rPr>
                      <w:rFonts w:hint="eastAsia" w:eastAsia="宋体"/>
                      <w:color w:val="auto"/>
                      <w:highlight w:val="none"/>
                      <w:lang w:val="en-US" w:eastAsia="zh-CN"/>
                    </w:rPr>
                  </w:pPr>
                  <w:r>
                    <w:rPr>
                      <w:rFonts w:hint="eastAsia"/>
                      <w:color w:val="auto"/>
                      <w:highlight w:val="none"/>
                      <w:lang w:val="en-US" w:eastAsia="zh-CN"/>
                    </w:rPr>
                    <w:t>西南</w:t>
                  </w:r>
                </w:p>
              </w:tc>
              <w:tc>
                <w:tcPr>
                  <w:tcW w:w="985" w:type="dxa"/>
                  <w:tcBorders>
                    <w:tl2br w:val="nil"/>
                    <w:tr2bl w:val="nil"/>
                  </w:tcBorders>
                  <w:vAlign w:val="center"/>
                </w:tcPr>
                <w:p w14:paraId="382BF148">
                  <w:pPr>
                    <w:pStyle w:val="106"/>
                    <w:bidi w:val="0"/>
                    <w:rPr>
                      <w:rFonts w:hint="default"/>
                      <w:color w:val="auto"/>
                      <w:highlight w:val="none"/>
                      <w:lang w:val="en-US" w:eastAsia="zh-CN"/>
                    </w:rPr>
                  </w:pPr>
                  <w:r>
                    <w:rPr>
                      <w:rFonts w:hint="eastAsia"/>
                      <w:color w:val="auto"/>
                      <w:highlight w:val="none"/>
                      <w:lang w:val="en-US" w:eastAsia="zh-CN"/>
                    </w:rPr>
                    <w:t>35</w:t>
                  </w:r>
                </w:p>
              </w:tc>
              <w:tc>
                <w:tcPr>
                  <w:tcW w:w="2242" w:type="dxa"/>
                  <w:tcBorders>
                    <w:tl2br w:val="nil"/>
                    <w:tr2bl w:val="nil"/>
                  </w:tcBorders>
                  <w:vAlign w:val="center"/>
                </w:tcPr>
                <w:p w14:paraId="08D437E4">
                  <w:pPr>
                    <w:pStyle w:val="106"/>
                    <w:bidi w:val="0"/>
                    <w:rPr>
                      <w:rFonts w:hint="default" w:eastAsia="宋体"/>
                      <w:color w:val="auto"/>
                      <w:highlight w:val="none"/>
                      <w:lang w:val="en-US" w:eastAsia="zh-CN"/>
                    </w:rPr>
                  </w:pPr>
                  <w:r>
                    <w:rPr>
                      <w:rFonts w:hint="eastAsia"/>
                      <w:color w:val="auto"/>
                      <w:highlight w:val="none"/>
                      <w:lang w:val="en-US" w:eastAsia="zh-CN"/>
                    </w:rPr>
                    <w:t>水果蔬菜销售、初加工等</w:t>
                  </w:r>
                </w:p>
              </w:tc>
            </w:tr>
            <w:tr w14:paraId="2FE13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shd w:val="clear" w:color="auto" w:fill="auto"/>
                  <w:vAlign w:val="center"/>
                </w:tcPr>
                <w:p w14:paraId="172A5608">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11</w:t>
                  </w:r>
                </w:p>
              </w:tc>
              <w:tc>
                <w:tcPr>
                  <w:tcW w:w="3774" w:type="dxa"/>
                  <w:tcBorders>
                    <w:tl2br w:val="nil"/>
                    <w:tr2bl w:val="nil"/>
                  </w:tcBorders>
                  <w:vAlign w:val="center"/>
                </w:tcPr>
                <w:p w14:paraId="6DD262A0">
                  <w:pPr>
                    <w:pStyle w:val="106"/>
                    <w:bidi w:val="0"/>
                    <w:rPr>
                      <w:color w:val="auto"/>
                      <w:highlight w:val="none"/>
                      <w:lang w:eastAsia="zh-CN"/>
                    </w:rPr>
                  </w:pPr>
                  <w:r>
                    <w:rPr>
                      <w:rFonts w:hint="eastAsia"/>
                      <w:color w:val="auto"/>
                      <w:highlight w:val="none"/>
                      <w:lang w:eastAsia="zh-CN"/>
                    </w:rPr>
                    <w:t>四川吉盛印铁有限公司</w:t>
                  </w:r>
                </w:p>
              </w:tc>
              <w:tc>
                <w:tcPr>
                  <w:tcW w:w="676" w:type="dxa"/>
                  <w:vMerge w:val="continue"/>
                  <w:tcBorders>
                    <w:tl2br w:val="nil"/>
                    <w:tr2bl w:val="nil"/>
                  </w:tcBorders>
                  <w:vAlign w:val="center"/>
                </w:tcPr>
                <w:p w14:paraId="6EDAA078">
                  <w:pPr>
                    <w:pStyle w:val="106"/>
                    <w:bidi w:val="0"/>
                    <w:rPr>
                      <w:rFonts w:hint="default"/>
                      <w:color w:val="auto"/>
                      <w:highlight w:val="none"/>
                      <w:lang w:val="en-US" w:eastAsia="zh-CN"/>
                    </w:rPr>
                  </w:pPr>
                </w:p>
              </w:tc>
              <w:tc>
                <w:tcPr>
                  <w:tcW w:w="985" w:type="dxa"/>
                  <w:tcBorders>
                    <w:tl2br w:val="nil"/>
                    <w:tr2bl w:val="nil"/>
                  </w:tcBorders>
                  <w:vAlign w:val="center"/>
                </w:tcPr>
                <w:p w14:paraId="544B0F5B">
                  <w:pPr>
                    <w:pStyle w:val="106"/>
                    <w:bidi w:val="0"/>
                    <w:rPr>
                      <w:rFonts w:hint="default"/>
                      <w:color w:val="auto"/>
                      <w:highlight w:val="none"/>
                      <w:lang w:val="en-US" w:eastAsia="zh-CN"/>
                    </w:rPr>
                  </w:pPr>
                  <w:r>
                    <w:rPr>
                      <w:rFonts w:hint="eastAsia"/>
                      <w:color w:val="auto"/>
                      <w:highlight w:val="none"/>
                      <w:lang w:val="en-US" w:eastAsia="zh-CN"/>
                    </w:rPr>
                    <w:t>50</w:t>
                  </w:r>
                </w:p>
              </w:tc>
              <w:tc>
                <w:tcPr>
                  <w:tcW w:w="2242" w:type="dxa"/>
                  <w:tcBorders>
                    <w:tl2br w:val="nil"/>
                    <w:tr2bl w:val="nil"/>
                  </w:tcBorders>
                  <w:vAlign w:val="center"/>
                </w:tcPr>
                <w:p w14:paraId="5E990853">
                  <w:pPr>
                    <w:pStyle w:val="106"/>
                    <w:bidi w:val="0"/>
                    <w:rPr>
                      <w:rFonts w:hint="default" w:eastAsia="宋体"/>
                      <w:color w:val="auto"/>
                      <w:highlight w:val="none"/>
                      <w:lang w:val="en-US" w:eastAsia="zh-CN"/>
                    </w:rPr>
                  </w:pPr>
                  <w:r>
                    <w:rPr>
                      <w:rFonts w:hint="eastAsia"/>
                      <w:color w:val="auto"/>
                      <w:highlight w:val="none"/>
                      <w:lang w:val="en-US" w:eastAsia="zh-CN"/>
                    </w:rPr>
                    <w:t>金属印刷品加工销售</w:t>
                  </w:r>
                </w:p>
              </w:tc>
            </w:tr>
            <w:tr w14:paraId="4B280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1" w:type="dxa"/>
                  <w:tcBorders>
                    <w:tl2br w:val="nil"/>
                    <w:tr2bl w:val="nil"/>
                  </w:tcBorders>
                  <w:shd w:val="clear" w:color="auto" w:fill="auto"/>
                  <w:vAlign w:val="center"/>
                </w:tcPr>
                <w:p w14:paraId="6D4A8ED0">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12</w:t>
                  </w:r>
                </w:p>
              </w:tc>
              <w:tc>
                <w:tcPr>
                  <w:tcW w:w="3774" w:type="dxa"/>
                  <w:tcBorders>
                    <w:tl2br w:val="nil"/>
                    <w:tr2bl w:val="nil"/>
                  </w:tcBorders>
                  <w:vAlign w:val="center"/>
                </w:tcPr>
                <w:p w14:paraId="3D828FFE">
                  <w:pPr>
                    <w:pStyle w:val="106"/>
                    <w:bidi w:val="0"/>
                    <w:rPr>
                      <w:b/>
                      <w:bCs/>
                      <w:color w:val="auto"/>
                      <w:highlight w:val="none"/>
                    </w:rPr>
                  </w:pPr>
                  <w:r>
                    <w:rPr>
                      <w:rFonts w:hint="eastAsia" w:ascii="Times New Roman" w:hAnsi="Times New Roman" w:eastAsia="宋体" w:cs="Times New Roman"/>
                      <w:color w:val="auto"/>
                      <w:sz w:val="21"/>
                      <w:szCs w:val="21"/>
                      <w:lang w:val="en-US" w:eastAsia="zh-CN"/>
                    </w:rPr>
                    <w:t>四川七里川餐饮管理有限</w:t>
                  </w:r>
                  <w:r>
                    <w:rPr>
                      <w:rFonts w:hint="eastAsia" w:cs="Times New Roman"/>
                      <w:color w:val="auto"/>
                      <w:sz w:val="21"/>
                      <w:szCs w:val="21"/>
                      <w:lang w:val="en-US" w:eastAsia="zh-CN"/>
                    </w:rPr>
                    <w:t>公司</w:t>
                  </w:r>
                </w:p>
              </w:tc>
              <w:tc>
                <w:tcPr>
                  <w:tcW w:w="676" w:type="dxa"/>
                  <w:vMerge w:val="continue"/>
                  <w:tcBorders>
                    <w:tl2br w:val="nil"/>
                    <w:tr2bl w:val="nil"/>
                  </w:tcBorders>
                  <w:vAlign w:val="center"/>
                </w:tcPr>
                <w:p w14:paraId="67B1E82C">
                  <w:pPr>
                    <w:pStyle w:val="106"/>
                    <w:bidi w:val="0"/>
                    <w:rPr>
                      <w:color w:val="auto"/>
                      <w:highlight w:val="none"/>
                    </w:rPr>
                  </w:pPr>
                </w:p>
              </w:tc>
              <w:tc>
                <w:tcPr>
                  <w:tcW w:w="985" w:type="dxa"/>
                  <w:tcBorders>
                    <w:tl2br w:val="nil"/>
                    <w:tr2bl w:val="nil"/>
                  </w:tcBorders>
                  <w:vAlign w:val="center"/>
                </w:tcPr>
                <w:p w14:paraId="2F24DBD8">
                  <w:pPr>
                    <w:pStyle w:val="106"/>
                    <w:bidi w:val="0"/>
                    <w:rPr>
                      <w:rFonts w:hint="default"/>
                      <w:color w:val="auto"/>
                      <w:highlight w:val="none"/>
                      <w:lang w:val="en-US" w:eastAsia="zh-CN"/>
                    </w:rPr>
                  </w:pPr>
                  <w:r>
                    <w:rPr>
                      <w:rFonts w:hint="eastAsia"/>
                      <w:color w:val="auto"/>
                      <w:highlight w:val="none"/>
                      <w:lang w:val="en-US" w:eastAsia="zh-CN"/>
                    </w:rPr>
                    <w:t>408</w:t>
                  </w:r>
                </w:p>
              </w:tc>
              <w:tc>
                <w:tcPr>
                  <w:tcW w:w="2242" w:type="dxa"/>
                  <w:tcBorders>
                    <w:tl2br w:val="nil"/>
                    <w:tr2bl w:val="nil"/>
                  </w:tcBorders>
                  <w:vAlign w:val="center"/>
                </w:tcPr>
                <w:p w14:paraId="3412AA9C">
                  <w:pPr>
                    <w:pStyle w:val="106"/>
                    <w:bidi w:val="0"/>
                    <w:rPr>
                      <w:rFonts w:hint="default" w:eastAsia="宋体"/>
                      <w:color w:val="auto"/>
                      <w:highlight w:val="none"/>
                      <w:lang w:val="en-US" w:eastAsia="zh-CN"/>
                    </w:rPr>
                  </w:pPr>
                  <w:r>
                    <w:rPr>
                      <w:rFonts w:hint="eastAsia"/>
                      <w:color w:val="auto"/>
                      <w:highlight w:val="none"/>
                      <w:lang w:val="en-US" w:eastAsia="zh-CN"/>
                    </w:rPr>
                    <w:t>餐饮管理</w:t>
                  </w:r>
                </w:p>
              </w:tc>
            </w:tr>
          </w:tbl>
          <w:p w14:paraId="3061E5A4">
            <w:pPr>
              <w:keepNext w:val="0"/>
              <w:keepLines w:val="0"/>
              <w:pageBreakBefore w:val="0"/>
              <w:widowControl w:val="0"/>
              <w:kinsoku/>
              <w:wordWrap/>
              <w:overflowPunct/>
              <w:topLinePunct w:val="0"/>
              <w:autoSpaceDE w:val="0"/>
              <w:autoSpaceDN w:val="0"/>
              <w:bidi w:val="0"/>
              <w:adjustRightInd w:val="0"/>
              <w:snapToGrid w:val="0"/>
              <w:spacing w:before="157" w:beforeLines="50"/>
              <w:ind w:firstLine="482"/>
              <w:textAlignment w:val="auto"/>
              <w:rPr>
                <w:rFonts w:hint="eastAsia"/>
                <w:b/>
                <w:bCs/>
                <w:color w:val="auto"/>
                <w:sz w:val="24"/>
                <w:highlight w:val="none"/>
              </w:rPr>
            </w:pPr>
            <w:r>
              <w:rPr>
                <w:rFonts w:hint="eastAsia"/>
                <w:b/>
                <w:bCs/>
                <w:color w:val="auto"/>
                <w:sz w:val="24"/>
                <w:highlight w:val="none"/>
              </w:rPr>
              <w:t>（2）</w:t>
            </w:r>
            <w:r>
              <w:rPr>
                <w:rFonts w:hint="eastAsia"/>
                <w:b/>
                <w:bCs w:val="0"/>
                <w:color w:val="auto"/>
                <w:szCs w:val="24"/>
                <w:highlight w:val="none"/>
              </w:rPr>
              <w:t>与《食品生产通用卫生规范》（GB14881-2013）符合性</w:t>
            </w:r>
          </w:p>
          <w:p w14:paraId="5DFF2E59">
            <w:pPr>
              <w:bidi w:val="0"/>
              <w:rPr>
                <w:rFonts w:hint="eastAsia"/>
                <w:color w:val="auto"/>
                <w:highlight w:val="none"/>
              </w:rPr>
            </w:pPr>
            <w:r>
              <w:rPr>
                <w:rFonts w:hint="eastAsia"/>
                <w:color w:val="auto"/>
                <w:highlight w:val="none"/>
              </w:rPr>
              <w:t>根据《食品生产通用卫生规范》（GB14881-2013）中选址要求，本项目与其符合性分析见下表。</w:t>
            </w:r>
          </w:p>
          <w:p w14:paraId="2F853E2E">
            <w:pPr>
              <w:pStyle w:val="14"/>
              <w:rPr>
                <w:rFonts w:hint="default" w:eastAsia="宋体"/>
                <w:color w:val="auto"/>
                <w:highlight w:val="none"/>
                <w:lang w:val="en-US" w:eastAsia="zh-CN"/>
              </w:rPr>
            </w:pPr>
            <w:r>
              <w:rPr>
                <w:color w:val="auto"/>
                <w:highlight w:val="none"/>
              </w:rPr>
              <w:t xml:space="preserve">表1- </w:t>
            </w:r>
            <w:r>
              <w:rPr>
                <w:color w:val="auto"/>
                <w:highlight w:val="none"/>
              </w:rPr>
              <w:fldChar w:fldCharType="begin"/>
            </w:r>
            <w:r>
              <w:rPr>
                <w:color w:val="auto"/>
                <w:highlight w:val="none"/>
              </w:rPr>
              <w:instrText xml:space="preserve"> SEQ 表1- \* ARABIC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lang w:val="en-US" w:eastAsia="zh-CN"/>
              </w:rPr>
              <w:t xml:space="preserve">  与GB14881-2013符合性分析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2546"/>
              <w:gridCol w:w="3703"/>
              <w:gridCol w:w="1004"/>
            </w:tblGrid>
            <w:tr w14:paraId="27276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 w:hRule="atLeast"/>
                <w:jc w:val="center"/>
              </w:trPr>
              <w:tc>
                <w:tcPr>
                  <w:tcW w:w="645" w:type="pct"/>
                  <w:tcBorders>
                    <w:bottom w:val="single" w:color="000000" w:sz="4" w:space="0"/>
                    <w:tl2br w:val="nil"/>
                    <w:tr2bl w:val="nil"/>
                  </w:tcBorders>
                  <w:vAlign w:val="center"/>
                </w:tcPr>
                <w:p w14:paraId="5B97B130">
                  <w:pPr>
                    <w:pStyle w:val="106"/>
                    <w:bidi w:val="0"/>
                    <w:rPr>
                      <w:b/>
                      <w:bCs/>
                      <w:color w:val="auto"/>
                      <w:highlight w:val="none"/>
                    </w:rPr>
                  </w:pPr>
                  <w:r>
                    <w:rPr>
                      <w:rFonts w:hint="eastAsia"/>
                      <w:b/>
                      <w:bCs/>
                      <w:color w:val="auto"/>
                      <w:highlight w:val="none"/>
                    </w:rPr>
                    <w:t>标准</w:t>
                  </w:r>
                </w:p>
              </w:tc>
              <w:tc>
                <w:tcPr>
                  <w:tcW w:w="1528" w:type="pct"/>
                  <w:tcBorders>
                    <w:bottom w:val="single" w:color="000000" w:sz="4" w:space="0"/>
                    <w:tl2br w:val="nil"/>
                    <w:tr2bl w:val="nil"/>
                  </w:tcBorders>
                  <w:vAlign w:val="center"/>
                </w:tcPr>
                <w:p w14:paraId="65756FF4">
                  <w:pPr>
                    <w:pStyle w:val="106"/>
                    <w:bidi w:val="0"/>
                    <w:rPr>
                      <w:b/>
                      <w:bCs/>
                      <w:color w:val="auto"/>
                      <w:highlight w:val="none"/>
                    </w:rPr>
                  </w:pPr>
                  <w:r>
                    <w:rPr>
                      <w:rFonts w:hint="eastAsia"/>
                      <w:b/>
                      <w:bCs/>
                      <w:color w:val="auto"/>
                      <w:highlight w:val="none"/>
                    </w:rPr>
                    <w:t>标准要求</w:t>
                  </w:r>
                </w:p>
              </w:tc>
              <w:tc>
                <w:tcPr>
                  <w:tcW w:w="2222" w:type="pct"/>
                  <w:tcBorders>
                    <w:bottom w:val="single" w:color="000000" w:sz="4" w:space="0"/>
                    <w:tl2br w:val="nil"/>
                    <w:tr2bl w:val="nil"/>
                  </w:tcBorders>
                  <w:vAlign w:val="center"/>
                </w:tcPr>
                <w:p w14:paraId="6554C499">
                  <w:pPr>
                    <w:pStyle w:val="106"/>
                    <w:bidi w:val="0"/>
                    <w:rPr>
                      <w:b/>
                      <w:bCs/>
                      <w:color w:val="auto"/>
                      <w:highlight w:val="none"/>
                    </w:rPr>
                  </w:pPr>
                  <w:r>
                    <w:rPr>
                      <w:rFonts w:hint="eastAsia"/>
                      <w:b/>
                      <w:bCs/>
                      <w:color w:val="auto"/>
                      <w:highlight w:val="none"/>
                    </w:rPr>
                    <w:t>本项目</w:t>
                  </w:r>
                </w:p>
              </w:tc>
              <w:tc>
                <w:tcPr>
                  <w:tcW w:w="603" w:type="pct"/>
                  <w:tcBorders>
                    <w:bottom w:val="single" w:color="000000" w:sz="4" w:space="0"/>
                    <w:tl2br w:val="nil"/>
                    <w:tr2bl w:val="nil"/>
                  </w:tcBorders>
                  <w:vAlign w:val="center"/>
                </w:tcPr>
                <w:p w14:paraId="0006FD13">
                  <w:pPr>
                    <w:pStyle w:val="106"/>
                    <w:bidi w:val="0"/>
                    <w:rPr>
                      <w:b/>
                      <w:bCs/>
                      <w:color w:val="auto"/>
                      <w:highlight w:val="none"/>
                    </w:rPr>
                  </w:pPr>
                  <w:r>
                    <w:rPr>
                      <w:rFonts w:hint="eastAsia"/>
                      <w:b/>
                      <w:bCs/>
                      <w:color w:val="auto"/>
                      <w:highlight w:val="none"/>
                    </w:rPr>
                    <w:t>符合性</w:t>
                  </w:r>
                </w:p>
              </w:tc>
            </w:tr>
            <w:tr w14:paraId="73EED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5" w:type="pct"/>
                  <w:vMerge w:val="restart"/>
                  <w:tcBorders>
                    <w:top w:val="single" w:color="000000" w:sz="4" w:space="0"/>
                    <w:tl2br w:val="nil"/>
                    <w:tr2bl w:val="nil"/>
                  </w:tcBorders>
                  <w:vAlign w:val="center"/>
                </w:tcPr>
                <w:p w14:paraId="2E8FCA45">
                  <w:pPr>
                    <w:pStyle w:val="106"/>
                    <w:bidi w:val="0"/>
                    <w:rPr>
                      <w:color w:val="auto"/>
                      <w:highlight w:val="none"/>
                    </w:rPr>
                  </w:pPr>
                  <w:r>
                    <w:rPr>
                      <w:rFonts w:hint="eastAsia"/>
                      <w:color w:val="auto"/>
                      <w:highlight w:val="none"/>
                    </w:rPr>
                    <w:t>《食品生产通用卫生规范》（GB14881-2013）</w:t>
                  </w:r>
                </w:p>
              </w:tc>
              <w:tc>
                <w:tcPr>
                  <w:tcW w:w="1528" w:type="pct"/>
                  <w:tcBorders>
                    <w:top w:val="single" w:color="000000" w:sz="4" w:space="0"/>
                    <w:tl2br w:val="nil"/>
                    <w:tr2bl w:val="nil"/>
                  </w:tcBorders>
                  <w:vAlign w:val="center"/>
                </w:tcPr>
                <w:p w14:paraId="5D4F76CE">
                  <w:pPr>
                    <w:pStyle w:val="106"/>
                    <w:bidi w:val="0"/>
                    <w:jc w:val="both"/>
                    <w:rPr>
                      <w:color w:val="auto"/>
                      <w:highlight w:val="none"/>
                    </w:rPr>
                  </w:pPr>
                  <w:r>
                    <w:rPr>
                      <w:rFonts w:hint="eastAsia"/>
                      <w:color w:val="auto"/>
                      <w:highlight w:val="none"/>
                    </w:rPr>
                    <w:t>3.1.1 厂区不应选择对食品有显著污染的区域</w:t>
                  </w:r>
                </w:p>
              </w:tc>
              <w:tc>
                <w:tcPr>
                  <w:tcW w:w="2222" w:type="pct"/>
                  <w:tcBorders>
                    <w:top w:val="single" w:color="000000" w:sz="4" w:space="0"/>
                    <w:tl2br w:val="nil"/>
                    <w:tr2bl w:val="nil"/>
                  </w:tcBorders>
                  <w:vAlign w:val="center"/>
                </w:tcPr>
                <w:p w14:paraId="4C8DB073">
                  <w:pPr>
                    <w:pStyle w:val="106"/>
                    <w:bidi w:val="0"/>
                    <w:jc w:val="both"/>
                    <w:rPr>
                      <w:color w:val="auto"/>
                      <w:highlight w:val="none"/>
                    </w:rPr>
                  </w:pPr>
                  <w:r>
                    <w:rPr>
                      <w:rFonts w:hint="eastAsia"/>
                      <w:color w:val="auto"/>
                      <w:highlight w:val="none"/>
                    </w:rPr>
                    <w:t>项目位于遂宁市安居区工业集中发展区（含经开区）内，</w:t>
                  </w:r>
                  <w:r>
                    <w:rPr>
                      <w:rFonts w:hint="eastAsia"/>
                      <w:color w:val="auto"/>
                      <w:highlight w:val="none"/>
                      <w:lang w:val="en-US" w:eastAsia="zh-CN"/>
                    </w:rPr>
                    <w:t>项目周边企业多为食品企业和包装印刷品生产企业，均为低污染生产企业</w:t>
                  </w:r>
                  <w:r>
                    <w:rPr>
                      <w:rFonts w:hint="eastAsia"/>
                      <w:color w:val="auto"/>
                      <w:highlight w:val="none"/>
                    </w:rPr>
                    <w:t>，项目与周边企业相容</w:t>
                  </w:r>
                  <w:r>
                    <w:rPr>
                      <w:rFonts w:hint="eastAsia"/>
                      <w:color w:val="auto"/>
                      <w:highlight w:val="none"/>
                      <w:lang w:eastAsia="zh-CN"/>
                    </w:rPr>
                    <w:t>，</w:t>
                  </w:r>
                  <w:r>
                    <w:rPr>
                      <w:rFonts w:hint="eastAsia"/>
                      <w:color w:val="auto"/>
                      <w:highlight w:val="none"/>
                    </w:rPr>
                    <w:t>厂区周边无对食品有显著污染的企业。</w:t>
                  </w:r>
                </w:p>
              </w:tc>
              <w:tc>
                <w:tcPr>
                  <w:tcW w:w="603" w:type="pct"/>
                  <w:tcBorders>
                    <w:top w:val="single" w:color="000000" w:sz="4" w:space="0"/>
                    <w:tl2br w:val="nil"/>
                    <w:tr2bl w:val="nil"/>
                  </w:tcBorders>
                  <w:vAlign w:val="center"/>
                </w:tcPr>
                <w:p w14:paraId="72B71007">
                  <w:pPr>
                    <w:pStyle w:val="106"/>
                    <w:bidi w:val="0"/>
                    <w:rPr>
                      <w:color w:val="auto"/>
                      <w:highlight w:val="none"/>
                    </w:rPr>
                  </w:pPr>
                  <w:r>
                    <w:rPr>
                      <w:rFonts w:hint="eastAsia"/>
                      <w:color w:val="auto"/>
                      <w:highlight w:val="none"/>
                    </w:rPr>
                    <w:t>符合</w:t>
                  </w:r>
                </w:p>
              </w:tc>
            </w:tr>
            <w:tr w14:paraId="458A7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5" w:type="pct"/>
                  <w:vMerge w:val="continue"/>
                  <w:tcBorders>
                    <w:tl2br w:val="nil"/>
                    <w:tr2bl w:val="nil"/>
                  </w:tcBorders>
                  <w:vAlign w:val="center"/>
                </w:tcPr>
                <w:p w14:paraId="2DCB1ACF">
                  <w:pPr>
                    <w:pStyle w:val="106"/>
                    <w:bidi w:val="0"/>
                    <w:rPr>
                      <w:color w:val="auto"/>
                      <w:highlight w:val="none"/>
                    </w:rPr>
                  </w:pPr>
                </w:p>
              </w:tc>
              <w:tc>
                <w:tcPr>
                  <w:tcW w:w="1528" w:type="pct"/>
                  <w:tcBorders>
                    <w:tl2br w:val="nil"/>
                    <w:tr2bl w:val="nil"/>
                  </w:tcBorders>
                  <w:vAlign w:val="center"/>
                </w:tcPr>
                <w:p w14:paraId="63D033D0">
                  <w:pPr>
                    <w:pStyle w:val="106"/>
                    <w:bidi w:val="0"/>
                    <w:jc w:val="both"/>
                    <w:rPr>
                      <w:color w:val="auto"/>
                      <w:highlight w:val="none"/>
                    </w:rPr>
                  </w:pPr>
                  <w:r>
                    <w:rPr>
                      <w:rFonts w:hint="eastAsia"/>
                      <w:color w:val="auto"/>
                      <w:highlight w:val="none"/>
                    </w:rPr>
                    <w:t>3.1.2 厂区不应选择有害废弃物及粉尘、有害气体、放射性物质和其他扩散性污染源不能有效清除的地址</w:t>
                  </w:r>
                </w:p>
              </w:tc>
              <w:tc>
                <w:tcPr>
                  <w:tcW w:w="2222" w:type="pct"/>
                  <w:tcBorders>
                    <w:tl2br w:val="nil"/>
                    <w:tr2bl w:val="nil"/>
                  </w:tcBorders>
                  <w:vAlign w:val="center"/>
                </w:tcPr>
                <w:p w14:paraId="4560B0BE">
                  <w:pPr>
                    <w:pStyle w:val="106"/>
                    <w:bidi w:val="0"/>
                    <w:jc w:val="both"/>
                    <w:rPr>
                      <w:color w:val="auto"/>
                      <w:highlight w:val="none"/>
                    </w:rPr>
                  </w:pPr>
                  <w:r>
                    <w:rPr>
                      <w:rFonts w:hint="eastAsia"/>
                      <w:color w:val="auto"/>
                      <w:highlight w:val="none"/>
                    </w:rPr>
                    <w:t>本项目用地性质为</w:t>
                  </w:r>
                  <w:r>
                    <w:rPr>
                      <w:rFonts w:hint="eastAsia"/>
                      <w:color w:val="auto"/>
                      <w:highlight w:val="none"/>
                      <w:lang w:val="en-US" w:eastAsia="zh-CN"/>
                    </w:rPr>
                    <w:t>二类</w:t>
                  </w:r>
                  <w:r>
                    <w:rPr>
                      <w:rFonts w:hint="eastAsia"/>
                      <w:color w:val="auto"/>
                      <w:highlight w:val="none"/>
                    </w:rPr>
                    <w:t>工业用地，项目</w:t>
                  </w:r>
                  <w:r>
                    <w:rPr>
                      <w:rFonts w:hint="eastAsia"/>
                      <w:color w:val="auto"/>
                      <w:highlight w:val="none"/>
                      <w:lang w:val="en-US" w:eastAsia="zh-CN"/>
                    </w:rPr>
                    <w:t>用</w:t>
                  </w:r>
                  <w:r>
                    <w:rPr>
                      <w:rFonts w:hint="eastAsia"/>
                      <w:color w:val="auto"/>
                      <w:highlight w:val="none"/>
                    </w:rPr>
                    <w:t>地原为荒地，不属于有害废弃物及粉尘、有害气体、放射性物质和其他扩散性污染源不能有效清除的地址。</w:t>
                  </w:r>
                </w:p>
              </w:tc>
              <w:tc>
                <w:tcPr>
                  <w:tcW w:w="603" w:type="pct"/>
                  <w:tcBorders>
                    <w:tl2br w:val="nil"/>
                    <w:tr2bl w:val="nil"/>
                  </w:tcBorders>
                  <w:vAlign w:val="center"/>
                </w:tcPr>
                <w:p w14:paraId="29693E5E">
                  <w:pPr>
                    <w:pStyle w:val="106"/>
                    <w:bidi w:val="0"/>
                    <w:rPr>
                      <w:color w:val="auto"/>
                      <w:highlight w:val="none"/>
                    </w:rPr>
                  </w:pPr>
                  <w:r>
                    <w:rPr>
                      <w:rFonts w:hint="eastAsia"/>
                      <w:color w:val="auto"/>
                      <w:highlight w:val="none"/>
                    </w:rPr>
                    <w:t>符合</w:t>
                  </w:r>
                </w:p>
              </w:tc>
            </w:tr>
            <w:tr w14:paraId="3D621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5" w:type="pct"/>
                  <w:vMerge w:val="continue"/>
                  <w:tcBorders>
                    <w:tl2br w:val="nil"/>
                    <w:tr2bl w:val="nil"/>
                  </w:tcBorders>
                  <w:vAlign w:val="center"/>
                </w:tcPr>
                <w:p w14:paraId="6B3963F4">
                  <w:pPr>
                    <w:pStyle w:val="106"/>
                    <w:bidi w:val="0"/>
                    <w:rPr>
                      <w:color w:val="auto"/>
                      <w:highlight w:val="none"/>
                    </w:rPr>
                  </w:pPr>
                </w:p>
              </w:tc>
              <w:tc>
                <w:tcPr>
                  <w:tcW w:w="1528" w:type="pct"/>
                  <w:tcBorders>
                    <w:tl2br w:val="nil"/>
                    <w:tr2bl w:val="nil"/>
                  </w:tcBorders>
                  <w:vAlign w:val="center"/>
                </w:tcPr>
                <w:p w14:paraId="13BC65C1">
                  <w:pPr>
                    <w:pStyle w:val="106"/>
                    <w:bidi w:val="0"/>
                    <w:jc w:val="both"/>
                    <w:rPr>
                      <w:color w:val="auto"/>
                      <w:highlight w:val="none"/>
                    </w:rPr>
                  </w:pPr>
                  <w:r>
                    <w:rPr>
                      <w:rFonts w:hint="eastAsia"/>
                      <w:color w:val="auto"/>
                      <w:highlight w:val="none"/>
                    </w:rPr>
                    <w:t>3.1.3 厂区不宜选择易发生洪涝灾害的地区，难以避开时应设计必要的防范措施</w:t>
                  </w:r>
                </w:p>
              </w:tc>
              <w:tc>
                <w:tcPr>
                  <w:tcW w:w="2222" w:type="pct"/>
                  <w:tcBorders>
                    <w:tl2br w:val="nil"/>
                    <w:tr2bl w:val="nil"/>
                  </w:tcBorders>
                  <w:vAlign w:val="center"/>
                </w:tcPr>
                <w:p w14:paraId="3D9855FC">
                  <w:pPr>
                    <w:pStyle w:val="106"/>
                    <w:bidi w:val="0"/>
                    <w:jc w:val="both"/>
                    <w:rPr>
                      <w:rFonts w:hint="eastAsia" w:eastAsia="宋体"/>
                      <w:color w:val="auto"/>
                      <w:highlight w:val="none"/>
                      <w:lang w:val="en-US" w:eastAsia="zh-CN"/>
                    </w:rPr>
                  </w:pPr>
                  <w:r>
                    <w:rPr>
                      <w:rFonts w:hint="eastAsia"/>
                      <w:color w:val="auto"/>
                      <w:highlight w:val="none"/>
                    </w:rPr>
                    <w:t>本项目所在</w:t>
                  </w:r>
                  <w:r>
                    <w:rPr>
                      <w:rFonts w:hint="eastAsia"/>
                      <w:color w:val="auto"/>
                      <w:highlight w:val="none"/>
                      <w:lang w:val="en-US" w:eastAsia="zh-CN"/>
                    </w:rPr>
                    <w:t>区域有完善的雨污水排水系统，</w:t>
                  </w:r>
                  <w:r>
                    <w:rPr>
                      <w:rFonts w:hint="eastAsia"/>
                      <w:color w:val="auto"/>
                      <w:highlight w:val="none"/>
                    </w:rPr>
                    <w:t>不属于易发生洪涝灾害的地区</w:t>
                  </w:r>
                  <w:r>
                    <w:rPr>
                      <w:rFonts w:hint="eastAsia"/>
                      <w:color w:val="auto"/>
                      <w:highlight w:val="none"/>
                      <w:lang w:eastAsia="zh-CN"/>
                    </w:rPr>
                    <w:t>。</w:t>
                  </w:r>
                </w:p>
              </w:tc>
              <w:tc>
                <w:tcPr>
                  <w:tcW w:w="603" w:type="pct"/>
                  <w:tcBorders>
                    <w:tl2br w:val="nil"/>
                    <w:tr2bl w:val="nil"/>
                  </w:tcBorders>
                  <w:vAlign w:val="center"/>
                </w:tcPr>
                <w:p w14:paraId="18277938">
                  <w:pPr>
                    <w:pStyle w:val="106"/>
                    <w:bidi w:val="0"/>
                    <w:rPr>
                      <w:color w:val="auto"/>
                      <w:highlight w:val="none"/>
                    </w:rPr>
                  </w:pPr>
                  <w:r>
                    <w:rPr>
                      <w:rFonts w:hint="eastAsia"/>
                      <w:color w:val="auto"/>
                      <w:highlight w:val="none"/>
                    </w:rPr>
                    <w:t>符合</w:t>
                  </w:r>
                </w:p>
              </w:tc>
            </w:tr>
            <w:tr w14:paraId="6D7C6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45" w:type="pct"/>
                  <w:vMerge w:val="continue"/>
                  <w:tcBorders>
                    <w:tl2br w:val="nil"/>
                    <w:tr2bl w:val="nil"/>
                  </w:tcBorders>
                  <w:vAlign w:val="center"/>
                </w:tcPr>
                <w:p w14:paraId="77085525">
                  <w:pPr>
                    <w:pStyle w:val="106"/>
                    <w:bidi w:val="0"/>
                    <w:rPr>
                      <w:color w:val="auto"/>
                      <w:highlight w:val="none"/>
                    </w:rPr>
                  </w:pPr>
                </w:p>
              </w:tc>
              <w:tc>
                <w:tcPr>
                  <w:tcW w:w="1528" w:type="pct"/>
                  <w:tcBorders>
                    <w:tl2br w:val="nil"/>
                    <w:tr2bl w:val="nil"/>
                  </w:tcBorders>
                  <w:vAlign w:val="center"/>
                </w:tcPr>
                <w:p w14:paraId="15B76D8C">
                  <w:pPr>
                    <w:pStyle w:val="106"/>
                    <w:bidi w:val="0"/>
                    <w:jc w:val="both"/>
                    <w:rPr>
                      <w:color w:val="auto"/>
                      <w:highlight w:val="none"/>
                    </w:rPr>
                  </w:pPr>
                  <w:r>
                    <w:rPr>
                      <w:rFonts w:hint="eastAsia"/>
                      <w:color w:val="auto"/>
                      <w:highlight w:val="none"/>
                    </w:rPr>
                    <w:t>3.1.4 厂区周围不宜有虫害大量滋生的潜在场所，难以避开时应设计必要的防范措施。</w:t>
                  </w:r>
                </w:p>
              </w:tc>
              <w:tc>
                <w:tcPr>
                  <w:tcW w:w="2222" w:type="pct"/>
                  <w:tcBorders>
                    <w:tl2br w:val="nil"/>
                    <w:tr2bl w:val="nil"/>
                  </w:tcBorders>
                  <w:vAlign w:val="center"/>
                </w:tcPr>
                <w:p w14:paraId="38F24623">
                  <w:pPr>
                    <w:pStyle w:val="106"/>
                    <w:bidi w:val="0"/>
                    <w:jc w:val="both"/>
                    <w:rPr>
                      <w:color w:val="auto"/>
                      <w:highlight w:val="none"/>
                    </w:rPr>
                  </w:pPr>
                  <w:r>
                    <w:rPr>
                      <w:rFonts w:hint="eastAsia"/>
                      <w:color w:val="auto"/>
                      <w:highlight w:val="none"/>
                    </w:rPr>
                    <w:t>本项目厂区周围均为工业企业标准厂房，项目周边不存在虫害大量滋生的潜在场所，能够满足卫生要求。</w:t>
                  </w:r>
                </w:p>
              </w:tc>
              <w:tc>
                <w:tcPr>
                  <w:tcW w:w="603" w:type="pct"/>
                  <w:tcBorders>
                    <w:tl2br w:val="nil"/>
                    <w:tr2bl w:val="nil"/>
                  </w:tcBorders>
                  <w:vAlign w:val="center"/>
                </w:tcPr>
                <w:p w14:paraId="417981FC">
                  <w:pPr>
                    <w:pStyle w:val="106"/>
                    <w:bidi w:val="0"/>
                    <w:rPr>
                      <w:color w:val="auto"/>
                      <w:highlight w:val="none"/>
                    </w:rPr>
                  </w:pPr>
                  <w:r>
                    <w:rPr>
                      <w:rFonts w:hint="eastAsia"/>
                      <w:color w:val="auto"/>
                      <w:highlight w:val="none"/>
                    </w:rPr>
                    <w:t>符合</w:t>
                  </w:r>
                </w:p>
              </w:tc>
            </w:tr>
          </w:tbl>
          <w:p w14:paraId="59C0CD09">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color w:val="auto"/>
                <w:highlight w:val="none"/>
              </w:rPr>
            </w:pPr>
            <w:r>
              <w:rPr>
                <w:rFonts w:hint="eastAsia"/>
                <w:color w:val="auto"/>
                <w:highlight w:val="none"/>
              </w:rPr>
              <w:t>综上分析，本项目符合《食品生产通用卫生规范》（GB14881-2013）中选址要求。</w:t>
            </w:r>
          </w:p>
          <w:p w14:paraId="6FB71806">
            <w:pPr>
              <w:keepNext w:val="0"/>
              <w:keepLines w:val="0"/>
              <w:pageBreakBefore w:val="0"/>
              <w:widowControl w:val="0"/>
              <w:shd w:val="clear"/>
              <w:kinsoku/>
              <w:wordWrap/>
              <w:overflowPunct/>
              <w:topLinePunct w:val="0"/>
              <w:autoSpaceDE w:val="0"/>
              <w:autoSpaceDN w:val="0"/>
              <w:bidi w:val="0"/>
              <w:adjustRightInd w:val="0"/>
              <w:snapToGrid w:val="0"/>
              <w:spacing w:before="157" w:beforeLines="50"/>
              <w:ind w:firstLine="482"/>
              <w:textAlignment w:val="auto"/>
              <w:rPr>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3</w:t>
            </w:r>
            <w:r>
              <w:rPr>
                <w:rFonts w:hint="eastAsia"/>
                <w:b/>
                <w:bCs/>
                <w:color w:val="auto"/>
                <w:sz w:val="24"/>
                <w:highlight w:val="none"/>
                <w:lang w:eastAsia="zh-CN"/>
              </w:rPr>
              <w:t>）</w:t>
            </w:r>
            <w:r>
              <w:rPr>
                <w:b/>
                <w:bCs/>
                <w:color w:val="auto"/>
                <w:sz w:val="24"/>
                <w:highlight w:val="none"/>
              </w:rPr>
              <w:t>选址合理性</w:t>
            </w:r>
          </w:p>
          <w:p w14:paraId="3F2C0DAC">
            <w:pPr>
              <w:pStyle w:val="107"/>
              <w:rPr>
                <w:rFonts w:hint="default" w:eastAsia="宋体"/>
                <w:color w:val="auto"/>
                <w:sz w:val="24"/>
                <w:highlight w:val="none"/>
                <w:lang w:val="en-US" w:eastAsia="zh-CN"/>
              </w:rPr>
            </w:pPr>
            <w:r>
              <w:rPr>
                <w:color w:val="auto"/>
                <w:sz w:val="24"/>
                <w:highlight w:val="none"/>
              </w:rPr>
              <w:t>项目</w:t>
            </w:r>
            <w:r>
              <w:rPr>
                <w:rFonts w:hint="eastAsia"/>
                <w:color w:val="auto"/>
                <w:sz w:val="24"/>
                <w:highlight w:val="none"/>
                <w:lang w:val="en-US" w:eastAsia="zh-CN"/>
              </w:rPr>
              <w:t>选址</w:t>
            </w:r>
            <w:r>
              <w:rPr>
                <w:rFonts w:hint="eastAsia"/>
                <w:color w:val="auto"/>
                <w:sz w:val="24"/>
                <w:highlight w:val="none"/>
              </w:rPr>
              <w:t>于</w:t>
            </w:r>
            <w:r>
              <w:rPr>
                <w:rFonts w:hint="eastAsia"/>
                <w:color w:val="auto"/>
                <w:sz w:val="24"/>
                <w:highlight w:val="none"/>
                <w:lang w:eastAsia="zh-CN"/>
              </w:rPr>
              <w:t>四川省遂宁市安居区省级经济开发区现代装备制造产业园区4-5</w:t>
            </w:r>
            <w:r>
              <w:rPr>
                <w:rFonts w:hint="eastAsia"/>
                <w:color w:val="auto"/>
                <w:sz w:val="24"/>
                <w:highlight w:val="none"/>
              </w:rPr>
              <w:t>，</w:t>
            </w:r>
            <w:r>
              <w:rPr>
                <w:rFonts w:hint="eastAsia" w:cs="Times New Roman"/>
                <w:color w:val="auto"/>
                <w:kern w:val="0"/>
                <w:sz w:val="24"/>
                <w:highlight w:val="none"/>
                <w:lang w:val="en-US" w:eastAsia="zh-CN" w:bidi="ar"/>
              </w:rPr>
              <w:t>为购买此地块</w:t>
            </w:r>
            <w:r>
              <w:rPr>
                <w:rFonts w:hint="eastAsia" w:ascii="Times New Roman" w:hAnsi="Times New Roman" w:eastAsia="宋体" w:cs="Times New Roman"/>
                <w:color w:val="auto"/>
                <w:kern w:val="0"/>
                <w:sz w:val="24"/>
                <w:highlight w:val="none"/>
                <w:lang w:val="en-US" w:eastAsia="zh-CN" w:bidi="ar"/>
              </w:rPr>
              <w:t>进行项目建设</w:t>
            </w:r>
            <w:r>
              <w:rPr>
                <w:rFonts w:hint="eastAsia"/>
                <w:color w:val="auto"/>
                <w:sz w:val="24"/>
                <w:highlight w:val="none"/>
                <w:lang w:eastAsia="zh-CN"/>
              </w:rPr>
              <w:t>。</w:t>
            </w:r>
            <w:r>
              <w:rPr>
                <w:rFonts w:hint="eastAsia"/>
                <w:color w:val="auto"/>
                <w:sz w:val="24"/>
                <w:highlight w:val="none"/>
                <w:lang w:val="en-US" w:eastAsia="zh-CN"/>
              </w:rPr>
              <w:t>项目所在区域</w:t>
            </w:r>
            <w:r>
              <w:rPr>
                <w:color w:val="auto"/>
                <w:sz w:val="24"/>
                <w:highlight w:val="none"/>
              </w:rPr>
              <w:t>水、电等配套设施齐全</w:t>
            </w:r>
            <w:r>
              <w:rPr>
                <w:rFonts w:hint="eastAsia"/>
                <w:color w:val="auto"/>
                <w:sz w:val="24"/>
                <w:highlight w:val="none"/>
                <w:lang w:eastAsia="zh-CN"/>
              </w:rPr>
              <w:t>，</w:t>
            </w:r>
            <w:r>
              <w:rPr>
                <w:rFonts w:hint="eastAsia"/>
                <w:color w:val="auto"/>
                <w:sz w:val="24"/>
                <w:highlight w:val="none"/>
                <w:lang w:val="en-US" w:eastAsia="zh-CN"/>
              </w:rPr>
              <w:t>有完善的雨污水管网</w:t>
            </w:r>
            <w:r>
              <w:rPr>
                <w:color w:val="auto"/>
                <w:sz w:val="24"/>
                <w:highlight w:val="none"/>
              </w:rPr>
              <w:t>，地理位置优越</w:t>
            </w:r>
            <w:r>
              <w:rPr>
                <w:rFonts w:hint="eastAsia"/>
                <w:color w:val="auto"/>
                <w:sz w:val="24"/>
                <w:highlight w:val="none"/>
                <w:lang w:eastAsia="zh-CN"/>
              </w:rPr>
              <w:t>，</w:t>
            </w:r>
            <w:r>
              <w:rPr>
                <w:rFonts w:hint="eastAsia"/>
                <w:color w:val="auto"/>
                <w:sz w:val="24"/>
                <w:highlight w:val="none"/>
                <w:lang w:val="en-US" w:eastAsia="zh-CN"/>
              </w:rPr>
              <w:t>西侧紧邻新马路</w:t>
            </w:r>
            <w:r>
              <w:rPr>
                <w:color w:val="auto"/>
                <w:sz w:val="24"/>
                <w:highlight w:val="none"/>
              </w:rPr>
              <w:t>，交通便利，原料、成品运输极其方便</w:t>
            </w:r>
            <w:r>
              <w:rPr>
                <w:rFonts w:hint="eastAsia"/>
                <w:color w:val="auto"/>
                <w:sz w:val="24"/>
                <w:highlight w:val="none"/>
                <w:lang w:eastAsia="zh-CN"/>
              </w:rPr>
              <w:t>，</w:t>
            </w:r>
            <w:r>
              <w:rPr>
                <w:rFonts w:hint="eastAsia"/>
                <w:color w:val="auto"/>
                <w:sz w:val="24"/>
                <w:highlight w:val="none"/>
                <w:lang w:val="en-US" w:eastAsia="zh-CN"/>
              </w:rPr>
              <w:t>故在选址位置进行本项目建设有较好的便利性。</w:t>
            </w:r>
          </w:p>
          <w:p w14:paraId="6B43ED49">
            <w:pPr>
              <w:pStyle w:val="107"/>
              <w:rPr>
                <w:rFonts w:hint="eastAsia"/>
                <w:color w:val="auto"/>
                <w:highlight w:val="none"/>
                <w:lang w:val="en-US" w:eastAsia="zh-CN"/>
              </w:rPr>
            </w:pPr>
            <w:r>
              <w:rPr>
                <w:rFonts w:hint="eastAsia"/>
                <w:color w:val="auto"/>
                <w:highlight w:val="none"/>
              </w:rPr>
              <w:t>由外环境关系可知</w:t>
            </w:r>
            <w:r>
              <w:rPr>
                <w:rFonts w:hint="eastAsia"/>
                <w:color w:val="auto"/>
                <w:highlight w:val="none"/>
                <w:lang w:eastAsia="zh-CN"/>
              </w:rPr>
              <w:t>，</w:t>
            </w:r>
            <w:r>
              <w:rPr>
                <w:rFonts w:hint="eastAsia"/>
                <w:bCs w:val="0"/>
                <w:color w:val="auto"/>
                <w:highlight w:val="none"/>
              </w:rPr>
              <w:t>本项目500m范围内</w:t>
            </w:r>
            <w:r>
              <w:rPr>
                <w:rFonts w:hint="eastAsia"/>
                <w:bCs w:val="0"/>
                <w:color w:val="auto"/>
                <w:highlight w:val="none"/>
                <w:lang w:val="en-US" w:eastAsia="zh-CN"/>
              </w:rPr>
              <w:t>无环境</w:t>
            </w:r>
            <w:r>
              <w:rPr>
                <w:rFonts w:hint="eastAsia"/>
                <w:bCs w:val="0"/>
                <w:color w:val="auto"/>
                <w:highlight w:val="none"/>
              </w:rPr>
              <w:t>保护目标</w:t>
            </w:r>
            <w:r>
              <w:rPr>
                <w:rFonts w:hint="eastAsia"/>
                <w:color w:val="auto"/>
                <w:highlight w:val="none"/>
              </w:rPr>
              <w:t>，项目周边主要为</w:t>
            </w:r>
            <w:r>
              <w:rPr>
                <w:rFonts w:hint="eastAsia"/>
                <w:color w:val="auto"/>
                <w:highlight w:val="none"/>
                <w:lang w:val="en-US" w:eastAsia="zh-CN"/>
              </w:rPr>
              <w:t>工业</w:t>
            </w:r>
            <w:r>
              <w:rPr>
                <w:rFonts w:hint="eastAsia"/>
                <w:color w:val="auto"/>
                <w:highlight w:val="none"/>
              </w:rPr>
              <w:t>企业。根据调查，本项目</w:t>
            </w:r>
            <w:r>
              <w:rPr>
                <w:rFonts w:hint="eastAsia"/>
                <w:color w:val="auto"/>
                <w:highlight w:val="none"/>
                <w:lang w:val="en-US" w:eastAsia="zh-CN"/>
              </w:rPr>
              <w:t>500m范围内工业企业以食品加工企业</w:t>
            </w:r>
            <w:r>
              <w:rPr>
                <w:rFonts w:hint="eastAsia"/>
                <w:color w:val="auto"/>
                <w:highlight w:val="none"/>
              </w:rPr>
              <w:t>为主</w:t>
            </w:r>
            <w:r>
              <w:rPr>
                <w:rFonts w:hint="eastAsia"/>
                <w:color w:val="auto"/>
                <w:highlight w:val="none"/>
                <w:lang w:eastAsia="zh-CN"/>
              </w:rPr>
              <w:t>，</w:t>
            </w:r>
            <w:r>
              <w:rPr>
                <w:rFonts w:hint="eastAsia"/>
                <w:color w:val="auto"/>
                <w:highlight w:val="none"/>
              </w:rPr>
              <w:t>与本项目性质相同</w:t>
            </w:r>
            <w:r>
              <w:rPr>
                <w:rFonts w:hint="eastAsia"/>
                <w:color w:val="auto"/>
                <w:highlight w:val="none"/>
                <w:lang w:eastAsia="zh-CN"/>
              </w:rPr>
              <w:t>；</w:t>
            </w:r>
            <w:r>
              <w:rPr>
                <w:rFonts w:hint="eastAsia"/>
                <w:color w:val="auto"/>
                <w:highlight w:val="none"/>
              </w:rPr>
              <w:t>项目</w:t>
            </w:r>
            <w:r>
              <w:rPr>
                <w:rFonts w:hint="eastAsia"/>
                <w:color w:val="auto"/>
                <w:highlight w:val="none"/>
                <w:lang w:val="en-US" w:eastAsia="zh-CN"/>
              </w:rPr>
              <w:t>西侧230m处、西南侧50m处各有一家印刷品制造企业</w:t>
            </w:r>
            <w:r>
              <w:rPr>
                <w:rFonts w:hint="eastAsia"/>
                <w:color w:val="auto"/>
                <w:highlight w:val="none"/>
              </w:rPr>
              <w:t>，</w:t>
            </w:r>
            <w:r>
              <w:rPr>
                <w:rFonts w:hint="eastAsia"/>
                <w:color w:val="auto"/>
                <w:highlight w:val="none"/>
                <w:lang w:val="en-US" w:eastAsia="zh-CN"/>
              </w:rPr>
              <w:t>主要进行纸制品、金属制品的印刷</w:t>
            </w:r>
            <w:r>
              <w:rPr>
                <w:rFonts w:hint="eastAsia"/>
                <w:color w:val="auto"/>
                <w:highlight w:val="none"/>
                <w:lang w:eastAsia="zh-CN"/>
              </w:rPr>
              <w:t>，</w:t>
            </w:r>
            <w:r>
              <w:rPr>
                <w:rFonts w:hint="eastAsia"/>
                <w:color w:val="auto"/>
                <w:highlight w:val="none"/>
                <w:lang w:val="en-US" w:eastAsia="zh-CN"/>
              </w:rPr>
              <w:t>不涉及机械、设备、金属制品的生产加工，不产生加工粉尘等污染物</w:t>
            </w:r>
            <w:r>
              <w:rPr>
                <w:rFonts w:hint="eastAsia"/>
                <w:color w:val="auto"/>
                <w:highlight w:val="none"/>
              </w:rPr>
              <w:t>，</w:t>
            </w:r>
            <w:r>
              <w:rPr>
                <w:rFonts w:hint="eastAsia"/>
                <w:color w:val="auto"/>
                <w:highlight w:val="none"/>
                <w:lang w:val="en-US" w:eastAsia="zh-CN"/>
              </w:rPr>
              <w:t>故</w:t>
            </w:r>
            <w:r>
              <w:rPr>
                <w:rFonts w:hint="eastAsia"/>
                <w:color w:val="auto"/>
                <w:highlight w:val="none"/>
              </w:rPr>
              <w:t>不会对本项目构成制约；</w:t>
            </w:r>
            <w:r>
              <w:rPr>
                <w:rFonts w:hint="eastAsia"/>
                <w:color w:val="auto"/>
                <w:highlight w:val="none"/>
                <w:lang w:val="en-US" w:eastAsia="zh-CN"/>
              </w:rPr>
              <w:t>项目东侧、南侧500m范围内现为空地</w:t>
            </w:r>
            <w:r>
              <w:rPr>
                <w:rFonts w:hint="eastAsia"/>
                <w:color w:val="auto"/>
                <w:highlight w:val="none"/>
                <w:lang w:eastAsia="zh-CN"/>
              </w:rPr>
              <w:t>；</w:t>
            </w:r>
            <w:r>
              <w:rPr>
                <w:rFonts w:hint="eastAsia" w:cs="Times New Roman"/>
                <w:color w:val="auto"/>
                <w:szCs w:val="24"/>
                <w:highlight w:val="none"/>
              </w:rPr>
              <w:t>因此，项目周边外环境</w:t>
            </w:r>
            <w:r>
              <w:rPr>
                <w:rFonts w:hint="eastAsia"/>
                <w:color w:val="auto"/>
                <w:highlight w:val="none"/>
              </w:rPr>
              <w:t>不会对本项目建设构成制约</w:t>
            </w:r>
            <w:r>
              <w:rPr>
                <w:rFonts w:hint="eastAsia"/>
                <w:color w:val="auto"/>
                <w:highlight w:val="none"/>
                <w:lang w:val="en-US" w:eastAsia="zh-CN"/>
              </w:rPr>
              <w:t>。</w:t>
            </w:r>
          </w:p>
          <w:p w14:paraId="09D8C2B2">
            <w:pPr>
              <w:pStyle w:val="107"/>
              <w:rPr>
                <w:bCs w:val="0"/>
                <w:color w:val="auto"/>
                <w:highlight w:val="none"/>
              </w:rPr>
            </w:pPr>
            <w:r>
              <w:rPr>
                <w:rFonts w:hint="eastAsia"/>
                <w:bCs w:val="0"/>
                <w:color w:val="auto"/>
                <w:highlight w:val="none"/>
                <w:lang w:val="en-US" w:eastAsia="zh-CN"/>
              </w:rPr>
              <w:t>本项目生产过程中主要产生天然气燃烧废气、粉尘等。蒸汽发生器天然气拟低氮燃烧处理后经1根15m排气筒DA001排放；纸制品生产过程中切纸等工序会产生少量粉尘，拟直接无组织排放。项目运营期主要产生生活污水、原料清洗废水、设备清洗废水、漂烫废水、猪肉解冻废水、空罐及实罐清洗废水、蒸汽发生器废水、地面清洁废水、实验器皿清洗废水。生活污水拟经预处理池处理（5m</w:t>
            </w:r>
            <w:r>
              <w:rPr>
                <w:rFonts w:hint="eastAsia"/>
                <w:bCs w:val="0"/>
                <w:color w:val="auto"/>
                <w:highlight w:val="none"/>
                <w:vertAlign w:val="superscript"/>
                <w:lang w:val="en-US" w:eastAsia="zh-CN"/>
              </w:rPr>
              <w:t>3</w:t>
            </w:r>
            <w:r>
              <w:rPr>
                <w:rFonts w:hint="eastAsia"/>
                <w:bCs w:val="0"/>
                <w:color w:val="auto"/>
                <w:highlight w:val="none"/>
                <w:lang w:val="en-US" w:eastAsia="zh-CN"/>
              </w:rPr>
              <w:t>），生产废水拟经过本项目新建污水处理池（60m</w:t>
            </w:r>
            <w:r>
              <w:rPr>
                <w:rFonts w:hint="eastAsia"/>
                <w:bCs w:val="0"/>
                <w:color w:val="auto"/>
                <w:highlight w:val="none"/>
                <w:vertAlign w:val="superscript"/>
                <w:lang w:val="en-US" w:eastAsia="zh-CN"/>
              </w:rPr>
              <w:t>3</w:t>
            </w:r>
            <w:r>
              <w:rPr>
                <w:rFonts w:hint="eastAsia"/>
                <w:bCs w:val="0"/>
                <w:color w:val="auto"/>
                <w:highlight w:val="none"/>
                <w:lang w:val="en-US" w:eastAsia="zh-CN"/>
              </w:rPr>
              <w:t>）处理达到《污水综合排放标准》（GB8978-1996）三级标准后经污水管网排至龙眼井污水处理厂处理，处理达到《城镇污水处理厂污染物排放标准》（GB18918-2002）中一级A标准后排入琼江。</w:t>
            </w:r>
            <w:r>
              <w:rPr>
                <w:rFonts w:hint="eastAsia"/>
                <w:bCs w:val="0"/>
                <w:color w:val="auto"/>
                <w:highlight w:val="none"/>
              </w:rPr>
              <w:t>项目产生的废水总量较少，对外环境</w:t>
            </w:r>
            <w:r>
              <w:rPr>
                <w:rFonts w:hint="eastAsia"/>
                <w:bCs w:val="0"/>
                <w:color w:val="auto"/>
                <w:highlight w:val="none"/>
                <w:lang w:eastAsia="zh-CN"/>
              </w:rPr>
              <w:t>影响</w:t>
            </w:r>
            <w:r>
              <w:rPr>
                <w:rFonts w:hint="eastAsia"/>
                <w:bCs w:val="0"/>
                <w:color w:val="auto"/>
                <w:highlight w:val="none"/>
              </w:rPr>
              <w:t>较</w:t>
            </w:r>
            <w:r>
              <w:rPr>
                <w:rFonts w:hint="eastAsia"/>
                <w:bCs w:val="0"/>
                <w:color w:val="auto"/>
                <w:highlight w:val="none"/>
                <w:lang w:val="en-US" w:eastAsia="zh-CN"/>
              </w:rPr>
              <w:t>小</w:t>
            </w:r>
            <w:r>
              <w:rPr>
                <w:rFonts w:hint="eastAsia"/>
                <w:bCs w:val="0"/>
                <w:color w:val="auto"/>
                <w:highlight w:val="none"/>
              </w:rPr>
              <w:t>；项目噪声通过车间隔声、距离衰减后，</w:t>
            </w:r>
            <w:r>
              <w:rPr>
                <w:rFonts w:hint="eastAsia"/>
                <w:bCs w:val="0"/>
                <w:color w:val="auto"/>
                <w:highlight w:val="none"/>
                <w:lang w:val="en-US" w:eastAsia="zh-CN"/>
              </w:rPr>
              <w:t>对周边声环境保护目标影响较小</w:t>
            </w:r>
            <w:r>
              <w:rPr>
                <w:rFonts w:hint="eastAsia"/>
                <w:bCs w:val="0"/>
                <w:color w:val="auto"/>
                <w:highlight w:val="none"/>
              </w:rPr>
              <w:t>。</w:t>
            </w:r>
          </w:p>
          <w:p w14:paraId="133CC6B1">
            <w:pPr>
              <w:pStyle w:val="107"/>
              <w:rPr>
                <w:rFonts w:hint="eastAsia"/>
                <w:bCs w:val="0"/>
                <w:color w:val="auto"/>
                <w:highlight w:val="none"/>
              </w:rPr>
            </w:pPr>
            <w:r>
              <w:rPr>
                <w:rFonts w:hint="eastAsia"/>
                <w:bCs w:val="0"/>
                <w:color w:val="auto"/>
                <w:highlight w:val="none"/>
              </w:rPr>
              <w:t>综上所述，本项目</w:t>
            </w:r>
            <w:r>
              <w:rPr>
                <w:rFonts w:hint="eastAsia"/>
                <w:bCs w:val="0"/>
                <w:color w:val="auto"/>
                <w:highlight w:val="none"/>
                <w:lang w:val="en-US" w:eastAsia="zh-CN"/>
              </w:rPr>
              <w:t>周边</w:t>
            </w:r>
            <w:r>
              <w:rPr>
                <w:rFonts w:hint="default" w:ascii="Times New Roman" w:hAnsi="Times New Roman" w:cs="Times New Roman"/>
                <w:color w:val="auto"/>
                <w:kern w:val="0"/>
                <w:sz w:val="24"/>
                <w:highlight w:val="none"/>
              </w:rPr>
              <w:t>无公园、风景名胜、水源保护区等</w:t>
            </w:r>
            <w:r>
              <w:rPr>
                <w:rFonts w:hint="eastAsia" w:cs="Times New Roman"/>
                <w:color w:val="auto"/>
                <w:kern w:val="0"/>
                <w:sz w:val="24"/>
                <w:highlight w:val="none"/>
                <w:lang w:val="en-US" w:eastAsia="zh-CN"/>
              </w:rPr>
              <w:t>敏感目标，</w:t>
            </w:r>
            <w:r>
              <w:rPr>
                <w:rFonts w:hint="eastAsia"/>
                <w:bCs w:val="0"/>
                <w:color w:val="auto"/>
                <w:highlight w:val="none"/>
                <w:lang w:val="en-US" w:eastAsia="zh-CN"/>
              </w:rPr>
              <w:t>外环境无重大</w:t>
            </w:r>
            <w:r>
              <w:rPr>
                <w:rFonts w:hint="eastAsia"/>
                <w:bCs w:val="0"/>
                <w:color w:val="auto"/>
                <w:highlight w:val="none"/>
              </w:rPr>
              <w:t>制约因素，与外环境兼容，选址合理。</w:t>
            </w:r>
          </w:p>
          <w:p w14:paraId="7AB44E71">
            <w:pPr>
              <w:pStyle w:val="107"/>
              <w:rPr>
                <w:rFonts w:hint="eastAsia"/>
                <w:bCs w:val="0"/>
                <w:color w:val="auto"/>
                <w:highlight w:val="none"/>
              </w:rPr>
            </w:pPr>
          </w:p>
          <w:p w14:paraId="7DB333A9">
            <w:pPr>
              <w:pStyle w:val="107"/>
              <w:rPr>
                <w:rFonts w:hint="eastAsia"/>
                <w:bCs w:val="0"/>
                <w:color w:val="auto"/>
                <w:highlight w:val="none"/>
              </w:rPr>
            </w:pPr>
          </w:p>
          <w:p w14:paraId="19332500">
            <w:pPr>
              <w:pStyle w:val="107"/>
              <w:rPr>
                <w:rFonts w:hint="eastAsia"/>
                <w:bCs w:val="0"/>
                <w:color w:val="auto"/>
                <w:highlight w:val="none"/>
              </w:rPr>
            </w:pPr>
          </w:p>
          <w:p w14:paraId="70630532">
            <w:pPr>
              <w:pStyle w:val="107"/>
              <w:rPr>
                <w:rFonts w:hint="eastAsia"/>
                <w:bCs w:val="0"/>
                <w:color w:val="auto"/>
                <w:highlight w:val="none"/>
              </w:rPr>
            </w:pPr>
          </w:p>
          <w:p w14:paraId="5842721C">
            <w:pPr>
              <w:pStyle w:val="107"/>
              <w:rPr>
                <w:rFonts w:hint="eastAsia"/>
                <w:bCs w:val="0"/>
                <w:color w:val="auto"/>
                <w:highlight w:val="none"/>
              </w:rPr>
            </w:pPr>
          </w:p>
          <w:p w14:paraId="6FADE15C">
            <w:pPr>
              <w:pStyle w:val="107"/>
              <w:rPr>
                <w:rFonts w:hint="eastAsia"/>
                <w:bCs w:val="0"/>
                <w:color w:val="auto"/>
                <w:highlight w:val="none"/>
              </w:rPr>
            </w:pPr>
          </w:p>
        </w:tc>
      </w:tr>
    </w:tbl>
    <w:p w14:paraId="0A067B77">
      <w:pPr>
        <w:pStyle w:val="25"/>
        <w:keepNext w:val="0"/>
        <w:keepLines w:val="0"/>
        <w:pageBreakBefore w:val="0"/>
        <w:widowControl w:val="0"/>
        <w:kinsoku/>
        <w:wordWrap/>
        <w:overflowPunct/>
        <w:topLinePunct w:val="0"/>
        <w:autoSpaceDE/>
        <w:autoSpaceDN/>
        <w:bidi w:val="0"/>
        <w:adjustRightInd/>
        <w:snapToGrid/>
        <w:spacing w:beforeAutospacing="0" w:after="0" w:afterAutospacing="0"/>
        <w:ind w:firstLine="0" w:firstLineChars="0"/>
        <w:jc w:val="center"/>
        <w:textAlignment w:val="auto"/>
        <w:outlineLvl w:val="0"/>
        <w:rPr>
          <w:rFonts w:ascii="Times New Roman" w:hAnsi="Times New Roman" w:eastAsia="黑体"/>
          <w:snapToGrid w:val="0"/>
          <w:color w:val="auto"/>
          <w:sz w:val="30"/>
          <w:szCs w:val="30"/>
          <w:highlight w:val="none"/>
        </w:rPr>
        <w:sectPr>
          <w:pgSz w:w="11905" w:h="16838"/>
          <w:pgMar w:top="1701" w:right="1134" w:bottom="1701" w:left="1134" w:header="851" w:footer="1077" w:gutter="0"/>
          <w:pgBorders>
            <w:top w:val="none" w:sz="0" w:space="0"/>
            <w:left w:val="none" w:sz="0" w:space="0"/>
            <w:bottom w:val="none" w:sz="0" w:space="0"/>
            <w:right w:val="none" w:sz="0" w:space="0"/>
          </w:pgBorders>
          <w:pgNumType w:fmt="decimal"/>
          <w:cols w:space="720" w:num="1"/>
          <w:docGrid w:linePitch="312" w:charSpace="0"/>
        </w:sectPr>
      </w:pPr>
    </w:p>
    <w:p w14:paraId="0E52662D">
      <w:pPr>
        <w:pStyle w:val="25"/>
        <w:keepNext w:val="0"/>
        <w:keepLines w:val="0"/>
        <w:pageBreakBefore w:val="0"/>
        <w:widowControl w:val="0"/>
        <w:kinsoku/>
        <w:wordWrap/>
        <w:overflowPunct/>
        <w:topLinePunct w:val="0"/>
        <w:autoSpaceDE/>
        <w:autoSpaceDN/>
        <w:bidi w:val="0"/>
        <w:adjustRightInd/>
        <w:snapToGrid/>
        <w:spacing w:beforeAutospacing="0" w:after="0" w:afterAutospacing="0"/>
        <w:ind w:firstLine="0" w:firstLineChars="0"/>
        <w:jc w:val="center"/>
        <w:textAlignment w:val="auto"/>
        <w:outlineLvl w:val="0"/>
        <w:rPr>
          <w:rFonts w:ascii="Times New Roman" w:hAnsi="Times New Roman" w:eastAsia="黑体"/>
          <w:snapToGrid w:val="0"/>
          <w:color w:val="auto"/>
          <w:sz w:val="28"/>
          <w:szCs w:val="28"/>
          <w:highlight w:val="none"/>
        </w:rPr>
      </w:pPr>
      <w:bookmarkStart w:id="11" w:name="_Toc13668"/>
      <w:r>
        <w:rPr>
          <w:rFonts w:ascii="Times New Roman" w:hAnsi="Times New Roman" w:eastAsia="黑体"/>
          <w:snapToGrid w:val="0"/>
          <w:color w:val="auto"/>
          <w:sz w:val="28"/>
          <w:szCs w:val="28"/>
          <w:highlight w:val="none"/>
        </w:rPr>
        <w:t>二、建设项目工程分析</w:t>
      </w:r>
      <w:bookmarkEnd w:id="8"/>
      <w:bookmarkEnd w:id="9"/>
      <w:bookmarkEnd w:id="11"/>
    </w:p>
    <w:tbl>
      <w:tblPr>
        <w:tblStyle w:val="28"/>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9403"/>
      </w:tblGrid>
      <w:tr w14:paraId="3E18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dxa"/>
            <w:vAlign w:val="center"/>
          </w:tcPr>
          <w:p w14:paraId="078E073E">
            <w:pPr>
              <w:keepNext w:val="0"/>
              <w:keepLines w:val="0"/>
              <w:pageBreakBefore w:val="0"/>
              <w:tabs>
                <w:tab w:val="center" w:pos="117"/>
                <w:tab w:val="left" w:pos="4375"/>
              </w:tabs>
              <w:kinsoku/>
              <w:wordWrap/>
              <w:overflowPunct/>
              <w:topLinePunct w:val="0"/>
              <w:bidi w:val="0"/>
              <w:adjustRightInd w:val="0"/>
              <w:snapToGrid w:val="0"/>
              <w:spacing w:line="240" w:lineRule="auto"/>
              <w:ind w:firstLine="0" w:firstLineChars="0"/>
              <w:jc w:val="left"/>
              <w:textAlignment w:val="auto"/>
              <w:rPr>
                <w:rFonts w:ascii="Times New Roman" w:hAnsi="Times New Roman"/>
                <w:b/>
                <w:bCs/>
                <w:color w:val="auto"/>
                <w:sz w:val="24"/>
                <w:szCs w:val="24"/>
                <w:highlight w:val="none"/>
              </w:rPr>
            </w:pPr>
            <w:r>
              <w:rPr>
                <w:rFonts w:hint="eastAsia"/>
                <w:b/>
                <w:bCs/>
                <w:color w:val="auto"/>
                <w:highlight w:val="none"/>
                <w:lang w:eastAsia="zh-CN"/>
              </w:rPr>
              <w:tab/>
            </w:r>
            <w:r>
              <w:rPr>
                <w:rFonts w:hint="eastAsia"/>
                <w:b/>
                <w:bCs/>
                <w:color w:val="auto"/>
                <w:highlight w:val="none"/>
                <w:lang w:val="en-US" w:eastAsia="zh-CN"/>
              </w:rPr>
              <w:t>建设</w:t>
            </w:r>
            <w:r>
              <w:rPr>
                <w:b/>
                <w:bCs/>
                <w:color w:val="auto"/>
                <w:highlight w:val="none"/>
              </w:rPr>
              <w:t>内容</w:t>
            </w:r>
          </w:p>
        </w:tc>
        <w:tc>
          <w:tcPr>
            <w:tcW w:w="9403" w:type="dxa"/>
            <w:vAlign w:val="top"/>
          </w:tcPr>
          <w:p w14:paraId="778A66FB">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lang w:val="en-US" w:eastAsia="zh-CN"/>
              </w:rPr>
              <w:t>1</w:t>
            </w:r>
            <w:r>
              <w:rPr>
                <w:rFonts w:hint="eastAsia" w:ascii="黑体" w:hAnsi="黑体" w:eastAsia="黑体" w:cs="黑体"/>
                <w:b/>
                <w:bCs/>
                <w:color w:val="auto"/>
                <w:sz w:val="24"/>
                <w:highlight w:val="none"/>
              </w:rPr>
              <w:t>、项目由来</w:t>
            </w:r>
          </w:p>
          <w:p w14:paraId="565639C1">
            <w:pPr>
              <w:pStyle w:val="107"/>
              <w:rPr>
                <w:rFonts w:hint="eastAsia"/>
                <w:color w:val="auto"/>
                <w:highlight w:val="none"/>
                <w:lang w:eastAsia="zh-CN"/>
              </w:rPr>
            </w:pPr>
            <w:r>
              <w:rPr>
                <w:rFonts w:hint="eastAsia"/>
                <w:color w:val="auto"/>
                <w:highlight w:val="none"/>
                <w:lang w:eastAsia="zh-CN"/>
              </w:rPr>
              <w:t>遂宁乐诚食品有限公司（</w:t>
            </w:r>
            <w:r>
              <w:rPr>
                <w:rFonts w:hint="eastAsia"/>
                <w:color w:val="auto"/>
                <w:highlight w:val="none"/>
                <w:lang w:val="en-US" w:eastAsia="zh-CN"/>
              </w:rPr>
              <w:t>后简称乐诚食品</w:t>
            </w:r>
            <w:r>
              <w:rPr>
                <w:rFonts w:hint="eastAsia"/>
                <w:color w:val="auto"/>
                <w:highlight w:val="none"/>
                <w:lang w:eastAsia="zh-CN"/>
              </w:rPr>
              <w:t>）</w:t>
            </w:r>
            <w:r>
              <w:rPr>
                <w:rFonts w:hint="eastAsia"/>
                <w:color w:val="auto"/>
                <w:highlight w:val="none"/>
              </w:rPr>
              <w:t>成立于</w:t>
            </w:r>
            <w:r>
              <w:rPr>
                <w:rFonts w:hint="eastAsia"/>
                <w:color w:val="auto"/>
                <w:highlight w:val="none"/>
                <w:lang w:eastAsia="zh-CN"/>
              </w:rPr>
              <w:t>2022年9月8日</w:t>
            </w:r>
            <w:r>
              <w:rPr>
                <w:rFonts w:hint="eastAsia"/>
                <w:color w:val="auto"/>
                <w:highlight w:val="none"/>
              </w:rPr>
              <w:t>，</w:t>
            </w:r>
            <w:r>
              <w:rPr>
                <w:rFonts w:hint="eastAsia"/>
                <w:color w:val="auto"/>
                <w:highlight w:val="none"/>
                <w:lang w:val="en-US" w:eastAsia="zh-CN"/>
              </w:rPr>
              <w:t>公司位于四川省遂宁市安居区省级开发区现代装备制造产业园4-5</w:t>
            </w:r>
            <w:r>
              <w:rPr>
                <w:rFonts w:hint="eastAsia"/>
                <w:color w:val="auto"/>
                <w:highlight w:val="none"/>
                <w:lang w:eastAsia="zh-CN"/>
              </w:rPr>
              <w:t>，</w:t>
            </w:r>
            <w:r>
              <w:rPr>
                <w:rFonts w:hint="eastAsia"/>
                <w:color w:val="auto"/>
                <w:highlight w:val="none"/>
                <w:lang w:val="en-US" w:eastAsia="zh-CN"/>
              </w:rPr>
              <w:t>公司主要业务包括食品销售、食品生产等</w:t>
            </w:r>
            <w:r>
              <w:rPr>
                <w:rFonts w:hint="eastAsia"/>
                <w:color w:val="auto"/>
                <w:highlight w:val="none"/>
                <w:lang w:eastAsia="zh-CN"/>
              </w:rPr>
              <w:t>。</w:t>
            </w:r>
          </w:p>
          <w:p w14:paraId="2041DC5D">
            <w:pPr>
              <w:pStyle w:val="107"/>
              <w:rPr>
                <w:rFonts w:hint="default" w:eastAsia="宋体"/>
                <w:color w:val="auto"/>
                <w:highlight w:val="none"/>
                <w:lang w:val="en-US" w:eastAsia="zh-CN"/>
              </w:rPr>
            </w:pPr>
            <w:r>
              <w:rPr>
                <w:rFonts w:hint="eastAsia"/>
                <w:color w:val="auto"/>
                <w:highlight w:val="none"/>
                <w:lang w:val="en-US" w:eastAsia="zh-CN"/>
              </w:rPr>
              <w:t>乐诚食品拟投资20000万元，购买四川省遂宁市安居区省级开发区现代装备制造产业园4-5地块（用地面积27814.79m</w:t>
            </w:r>
            <w:r>
              <w:rPr>
                <w:rFonts w:hint="eastAsia"/>
                <w:color w:val="auto"/>
                <w:highlight w:val="none"/>
                <w:vertAlign w:val="superscript"/>
                <w:lang w:val="en-US" w:eastAsia="zh-CN"/>
              </w:rPr>
              <w:t>2</w:t>
            </w:r>
            <w:r>
              <w:rPr>
                <w:rFonts w:hint="eastAsia"/>
                <w:color w:val="auto"/>
                <w:highlight w:val="none"/>
                <w:lang w:val="en-US" w:eastAsia="zh-CN"/>
              </w:rPr>
              <w:t>）建设“遂宁市安居区果蔬和冻干副食品建设项目”</w:t>
            </w:r>
            <w:r>
              <w:rPr>
                <w:rFonts w:hint="eastAsia"/>
                <w:color w:val="auto"/>
                <w:highlight w:val="none"/>
                <w:lang w:eastAsia="zh-CN"/>
              </w:rPr>
              <w:t>。</w:t>
            </w:r>
            <w:r>
              <w:rPr>
                <w:rFonts w:hint="eastAsia"/>
                <w:color w:val="auto"/>
                <w:highlight w:val="none"/>
                <w:lang w:val="en-US" w:eastAsia="zh-CN"/>
              </w:rPr>
              <w:t>项目拟</w:t>
            </w:r>
            <w:r>
              <w:rPr>
                <w:rFonts w:hint="eastAsia"/>
                <w:color w:val="auto"/>
                <w:highlight w:val="none"/>
              </w:rPr>
              <w:t>购置</w:t>
            </w:r>
            <w:r>
              <w:rPr>
                <w:rFonts w:hint="eastAsia"/>
                <w:color w:val="auto"/>
                <w:highlight w:val="none"/>
                <w:lang w:val="en-US" w:eastAsia="zh-CN"/>
              </w:rPr>
              <w:t>气泡清洗机、高压喷淋机、光学分选机、去皮去核机、多功能切菜机、隧道式漂烫机、真空冷冻干燥机、自动称重充氮包装机、蒸汽发生器、高速盘纸分切复卷机、卫生纸生产线、面巾纸生产线、绞肉机、拌料机、封罐机、杀菌锅等设备</w:t>
            </w:r>
            <w:r>
              <w:rPr>
                <w:rFonts w:hint="eastAsia"/>
                <w:color w:val="auto"/>
                <w:highlight w:val="none"/>
              </w:rPr>
              <w:t>，</w:t>
            </w:r>
            <w:r>
              <w:rPr>
                <w:rFonts w:hint="eastAsia"/>
                <w:color w:val="auto"/>
                <w:highlight w:val="none"/>
                <w:lang w:val="en-US" w:eastAsia="zh-CN"/>
              </w:rPr>
              <w:t>建成后预计年产冻干葱葱1400t、冻干上海青4000t、冻干红薯4000t、冻干韭菜4000t、冻干火龙果500t、面巾纸2500t、卫生纸2400t、午餐肉罐头3000t</w:t>
            </w:r>
            <w:r>
              <w:rPr>
                <w:rFonts w:hint="eastAsia"/>
                <w:color w:val="auto"/>
                <w:highlight w:val="none"/>
              </w:rPr>
              <w:t>。</w:t>
            </w:r>
            <w:r>
              <w:rPr>
                <w:rFonts w:hint="eastAsia"/>
                <w:b/>
                <w:bCs w:val="0"/>
                <w:color w:val="auto"/>
                <w:highlight w:val="none"/>
                <w:lang w:val="en-US" w:eastAsia="zh-CN"/>
              </w:rPr>
              <w:t>项目纸巾生产仅进行外购原纸的检验、打纸、切纸、包装等工序</w:t>
            </w:r>
            <w:r>
              <w:rPr>
                <w:rFonts w:hint="eastAsia"/>
                <w:b/>
                <w:bCs/>
                <w:color w:val="auto"/>
                <w:lang w:val="en-US" w:eastAsia="zh-CN"/>
              </w:rPr>
              <w:t>（不涉及纸浆生产，不涉及涂布、浸渍、印刷、粘胶等工艺）</w:t>
            </w:r>
            <w:r>
              <w:rPr>
                <w:rFonts w:hint="eastAsia"/>
                <w:b/>
                <w:bCs w:val="0"/>
                <w:color w:val="auto"/>
                <w:highlight w:val="none"/>
                <w:lang w:val="en-US" w:eastAsia="zh-CN"/>
              </w:rPr>
              <w:t>。</w:t>
            </w:r>
          </w:p>
          <w:p w14:paraId="1B4FADCE">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olor w:val="auto"/>
                <w:sz w:val="24"/>
                <w:szCs w:val="32"/>
                <w:highlight w:val="none"/>
              </w:rPr>
            </w:pPr>
            <w:r>
              <w:rPr>
                <w:rFonts w:hint="eastAsia" w:ascii="宋体" w:hAnsi="宋体"/>
                <w:bCs/>
                <w:color w:val="auto"/>
                <w:highlight w:val="none"/>
              </w:rPr>
              <w:t>根据《中华人民共和国环境保护法》《中华人民共和国环境影响评价法》以及国务院第</w:t>
            </w:r>
            <w:r>
              <w:rPr>
                <w:rFonts w:hint="eastAsia"/>
                <w:bCs/>
                <w:color w:val="auto"/>
                <w:highlight w:val="none"/>
              </w:rPr>
              <w:t>682</w:t>
            </w:r>
            <w:r>
              <w:rPr>
                <w:rFonts w:hint="eastAsia" w:ascii="宋体" w:hAnsi="宋体"/>
                <w:bCs/>
                <w:color w:val="auto"/>
                <w:highlight w:val="none"/>
              </w:rPr>
              <w:t>号令《国务院关于修改〈建设项目环境保护管理条例〉的决定》的有关规定，该项目应开展环境影响评价工作。依据</w:t>
            </w:r>
            <w:r>
              <w:rPr>
                <w:rFonts w:hint="default" w:ascii="Times New Roman" w:hAnsi="Times New Roman" w:cs="Times New Roman"/>
                <w:bCs/>
                <w:color w:val="auto"/>
                <w:highlight w:val="none"/>
              </w:rPr>
              <w:t>《建设项目环境影响评价分类管理名录（2021年版）》的相关规定，</w:t>
            </w:r>
            <w:r>
              <w:rPr>
                <w:rFonts w:hint="eastAsia" w:cs="Times New Roman"/>
                <w:bCs/>
                <w:color w:val="auto"/>
                <w:highlight w:val="none"/>
                <w:lang w:eastAsia="zh-CN"/>
              </w:rPr>
              <w:t>本项目</w:t>
            </w:r>
            <w:r>
              <w:rPr>
                <w:rFonts w:hint="eastAsia" w:cs="Times New Roman"/>
                <w:bCs/>
                <w:color w:val="auto"/>
                <w:highlight w:val="none"/>
                <w:lang w:val="en-US" w:eastAsia="zh-CN"/>
              </w:rPr>
              <w:t>午餐肉罐头生产</w:t>
            </w:r>
            <w:r>
              <w:rPr>
                <w:rFonts w:hint="default" w:ascii="Times New Roman" w:hAnsi="Times New Roman" w:cs="Times New Roman"/>
                <w:bCs/>
                <w:color w:val="auto"/>
                <w:highlight w:val="none"/>
              </w:rPr>
              <w:t>属于“</w:t>
            </w:r>
            <w:r>
              <w:rPr>
                <w:rFonts w:hint="eastAsia" w:cs="Times New Roman"/>
                <w:bCs/>
                <w:color w:val="auto"/>
                <w:highlight w:val="none"/>
                <w:lang w:val="en-US" w:eastAsia="zh-CN"/>
              </w:rPr>
              <w:t>十一</w:t>
            </w:r>
            <w:r>
              <w:rPr>
                <w:rFonts w:hint="default" w:ascii="Times New Roman" w:hAnsi="Times New Roman" w:cs="Times New Roman"/>
                <w:bCs/>
                <w:color w:val="auto"/>
                <w:highlight w:val="none"/>
              </w:rPr>
              <w:t xml:space="preserve">、食品制造业（14）”中“21 </w:t>
            </w:r>
            <w:r>
              <w:rPr>
                <w:rFonts w:hint="eastAsia" w:cs="Times New Roman"/>
                <w:bCs/>
                <w:color w:val="auto"/>
                <w:highlight w:val="none"/>
                <w:lang w:val="en-US" w:eastAsia="zh-CN"/>
              </w:rPr>
              <w:t>罐头食品制造（145*）</w:t>
            </w:r>
            <w:r>
              <w:rPr>
                <w:rFonts w:hint="default" w:ascii="Times New Roman" w:hAnsi="Times New Roman" w:cs="Times New Roman"/>
                <w:bCs/>
                <w:color w:val="auto"/>
                <w:highlight w:val="none"/>
              </w:rPr>
              <w:t>除单纯分装外的”，故应编制环境影响报</w:t>
            </w:r>
            <w:r>
              <w:rPr>
                <w:rFonts w:hint="eastAsia" w:ascii="宋体" w:hAnsi="宋体"/>
                <w:bCs/>
                <w:color w:val="auto"/>
                <w:highlight w:val="none"/>
              </w:rPr>
              <w:t>告表。为此，</w:t>
            </w:r>
            <w:r>
              <w:rPr>
                <w:rFonts w:hint="eastAsia"/>
                <w:color w:val="auto"/>
                <w:highlight w:val="none"/>
                <w:lang w:eastAsia="zh-CN"/>
              </w:rPr>
              <w:t>遂宁乐诚食品有限公司</w:t>
            </w:r>
            <w:r>
              <w:rPr>
                <w:rFonts w:hint="eastAsia" w:ascii="宋体" w:hAnsi="宋体"/>
                <w:bCs/>
                <w:color w:val="auto"/>
                <w:highlight w:val="none"/>
              </w:rPr>
              <w:t>委托四川中辰全过程工程咨询有限公司承担该项目环境影响评价工作。环评公司接受委托后，立即组织有关技术人员进行现场踏勘、资料收集，按照国家建设项目环境影响报告表的编制说明及相关环评技术规范要求，编制完成</w:t>
            </w:r>
            <w:r>
              <w:rPr>
                <w:rFonts w:hint="eastAsia" w:ascii="宋体" w:hAnsi="宋体"/>
                <w:bCs/>
                <w:color w:val="auto"/>
                <w:highlight w:val="none"/>
                <w:lang w:eastAsia="zh-CN"/>
              </w:rPr>
              <w:t>本项目</w:t>
            </w:r>
            <w:r>
              <w:rPr>
                <w:rFonts w:hint="eastAsia" w:ascii="宋体" w:hAnsi="宋体"/>
                <w:bCs/>
                <w:color w:val="auto"/>
                <w:highlight w:val="none"/>
              </w:rPr>
              <w:t>环境影响报告表上报审查。</w:t>
            </w:r>
          </w:p>
          <w:p w14:paraId="6C91D00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2、项目基本信息</w:t>
            </w:r>
          </w:p>
          <w:p w14:paraId="07F6C606">
            <w:pPr>
              <w:adjustRightInd w:val="0"/>
              <w:snapToGrid w:val="0"/>
              <w:spacing w:line="360" w:lineRule="auto"/>
              <w:ind w:firstLine="482" w:firstLineChars="200"/>
              <w:jc w:val="left"/>
              <w:rPr>
                <w:rFonts w:hint="eastAsia" w:ascii="Times New Roman" w:hAnsi="Times New Roman" w:eastAsia="宋体" w:cs="Times New Roman"/>
                <w:b/>
                <w:color w:val="auto"/>
                <w:sz w:val="24"/>
                <w:highlight w:val="none"/>
                <w:lang w:eastAsia="zh-CN"/>
              </w:rPr>
            </w:pPr>
            <w:r>
              <w:rPr>
                <w:rFonts w:hint="default" w:ascii="Times New Roman" w:hAnsi="Times New Roman" w:cs="Times New Roman"/>
                <w:b/>
                <w:color w:val="auto"/>
                <w:sz w:val="24"/>
                <w:highlight w:val="none"/>
              </w:rPr>
              <w:t>项目名称：</w:t>
            </w:r>
            <w:r>
              <w:rPr>
                <w:rFonts w:hint="eastAsia" w:cs="Times New Roman"/>
                <w:b w:val="0"/>
                <w:bCs/>
                <w:color w:val="auto"/>
                <w:sz w:val="24"/>
                <w:highlight w:val="none"/>
                <w:lang w:eastAsia="zh-CN"/>
              </w:rPr>
              <w:t>遂宁市安居区果蔬和冻干副食品建设项目</w:t>
            </w:r>
          </w:p>
          <w:p w14:paraId="06EC93B6">
            <w:pPr>
              <w:adjustRightInd w:val="0"/>
              <w:snapToGrid w:val="0"/>
              <w:spacing w:line="360" w:lineRule="auto"/>
              <w:ind w:firstLine="482" w:firstLineChars="200"/>
              <w:jc w:val="left"/>
              <w:rPr>
                <w:rFonts w:hint="eastAsia" w:eastAsia="宋体" w:cs="Times New Roman"/>
                <w:b w:val="0"/>
                <w:bCs/>
                <w:color w:val="auto"/>
                <w:sz w:val="24"/>
                <w:highlight w:val="none"/>
                <w:lang w:val="en-US" w:eastAsia="zh-CN"/>
              </w:rPr>
            </w:pPr>
            <w:r>
              <w:rPr>
                <w:rFonts w:hint="default" w:ascii="Times New Roman" w:hAnsi="Times New Roman" w:cs="Times New Roman"/>
                <w:b/>
                <w:color w:val="auto"/>
                <w:sz w:val="24"/>
                <w:highlight w:val="none"/>
              </w:rPr>
              <w:t>建设性质：</w:t>
            </w:r>
            <w:r>
              <w:rPr>
                <w:rFonts w:hint="eastAsia" w:cs="Times New Roman"/>
                <w:b w:val="0"/>
                <w:bCs/>
                <w:color w:val="auto"/>
                <w:sz w:val="24"/>
                <w:highlight w:val="none"/>
                <w:lang w:val="en-US" w:eastAsia="zh-CN"/>
              </w:rPr>
              <w:t>新建</w:t>
            </w:r>
          </w:p>
          <w:p w14:paraId="730E137F">
            <w:pPr>
              <w:adjustRightInd w:val="0"/>
              <w:snapToGrid w:val="0"/>
              <w:spacing w:line="360" w:lineRule="auto"/>
              <w:ind w:firstLine="482" w:firstLineChars="200"/>
              <w:jc w:val="left"/>
              <w:rPr>
                <w:rFonts w:hint="eastAsia" w:ascii="Times New Roman" w:hAnsi="Times New Roman" w:eastAsia="宋体" w:cs="Times New Roman"/>
                <w:bCs/>
                <w:color w:val="auto"/>
                <w:sz w:val="24"/>
                <w:highlight w:val="none"/>
                <w:lang w:eastAsia="zh-CN"/>
              </w:rPr>
            </w:pPr>
            <w:r>
              <w:rPr>
                <w:rFonts w:hint="default" w:ascii="Times New Roman" w:hAnsi="Times New Roman" w:cs="Times New Roman"/>
                <w:b/>
                <w:color w:val="auto"/>
                <w:sz w:val="24"/>
                <w:highlight w:val="none"/>
              </w:rPr>
              <w:t>建设单位：</w:t>
            </w:r>
            <w:r>
              <w:rPr>
                <w:rFonts w:hint="eastAsia" w:cs="Times New Roman"/>
                <w:b w:val="0"/>
                <w:bCs/>
                <w:color w:val="auto"/>
                <w:sz w:val="24"/>
                <w:highlight w:val="none"/>
                <w:lang w:eastAsia="zh-CN"/>
              </w:rPr>
              <w:t>遂宁乐诚食品有限公司</w:t>
            </w:r>
          </w:p>
          <w:p w14:paraId="54833D1A">
            <w:pPr>
              <w:adjustRightInd w:val="0"/>
              <w:snapToGrid w:val="0"/>
              <w:spacing w:line="360" w:lineRule="auto"/>
              <w:ind w:firstLine="482" w:firstLineChars="200"/>
              <w:jc w:val="left"/>
              <w:rPr>
                <w:rFonts w:hint="eastAsia" w:ascii="Times New Roman" w:hAnsi="Times New Roman" w:eastAsia="宋体" w:cs="Times New Roman"/>
                <w:bCs/>
                <w:color w:val="auto"/>
                <w:sz w:val="24"/>
                <w:highlight w:val="none"/>
                <w:lang w:eastAsia="zh-CN"/>
              </w:rPr>
            </w:pPr>
            <w:r>
              <w:rPr>
                <w:rFonts w:hint="default" w:ascii="Times New Roman" w:hAnsi="Times New Roman" w:cs="Times New Roman"/>
                <w:b/>
                <w:color w:val="auto"/>
                <w:sz w:val="24"/>
                <w:highlight w:val="none"/>
              </w:rPr>
              <w:t>建设地点：</w:t>
            </w:r>
            <w:r>
              <w:rPr>
                <w:rFonts w:hint="eastAsia" w:cs="Times New Roman"/>
                <w:b w:val="0"/>
                <w:bCs/>
                <w:color w:val="auto"/>
                <w:sz w:val="24"/>
                <w:highlight w:val="none"/>
                <w:lang w:eastAsia="zh-CN"/>
              </w:rPr>
              <w:t>四川省遂宁市安居区省级经济开发区现代装备制造产业园区 4-5</w:t>
            </w:r>
          </w:p>
          <w:p w14:paraId="1454C1B8">
            <w:pPr>
              <w:tabs>
                <w:tab w:val="center" w:pos="4593"/>
              </w:tabs>
              <w:adjustRightInd w:val="0"/>
              <w:snapToGrid w:val="0"/>
              <w:spacing w:line="360" w:lineRule="auto"/>
              <w:ind w:firstLine="482" w:firstLineChars="200"/>
              <w:jc w:val="left"/>
              <w:rPr>
                <w:rFonts w:hint="eastAsia" w:ascii="Times New Roman" w:hAnsi="Times New Roman" w:eastAsia="宋体" w:cs="Times New Roman"/>
                <w:bCs/>
                <w:color w:val="auto"/>
                <w:sz w:val="24"/>
                <w:highlight w:val="none"/>
                <w:lang w:eastAsia="zh-CN"/>
              </w:rPr>
            </w:pPr>
            <w:r>
              <w:rPr>
                <w:rFonts w:hint="default" w:ascii="Times New Roman" w:hAnsi="Times New Roman" w:cs="Times New Roman"/>
                <w:b/>
                <w:color w:val="auto"/>
                <w:sz w:val="24"/>
                <w:highlight w:val="none"/>
              </w:rPr>
              <w:t>项目投资：</w:t>
            </w:r>
            <w:r>
              <w:rPr>
                <w:rFonts w:hint="default" w:ascii="Times New Roman" w:hAnsi="Times New Roman" w:cs="Times New Roman"/>
                <w:bCs/>
                <w:color w:val="auto"/>
                <w:sz w:val="24"/>
                <w:highlight w:val="none"/>
              </w:rPr>
              <w:t>总投资</w:t>
            </w:r>
            <w:r>
              <w:rPr>
                <w:rFonts w:hint="eastAsia" w:cs="Times New Roman"/>
                <w:bCs/>
                <w:color w:val="auto"/>
                <w:sz w:val="24"/>
                <w:highlight w:val="none"/>
                <w:lang w:val="en-US" w:eastAsia="zh-CN"/>
              </w:rPr>
              <w:t>20000</w:t>
            </w:r>
            <w:r>
              <w:rPr>
                <w:rFonts w:hint="default" w:ascii="Times New Roman" w:hAnsi="Times New Roman" w:cs="Times New Roman"/>
                <w:bCs/>
                <w:color w:val="auto"/>
                <w:sz w:val="24"/>
                <w:highlight w:val="none"/>
              </w:rPr>
              <w:t>万元</w:t>
            </w:r>
          </w:p>
          <w:p w14:paraId="48D49E9B">
            <w:pPr>
              <w:wordWrap w:val="0"/>
              <w:ind w:firstLine="480"/>
              <w:rPr>
                <w:rFonts w:hint="eastAsia" w:cs="Times New Roman"/>
                <w:bCs/>
                <w:color w:val="auto"/>
                <w:sz w:val="24"/>
                <w:highlight w:val="none"/>
                <w:lang w:val="en-US" w:eastAsia="zh-CN"/>
              </w:rPr>
            </w:pPr>
            <w:r>
              <w:rPr>
                <w:rFonts w:hint="default" w:ascii="Times New Roman" w:hAnsi="Times New Roman" w:cs="Times New Roman"/>
                <w:b/>
                <w:color w:val="auto"/>
                <w:sz w:val="24"/>
                <w:highlight w:val="none"/>
              </w:rPr>
              <w:t>建设规模及内容：</w:t>
            </w:r>
            <w:r>
              <w:rPr>
                <w:rFonts w:hint="default" w:ascii="Times New Roman" w:hAnsi="Times New Roman" w:cs="Times New Roman"/>
                <w:bCs/>
                <w:color w:val="auto"/>
                <w:sz w:val="24"/>
                <w:highlight w:val="none"/>
              </w:rPr>
              <w:t>主要建设内容及规模为：</w:t>
            </w:r>
            <w:r>
              <w:rPr>
                <w:rFonts w:hint="eastAsia" w:cs="Times New Roman"/>
                <w:bCs/>
                <w:color w:val="auto"/>
                <w:sz w:val="24"/>
                <w:highlight w:val="none"/>
                <w:lang w:val="en-US" w:eastAsia="zh-CN"/>
              </w:rPr>
              <w:t>购买</w:t>
            </w:r>
            <w:r>
              <w:rPr>
                <w:rFonts w:hint="eastAsia" w:cs="Times New Roman"/>
                <w:color w:val="auto"/>
                <w:sz w:val="24"/>
                <w:szCs w:val="24"/>
                <w:highlight w:val="none"/>
                <w:lang w:eastAsia="zh-CN"/>
              </w:rPr>
              <w:t>四川省遂宁市安居区省级经济开发区现代装备制造产业园区4-5</w:t>
            </w:r>
            <w:r>
              <w:rPr>
                <w:rFonts w:hint="eastAsia" w:cs="Times New Roman"/>
                <w:color w:val="auto"/>
                <w:sz w:val="24"/>
                <w:szCs w:val="24"/>
                <w:highlight w:val="none"/>
                <w:lang w:val="en-US" w:eastAsia="zh-CN"/>
              </w:rPr>
              <w:t>地块</w:t>
            </w:r>
            <w:r>
              <w:rPr>
                <w:rFonts w:hint="eastAsia"/>
                <w:color w:val="auto"/>
                <w:sz w:val="24"/>
                <w:szCs w:val="32"/>
                <w:highlight w:val="none"/>
              </w:rPr>
              <w:t>（</w:t>
            </w:r>
            <w:r>
              <w:rPr>
                <w:rFonts w:hint="eastAsia"/>
                <w:color w:val="auto"/>
                <w:sz w:val="24"/>
                <w:szCs w:val="32"/>
                <w:highlight w:val="none"/>
                <w:lang w:val="en-US" w:eastAsia="zh-CN"/>
              </w:rPr>
              <w:t>用地</w:t>
            </w:r>
            <w:r>
              <w:rPr>
                <w:rFonts w:hint="eastAsia"/>
                <w:color w:val="auto"/>
                <w:sz w:val="24"/>
                <w:szCs w:val="32"/>
                <w:highlight w:val="none"/>
                <w:vertAlign w:val="baseline"/>
                <w:lang w:val="en-US" w:eastAsia="zh-CN"/>
              </w:rPr>
              <w:t>面积</w:t>
            </w:r>
            <w:r>
              <w:rPr>
                <w:rFonts w:hint="eastAsia"/>
                <w:color w:val="auto"/>
                <w:highlight w:val="none"/>
                <w:lang w:val="en-US" w:eastAsia="zh-CN"/>
              </w:rPr>
              <w:t>27814.79</w:t>
            </w:r>
            <w:r>
              <w:rPr>
                <w:rFonts w:hint="eastAsia"/>
                <w:color w:val="auto"/>
                <w:sz w:val="24"/>
                <w:szCs w:val="32"/>
                <w:highlight w:val="none"/>
              </w:rPr>
              <w:t>m</w:t>
            </w:r>
            <w:r>
              <w:rPr>
                <w:rFonts w:hint="eastAsia"/>
                <w:color w:val="auto"/>
                <w:sz w:val="24"/>
                <w:szCs w:val="32"/>
                <w:highlight w:val="none"/>
                <w:vertAlign w:val="superscript"/>
              </w:rPr>
              <w:t>2</w:t>
            </w:r>
            <w:r>
              <w:rPr>
                <w:rFonts w:hint="eastAsia"/>
                <w:color w:val="auto"/>
                <w:sz w:val="24"/>
                <w:szCs w:val="32"/>
                <w:highlight w:val="none"/>
              </w:rPr>
              <w:t>）</w:t>
            </w:r>
            <w:r>
              <w:rPr>
                <w:rFonts w:hint="eastAsia"/>
                <w:color w:val="auto"/>
                <w:highlight w:val="none"/>
                <w:lang w:eastAsia="zh-CN"/>
              </w:rPr>
              <w:t>，</w:t>
            </w:r>
            <w:r>
              <w:rPr>
                <w:rFonts w:hint="eastAsia"/>
                <w:color w:val="auto"/>
                <w:sz w:val="24"/>
                <w:szCs w:val="32"/>
                <w:highlight w:val="none"/>
              </w:rPr>
              <w:t>主要</w:t>
            </w:r>
            <w:r>
              <w:rPr>
                <w:rFonts w:hint="eastAsia"/>
                <w:color w:val="auto"/>
                <w:highlight w:val="none"/>
              </w:rPr>
              <w:t>购置</w:t>
            </w:r>
            <w:r>
              <w:rPr>
                <w:rFonts w:hint="eastAsia"/>
                <w:color w:val="auto"/>
                <w:highlight w:val="none"/>
                <w:lang w:val="en-US" w:eastAsia="zh-CN"/>
              </w:rPr>
              <w:t>气泡清洗机、高压喷淋机、光学分选机、去皮去核机、多功能切菜机、隧道式漂烫机、真空冷冻干燥机、自动称重充氮包装机、蒸汽发生器、高速盘纸分切复卷机、卫生纸生产线、面巾纸生产线、绞肉机、拌料机、封罐机、杀菌锅等</w:t>
            </w:r>
            <w:r>
              <w:rPr>
                <w:rFonts w:hint="eastAsia"/>
                <w:color w:val="auto"/>
                <w:sz w:val="24"/>
                <w:szCs w:val="32"/>
                <w:highlight w:val="none"/>
              </w:rPr>
              <w:t>生产设备，项目建成后，</w:t>
            </w:r>
            <w:r>
              <w:rPr>
                <w:rFonts w:hint="eastAsia"/>
                <w:color w:val="auto"/>
                <w:highlight w:val="none"/>
                <w:lang w:val="en-US" w:eastAsia="zh-CN"/>
              </w:rPr>
              <w:t>预计年产冻干葱葱1400t、冻干上海青4000t、冻干红薯4000t、冻干韭菜4000t、冻干火龙果500t/a、面巾纸2500t、卫生纸2400t、午餐肉罐头3000t</w:t>
            </w:r>
            <w:r>
              <w:rPr>
                <w:rFonts w:hint="eastAsia" w:cs="Times New Roman"/>
                <w:bCs/>
                <w:color w:val="auto"/>
                <w:sz w:val="24"/>
                <w:highlight w:val="none"/>
                <w:lang w:val="en-US" w:eastAsia="zh-CN"/>
              </w:rPr>
              <w:t>。</w:t>
            </w:r>
          </w:p>
          <w:p w14:paraId="451FC33B">
            <w:pPr>
              <w:ind w:firstLine="482"/>
              <w:rPr>
                <w:color w:val="auto"/>
                <w:sz w:val="24"/>
                <w:szCs w:val="32"/>
                <w:highlight w:val="none"/>
              </w:rPr>
            </w:pPr>
            <w:r>
              <w:rPr>
                <w:rFonts w:hint="eastAsia"/>
                <w:b/>
                <w:bCs/>
                <w:color w:val="auto"/>
                <w:sz w:val="24"/>
                <w:szCs w:val="32"/>
                <w:highlight w:val="none"/>
              </w:rPr>
              <w:t>劳动定员及工作制度</w:t>
            </w:r>
            <w:r>
              <w:rPr>
                <w:rFonts w:hint="eastAsia"/>
                <w:b/>
                <w:bCs/>
                <w:color w:val="auto"/>
                <w:sz w:val="24"/>
                <w:szCs w:val="32"/>
                <w:highlight w:val="none"/>
                <w:lang w:eastAsia="zh-CN"/>
              </w:rPr>
              <w:t>：</w:t>
            </w:r>
            <w:r>
              <w:rPr>
                <w:rFonts w:hint="eastAsia"/>
                <w:b w:val="0"/>
                <w:bCs w:val="0"/>
                <w:color w:val="auto"/>
                <w:sz w:val="24"/>
                <w:szCs w:val="32"/>
                <w:highlight w:val="none"/>
                <w:lang w:val="en-US" w:eastAsia="zh-CN"/>
              </w:rPr>
              <w:t>本</w:t>
            </w:r>
            <w:r>
              <w:rPr>
                <w:rFonts w:hint="eastAsia"/>
                <w:color w:val="auto"/>
                <w:sz w:val="24"/>
                <w:szCs w:val="32"/>
                <w:highlight w:val="none"/>
              </w:rPr>
              <w:t>项目劳动定员</w:t>
            </w:r>
            <w:r>
              <w:rPr>
                <w:rFonts w:hint="eastAsia"/>
                <w:color w:val="auto"/>
                <w:sz w:val="24"/>
                <w:szCs w:val="32"/>
                <w:highlight w:val="none"/>
                <w:lang w:val="en-US" w:eastAsia="zh-CN"/>
              </w:rPr>
              <w:t>60</w:t>
            </w:r>
            <w:r>
              <w:rPr>
                <w:rFonts w:hint="eastAsia"/>
                <w:color w:val="auto"/>
                <w:sz w:val="24"/>
                <w:szCs w:val="32"/>
                <w:highlight w:val="none"/>
              </w:rPr>
              <w:t>人，年工作</w:t>
            </w:r>
            <w:r>
              <w:rPr>
                <w:rFonts w:hint="eastAsia"/>
                <w:color w:val="auto"/>
                <w:sz w:val="24"/>
                <w:szCs w:val="32"/>
                <w:highlight w:val="none"/>
                <w:lang w:val="en-US" w:eastAsia="zh-CN"/>
              </w:rPr>
              <w:t>300</w:t>
            </w:r>
            <w:r>
              <w:rPr>
                <w:rFonts w:hint="eastAsia"/>
                <w:color w:val="auto"/>
                <w:sz w:val="24"/>
                <w:szCs w:val="32"/>
                <w:highlight w:val="none"/>
                <w:lang w:eastAsia="zh-CN"/>
              </w:rPr>
              <w:t>天</w:t>
            </w:r>
            <w:r>
              <w:rPr>
                <w:rFonts w:hint="eastAsia"/>
                <w:color w:val="auto"/>
                <w:sz w:val="24"/>
                <w:szCs w:val="32"/>
                <w:highlight w:val="none"/>
              </w:rPr>
              <w:t>。白班制，每班</w:t>
            </w:r>
            <w:r>
              <w:rPr>
                <w:rFonts w:hint="eastAsia"/>
                <w:color w:val="auto"/>
                <w:sz w:val="24"/>
                <w:szCs w:val="32"/>
                <w:highlight w:val="none"/>
                <w:lang w:val="en-US" w:eastAsia="zh-CN"/>
              </w:rPr>
              <w:t>9</w:t>
            </w:r>
            <w:r>
              <w:rPr>
                <w:rFonts w:hint="eastAsia"/>
                <w:color w:val="auto"/>
                <w:sz w:val="24"/>
                <w:szCs w:val="32"/>
                <w:highlight w:val="none"/>
              </w:rPr>
              <w:t>小时。</w:t>
            </w:r>
          </w:p>
          <w:p w14:paraId="092C92BA">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3、产品方案</w:t>
            </w:r>
          </w:p>
          <w:p w14:paraId="72139D0F">
            <w:pPr>
              <w:pStyle w:val="107"/>
              <w:rPr>
                <w:color w:val="auto"/>
                <w:highlight w:val="none"/>
              </w:rPr>
            </w:pPr>
            <w:r>
              <w:rPr>
                <w:rFonts w:hint="eastAsia"/>
                <w:color w:val="auto"/>
                <w:highlight w:val="none"/>
                <w:lang w:val="en-US" w:eastAsia="zh-CN"/>
              </w:rPr>
              <w:t>本</w:t>
            </w:r>
            <w:r>
              <w:rPr>
                <w:rFonts w:hint="eastAsia"/>
                <w:color w:val="auto"/>
                <w:highlight w:val="none"/>
              </w:rPr>
              <w:t>项目</w:t>
            </w:r>
            <w:r>
              <w:rPr>
                <w:rFonts w:hint="eastAsia"/>
                <w:color w:val="auto"/>
                <w:highlight w:val="none"/>
                <w:lang w:val="en-US" w:eastAsia="zh-CN"/>
              </w:rPr>
              <w:t>产品方案</w:t>
            </w:r>
            <w:r>
              <w:rPr>
                <w:rFonts w:hint="eastAsia"/>
                <w:color w:val="auto"/>
                <w:highlight w:val="none"/>
              </w:rPr>
              <w:t>见下表。</w:t>
            </w:r>
          </w:p>
          <w:p w14:paraId="745248B8">
            <w:pPr>
              <w:pStyle w:val="14"/>
              <w:bidi w:val="0"/>
              <w:rPr>
                <w:rFonts w:hint="default"/>
                <w:color w:val="auto"/>
                <w:highlight w:val="none"/>
                <w:lang w:val="en-US" w:eastAsia="zh-CN"/>
              </w:rPr>
            </w:pPr>
            <w:r>
              <w:rPr>
                <w:color w:val="auto"/>
                <w:highlight w:val="none"/>
              </w:rPr>
              <w:t xml:space="preserve">表2- </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项目产品方案表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319"/>
              <w:gridCol w:w="654"/>
              <w:gridCol w:w="2371"/>
              <w:gridCol w:w="976"/>
              <w:gridCol w:w="2657"/>
            </w:tblGrid>
            <w:tr w14:paraId="37E5D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tcBorders>
                    <w:bottom w:val="single" w:color="000000" w:sz="4" w:space="0"/>
                    <w:tl2br w:val="nil"/>
                    <w:tr2bl w:val="nil"/>
                  </w:tcBorders>
                  <w:vAlign w:val="center"/>
                </w:tcPr>
                <w:p w14:paraId="5DCCD4DD">
                  <w:pPr>
                    <w:pStyle w:val="12"/>
                    <w:spacing w:line="240" w:lineRule="auto"/>
                    <w:ind w:firstLine="0" w:firstLineChars="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产品种类</w:t>
                  </w:r>
                </w:p>
              </w:tc>
              <w:tc>
                <w:tcPr>
                  <w:tcW w:w="718" w:type="pct"/>
                  <w:tcBorders>
                    <w:bottom w:val="single" w:color="000000" w:sz="4" w:space="0"/>
                    <w:tl2br w:val="nil"/>
                    <w:tr2bl w:val="nil"/>
                  </w:tcBorders>
                  <w:vAlign w:val="center"/>
                </w:tcPr>
                <w:p w14:paraId="160F1D18">
                  <w:pPr>
                    <w:pStyle w:val="12"/>
                    <w:spacing w:line="240" w:lineRule="auto"/>
                    <w:ind w:firstLine="0" w:firstLineChars="0"/>
                    <w:jc w:val="center"/>
                    <w:rPr>
                      <w:b/>
                      <w:bCs/>
                      <w:color w:val="auto"/>
                      <w:sz w:val="21"/>
                      <w:szCs w:val="21"/>
                      <w:highlight w:val="none"/>
                    </w:rPr>
                  </w:pPr>
                  <w:r>
                    <w:rPr>
                      <w:rFonts w:hint="eastAsia"/>
                      <w:b/>
                      <w:bCs/>
                      <w:color w:val="auto"/>
                      <w:sz w:val="21"/>
                      <w:szCs w:val="21"/>
                      <w:highlight w:val="none"/>
                      <w:lang w:val="en-US" w:eastAsia="zh-CN"/>
                    </w:rPr>
                    <w:t>产品</w:t>
                  </w:r>
                  <w:r>
                    <w:rPr>
                      <w:b/>
                      <w:bCs/>
                      <w:color w:val="auto"/>
                      <w:sz w:val="21"/>
                      <w:szCs w:val="21"/>
                      <w:highlight w:val="none"/>
                    </w:rPr>
                    <w:t>名称</w:t>
                  </w:r>
                </w:p>
              </w:tc>
              <w:tc>
                <w:tcPr>
                  <w:tcW w:w="355" w:type="pct"/>
                  <w:tcBorders>
                    <w:bottom w:val="single" w:color="000000" w:sz="4" w:space="0"/>
                    <w:tl2br w:val="nil"/>
                    <w:tr2bl w:val="nil"/>
                  </w:tcBorders>
                  <w:shd w:val="clear" w:color="auto" w:fill="auto"/>
                  <w:vAlign w:val="center"/>
                </w:tcPr>
                <w:p w14:paraId="5CDBF064">
                  <w:pPr>
                    <w:pStyle w:val="12"/>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sz w:val="21"/>
                      <w:szCs w:val="21"/>
                      <w:highlight w:val="none"/>
                      <w:lang w:val="en-US" w:eastAsia="zh-CN"/>
                    </w:rPr>
                    <w:t>单位</w:t>
                  </w:r>
                </w:p>
              </w:tc>
              <w:tc>
                <w:tcPr>
                  <w:tcW w:w="1290" w:type="pct"/>
                  <w:tcBorders>
                    <w:bottom w:val="single" w:color="000000" w:sz="4" w:space="0"/>
                    <w:tl2br w:val="nil"/>
                    <w:tr2bl w:val="nil"/>
                  </w:tcBorders>
                  <w:shd w:val="clear" w:color="auto" w:fill="auto"/>
                  <w:vAlign w:val="center"/>
                </w:tcPr>
                <w:p w14:paraId="6684F6BF">
                  <w:pPr>
                    <w:pStyle w:val="12"/>
                    <w:spacing w:line="240" w:lineRule="auto"/>
                    <w:ind w:firstLine="0" w:firstLineChars="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产品规格</w:t>
                  </w:r>
                </w:p>
              </w:tc>
              <w:tc>
                <w:tcPr>
                  <w:tcW w:w="531" w:type="pct"/>
                  <w:tcBorders>
                    <w:bottom w:val="single" w:color="000000" w:sz="4" w:space="0"/>
                    <w:tl2br w:val="nil"/>
                    <w:tr2bl w:val="nil"/>
                  </w:tcBorders>
                  <w:shd w:val="clear" w:color="auto" w:fill="auto"/>
                  <w:vAlign w:val="center"/>
                </w:tcPr>
                <w:p w14:paraId="1A908FD6">
                  <w:pPr>
                    <w:pStyle w:val="12"/>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b/>
                      <w:bCs/>
                      <w:color w:val="auto"/>
                      <w:sz w:val="21"/>
                      <w:szCs w:val="21"/>
                      <w:highlight w:val="none"/>
                      <w:lang w:val="en-US" w:eastAsia="zh-CN"/>
                    </w:rPr>
                    <w:t>年产能</w:t>
                  </w:r>
                </w:p>
              </w:tc>
              <w:tc>
                <w:tcPr>
                  <w:tcW w:w="1446" w:type="pct"/>
                  <w:tcBorders>
                    <w:bottom w:val="single" w:color="000000" w:sz="4" w:space="0"/>
                    <w:tl2br w:val="nil"/>
                    <w:tr2bl w:val="nil"/>
                  </w:tcBorders>
                  <w:vAlign w:val="center"/>
                </w:tcPr>
                <w:p w14:paraId="22732F2F">
                  <w:pPr>
                    <w:pStyle w:val="12"/>
                    <w:spacing w:line="240" w:lineRule="auto"/>
                    <w:ind w:firstLine="0" w:firstLineChars="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产品标准</w:t>
                  </w:r>
                </w:p>
              </w:tc>
            </w:tr>
            <w:tr w14:paraId="20C0F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restart"/>
                  <w:tcBorders>
                    <w:top w:val="single" w:color="000000" w:sz="4" w:space="0"/>
                    <w:tl2br w:val="nil"/>
                    <w:tr2bl w:val="nil"/>
                  </w:tcBorders>
                  <w:vAlign w:val="center"/>
                </w:tcPr>
                <w:p w14:paraId="0870CB35">
                  <w:pPr>
                    <w:pStyle w:val="106"/>
                    <w:bidi w:val="0"/>
                    <w:rPr>
                      <w:rFonts w:hint="default"/>
                      <w:lang w:val="en-US" w:eastAsia="zh-CN"/>
                    </w:rPr>
                  </w:pPr>
                  <w:r>
                    <w:rPr>
                      <w:rFonts w:hint="eastAsia"/>
                      <w:lang w:val="en-US" w:eastAsia="zh-CN"/>
                    </w:rPr>
                    <w:t>果蔬冻干</w:t>
                  </w:r>
                </w:p>
              </w:tc>
              <w:tc>
                <w:tcPr>
                  <w:tcW w:w="718" w:type="pct"/>
                  <w:tcBorders>
                    <w:top w:val="single" w:color="000000" w:sz="4" w:space="0"/>
                    <w:tl2br w:val="nil"/>
                    <w:tr2bl w:val="nil"/>
                  </w:tcBorders>
                  <w:vAlign w:val="center"/>
                </w:tcPr>
                <w:p w14:paraId="6A305C16">
                  <w:pPr>
                    <w:pStyle w:val="1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冻干葱葱</w:t>
                  </w:r>
                </w:p>
              </w:tc>
              <w:tc>
                <w:tcPr>
                  <w:tcW w:w="355" w:type="pct"/>
                  <w:tcBorders>
                    <w:top w:val="single" w:color="000000" w:sz="4" w:space="0"/>
                    <w:tl2br w:val="nil"/>
                    <w:tr2bl w:val="nil"/>
                  </w:tcBorders>
                  <w:shd w:val="clear" w:color="auto" w:fill="auto"/>
                  <w:vAlign w:val="center"/>
                </w:tcPr>
                <w:p w14:paraId="5C499BCC">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吨</w:t>
                  </w:r>
                </w:p>
              </w:tc>
              <w:tc>
                <w:tcPr>
                  <w:tcW w:w="1290" w:type="pct"/>
                  <w:tcBorders>
                    <w:top w:val="single" w:color="000000" w:sz="4" w:space="0"/>
                    <w:tl2br w:val="nil"/>
                    <w:tr2bl w:val="nil"/>
                  </w:tcBorders>
                  <w:shd w:val="clear" w:color="auto" w:fill="auto"/>
                  <w:vAlign w:val="center"/>
                </w:tcPr>
                <w:p w14:paraId="35594BB7">
                  <w:pPr>
                    <w:pStyle w:val="106"/>
                    <w:bidi w:val="0"/>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531" w:type="pct"/>
                  <w:tcBorders>
                    <w:top w:val="single" w:color="000000" w:sz="4" w:space="0"/>
                    <w:tl2br w:val="nil"/>
                    <w:tr2bl w:val="nil"/>
                  </w:tcBorders>
                  <w:shd w:val="clear" w:color="auto" w:fill="auto"/>
                  <w:vAlign w:val="center"/>
                </w:tcPr>
                <w:p w14:paraId="0B9E6462">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1400</w:t>
                  </w:r>
                </w:p>
              </w:tc>
              <w:tc>
                <w:tcPr>
                  <w:tcW w:w="1446" w:type="pct"/>
                  <w:vMerge w:val="restart"/>
                  <w:tcBorders>
                    <w:top w:val="single" w:color="000000" w:sz="4" w:space="0"/>
                    <w:tl2br w:val="nil"/>
                    <w:tr2bl w:val="nil"/>
                  </w:tcBorders>
                  <w:vAlign w:val="center"/>
                </w:tcPr>
                <w:p w14:paraId="02C027BB">
                  <w:pPr>
                    <w:pStyle w:val="12"/>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《冻干水果、蔬菜》（GH/T1326-2021）</w:t>
                  </w:r>
                </w:p>
              </w:tc>
            </w:tr>
            <w:tr w14:paraId="08B0E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Borders>
                    <w:tl2br w:val="nil"/>
                    <w:tr2bl w:val="nil"/>
                  </w:tcBorders>
                  <w:vAlign w:val="center"/>
                </w:tcPr>
                <w:p w14:paraId="257725C2">
                  <w:pPr>
                    <w:pStyle w:val="106"/>
                    <w:bidi w:val="0"/>
                  </w:pPr>
                </w:p>
              </w:tc>
              <w:tc>
                <w:tcPr>
                  <w:tcW w:w="718" w:type="pct"/>
                  <w:tcBorders>
                    <w:tl2br w:val="nil"/>
                    <w:tr2bl w:val="nil"/>
                  </w:tcBorders>
                  <w:vAlign w:val="center"/>
                </w:tcPr>
                <w:p w14:paraId="66F04197">
                  <w:pPr>
                    <w:pStyle w:val="12"/>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冻干上海青</w:t>
                  </w:r>
                </w:p>
              </w:tc>
              <w:tc>
                <w:tcPr>
                  <w:tcW w:w="355" w:type="pct"/>
                  <w:tcBorders>
                    <w:tl2br w:val="nil"/>
                    <w:tr2bl w:val="nil"/>
                  </w:tcBorders>
                  <w:shd w:val="clear" w:color="auto" w:fill="auto"/>
                  <w:vAlign w:val="center"/>
                </w:tcPr>
                <w:p w14:paraId="2A112DF3">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吨</w:t>
                  </w:r>
                </w:p>
              </w:tc>
              <w:tc>
                <w:tcPr>
                  <w:tcW w:w="1290" w:type="pct"/>
                  <w:tcBorders>
                    <w:tl2br w:val="nil"/>
                    <w:tr2bl w:val="nil"/>
                  </w:tcBorders>
                  <w:shd w:val="clear" w:color="auto" w:fill="auto"/>
                  <w:vAlign w:val="center"/>
                </w:tcPr>
                <w:p w14:paraId="59DA3E9A">
                  <w:pPr>
                    <w:pStyle w:val="106"/>
                    <w:bidi w:val="0"/>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531" w:type="pct"/>
                  <w:tcBorders>
                    <w:tl2br w:val="nil"/>
                    <w:tr2bl w:val="nil"/>
                  </w:tcBorders>
                  <w:shd w:val="clear" w:color="auto" w:fill="auto"/>
                  <w:vAlign w:val="center"/>
                </w:tcPr>
                <w:p w14:paraId="2B993FE9">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4000</w:t>
                  </w:r>
                </w:p>
              </w:tc>
              <w:tc>
                <w:tcPr>
                  <w:tcW w:w="1446" w:type="pct"/>
                  <w:vMerge w:val="continue"/>
                  <w:tcBorders>
                    <w:tl2br w:val="nil"/>
                    <w:tr2bl w:val="nil"/>
                  </w:tcBorders>
                  <w:vAlign w:val="center"/>
                </w:tcPr>
                <w:p w14:paraId="3644CE73">
                  <w:pPr>
                    <w:pStyle w:val="12"/>
                    <w:spacing w:line="240" w:lineRule="auto"/>
                    <w:ind w:firstLine="0" w:firstLineChars="0"/>
                    <w:jc w:val="center"/>
                    <w:rPr>
                      <w:rStyle w:val="34"/>
                      <w:color w:val="auto"/>
                      <w:sz w:val="21"/>
                      <w:szCs w:val="21"/>
                      <w:highlight w:val="none"/>
                      <w:u w:val="none"/>
                    </w:rPr>
                  </w:pPr>
                </w:p>
              </w:tc>
            </w:tr>
            <w:tr w14:paraId="1AC89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Borders>
                    <w:tl2br w:val="nil"/>
                    <w:tr2bl w:val="nil"/>
                  </w:tcBorders>
                  <w:vAlign w:val="center"/>
                </w:tcPr>
                <w:p w14:paraId="04C20FCB">
                  <w:pPr>
                    <w:pStyle w:val="106"/>
                    <w:bidi w:val="0"/>
                  </w:pPr>
                </w:p>
              </w:tc>
              <w:tc>
                <w:tcPr>
                  <w:tcW w:w="718" w:type="pct"/>
                  <w:tcBorders>
                    <w:tl2br w:val="nil"/>
                    <w:tr2bl w:val="nil"/>
                  </w:tcBorders>
                  <w:vAlign w:val="center"/>
                </w:tcPr>
                <w:p w14:paraId="23E486E9">
                  <w:pPr>
                    <w:pStyle w:val="12"/>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冻干红薯</w:t>
                  </w:r>
                </w:p>
              </w:tc>
              <w:tc>
                <w:tcPr>
                  <w:tcW w:w="355" w:type="pct"/>
                  <w:tcBorders>
                    <w:tl2br w:val="nil"/>
                    <w:tr2bl w:val="nil"/>
                  </w:tcBorders>
                  <w:shd w:val="clear" w:color="auto" w:fill="auto"/>
                  <w:vAlign w:val="center"/>
                </w:tcPr>
                <w:p w14:paraId="111859E9">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吨</w:t>
                  </w:r>
                </w:p>
              </w:tc>
              <w:tc>
                <w:tcPr>
                  <w:tcW w:w="1290" w:type="pct"/>
                  <w:tcBorders>
                    <w:tl2br w:val="nil"/>
                    <w:tr2bl w:val="nil"/>
                  </w:tcBorders>
                  <w:shd w:val="clear" w:color="auto" w:fill="auto"/>
                  <w:vAlign w:val="center"/>
                </w:tcPr>
                <w:p w14:paraId="2A97AA27">
                  <w:pPr>
                    <w:pStyle w:val="106"/>
                    <w:bidi w:val="0"/>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531" w:type="pct"/>
                  <w:tcBorders>
                    <w:tl2br w:val="nil"/>
                    <w:tr2bl w:val="nil"/>
                  </w:tcBorders>
                  <w:shd w:val="clear" w:color="auto" w:fill="auto"/>
                  <w:vAlign w:val="center"/>
                </w:tcPr>
                <w:p w14:paraId="40BED17F">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4000</w:t>
                  </w:r>
                </w:p>
              </w:tc>
              <w:tc>
                <w:tcPr>
                  <w:tcW w:w="1446" w:type="pct"/>
                  <w:vMerge w:val="continue"/>
                  <w:tcBorders>
                    <w:tl2br w:val="nil"/>
                    <w:tr2bl w:val="nil"/>
                  </w:tcBorders>
                  <w:vAlign w:val="center"/>
                </w:tcPr>
                <w:p w14:paraId="37859597">
                  <w:pPr>
                    <w:pStyle w:val="12"/>
                    <w:spacing w:line="240" w:lineRule="auto"/>
                    <w:ind w:firstLine="0" w:firstLineChars="0"/>
                    <w:jc w:val="center"/>
                    <w:rPr>
                      <w:rStyle w:val="34"/>
                      <w:color w:val="auto"/>
                      <w:sz w:val="21"/>
                      <w:szCs w:val="21"/>
                      <w:highlight w:val="none"/>
                      <w:u w:val="none"/>
                    </w:rPr>
                  </w:pPr>
                </w:p>
              </w:tc>
            </w:tr>
            <w:tr w14:paraId="73AFA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Borders>
                    <w:tl2br w:val="nil"/>
                    <w:tr2bl w:val="nil"/>
                  </w:tcBorders>
                  <w:vAlign w:val="center"/>
                </w:tcPr>
                <w:p w14:paraId="2D572C89">
                  <w:pPr>
                    <w:pStyle w:val="106"/>
                    <w:bidi w:val="0"/>
                    <w:rPr>
                      <w:rFonts w:hint="eastAsia"/>
                      <w:lang w:val="en-US" w:eastAsia="zh-CN"/>
                    </w:rPr>
                  </w:pPr>
                </w:p>
              </w:tc>
              <w:tc>
                <w:tcPr>
                  <w:tcW w:w="718" w:type="pct"/>
                  <w:tcBorders>
                    <w:tl2br w:val="nil"/>
                    <w:tr2bl w:val="nil"/>
                  </w:tcBorders>
                  <w:vAlign w:val="center"/>
                </w:tcPr>
                <w:p w14:paraId="0214DCBA">
                  <w:pPr>
                    <w:pStyle w:val="12"/>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冻干韭菜</w:t>
                  </w:r>
                </w:p>
              </w:tc>
              <w:tc>
                <w:tcPr>
                  <w:tcW w:w="355" w:type="pct"/>
                  <w:tcBorders>
                    <w:tl2br w:val="nil"/>
                    <w:tr2bl w:val="nil"/>
                  </w:tcBorders>
                  <w:shd w:val="clear" w:color="auto" w:fill="auto"/>
                  <w:vAlign w:val="center"/>
                </w:tcPr>
                <w:p w14:paraId="42995102">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吨</w:t>
                  </w:r>
                </w:p>
              </w:tc>
              <w:tc>
                <w:tcPr>
                  <w:tcW w:w="1290" w:type="pct"/>
                  <w:tcBorders>
                    <w:tl2br w:val="nil"/>
                    <w:tr2bl w:val="nil"/>
                  </w:tcBorders>
                  <w:shd w:val="clear" w:color="auto" w:fill="auto"/>
                  <w:vAlign w:val="center"/>
                </w:tcPr>
                <w:p w14:paraId="5F9DEF21">
                  <w:pPr>
                    <w:pStyle w:val="106"/>
                    <w:bidi w:val="0"/>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531" w:type="pct"/>
                  <w:tcBorders>
                    <w:tl2br w:val="nil"/>
                    <w:tr2bl w:val="nil"/>
                  </w:tcBorders>
                  <w:shd w:val="clear" w:color="auto" w:fill="auto"/>
                  <w:vAlign w:val="center"/>
                </w:tcPr>
                <w:p w14:paraId="6B3D7B87">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4000</w:t>
                  </w:r>
                </w:p>
              </w:tc>
              <w:tc>
                <w:tcPr>
                  <w:tcW w:w="1446" w:type="pct"/>
                  <w:vMerge w:val="continue"/>
                  <w:tcBorders>
                    <w:tl2br w:val="nil"/>
                    <w:tr2bl w:val="nil"/>
                  </w:tcBorders>
                  <w:vAlign w:val="center"/>
                </w:tcPr>
                <w:p w14:paraId="362D6EF7">
                  <w:pPr>
                    <w:pStyle w:val="12"/>
                    <w:spacing w:line="240" w:lineRule="auto"/>
                    <w:ind w:firstLine="0" w:firstLineChars="0"/>
                    <w:jc w:val="center"/>
                    <w:rPr>
                      <w:rStyle w:val="34"/>
                      <w:color w:val="auto"/>
                      <w:sz w:val="21"/>
                      <w:szCs w:val="21"/>
                      <w:highlight w:val="none"/>
                      <w:u w:val="none"/>
                    </w:rPr>
                  </w:pPr>
                </w:p>
              </w:tc>
            </w:tr>
            <w:tr w14:paraId="0ECD5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Borders>
                    <w:tl2br w:val="nil"/>
                    <w:tr2bl w:val="nil"/>
                  </w:tcBorders>
                  <w:shd w:val="clear" w:color="auto" w:fill="auto"/>
                  <w:vAlign w:val="center"/>
                </w:tcPr>
                <w:p w14:paraId="6398696D">
                  <w:pPr>
                    <w:pStyle w:val="106"/>
                    <w:bidi w:val="0"/>
                    <w:rPr>
                      <w:rFonts w:hint="eastAsia"/>
                      <w:lang w:val="en-US" w:eastAsia="zh-CN"/>
                    </w:rPr>
                  </w:pPr>
                </w:p>
              </w:tc>
              <w:tc>
                <w:tcPr>
                  <w:tcW w:w="718" w:type="pct"/>
                  <w:tcBorders>
                    <w:tl2br w:val="nil"/>
                    <w:tr2bl w:val="nil"/>
                  </w:tcBorders>
                  <w:vAlign w:val="center"/>
                </w:tcPr>
                <w:p w14:paraId="00036065">
                  <w:pPr>
                    <w:pStyle w:val="1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冻干火龙果</w:t>
                  </w:r>
                </w:p>
              </w:tc>
              <w:tc>
                <w:tcPr>
                  <w:tcW w:w="355" w:type="pct"/>
                  <w:tcBorders>
                    <w:tl2br w:val="nil"/>
                    <w:tr2bl w:val="nil"/>
                  </w:tcBorders>
                  <w:shd w:val="clear" w:color="auto" w:fill="auto"/>
                  <w:vAlign w:val="center"/>
                </w:tcPr>
                <w:p w14:paraId="67A8B788">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吨</w:t>
                  </w:r>
                </w:p>
              </w:tc>
              <w:tc>
                <w:tcPr>
                  <w:tcW w:w="1290" w:type="pct"/>
                  <w:tcBorders>
                    <w:tl2br w:val="nil"/>
                    <w:tr2bl w:val="nil"/>
                  </w:tcBorders>
                  <w:shd w:val="clear" w:color="auto" w:fill="auto"/>
                  <w:vAlign w:val="center"/>
                </w:tcPr>
                <w:p w14:paraId="28F78736">
                  <w:pPr>
                    <w:pStyle w:val="106"/>
                    <w:bidi w:val="0"/>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531" w:type="pct"/>
                  <w:tcBorders>
                    <w:tl2br w:val="nil"/>
                    <w:tr2bl w:val="nil"/>
                  </w:tcBorders>
                  <w:shd w:val="clear" w:color="auto" w:fill="auto"/>
                  <w:vAlign w:val="center"/>
                </w:tcPr>
                <w:p w14:paraId="27DE35A3">
                  <w:pPr>
                    <w:pStyle w:val="106"/>
                    <w:bidi w:val="0"/>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w:t>
                  </w:r>
                </w:p>
              </w:tc>
              <w:tc>
                <w:tcPr>
                  <w:tcW w:w="1446" w:type="pct"/>
                  <w:vMerge w:val="continue"/>
                  <w:tcBorders>
                    <w:tl2br w:val="nil"/>
                    <w:tr2bl w:val="nil"/>
                  </w:tcBorders>
                  <w:vAlign w:val="center"/>
                </w:tcPr>
                <w:p w14:paraId="3E8C8F14">
                  <w:pPr>
                    <w:pStyle w:val="12"/>
                    <w:spacing w:line="240" w:lineRule="auto"/>
                    <w:ind w:firstLine="0" w:firstLineChars="0"/>
                    <w:jc w:val="center"/>
                    <w:rPr>
                      <w:rStyle w:val="34"/>
                      <w:color w:val="auto"/>
                      <w:sz w:val="21"/>
                      <w:szCs w:val="21"/>
                      <w:highlight w:val="none"/>
                      <w:u w:val="none"/>
                    </w:rPr>
                  </w:pPr>
                </w:p>
              </w:tc>
            </w:tr>
            <w:tr w14:paraId="3045D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Borders>
                    <w:tl2br w:val="nil"/>
                    <w:tr2bl w:val="nil"/>
                  </w:tcBorders>
                  <w:shd w:val="clear" w:color="auto" w:fill="auto"/>
                  <w:vAlign w:val="center"/>
                </w:tcPr>
                <w:p w14:paraId="585D3C1D">
                  <w:pPr>
                    <w:pStyle w:val="106"/>
                    <w:bidi w:val="0"/>
                    <w:rPr>
                      <w:rFonts w:hint="eastAsia"/>
                      <w:lang w:val="en-US" w:eastAsia="zh-CN"/>
                    </w:rPr>
                  </w:pPr>
                </w:p>
              </w:tc>
              <w:tc>
                <w:tcPr>
                  <w:tcW w:w="718" w:type="pct"/>
                  <w:tcBorders>
                    <w:tl2br w:val="nil"/>
                    <w:tr2bl w:val="nil"/>
                  </w:tcBorders>
                  <w:vAlign w:val="center"/>
                </w:tcPr>
                <w:p w14:paraId="16A1B9F3">
                  <w:pPr>
                    <w:pStyle w:val="12"/>
                    <w:spacing w:line="240" w:lineRule="auto"/>
                    <w:ind w:firstLine="0" w:firstLineChars="0"/>
                    <w:jc w:val="center"/>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合计</w:t>
                  </w:r>
                </w:p>
              </w:tc>
              <w:tc>
                <w:tcPr>
                  <w:tcW w:w="355" w:type="pct"/>
                  <w:tcBorders>
                    <w:tl2br w:val="nil"/>
                    <w:tr2bl w:val="nil"/>
                  </w:tcBorders>
                  <w:shd w:val="clear" w:color="auto" w:fill="auto"/>
                  <w:vAlign w:val="center"/>
                </w:tcPr>
                <w:p w14:paraId="07BB38B7">
                  <w:pPr>
                    <w:pStyle w:val="106"/>
                    <w:bidi w:val="0"/>
                    <w:ind w:firstLine="0" w:firstLineChars="0"/>
                    <w:rPr>
                      <w:rFonts w:hint="default"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吨</w:t>
                  </w:r>
                </w:p>
              </w:tc>
              <w:tc>
                <w:tcPr>
                  <w:tcW w:w="1290" w:type="pct"/>
                  <w:tcBorders>
                    <w:tl2br w:val="nil"/>
                    <w:tr2bl w:val="nil"/>
                  </w:tcBorders>
                  <w:shd w:val="clear" w:color="auto" w:fill="auto"/>
                  <w:vAlign w:val="center"/>
                </w:tcPr>
                <w:p w14:paraId="1F214A99">
                  <w:pPr>
                    <w:pStyle w:val="106"/>
                    <w:bidi w:val="0"/>
                    <w:ind w:firstLine="0" w:firstLineChars="0"/>
                    <w:rPr>
                      <w:rFonts w:hint="default"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w:t>
                  </w:r>
                </w:p>
              </w:tc>
              <w:tc>
                <w:tcPr>
                  <w:tcW w:w="531" w:type="pct"/>
                  <w:tcBorders>
                    <w:tl2br w:val="nil"/>
                    <w:tr2bl w:val="nil"/>
                  </w:tcBorders>
                  <w:shd w:val="clear" w:color="auto" w:fill="auto"/>
                  <w:vAlign w:val="center"/>
                </w:tcPr>
                <w:p w14:paraId="31D68CA5">
                  <w:pPr>
                    <w:pStyle w:val="106"/>
                    <w:bidi w:val="0"/>
                    <w:ind w:firstLine="0" w:firstLineChars="0"/>
                    <w:rPr>
                      <w:rFonts w:hint="default"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13900</w:t>
                  </w:r>
                </w:p>
              </w:tc>
              <w:tc>
                <w:tcPr>
                  <w:tcW w:w="1446" w:type="pct"/>
                  <w:tcBorders>
                    <w:tl2br w:val="nil"/>
                    <w:tr2bl w:val="nil"/>
                  </w:tcBorders>
                  <w:vAlign w:val="center"/>
                </w:tcPr>
                <w:p w14:paraId="41323AB5">
                  <w:pPr>
                    <w:pStyle w:val="12"/>
                    <w:spacing w:line="240" w:lineRule="auto"/>
                    <w:ind w:firstLine="0" w:firstLineChars="0"/>
                    <w:jc w:val="center"/>
                    <w:rPr>
                      <w:rStyle w:val="34"/>
                      <w:rFonts w:hint="eastAsia" w:eastAsia="宋体"/>
                      <w:b w:val="0"/>
                      <w:bCs w:val="0"/>
                      <w:color w:val="auto"/>
                      <w:sz w:val="21"/>
                      <w:szCs w:val="21"/>
                      <w:highlight w:val="none"/>
                      <w:u w:val="none"/>
                      <w:lang w:val="en-US" w:eastAsia="zh-CN"/>
                    </w:rPr>
                  </w:pPr>
                  <w:r>
                    <w:rPr>
                      <w:rStyle w:val="34"/>
                      <w:rFonts w:hint="eastAsia"/>
                      <w:b w:val="0"/>
                      <w:bCs w:val="0"/>
                      <w:color w:val="auto"/>
                      <w:sz w:val="21"/>
                      <w:szCs w:val="21"/>
                      <w:highlight w:val="none"/>
                      <w:u w:val="none"/>
                      <w:lang w:val="en-US" w:eastAsia="zh-CN"/>
                    </w:rPr>
                    <w:t>/</w:t>
                  </w:r>
                </w:p>
              </w:tc>
            </w:tr>
            <w:tr w14:paraId="37BB8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restart"/>
                  <w:tcBorders>
                    <w:tl2br w:val="nil"/>
                    <w:tr2bl w:val="nil"/>
                  </w:tcBorders>
                  <w:shd w:val="clear" w:color="auto" w:fill="auto"/>
                  <w:vAlign w:val="center"/>
                </w:tcPr>
                <w:p w14:paraId="02B0E23C">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罐头食品</w:t>
                  </w:r>
                </w:p>
              </w:tc>
              <w:tc>
                <w:tcPr>
                  <w:tcW w:w="718" w:type="pct"/>
                  <w:tcBorders>
                    <w:tl2br w:val="nil"/>
                    <w:tr2bl w:val="nil"/>
                  </w:tcBorders>
                  <w:shd w:val="clear" w:color="auto" w:fill="auto"/>
                  <w:vAlign w:val="center"/>
                </w:tcPr>
                <w:p w14:paraId="05BD637C">
                  <w:pPr>
                    <w:pStyle w:val="12"/>
                    <w:spacing w:line="240" w:lineRule="auto"/>
                    <w:ind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午餐肉罐头</w:t>
                  </w:r>
                </w:p>
              </w:tc>
              <w:tc>
                <w:tcPr>
                  <w:tcW w:w="355" w:type="pct"/>
                  <w:tcBorders>
                    <w:tl2br w:val="nil"/>
                    <w:tr2bl w:val="nil"/>
                  </w:tcBorders>
                  <w:shd w:val="clear" w:color="auto" w:fill="auto"/>
                  <w:vAlign w:val="center"/>
                </w:tcPr>
                <w:p w14:paraId="57E4D6CC">
                  <w:pPr>
                    <w:pStyle w:val="106"/>
                    <w:bidi w:val="0"/>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吨</w:t>
                  </w:r>
                </w:p>
              </w:tc>
              <w:tc>
                <w:tcPr>
                  <w:tcW w:w="1290" w:type="pct"/>
                  <w:tcBorders>
                    <w:tl2br w:val="nil"/>
                    <w:tr2bl w:val="nil"/>
                  </w:tcBorders>
                  <w:shd w:val="clear" w:color="auto" w:fill="auto"/>
                  <w:vAlign w:val="center"/>
                </w:tcPr>
                <w:p w14:paraId="4A7511E6">
                  <w:pPr>
                    <w:pStyle w:val="106"/>
                    <w:bidi w:val="0"/>
                    <w:ind w:firstLine="0" w:firstLineChars="0"/>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340g/罐</w:t>
                  </w:r>
                </w:p>
              </w:tc>
              <w:tc>
                <w:tcPr>
                  <w:tcW w:w="531" w:type="pct"/>
                  <w:tcBorders>
                    <w:tl2br w:val="nil"/>
                    <w:tr2bl w:val="nil"/>
                  </w:tcBorders>
                  <w:shd w:val="clear" w:color="auto" w:fill="auto"/>
                  <w:vAlign w:val="center"/>
                </w:tcPr>
                <w:p w14:paraId="023E34C1">
                  <w:pPr>
                    <w:pStyle w:val="106"/>
                    <w:bidi w:val="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3000</w:t>
                  </w:r>
                </w:p>
              </w:tc>
              <w:tc>
                <w:tcPr>
                  <w:tcW w:w="1446" w:type="pct"/>
                  <w:tcBorders>
                    <w:tl2br w:val="nil"/>
                    <w:tr2bl w:val="nil"/>
                  </w:tcBorders>
                  <w:vAlign w:val="center"/>
                </w:tcPr>
                <w:p w14:paraId="4A47249A">
                  <w:pPr>
                    <w:pStyle w:val="12"/>
                    <w:spacing w:line="240" w:lineRule="auto"/>
                    <w:ind w:firstLine="0" w:firstLineChars="0"/>
                    <w:jc w:val="center"/>
                    <w:rPr>
                      <w:rStyle w:val="34"/>
                      <w:color w:val="auto"/>
                      <w:sz w:val="21"/>
                      <w:szCs w:val="21"/>
                      <w:highlight w:val="none"/>
                      <w:u w:val="none"/>
                    </w:rPr>
                  </w:pPr>
                  <w:r>
                    <w:rPr>
                      <w:rStyle w:val="34"/>
                      <w:rFonts w:hint="eastAsia"/>
                      <w:color w:val="auto"/>
                      <w:sz w:val="21"/>
                      <w:szCs w:val="21"/>
                      <w:highlight w:val="none"/>
                      <w:u w:val="none"/>
                      <w:lang w:eastAsia="zh-CN"/>
                    </w:rPr>
                    <w:t>《食品安全国家标准</w:t>
                  </w:r>
                  <w:r>
                    <w:rPr>
                      <w:rStyle w:val="34"/>
                      <w:rFonts w:hint="eastAsia"/>
                      <w:color w:val="auto"/>
                      <w:sz w:val="21"/>
                      <w:szCs w:val="21"/>
                      <w:highlight w:val="none"/>
                      <w:u w:val="none"/>
                      <w:lang w:val="en-US" w:eastAsia="zh-CN"/>
                    </w:rPr>
                    <w:t xml:space="preserve"> 罐头食品</w:t>
                  </w:r>
                  <w:r>
                    <w:rPr>
                      <w:rStyle w:val="34"/>
                      <w:rFonts w:hint="eastAsia"/>
                      <w:color w:val="auto"/>
                      <w:sz w:val="21"/>
                      <w:szCs w:val="21"/>
                      <w:highlight w:val="none"/>
                      <w:u w:val="none"/>
                      <w:lang w:eastAsia="zh-CN"/>
                    </w:rPr>
                    <w:t>》（</w:t>
                  </w:r>
                  <w:r>
                    <w:rPr>
                      <w:rStyle w:val="34"/>
                      <w:rFonts w:hint="eastAsia"/>
                      <w:color w:val="auto"/>
                      <w:sz w:val="21"/>
                      <w:szCs w:val="21"/>
                      <w:highlight w:val="none"/>
                      <w:u w:val="none"/>
                      <w:lang w:val="en-US" w:eastAsia="zh-CN"/>
                    </w:rPr>
                    <w:t>GB7098-2025</w:t>
                  </w:r>
                  <w:r>
                    <w:rPr>
                      <w:rStyle w:val="34"/>
                      <w:rFonts w:hint="eastAsia"/>
                      <w:color w:val="auto"/>
                      <w:sz w:val="21"/>
                      <w:szCs w:val="21"/>
                      <w:highlight w:val="none"/>
                      <w:u w:val="none"/>
                      <w:lang w:eastAsia="zh-CN"/>
                    </w:rPr>
                    <w:t>）</w:t>
                  </w:r>
                </w:p>
              </w:tc>
            </w:tr>
            <w:tr w14:paraId="28C63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Borders>
                    <w:tl2br w:val="nil"/>
                    <w:tr2bl w:val="nil"/>
                  </w:tcBorders>
                  <w:shd w:val="clear" w:color="auto" w:fill="auto"/>
                  <w:vAlign w:val="center"/>
                </w:tcPr>
                <w:p w14:paraId="575F9FD0">
                  <w:pPr>
                    <w:pStyle w:val="106"/>
                    <w:bidi w:val="0"/>
                    <w:ind w:firstLine="0" w:firstLineChars="0"/>
                    <w:rPr>
                      <w:rFonts w:hint="eastAsia"/>
                      <w:lang w:val="en-US" w:eastAsia="zh-CN"/>
                    </w:rPr>
                  </w:pPr>
                </w:p>
              </w:tc>
              <w:tc>
                <w:tcPr>
                  <w:tcW w:w="718" w:type="pct"/>
                  <w:tcBorders>
                    <w:tl2br w:val="nil"/>
                    <w:tr2bl w:val="nil"/>
                  </w:tcBorders>
                  <w:shd w:val="clear" w:color="auto" w:fill="auto"/>
                  <w:vAlign w:val="center"/>
                </w:tcPr>
                <w:p w14:paraId="5F86D4EB">
                  <w:pPr>
                    <w:pStyle w:val="12"/>
                    <w:spacing w:line="240" w:lineRule="auto"/>
                    <w:ind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合计</w:t>
                  </w:r>
                </w:p>
              </w:tc>
              <w:tc>
                <w:tcPr>
                  <w:tcW w:w="355" w:type="pct"/>
                  <w:tcBorders>
                    <w:tl2br w:val="nil"/>
                    <w:tr2bl w:val="nil"/>
                  </w:tcBorders>
                  <w:shd w:val="clear" w:color="auto" w:fill="auto"/>
                  <w:vAlign w:val="center"/>
                </w:tcPr>
                <w:p w14:paraId="511C3B69">
                  <w:pPr>
                    <w:pStyle w:val="106"/>
                    <w:bidi w:val="0"/>
                    <w:ind w:firstLine="0" w:firstLineChars="0"/>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吨</w:t>
                  </w:r>
                </w:p>
              </w:tc>
              <w:tc>
                <w:tcPr>
                  <w:tcW w:w="1290" w:type="pct"/>
                  <w:tcBorders>
                    <w:tl2br w:val="nil"/>
                    <w:tr2bl w:val="nil"/>
                  </w:tcBorders>
                  <w:shd w:val="clear" w:color="auto" w:fill="auto"/>
                  <w:vAlign w:val="center"/>
                </w:tcPr>
                <w:p w14:paraId="47F6B222">
                  <w:pPr>
                    <w:pStyle w:val="106"/>
                    <w:bidi w:val="0"/>
                    <w:ind w:firstLine="0" w:firstLineChars="0"/>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w:t>
                  </w:r>
                </w:p>
              </w:tc>
              <w:tc>
                <w:tcPr>
                  <w:tcW w:w="531" w:type="pct"/>
                  <w:tcBorders>
                    <w:tl2br w:val="nil"/>
                    <w:tr2bl w:val="nil"/>
                  </w:tcBorders>
                  <w:shd w:val="clear" w:color="auto" w:fill="auto"/>
                  <w:vAlign w:val="center"/>
                </w:tcPr>
                <w:p w14:paraId="31EE0006">
                  <w:pPr>
                    <w:pStyle w:val="106"/>
                    <w:bidi w:val="0"/>
                    <w:ind w:firstLine="0" w:firstLineChars="0"/>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3000</w:t>
                  </w:r>
                </w:p>
              </w:tc>
              <w:tc>
                <w:tcPr>
                  <w:tcW w:w="1446" w:type="pct"/>
                  <w:tcBorders>
                    <w:tl2br w:val="nil"/>
                    <w:tr2bl w:val="nil"/>
                  </w:tcBorders>
                  <w:vAlign w:val="center"/>
                </w:tcPr>
                <w:p w14:paraId="3BA8F1CD">
                  <w:pPr>
                    <w:pStyle w:val="12"/>
                    <w:spacing w:line="240" w:lineRule="auto"/>
                    <w:ind w:firstLine="0" w:firstLineChars="0"/>
                    <w:jc w:val="center"/>
                    <w:rPr>
                      <w:rStyle w:val="34"/>
                      <w:rFonts w:hint="eastAsia" w:eastAsia="宋体"/>
                      <w:color w:val="auto"/>
                      <w:sz w:val="21"/>
                      <w:szCs w:val="21"/>
                      <w:highlight w:val="none"/>
                      <w:u w:val="none"/>
                      <w:lang w:val="en-US" w:eastAsia="zh-CN"/>
                    </w:rPr>
                  </w:pPr>
                  <w:r>
                    <w:rPr>
                      <w:rStyle w:val="34"/>
                      <w:rFonts w:hint="eastAsia"/>
                      <w:color w:val="auto"/>
                      <w:sz w:val="21"/>
                      <w:szCs w:val="21"/>
                      <w:highlight w:val="none"/>
                      <w:u w:val="none"/>
                      <w:lang w:val="en-US" w:eastAsia="zh-CN"/>
                    </w:rPr>
                    <w:t>/</w:t>
                  </w:r>
                </w:p>
              </w:tc>
            </w:tr>
            <w:tr w14:paraId="1CE43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restart"/>
                  <w:tcBorders>
                    <w:tl2br w:val="nil"/>
                    <w:tr2bl w:val="nil"/>
                  </w:tcBorders>
                  <w:vAlign w:val="center"/>
                </w:tcPr>
                <w:p w14:paraId="06FC0E0D">
                  <w:pPr>
                    <w:pStyle w:val="106"/>
                    <w:bidi w:val="0"/>
                    <w:rPr>
                      <w:rFonts w:hint="default"/>
                      <w:lang w:val="en-US" w:eastAsia="zh-CN"/>
                    </w:rPr>
                  </w:pPr>
                  <w:r>
                    <w:rPr>
                      <w:rFonts w:hint="eastAsia"/>
                      <w:lang w:val="en-US" w:eastAsia="zh-CN"/>
                    </w:rPr>
                    <w:t>纸制品</w:t>
                  </w:r>
                </w:p>
              </w:tc>
              <w:tc>
                <w:tcPr>
                  <w:tcW w:w="718" w:type="pct"/>
                  <w:tcBorders>
                    <w:tl2br w:val="nil"/>
                    <w:tr2bl w:val="nil"/>
                  </w:tcBorders>
                  <w:vAlign w:val="center"/>
                </w:tcPr>
                <w:p w14:paraId="3D5CDD67">
                  <w:pPr>
                    <w:pStyle w:val="1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面巾纸</w:t>
                  </w:r>
                </w:p>
              </w:tc>
              <w:tc>
                <w:tcPr>
                  <w:tcW w:w="355" w:type="pct"/>
                  <w:tcBorders>
                    <w:tl2br w:val="nil"/>
                    <w:tr2bl w:val="nil"/>
                  </w:tcBorders>
                  <w:shd w:val="clear" w:color="auto" w:fill="auto"/>
                  <w:vAlign w:val="center"/>
                </w:tcPr>
                <w:p w14:paraId="58499444">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吨</w:t>
                  </w:r>
                </w:p>
              </w:tc>
              <w:tc>
                <w:tcPr>
                  <w:tcW w:w="1290" w:type="pct"/>
                  <w:tcBorders>
                    <w:tl2br w:val="nil"/>
                    <w:tr2bl w:val="nil"/>
                  </w:tcBorders>
                  <w:shd w:val="clear" w:color="auto" w:fill="auto"/>
                  <w:vAlign w:val="center"/>
                </w:tcPr>
                <w:p w14:paraId="65AA661B">
                  <w:pPr>
                    <w:pStyle w:val="5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155/173/185</w:t>
                  </w:r>
                  <w:r>
                    <w:rPr>
                      <w:rFonts w:hint="eastAsia" w:cs="Times New Roman"/>
                      <w:b w:val="0"/>
                      <w:bCs/>
                      <w:color w:val="auto"/>
                      <w:sz w:val="21"/>
                      <w:szCs w:val="21"/>
                      <w:lang w:val="en-US" w:eastAsia="zh-CN"/>
                    </w:rPr>
                    <w:t>mm</w:t>
                  </w:r>
                  <w:r>
                    <w:rPr>
                      <w:rFonts w:hint="eastAsia" w:ascii="Times New Roman" w:hAnsi="Times New Roman" w:eastAsia="宋体" w:cs="Times New Roman"/>
                      <w:b w:val="0"/>
                      <w:bCs/>
                      <w:color w:val="auto"/>
                      <w:sz w:val="21"/>
                      <w:szCs w:val="21"/>
                      <w:lang w:val="en-US" w:eastAsia="zh-CN"/>
                    </w:rPr>
                    <w:t>*400</w:t>
                  </w:r>
                  <w:r>
                    <w:rPr>
                      <w:rFonts w:hint="eastAsia" w:cs="Times New Roman"/>
                      <w:b w:val="0"/>
                      <w:bCs/>
                      <w:color w:val="auto"/>
                      <w:sz w:val="21"/>
                      <w:szCs w:val="21"/>
                      <w:lang w:val="en-US" w:eastAsia="zh-CN"/>
                    </w:rPr>
                    <w:t>mm</w:t>
                  </w:r>
                </w:p>
              </w:tc>
              <w:tc>
                <w:tcPr>
                  <w:tcW w:w="531" w:type="pct"/>
                  <w:tcBorders>
                    <w:tl2br w:val="nil"/>
                    <w:tr2bl w:val="nil"/>
                  </w:tcBorders>
                  <w:shd w:val="clear" w:color="auto" w:fill="auto"/>
                  <w:vAlign w:val="center"/>
                </w:tcPr>
                <w:p w14:paraId="0070B235">
                  <w:pPr>
                    <w:pStyle w:val="106"/>
                    <w:bidi w:val="0"/>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1446" w:type="pct"/>
                  <w:vMerge w:val="restart"/>
                  <w:tcBorders>
                    <w:tl2br w:val="nil"/>
                    <w:tr2bl w:val="nil"/>
                  </w:tcBorders>
                  <w:vAlign w:val="center"/>
                </w:tcPr>
                <w:p w14:paraId="49FE931C">
                  <w:pPr>
                    <w:pStyle w:val="12"/>
                    <w:spacing w:line="240" w:lineRule="auto"/>
                    <w:ind w:firstLine="0" w:firstLineChars="0"/>
                    <w:jc w:val="center"/>
                    <w:rPr>
                      <w:rStyle w:val="34"/>
                      <w:rFonts w:hint="eastAsia" w:eastAsia="宋体"/>
                      <w:color w:val="auto"/>
                      <w:sz w:val="21"/>
                      <w:szCs w:val="21"/>
                      <w:highlight w:val="none"/>
                      <w:u w:val="none"/>
                      <w:lang w:eastAsia="zh-CN"/>
                    </w:rPr>
                  </w:pPr>
                  <w:r>
                    <w:rPr>
                      <w:rStyle w:val="34"/>
                      <w:rFonts w:hint="eastAsia"/>
                      <w:color w:val="auto"/>
                      <w:sz w:val="21"/>
                      <w:szCs w:val="21"/>
                      <w:highlight w:val="none"/>
                      <w:u w:val="none"/>
                      <w:lang w:eastAsia="zh-CN"/>
                    </w:rPr>
                    <w:t>《</w:t>
                  </w:r>
                  <w:r>
                    <w:rPr>
                      <w:rStyle w:val="34"/>
                      <w:rFonts w:hint="eastAsia"/>
                      <w:color w:val="auto"/>
                      <w:sz w:val="21"/>
                      <w:szCs w:val="21"/>
                      <w:highlight w:val="none"/>
                      <w:u w:val="none"/>
                      <w:lang w:val="en-US" w:eastAsia="zh-CN"/>
                    </w:rPr>
                    <w:t>一次性使用卫生用品卫生要求</w:t>
                  </w:r>
                  <w:r>
                    <w:rPr>
                      <w:rStyle w:val="34"/>
                      <w:rFonts w:hint="eastAsia"/>
                      <w:color w:val="auto"/>
                      <w:sz w:val="21"/>
                      <w:szCs w:val="21"/>
                      <w:highlight w:val="none"/>
                      <w:u w:val="none"/>
                      <w:lang w:eastAsia="zh-CN"/>
                    </w:rPr>
                    <w:t>》（</w:t>
                  </w:r>
                  <w:r>
                    <w:rPr>
                      <w:rStyle w:val="34"/>
                      <w:rFonts w:hint="eastAsia"/>
                      <w:color w:val="auto"/>
                      <w:sz w:val="21"/>
                      <w:szCs w:val="21"/>
                      <w:highlight w:val="none"/>
                      <w:u w:val="none"/>
                      <w:lang w:val="en-US" w:eastAsia="zh-CN"/>
                    </w:rPr>
                    <w:t>GB15979-2024</w:t>
                  </w:r>
                  <w:r>
                    <w:rPr>
                      <w:rStyle w:val="34"/>
                      <w:rFonts w:hint="eastAsia"/>
                      <w:color w:val="auto"/>
                      <w:sz w:val="21"/>
                      <w:szCs w:val="21"/>
                      <w:highlight w:val="none"/>
                      <w:u w:val="none"/>
                      <w:lang w:eastAsia="zh-CN"/>
                    </w:rPr>
                    <w:t>）</w:t>
                  </w:r>
                </w:p>
              </w:tc>
            </w:tr>
            <w:tr w14:paraId="23EC9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Borders>
                    <w:tl2br w:val="nil"/>
                    <w:tr2bl w:val="nil"/>
                  </w:tcBorders>
                  <w:vAlign w:val="center"/>
                </w:tcPr>
                <w:p w14:paraId="25B65833">
                  <w:pPr>
                    <w:pStyle w:val="106"/>
                    <w:bidi w:val="0"/>
                    <w:rPr>
                      <w:rFonts w:hint="eastAsia"/>
                      <w:lang w:val="en-US" w:eastAsia="zh-CN"/>
                    </w:rPr>
                  </w:pPr>
                </w:p>
              </w:tc>
              <w:tc>
                <w:tcPr>
                  <w:tcW w:w="718" w:type="pct"/>
                  <w:tcBorders>
                    <w:tl2br w:val="nil"/>
                    <w:tr2bl w:val="nil"/>
                  </w:tcBorders>
                  <w:vAlign w:val="center"/>
                </w:tcPr>
                <w:p w14:paraId="1C19FC52">
                  <w:pPr>
                    <w:pStyle w:val="12"/>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面巾纸</w:t>
                  </w:r>
                </w:p>
              </w:tc>
              <w:tc>
                <w:tcPr>
                  <w:tcW w:w="355" w:type="pct"/>
                  <w:tcBorders>
                    <w:tl2br w:val="nil"/>
                    <w:tr2bl w:val="nil"/>
                  </w:tcBorders>
                  <w:shd w:val="clear" w:color="auto" w:fill="auto"/>
                  <w:vAlign w:val="center"/>
                </w:tcPr>
                <w:p w14:paraId="070E6A2C">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吨</w:t>
                  </w:r>
                </w:p>
              </w:tc>
              <w:tc>
                <w:tcPr>
                  <w:tcW w:w="1290" w:type="pct"/>
                  <w:tcBorders>
                    <w:tl2br w:val="nil"/>
                    <w:tr2bl w:val="nil"/>
                  </w:tcBorders>
                  <w:shd w:val="clear" w:color="auto" w:fill="auto"/>
                  <w:vAlign w:val="center"/>
                </w:tcPr>
                <w:p w14:paraId="2EA31825">
                  <w:pPr>
                    <w:pStyle w:val="5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116/139</w:t>
                  </w:r>
                  <w:r>
                    <w:rPr>
                      <w:rFonts w:hint="eastAsia" w:cs="Times New Roman"/>
                      <w:b w:val="0"/>
                      <w:bCs/>
                      <w:color w:val="auto"/>
                      <w:sz w:val="21"/>
                      <w:szCs w:val="21"/>
                      <w:highlight w:val="none"/>
                      <w:lang w:val="en-US" w:eastAsia="zh-CN"/>
                    </w:rPr>
                    <w:t>mm</w:t>
                  </w:r>
                  <w:r>
                    <w:rPr>
                      <w:rFonts w:hint="eastAsia" w:ascii="Times New Roman" w:hAnsi="Times New Roman" w:eastAsia="宋体" w:cs="Times New Roman"/>
                      <w:b w:val="0"/>
                      <w:bCs/>
                      <w:color w:val="auto"/>
                      <w:sz w:val="21"/>
                      <w:szCs w:val="21"/>
                      <w:highlight w:val="none"/>
                      <w:lang w:val="en-US" w:eastAsia="zh-CN"/>
                    </w:rPr>
                    <w:t>*384</w:t>
                  </w:r>
                  <w:r>
                    <w:rPr>
                      <w:rFonts w:hint="eastAsia" w:cs="Times New Roman"/>
                      <w:b w:val="0"/>
                      <w:bCs/>
                      <w:color w:val="auto"/>
                      <w:sz w:val="21"/>
                      <w:szCs w:val="21"/>
                      <w:highlight w:val="none"/>
                      <w:lang w:val="en-US" w:eastAsia="zh-CN"/>
                    </w:rPr>
                    <w:t>mm</w:t>
                  </w:r>
                </w:p>
              </w:tc>
              <w:tc>
                <w:tcPr>
                  <w:tcW w:w="531" w:type="pct"/>
                  <w:tcBorders>
                    <w:tl2br w:val="nil"/>
                    <w:tr2bl w:val="nil"/>
                  </w:tcBorders>
                  <w:shd w:val="clear" w:color="auto" w:fill="auto"/>
                  <w:vAlign w:val="center"/>
                </w:tcPr>
                <w:p w14:paraId="4CE58C6A">
                  <w:pPr>
                    <w:pStyle w:val="106"/>
                    <w:bidi w:val="0"/>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900</w:t>
                  </w:r>
                </w:p>
              </w:tc>
              <w:tc>
                <w:tcPr>
                  <w:tcW w:w="1446" w:type="pct"/>
                  <w:vMerge w:val="continue"/>
                  <w:tcBorders>
                    <w:tl2br w:val="nil"/>
                    <w:tr2bl w:val="nil"/>
                  </w:tcBorders>
                  <w:vAlign w:val="center"/>
                </w:tcPr>
                <w:p w14:paraId="37A0BF5F">
                  <w:pPr>
                    <w:pStyle w:val="12"/>
                    <w:spacing w:line="240" w:lineRule="auto"/>
                    <w:ind w:firstLine="0" w:firstLineChars="0"/>
                    <w:jc w:val="center"/>
                    <w:rPr>
                      <w:rStyle w:val="34"/>
                      <w:color w:val="auto"/>
                      <w:sz w:val="21"/>
                      <w:szCs w:val="21"/>
                      <w:highlight w:val="none"/>
                      <w:u w:val="none"/>
                    </w:rPr>
                  </w:pPr>
                </w:p>
              </w:tc>
            </w:tr>
            <w:tr w14:paraId="12713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Borders>
                    <w:tl2br w:val="nil"/>
                    <w:tr2bl w:val="nil"/>
                  </w:tcBorders>
                  <w:vAlign w:val="center"/>
                </w:tcPr>
                <w:p w14:paraId="66A5A12A">
                  <w:pPr>
                    <w:pStyle w:val="106"/>
                    <w:bidi w:val="0"/>
                    <w:rPr>
                      <w:rFonts w:hint="eastAsia"/>
                      <w:lang w:val="en-US" w:eastAsia="zh-CN"/>
                    </w:rPr>
                  </w:pPr>
                </w:p>
              </w:tc>
              <w:tc>
                <w:tcPr>
                  <w:tcW w:w="718" w:type="pct"/>
                  <w:tcBorders>
                    <w:tl2br w:val="nil"/>
                    <w:tr2bl w:val="nil"/>
                  </w:tcBorders>
                  <w:vAlign w:val="center"/>
                </w:tcPr>
                <w:p w14:paraId="6A05C639">
                  <w:pPr>
                    <w:pStyle w:val="1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卫生纸</w:t>
                  </w:r>
                </w:p>
              </w:tc>
              <w:tc>
                <w:tcPr>
                  <w:tcW w:w="355" w:type="pct"/>
                  <w:tcBorders>
                    <w:tl2br w:val="nil"/>
                    <w:tr2bl w:val="nil"/>
                  </w:tcBorders>
                  <w:shd w:val="clear" w:color="auto" w:fill="auto"/>
                  <w:vAlign w:val="center"/>
                </w:tcPr>
                <w:p w14:paraId="434B51C8">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吨</w:t>
                  </w:r>
                </w:p>
              </w:tc>
              <w:tc>
                <w:tcPr>
                  <w:tcW w:w="1290" w:type="pct"/>
                  <w:tcBorders>
                    <w:tl2br w:val="nil"/>
                    <w:tr2bl w:val="nil"/>
                  </w:tcBorders>
                  <w:shd w:val="clear" w:color="auto" w:fill="auto"/>
                  <w:vAlign w:val="center"/>
                </w:tcPr>
                <w:p w14:paraId="4420E033">
                  <w:pPr>
                    <w:pStyle w:val="106"/>
                    <w:bidi w:val="0"/>
                    <w:ind w:firstLine="0" w:firstLineChars="0"/>
                    <w:rPr>
                      <w:rFonts w:hint="default"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6</w:t>
                  </w:r>
                  <w:r>
                    <w:rPr>
                      <w:rFonts w:hint="eastAsia" w:cs="Times New Roman"/>
                      <w:color w:val="auto"/>
                      <w:sz w:val="21"/>
                      <w:szCs w:val="21"/>
                      <w:lang w:val="en-US" w:eastAsia="zh-CN"/>
                    </w:rPr>
                    <w:t>0mm</w:t>
                  </w:r>
                  <w:r>
                    <w:rPr>
                      <w:rFonts w:hint="eastAsia" w:ascii="Times New Roman" w:hAnsi="Times New Roman" w:eastAsia="宋体" w:cs="Times New Roman"/>
                      <w:color w:val="auto"/>
                      <w:sz w:val="21"/>
                      <w:szCs w:val="21"/>
                      <w:lang w:val="en-US" w:eastAsia="zh-CN"/>
                    </w:rPr>
                    <w:t>*12</w:t>
                  </w:r>
                  <w:r>
                    <w:rPr>
                      <w:rFonts w:hint="eastAsia" w:cs="Times New Roman"/>
                      <w:color w:val="auto"/>
                      <w:sz w:val="21"/>
                      <w:szCs w:val="21"/>
                      <w:lang w:val="en-US" w:eastAsia="zh-CN"/>
                    </w:rPr>
                    <w:t>0mm</w:t>
                  </w:r>
                </w:p>
              </w:tc>
              <w:tc>
                <w:tcPr>
                  <w:tcW w:w="531" w:type="pct"/>
                  <w:tcBorders>
                    <w:tl2br w:val="nil"/>
                    <w:tr2bl w:val="nil"/>
                  </w:tcBorders>
                  <w:shd w:val="clear" w:color="auto" w:fill="auto"/>
                  <w:vAlign w:val="center"/>
                </w:tcPr>
                <w:p w14:paraId="3A42CC6A">
                  <w:pPr>
                    <w:pStyle w:val="106"/>
                    <w:bidi w:val="0"/>
                    <w:ind w:firstLine="0" w:firstLineChars="0"/>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2400</w:t>
                  </w:r>
                </w:p>
              </w:tc>
              <w:tc>
                <w:tcPr>
                  <w:tcW w:w="1446" w:type="pct"/>
                  <w:vMerge w:val="continue"/>
                  <w:tcBorders>
                    <w:tl2br w:val="nil"/>
                    <w:tr2bl w:val="nil"/>
                  </w:tcBorders>
                  <w:vAlign w:val="center"/>
                </w:tcPr>
                <w:p w14:paraId="2B0BEE6E">
                  <w:pPr>
                    <w:pStyle w:val="12"/>
                    <w:spacing w:line="240" w:lineRule="auto"/>
                    <w:ind w:firstLine="0" w:firstLineChars="0"/>
                    <w:jc w:val="center"/>
                    <w:rPr>
                      <w:rStyle w:val="34"/>
                      <w:color w:val="auto"/>
                      <w:sz w:val="21"/>
                      <w:szCs w:val="21"/>
                      <w:highlight w:val="none"/>
                      <w:u w:val="none"/>
                    </w:rPr>
                  </w:pPr>
                </w:p>
              </w:tc>
            </w:tr>
            <w:tr w14:paraId="34814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Borders>
                    <w:tl2br w:val="nil"/>
                    <w:tr2bl w:val="nil"/>
                  </w:tcBorders>
                  <w:vAlign w:val="center"/>
                </w:tcPr>
                <w:p w14:paraId="68EC1721">
                  <w:pPr>
                    <w:pStyle w:val="12"/>
                    <w:spacing w:line="240" w:lineRule="auto"/>
                    <w:ind w:firstLine="0" w:firstLineChars="0"/>
                    <w:jc w:val="center"/>
                    <w:rPr>
                      <w:rFonts w:hint="eastAsia"/>
                      <w:color w:val="auto"/>
                      <w:sz w:val="21"/>
                      <w:szCs w:val="21"/>
                      <w:highlight w:val="none"/>
                    </w:rPr>
                  </w:pPr>
                </w:p>
              </w:tc>
              <w:tc>
                <w:tcPr>
                  <w:tcW w:w="718" w:type="pct"/>
                  <w:tcBorders>
                    <w:tl2br w:val="nil"/>
                    <w:tr2bl w:val="nil"/>
                  </w:tcBorders>
                  <w:vAlign w:val="center"/>
                </w:tcPr>
                <w:p w14:paraId="76C98251">
                  <w:pPr>
                    <w:pStyle w:val="12"/>
                    <w:spacing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合计</w:t>
                  </w:r>
                </w:p>
              </w:tc>
              <w:tc>
                <w:tcPr>
                  <w:tcW w:w="355" w:type="pct"/>
                  <w:tcBorders>
                    <w:tl2br w:val="nil"/>
                    <w:tr2bl w:val="nil"/>
                  </w:tcBorders>
                  <w:vAlign w:val="center"/>
                </w:tcPr>
                <w:p w14:paraId="652B9C83">
                  <w:pPr>
                    <w:pStyle w:val="106"/>
                    <w:bidi w:val="0"/>
                    <w:ind w:firstLine="0" w:firstLineChars="0"/>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吨</w:t>
                  </w:r>
                </w:p>
              </w:tc>
              <w:tc>
                <w:tcPr>
                  <w:tcW w:w="1290" w:type="pct"/>
                  <w:tcBorders>
                    <w:tl2br w:val="nil"/>
                    <w:tr2bl w:val="nil"/>
                  </w:tcBorders>
                  <w:vAlign w:val="center"/>
                </w:tcPr>
                <w:p w14:paraId="7616619B">
                  <w:pPr>
                    <w:pStyle w:val="106"/>
                    <w:bidi w:val="0"/>
                    <w:rPr>
                      <w:rFonts w:hint="default"/>
                      <w:b/>
                      <w:bCs/>
                      <w:color w:val="auto"/>
                      <w:highlight w:val="none"/>
                      <w:lang w:val="en-US" w:eastAsia="zh-CN"/>
                    </w:rPr>
                  </w:pPr>
                  <w:r>
                    <w:rPr>
                      <w:rFonts w:hint="eastAsia"/>
                      <w:b/>
                      <w:bCs/>
                      <w:color w:val="auto"/>
                      <w:highlight w:val="none"/>
                      <w:lang w:val="en-US" w:eastAsia="zh-CN"/>
                    </w:rPr>
                    <w:t>/</w:t>
                  </w:r>
                </w:p>
              </w:tc>
              <w:tc>
                <w:tcPr>
                  <w:tcW w:w="531" w:type="pct"/>
                  <w:tcBorders>
                    <w:tl2br w:val="nil"/>
                    <w:tr2bl w:val="nil"/>
                  </w:tcBorders>
                  <w:vAlign w:val="center"/>
                </w:tcPr>
                <w:p w14:paraId="4A031901">
                  <w:pPr>
                    <w:pStyle w:val="106"/>
                    <w:bidi w:val="0"/>
                    <w:rPr>
                      <w:rFonts w:hint="default" w:eastAsia="宋体"/>
                      <w:b/>
                      <w:bCs/>
                      <w:color w:val="auto"/>
                      <w:highlight w:val="none"/>
                      <w:lang w:val="en-US" w:eastAsia="zh-CN"/>
                    </w:rPr>
                  </w:pPr>
                  <w:r>
                    <w:rPr>
                      <w:rFonts w:hint="eastAsia"/>
                      <w:b/>
                      <w:bCs/>
                      <w:color w:val="auto"/>
                      <w:highlight w:val="none"/>
                      <w:lang w:val="en-US" w:eastAsia="zh-CN"/>
                    </w:rPr>
                    <w:t>4900</w:t>
                  </w:r>
                </w:p>
              </w:tc>
              <w:tc>
                <w:tcPr>
                  <w:tcW w:w="1446" w:type="pct"/>
                  <w:tcBorders>
                    <w:tl2br w:val="nil"/>
                    <w:tr2bl w:val="nil"/>
                  </w:tcBorders>
                  <w:vAlign w:val="center"/>
                </w:tcPr>
                <w:p w14:paraId="176FBBB8">
                  <w:pPr>
                    <w:pStyle w:val="12"/>
                    <w:spacing w:line="240" w:lineRule="auto"/>
                    <w:ind w:firstLine="0" w:firstLineChars="0"/>
                    <w:jc w:val="center"/>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w:t>
                  </w:r>
                </w:p>
              </w:tc>
            </w:tr>
          </w:tbl>
          <w:p w14:paraId="5F1B3345">
            <w:pPr>
              <w:keepNext w:val="0"/>
              <w:keepLines w:val="0"/>
              <w:pageBreakBefore w:val="0"/>
              <w:widowControl w:val="0"/>
              <w:kinsoku/>
              <w:wordWrap/>
              <w:overflowPunct/>
              <w:topLinePunct w:val="0"/>
              <w:autoSpaceDE w:val="0"/>
              <w:autoSpaceDN w:val="0"/>
              <w:bidi w:val="0"/>
              <w:adjustRightInd w:val="0"/>
              <w:snapToGrid w:val="0"/>
              <w:spacing w:before="120"/>
              <w:textAlignment w:val="auto"/>
              <w:rPr>
                <w:rFonts w:hint="default"/>
                <w:b w:val="0"/>
                <w:bCs w:val="0"/>
                <w:color w:val="auto"/>
                <w:sz w:val="24"/>
                <w:szCs w:val="32"/>
                <w:highlight w:val="none"/>
                <w:lang w:val="en-US" w:eastAsia="zh-CN"/>
              </w:rPr>
            </w:pPr>
            <w:r>
              <w:rPr>
                <w:rFonts w:hint="eastAsia"/>
                <w:b w:val="0"/>
                <w:bCs w:val="0"/>
                <w:color w:val="auto"/>
                <w:sz w:val="24"/>
                <w:szCs w:val="32"/>
                <w:highlight w:val="none"/>
                <w:lang w:val="en-US" w:eastAsia="zh-CN"/>
              </w:rPr>
              <w:t>产品标准：</w:t>
            </w:r>
          </w:p>
          <w:p w14:paraId="04E84F15">
            <w:pPr>
              <w:pStyle w:val="14"/>
              <w:bidi w:val="0"/>
              <w:rPr>
                <w:color w:val="auto"/>
                <w:highlight w:val="none"/>
              </w:rPr>
            </w:pPr>
          </w:p>
          <w:p w14:paraId="08F1DEFA">
            <w:pPr>
              <w:pStyle w:val="14"/>
              <w:bidi w:val="0"/>
              <w:rPr>
                <w:color w:val="auto"/>
                <w:highlight w:val="none"/>
              </w:rPr>
            </w:pPr>
          </w:p>
          <w:p w14:paraId="35C48552">
            <w:pPr>
              <w:pStyle w:val="14"/>
              <w:bidi w:val="0"/>
              <w:rPr>
                <w:color w:val="auto"/>
                <w:highlight w:val="none"/>
              </w:rPr>
            </w:pPr>
          </w:p>
          <w:p w14:paraId="5E0A4835">
            <w:pPr>
              <w:pStyle w:val="14"/>
              <w:bidi w:val="0"/>
              <w:rPr>
                <w:color w:val="auto"/>
                <w:highlight w:val="none"/>
              </w:rPr>
            </w:pPr>
          </w:p>
          <w:p w14:paraId="4B3C9655">
            <w:pPr>
              <w:pStyle w:val="14"/>
              <w:bidi w:val="0"/>
              <w:rPr>
                <w:color w:val="auto"/>
                <w:highlight w:val="none"/>
              </w:rPr>
            </w:pPr>
          </w:p>
          <w:p w14:paraId="219546BA">
            <w:pPr>
              <w:pStyle w:val="14"/>
              <w:bidi w:val="0"/>
              <w:rPr>
                <w:color w:val="auto"/>
                <w:highlight w:val="none"/>
              </w:rPr>
            </w:pPr>
          </w:p>
          <w:p w14:paraId="0FA7ED3F">
            <w:pPr>
              <w:pStyle w:val="14"/>
              <w:bidi w:val="0"/>
              <w:rPr>
                <w:rFonts w:hint="default"/>
                <w:color w:val="auto"/>
                <w:highlight w:val="none"/>
                <w:lang w:val="en-US" w:eastAsia="zh-CN"/>
              </w:rPr>
            </w:pPr>
            <w:r>
              <w:rPr>
                <w:color w:val="auto"/>
                <w:highlight w:val="none"/>
              </w:rPr>
              <w:t xml:space="preserve">表2- </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lang w:val="en-US" w:eastAsia="zh-CN"/>
              </w:rPr>
              <w:t xml:space="preserve">  冻干水果、蔬菜感官要求</w:t>
            </w:r>
          </w:p>
          <w:tbl>
            <w:tblPr>
              <w:tblStyle w:val="29"/>
              <w:tblW w:w="91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4575"/>
              <w:gridCol w:w="3404"/>
            </w:tblGrid>
            <w:tr w14:paraId="2AF59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8" w:type="dxa"/>
                  <w:tcBorders>
                    <w:bottom w:val="single" w:color="000000" w:sz="4" w:space="0"/>
                    <w:tl2br w:val="nil"/>
                    <w:tr2bl w:val="nil"/>
                  </w:tcBorders>
                  <w:vAlign w:val="center"/>
                </w:tcPr>
                <w:p w14:paraId="4AC3DFF8">
                  <w:pPr>
                    <w:pStyle w:val="106"/>
                    <w:bidi w:val="0"/>
                    <w:jc w:val="center"/>
                    <w:rPr>
                      <w:rFonts w:hint="default"/>
                      <w:b/>
                      <w:bCs/>
                      <w:color w:val="auto"/>
                      <w:highlight w:val="none"/>
                      <w:lang w:val="en-US" w:eastAsia="zh-CN"/>
                    </w:rPr>
                  </w:pPr>
                  <w:r>
                    <w:rPr>
                      <w:rFonts w:hint="default"/>
                      <w:b/>
                      <w:bCs/>
                      <w:color w:val="auto"/>
                      <w:highlight w:val="none"/>
                      <w:lang w:val="en-US" w:eastAsia="zh-CN"/>
                    </w:rPr>
                    <w:t>项目</w:t>
                  </w:r>
                </w:p>
              </w:tc>
              <w:tc>
                <w:tcPr>
                  <w:tcW w:w="4575" w:type="dxa"/>
                  <w:tcBorders>
                    <w:bottom w:val="single" w:color="000000" w:sz="4" w:space="0"/>
                    <w:tl2br w:val="nil"/>
                    <w:tr2bl w:val="nil"/>
                  </w:tcBorders>
                  <w:vAlign w:val="center"/>
                </w:tcPr>
                <w:p w14:paraId="2CD239B8">
                  <w:pPr>
                    <w:pStyle w:val="106"/>
                    <w:bidi w:val="0"/>
                    <w:jc w:val="center"/>
                    <w:rPr>
                      <w:rFonts w:hint="default"/>
                      <w:b/>
                      <w:bCs/>
                      <w:color w:val="auto"/>
                      <w:highlight w:val="none"/>
                      <w:lang w:val="en-US" w:eastAsia="zh-CN"/>
                    </w:rPr>
                  </w:pPr>
                  <w:r>
                    <w:rPr>
                      <w:rFonts w:hint="default"/>
                      <w:b/>
                      <w:bCs/>
                      <w:color w:val="auto"/>
                      <w:highlight w:val="none"/>
                      <w:lang w:val="en-US" w:eastAsia="zh-CN"/>
                    </w:rPr>
                    <w:t>要求</w:t>
                  </w:r>
                </w:p>
              </w:tc>
              <w:tc>
                <w:tcPr>
                  <w:tcW w:w="3404" w:type="dxa"/>
                  <w:tcBorders>
                    <w:bottom w:val="single" w:color="000000" w:sz="4" w:space="0"/>
                    <w:tl2br w:val="nil"/>
                    <w:tr2bl w:val="nil"/>
                  </w:tcBorders>
                  <w:vAlign w:val="center"/>
                </w:tcPr>
                <w:p w14:paraId="37E2736A">
                  <w:pPr>
                    <w:pStyle w:val="106"/>
                    <w:bidi w:val="0"/>
                    <w:jc w:val="center"/>
                    <w:rPr>
                      <w:rFonts w:hint="default"/>
                      <w:b/>
                      <w:bCs/>
                      <w:color w:val="auto"/>
                      <w:highlight w:val="none"/>
                      <w:lang w:val="en-US" w:eastAsia="zh-CN"/>
                    </w:rPr>
                  </w:pPr>
                  <w:r>
                    <w:rPr>
                      <w:rFonts w:hint="default"/>
                      <w:b/>
                      <w:bCs/>
                      <w:color w:val="auto"/>
                      <w:highlight w:val="none"/>
                      <w:lang w:val="en-US" w:eastAsia="zh-CN"/>
                    </w:rPr>
                    <w:t>检验方法</w:t>
                  </w:r>
                </w:p>
              </w:tc>
            </w:tr>
            <w:tr w14:paraId="46BD0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8" w:type="dxa"/>
                  <w:tcBorders>
                    <w:top w:val="single" w:color="000000" w:sz="4" w:space="0"/>
                    <w:tl2br w:val="nil"/>
                    <w:tr2bl w:val="nil"/>
                  </w:tcBorders>
                  <w:vAlign w:val="center"/>
                </w:tcPr>
                <w:p w14:paraId="200F3783">
                  <w:pPr>
                    <w:pStyle w:val="106"/>
                    <w:bidi w:val="0"/>
                    <w:jc w:val="center"/>
                    <w:rPr>
                      <w:rFonts w:hint="default"/>
                      <w:color w:val="auto"/>
                      <w:highlight w:val="none"/>
                      <w:lang w:val="en-US" w:eastAsia="zh-CN"/>
                    </w:rPr>
                  </w:pPr>
                  <w:r>
                    <w:rPr>
                      <w:rFonts w:hint="eastAsia"/>
                      <w:color w:val="auto"/>
                      <w:highlight w:val="none"/>
                      <w:lang w:val="en-US" w:eastAsia="zh-CN"/>
                    </w:rPr>
                    <w:t>色泽</w:t>
                  </w:r>
                </w:p>
              </w:tc>
              <w:tc>
                <w:tcPr>
                  <w:tcW w:w="4575" w:type="dxa"/>
                  <w:tcBorders>
                    <w:top w:val="single" w:color="000000" w:sz="4" w:space="0"/>
                    <w:tl2br w:val="nil"/>
                    <w:tr2bl w:val="nil"/>
                  </w:tcBorders>
                  <w:vAlign w:val="center"/>
                </w:tcPr>
                <w:p w14:paraId="2451633F">
                  <w:pPr>
                    <w:pStyle w:val="106"/>
                    <w:bidi w:val="0"/>
                    <w:jc w:val="both"/>
                    <w:rPr>
                      <w:rFonts w:hint="default"/>
                      <w:color w:val="auto"/>
                      <w:highlight w:val="none"/>
                      <w:lang w:val="en-US" w:eastAsia="zh-CN"/>
                    </w:rPr>
                  </w:pPr>
                  <w:r>
                    <w:rPr>
                      <w:rFonts w:hint="default"/>
                      <w:color w:val="auto"/>
                      <w:highlight w:val="none"/>
                      <w:lang w:val="en-US" w:eastAsia="zh-CN"/>
                    </w:rPr>
                    <w:t>与原料的色泽相近或接近一致</w:t>
                  </w:r>
                </w:p>
              </w:tc>
              <w:tc>
                <w:tcPr>
                  <w:tcW w:w="3404" w:type="dxa"/>
                  <w:vMerge w:val="restart"/>
                  <w:tcBorders>
                    <w:top w:val="single" w:color="000000" w:sz="4" w:space="0"/>
                    <w:tl2br w:val="nil"/>
                    <w:tr2bl w:val="nil"/>
                  </w:tcBorders>
                  <w:vAlign w:val="center"/>
                </w:tcPr>
                <w:p w14:paraId="79D5E9EE">
                  <w:pPr>
                    <w:pStyle w:val="106"/>
                    <w:bidi w:val="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色泽、形态、杂质、霉变：称取混合后样品200 g于白塘瓷盘内。色泽、形态、杂质、霉变等用目测法检测。</w:t>
                  </w:r>
                </w:p>
                <w:p w14:paraId="3E0A71D0">
                  <w:pPr>
                    <w:pStyle w:val="106"/>
                    <w:bidi w:val="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气味、滋味：用嗅和尝的方法检测。</w:t>
                  </w:r>
                </w:p>
                <w:p w14:paraId="2C664757">
                  <w:pPr>
                    <w:pStyle w:val="106"/>
                    <w:bidi w:val="0"/>
                    <w:jc w:val="both"/>
                    <w:rPr>
                      <w:rFonts w:hint="default"/>
                      <w:color w:val="auto"/>
                      <w:highlight w:val="none"/>
                      <w:lang w:val="en-US" w:eastAsia="zh-CN"/>
                    </w:rPr>
                  </w:pPr>
                  <w:r>
                    <w:rPr>
                      <w:rFonts w:hint="default" w:ascii="Times New Roman" w:hAnsi="Times New Roman" w:cs="Times New Roman"/>
                      <w:color w:val="auto"/>
                      <w:highlight w:val="none"/>
                      <w:lang w:val="en-US" w:eastAsia="zh-CN"/>
                    </w:rPr>
                    <w:t>复水性：称20g样品放入500 L的烧杯中，倒入95℃热水恒温浸泡2 min，观察其形态。</w:t>
                  </w:r>
                </w:p>
              </w:tc>
            </w:tr>
            <w:tr w14:paraId="07EC0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8" w:type="dxa"/>
                  <w:tcBorders>
                    <w:tl2br w:val="nil"/>
                    <w:tr2bl w:val="nil"/>
                  </w:tcBorders>
                  <w:vAlign w:val="center"/>
                </w:tcPr>
                <w:p w14:paraId="3FB00C98">
                  <w:pPr>
                    <w:pStyle w:val="106"/>
                    <w:bidi w:val="0"/>
                    <w:jc w:val="center"/>
                    <w:rPr>
                      <w:rFonts w:hint="default"/>
                      <w:color w:val="auto"/>
                      <w:highlight w:val="none"/>
                      <w:lang w:val="en-US" w:eastAsia="zh-CN"/>
                    </w:rPr>
                  </w:pPr>
                  <w:r>
                    <w:rPr>
                      <w:rFonts w:hint="eastAsia"/>
                      <w:color w:val="auto"/>
                      <w:highlight w:val="none"/>
                      <w:lang w:val="en-US" w:eastAsia="zh-CN"/>
                    </w:rPr>
                    <w:t>滋味、气味和口感</w:t>
                  </w:r>
                </w:p>
              </w:tc>
              <w:tc>
                <w:tcPr>
                  <w:tcW w:w="4575" w:type="dxa"/>
                  <w:tcBorders>
                    <w:tl2br w:val="nil"/>
                    <w:tr2bl w:val="nil"/>
                  </w:tcBorders>
                  <w:vAlign w:val="center"/>
                </w:tcPr>
                <w:p w14:paraId="29B1E0A7">
                  <w:pPr>
                    <w:pStyle w:val="106"/>
                    <w:bidi w:val="0"/>
                    <w:jc w:val="both"/>
                    <w:rPr>
                      <w:rFonts w:hint="default"/>
                      <w:color w:val="auto"/>
                      <w:highlight w:val="none"/>
                      <w:lang w:val="en-US" w:eastAsia="zh-CN"/>
                    </w:rPr>
                  </w:pPr>
                  <w:r>
                    <w:rPr>
                      <w:rFonts w:hint="default"/>
                      <w:color w:val="auto"/>
                      <w:highlight w:val="none"/>
                      <w:lang w:val="en-US" w:eastAsia="zh-CN"/>
                    </w:rPr>
                    <w:t>具有原料特有的滋味和气味，无异味，口感酥脆</w:t>
                  </w:r>
                </w:p>
              </w:tc>
              <w:tc>
                <w:tcPr>
                  <w:tcW w:w="3404" w:type="dxa"/>
                  <w:vMerge w:val="continue"/>
                  <w:tcBorders>
                    <w:tl2br w:val="nil"/>
                    <w:tr2bl w:val="nil"/>
                  </w:tcBorders>
                  <w:vAlign w:val="center"/>
                </w:tcPr>
                <w:p w14:paraId="7F987659">
                  <w:pPr>
                    <w:pStyle w:val="106"/>
                    <w:bidi w:val="0"/>
                    <w:jc w:val="both"/>
                    <w:rPr>
                      <w:rFonts w:hint="default"/>
                      <w:color w:val="auto"/>
                      <w:highlight w:val="none"/>
                      <w:lang w:val="en-US" w:eastAsia="zh-CN"/>
                    </w:rPr>
                  </w:pPr>
                </w:p>
              </w:tc>
            </w:tr>
            <w:tr w14:paraId="2D1B2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8" w:type="dxa"/>
                  <w:tcBorders>
                    <w:tl2br w:val="nil"/>
                    <w:tr2bl w:val="nil"/>
                  </w:tcBorders>
                  <w:vAlign w:val="center"/>
                </w:tcPr>
                <w:p w14:paraId="05655CEC">
                  <w:pPr>
                    <w:pStyle w:val="106"/>
                    <w:bidi w:val="0"/>
                    <w:jc w:val="center"/>
                    <w:rPr>
                      <w:rFonts w:hint="default"/>
                      <w:color w:val="auto"/>
                      <w:highlight w:val="none"/>
                      <w:lang w:val="en-US" w:eastAsia="zh-CN"/>
                    </w:rPr>
                  </w:pPr>
                  <w:r>
                    <w:rPr>
                      <w:rFonts w:hint="eastAsia"/>
                      <w:color w:val="auto"/>
                      <w:highlight w:val="none"/>
                      <w:lang w:val="en-US" w:eastAsia="zh-CN"/>
                    </w:rPr>
                    <w:t>组织形态</w:t>
                  </w:r>
                </w:p>
              </w:tc>
              <w:tc>
                <w:tcPr>
                  <w:tcW w:w="4575" w:type="dxa"/>
                  <w:tcBorders>
                    <w:tl2br w:val="nil"/>
                    <w:tr2bl w:val="nil"/>
                  </w:tcBorders>
                  <w:vAlign w:val="center"/>
                </w:tcPr>
                <w:p w14:paraId="52B482BD">
                  <w:pPr>
                    <w:pStyle w:val="106"/>
                    <w:bidi w:val="0"/>
                    <w:jc w:val="both"/>
                    <w:rPr>
                      <w:rFonts w:hint="default"/>
                      <w:color w:val="auto"/>
                      <w:highlight w:val="none"/>
                      <w:lang w:val="en-US" w:eastAsia="zh-CN"/>
                    </w:rPr>
                  </w:pPr>
                  <w:r>
                    <w:rPr>
                      <w:rFonts w:hint="default"/>
                      <w:color w:val="auto"/>
                      <w:highlight w:val="none"/>
                      <w:lang w:val="en-US" w:eastAsia="zh-CN"/>
                    </w:rPr>
                    <w:t>同品种形态产品的规格应均匀一致，基本完好，无黏结</w:t>
                  </w:r>
                </w:p>
              </w:tc>
              <w:tc>
                <w:tcPr>
                  <w:tcW w:w="3404" w:type="dxa"/>
                  <w:vMerge w:val="continue"/>
                  <w:tcBorders>
                    <w:tl2br w:val="nil"/>
                    <w:tr2bl w:val="nil"/>
                  </w:tcBorders>
                  <w:vAlign w:val="center"/>
                </w:tcPr>
                <w:p w14:paraId="0DBF916B">
                  <w:pPr>
                    <w:pStyle w:val="106"/>
                    <w:bidi w:val="0"/>
                    <w:jc w:val="both"/>
                    <w:rPr>
                      <w:rFonts w:hint="default"/>
                      <w:color w:val="auto"/>
                      <w:highlight w:val="none"/>
                      <w:lang w:val="en-US" w:eastAsia="zh-CN"/>
                    </w:rPr>
                  </w:pPr>
                </w:p>
              </w:tc>
            </w:tr>
            <w:tr w14:paraId="20890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8" w:type="dxa"/>
                  <w:tcBorders>
                    <w:tl2br w:val="nil"/>
                    <w:tr2bl w:val="nil"/>
                  </w:tcBorders>
                  <w:vAlign w:val="center"/>
                </w:tcPr>
                <w:p w14:paraId="7576CED1">
                  <w:pPr>
                    <w:pStyle w:val="106"/>
                    <w:bidi w:val="0"/>
                    <w:jc w:val="center"/>
                    <w:rPr>
                      <w:rFonts w:hint="default"/>
                      <w:color w:val="auto"/>
                      <w:highlight w:val="none"/>
                      <w:lang w:val="en-US" w:eastAsia="zh-CN"/>
                    </w:rPr>
                  </w:pPr>
                  <w:r>
                    <w:rPr>
                      <w:rFonts w:hint="eastAsia"/>
                      <w:color w:val="auto"/>
                      <w:highlight w:val="none"/>
                      <w:lang w:val="en-US" w:eastAsia="zh-CN"/>
                    </w:rPr>
                    <w:t>复水性</w:t>
                  </w:r>
                </w:p>
              </w:tc>
              <w:tc>
                <w:tcPr>
                  <w:tcW w:w="4575" w:type="dxa"/>
                  <w:tcBorders>
                    <w:tl2br w:val="nil"/>
                    <w:tr2bl w:val="nil"/>
                  </w:tcBorders>
                  <w:vAlign w:val="center"/>
                </w:tcPr>
                <w:p w14:paraId="3282EFDA">
                  <w:pPr>
                    <w:pStyle w:val="106"/>
                    <w:bidi w:val="0"/>
                    <w:jc w:val="both"/>
                    <w:rPr>
                      <w:rFonts w:hint="default"/>
                      <w:color w:val="auto"/>
                      <w:highlight w:val="none"/>
                      <w:lang w:val="en-US" w:eastAsia="zh-CN"/>
                    </w:rPr>
                  </w:pPr>
                  <w:r>
                    <w:rPr>
                      <w:rFonts w:hint="default"/>
                      <w:color w:val="auto"/>
                      <w:highlight w:val="none"/>
                      <w:lang w:val="en-US" w:eastAsia="zh-CN"/>
                    </w:rPr>
                    <w:t>95℃热水浸泡2min，基本恢复至脱水前状态</w:t>
                  </w:r>
                </w:p>
              </w:tc>
              <w:tc>
                <w:tcPr>
                  <w:tcW w:w="3404" w:type="dxa"/>
                  <w:vMerge w:val="continue"/>
                  <w:tcBorders>
                    <w:tl2br w:val="nil"/>
                    <w:tr2bl w:val="nil"/>
                  </w:tcBorders>
                  <w:vAlign w:val="center"/>
                </w:tcPr>
                <w:p w14:paraId="5D7B3323">
                  <w:pPr>
                    <w:pStyle w:val="106"/>
                    <w:bidi w:val="0"/>
                    <w:jc w:val="both"/>
                    <w:rPr>
                      <w:rFonts w:hint="default"/>
                      <w:color w:val="auto"/>
                      <w:highlight w:val="none"/>
                      <w:lang w:val="en-US" w:eastAsia="zh-CN"/>
                    </w:rPr>
                  </w:pPr>
                </w:p>
              </w:tc>
            </w:tr>
            <w:tr w14:paraId="71E60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8" w:type="dxa"/>
                  <w:tcBorders>
                    <w:tl2br w:val="nil"/>
                    <w:tr2bl w:val="nil"/>
                  </w:tcBorders>
                  <w:vAlign w:val="center"/>
                </w:tcPr>
                <w:p w14:paraId="322DA606">
                  <w:pPr>
                    <w:pStyle w:val="106"/>
                    <w:bidi w:val="0"/>
                    <w:jc w:val="center"/>
                    <w:rPr>
                      <w:rFonts w:hint="default"/>
                      <w:color w:val="auto"/>
                      <w:highlight w:val="none"/>
                      <w:lang w:val="en-US" w:eastAsia="zh-CN"/>
                    </w:rPr>
                  </w:pPr>
                  <w:r>
                    <w:rPr>
                      <w:rFonts w:hint="eastAsia"/>
                      <w:color w:val="auto"/>
                      <w:highlight w:val="none"/>
                      <w:lang w:val="en-US" w:eastAsia="zh-CN"/>
                    </w:rPr>
                    <w:t>杂质</w:t>
                  </w:r>
                </w:p>
              </w:tc>
              <w:tc>
                <w:tcPr>
                  <w:tcW w:w="4575" w:type="dxa"/>
                  <w:tcBorders>
                    <w:tl2br w:val="nil"/>
                    <w:tr2bl w:val="nil"/>
                  </w:tcBorders>
                  <w:vAlign w:val="center"/>
                </w:tcPr>
                <w:p w14:paraId="0FD92780">
                  <w:pPr>
                    <w:pStyle w:val="106"/>
                    <w:bidi w:val="0"/>
                    <w:jc w:val="both"/>
                    <w:rPr>
                      <w:rFonts w:hint="default"/>
                      <w:color w:val="auto"/>
                      <w:highlight w:val="none"/>
                      <w:lang w:val="en-US" w:eastAsia="zh-CN"/>
                    </w:rPr>
                  </w:pPr>
                  <w:r>
                    <w:rPr>
                      <w:rFonts w:hint="default"/>
                      <w:color w:val="auto"/>
                      <w:highlight w:val="none"/>
                      <w:lang w:val="en-US" w:eastAsia="zh-CN"/>
                    </w:rPr>
                    <w:t>无肉眼可见杂质</w:t>
                  </w:r>
                </w:p>
              </w:tc>
              <w:tc>
                <w:tcPr>
                  <w:tcW w:w="3404" w:type="dxa"/>
                  <w:vMerge w:val="continue"/>
                  <w:tcBorders>
                    <w:tl2br w:val="nil"/>
                    <w:tr2bl w:val="nil"/>
                  </w:tcBorders>
                  <w:vAlign w:val="center"/>
                </w:tcPr>
                <w:p w14:paraId="71FD35A3">
                  <w:pPr>
                    <w:pStyle w:val="106"/>
                    <w:bidi w:val="0"/>
                    <w:jc w:val="both"/>
                    <w:rPr>
                      <w:rFonts w:hint="default"/>
                      <w:color w:val="auto"/>
                      <w:highlight w:val="none"/>
                      <w:lang w:val="en-US" w:eastAsia="zh-CN"/>
                    </w:rPr>
                  </w:pPr>
                </w:p>
              </w:tc>
            </w:tr>
            <w:tr w14:paraId="682C0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8" w:type="dxa"/>
                  <w:tcBorders>
                    <w:tl2br w:val="nil"/>
                    <w:tr2bl w:val="nil"/>
                  </w:tcBorders>
                  <w:vAlign w:val="center"/>
                </w:tcPr>
                <w:p w14:paraId="33A7370B">
                  <w:pPr>
                    <w:pStyle w:val="106"/>
                    <w:bidi w:val="0"/>
                    <w:jc w:val="center"/>
                    <w:rPr>
                      <w:rFonts w:hint="default"/>
                      <w:color w:val="auto"/>
                      <w:highlight w:val="none"/>
                      <w:lang w:val="en-US" w:eastAsia="zh-CN"/>
                    </w:rPr>
                  </w:pPr>
                  <w:r>
                    <w:rPr>
                      <w:rFonts w:hint="eastAsia"/>
                      <w:color w:val="auto"/>
                      <w:highlight w:val="none"/>
                      <w:lang w:val="en-US" w:eastAsia="zh-CN"/>
                    </w:rPr>
                    <w:t>霉变</w:t>
                  </w:r>
                </w:p>
              </w:tc>
              <w:tc>
                <w:tcPr>
                  <w:tcW w:w="4575" w:type="dxa"/>
                  <w:tcBorders>
                    <w:tl2br w:val="nil"/>
                    <w:tr2bl w:val="nil"/>
                  </w:tcBorders>
                  <w:vAlign w:val="center"/>
                </w:tcPr>
                <w:p w14:paraId="2CA6A460">
                  <w:pPr>
                    <w:pStyle w:val="106"/>
                    <w:bidi w:val="0"/>
                    <w:jc w:val="both"/>
                    <w:rPr>
                      <w:rFonts w:hint="default"/>
                      <w:color w:val="auto"/>
                      <w:highlight w:val="none"/>
                      <w:lang w:val="en-US" w:eastAsia="zh-CN"/>
                    </w:rPr>
                  </w:pPr>
                  <w:r>
                    <w:rPr>
                      <w:rFonts w:hint="eastAsia"/>
                      <w:color w:val="auto"/>
                      <w:highlight w:val="none"/>
                      <w:lang w:val="en-US" w:eastAsia="zh-CN"/>
                    </w:rPr>
                    <w:t>无</w:t>
                  </w:r>
                </w:p>
              </w:tc>
              <w:tc>
                <w:tcPr>
                  <w:tcW w:w="3404" w:type="dxa"/>
                  <w:vMerge w:val="continue"/>
                  <w:tcBorders>
                    <w:tl2br w:val="nil"/>
                    <w:tr2bl w:val="nil"/>
                  </w:tcBorders>
                  <w:vAlign w:val="center"/>
                </w:tcPr>
                <w:p w14:paraId="51A50381">
                  <w:pPr>
                    <w:pStyle w:val="106"/>
                    <w:bidi w:val="0"/>
                    <w:jc w:val="both"/>
                    <w:rPr>
                      <w:rFonts w:hint="default"/>
                      <w:color w:val="auto"/>
                      <w:highlight w:val="none"/>
                      <w:lang w:val="en-US" w:eastAsia="zh-CN"/>
                    </w:rPr>
                  </w:pPr>
                </w:p>
              </w:tc>
            </w:tr>
          </w:tbl>
          <w:p w14:paraId="345CAB64">
            <w:pPr>
              <w:pStyle w:val="14"/>
              <w:rPr>
                <w:rFonts w:hint="default" w:eastAsia="宋体"/>
                <w:lang w:val="en-US" w:eastAsia="zh-CN"/>
              </w:rPr>
            </w:pPr>
            <w:r>
              <w:t xml:space="preserve">表2- </w:t>
            </w:r>
            <w:r>
              <w:fldChar w:fldCharType="begin"/>
            </w:r>
            <w:r>
              <w:instrText xml:space="preserve"> SEQ 表2- \* ARABIC </w:instrText>
            </w:r>
            <w:r>
              <w:fldChar w:fldCharType="separate"/>
            </w:r>
            <w:r>
              <w:t>3</w:t>
            </w:r>
            <w:r>
              <w:fldChar w:fldCharType="end"/>
            </w:r>
            <w:r>
              <w:rPr>
                <w:rFonts w:hint="eastAsia"/>
                <w:lang w:val="en-US" w:eastAsia="zh-CN"/>
              </w:rPr>
              <w:t xml:space="preserve">  </w:t>
            </w:r>
            <w:r>
              <w:rPr>
                <w:rFonts w:hint="eastAsia"/>
                <w:color w:val="auto"/>
                <w:highlight w:val="none"/>
                <w:lang w:val="en-US" w:eastAsia="zh-CN"/>
              </w:rPr>
              <w:t>冻干水果、蔬菜理化指标及微生物指标</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17"/>
              <w:gridCol w:w="1245"/>
              <w:gridCol w:w="2825"/>
            </w:tblGrid>
            <w:tr w14:paraId="24408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11" w:type="dxa"/>
                  <w:tcBorders>
                    <w:tl2br w:val="nil"/>
                    <w:tr2bl w:val="nil"/>
                  </w:tcBorders>
                  <w:vAlign w:val="top"/>
                </w:tcPr>
                <w:p w14:paraId="2CFFFC92">
                  <w:pPr>
                    <w:pStyle w:val="106"/>
                    <w:bidi w:val="0"/>
                    <w:rPr>
                      <w:rFonts w:hint="default"/>
                      <w:b/>
                      <w:bCs/>
                      <w:color w:val="auto"/>
                      <w:highlight w:val="none"/>
                      <w:lang w:val="en-US" w:eastAsia="zh-CN"/>
                    </w:rPr>
                  </w:pPr>
                  <w:r>
                    <w:rPr>
                      <w:rFonts w:hint="default"/>
                      <w:b/>
                      <w:bCs/>
                      <w:color w:val="auto"/>
                      <w:highlight w:val="none"/>
                      <w:lang w:val="en-US" w:eastAsia="zh-CN"/>
                    </w:rPr>
                    <w:t>项目</w:t>
                  </w:r>
                </w:p>
              </w:tc>
              <w:tc>
                <w:tcPr>
                  <w:tcW w:w="1244" w:type="dxa"/>
                  <w:tcBorders>
                    <w:tl2br w:val="nil"/>
                    <w:tr2bl w:val="nil"/>
                  </w:tcBorders>
                  <w:vAlign w:val="top"/>
                </w:tcPr>
                <w:p w14:paraId="2E6296D3">
                  <w:pPr>
                    <w:pStyle w:val="106"/>
                    <w:bidi w:val="0"/>
                    <w:rPr>
                      <w:rFonts w:hint="default"/>
                      <w:b/>
                      <w:bCs/>
                      <w:color w:val="auto"/>
                      <w:highlight w:val="none"/>
                      <w:lang w:val="en-US" w:eastAsia="zh-CN"/>
                    </w:rPr>
                  </w:pPr>
                  <w:r>
                    <w:rPr>
                      <w:rFonts w:hint="default"/>
                      <w:b/>
                      <w:bCs/>
                      <w:color w:val="auto"/>
                      <w:highlight w:val="none"/>
                      <w:lang w:val="en-US" w:eastAsia="zh-CN"/>
                    </w:rPr>
                    <w:t>指标</w:t>
                  </w:r>
                </w:p>
              </w:tc>
              <w:tc>
                <w:tcPr>
                  <w:tcW w:w="2822" w:type="dxa"/>
                  <w:tcBorders>
                    <w:tl2br w:val="nil"/>
                    <w:tr2bl w:val="nil"/>
                  </w:tcBorders>
                  <w:vAlign w:val="top"/>
                </w:tcPr>
                <w:p w14:paraId="373D2FAE">
                  <w:pPr>
                    <w:pStyle w:val="106"/>
                    <w:bidi w:val="0"/>
                    <w:rPr>
                      <w:rFonts w:hint="default"/>
                      <w:b/>
                      <w:bCs/>
                      <w:color w:val="auto"/>
                      <w:highlight w:val="none"/>
                      <w:lang w:val="en-US" w:eastAsia="zh-CN"/>
                    </w:rPr>
                  </w:pPr>
                  <w:r>
                    <w:rPr>
                      <w:rFonts w:hint="eastAsia"/>
                      <w:b/>
                      <w:bCs/>
                      <w:color w:val="auto"/>
                      <w:highlight w:val="none"/>
                      <w:lang w:val="en-US" w:eastAsia="zh-CN"/>
                    </w:rPr>
                    <w:t>检验方法</w:t>
                  </w:r>
                </w:p>
              </w:tc>
            </w:tr>
            <w:tr w14:paraId="3CE87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7" w:type="dxa"/>
                  <w:gridSpan w:val="3"/>
                  <w:tcBorders>
                    <w:tl2br w:val="nil"/>
                    <w:tr2bl w:val="nil"/>
                  </w:tcBorders>
                  <w:vAlign w:val="top"/>
                </w:tcPr>
                <w:p w14:paraId="301980F1">
                  <w:pPr>
                    <w:pStyle w:val="106"/>
                    <w:bidi w:val="0"/>
                    <w:rPr>
                      <w:rFonts w:hint="default"/>
                      <w:color w:val="auto"/>
                      <w:highlight w:val="none"/>
                      <w:lang w:val="en-US" w:eastAsia="zh-CN"/>
                    </w:rPr>
                  </w:pPr>
                  <w:r>
                    <w:rPr>
                      <w:rFonts w:hint="default"/>
                      <w:color w:val="auto"/>
                      <w:highlight w:val="none"/>
                      <w:lang w:val="en-US" w:eastAsia="zh-CN"/>
                    </w:rPr>
                    <w:t>理化指标</w:t>
                  </w:r>
                </w:p>
              </w:tc>
            </w:tr>
            <w:tr w14:paraId="03F31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1" w:type="dxa"/>
                  <w:tcBorders>
                    <w:tl2br w:val="nil"/>
                    <w:tr2bl w:val="nil"/>
                  </w:tcBorders>
                  <w:shd w:val="clear" w:color="auto" w:fill="auto"/>
                  <w:vAlign w:val="top"/>
                </w:tcPr>
                <w:p w14:paraId="2AB984B8">
                  <w:pPr>
                    <w:pStyle w:val="106"/>
                    <w:bidi w:val="0"/>
                    <w:ind w:firstLine="0" w:firstLineChars="0"/>
                    <w:jc w:val="left"/>
                    <w:rPr>
                      <w:rFonts w:hint="default" w:ascii="Times New Roman" w:hAnsi="Times New Roman" w:eastAsia="宋体" w:cs="Times New Roman"/>
                      <w:kern w:val="2"/>
                      <w:sz w:val="21"/>
                      <w:szCs w:val="21"/>
                      <w:lang w:val="en-US" w:eastAsia="zh-CN" w:bidi="ar-SA"/>
                    </w:rPr>
                  </w:pPr>
                  <w:r>
                    <w:rPr>
                      <w:rFonts w:hint="default"/>
                      <w:lang w:val="en-US" w:eastAsia="zh-CN"/>
                    </w:rPr>
                    <w:t>水分</w:t>
                  </w:r>
                  <w:r>
                    <w:rPr>
                      <w:rFonts w:hint="eastAsia"/>
                      <w:lang w:val="en-US" w:eastAsia="zh-CN"/>
                    </w:rPr>
                    <w:t>/（g/100g）</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p>
              </w:tc>
              <w:tc>
                <w:tcPr>
                  <w:tcW w:w="1244" w:type="dxa"/>
                  <w:tcBorders>
                    <w:tl2br w:val="nil"/>
                    <w:tr2bl w:val="nil"/>
                  </w:tcBorders>
                  <w:shd w:val="clear" w:color="auto" w:fill="auto"/>
                  <w:vAlign w:val="top"/>
                </w:tcPr>
                <w:p w14:paraId="3F4540CF">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8.0</w:t>
                  </w:r>
                </w:p>
              </w:tc>
              <w:tc>
                <w:tcPr>
                  <w:tcW w:w="2822" w:type="dxa"/>
                  <w:tcBorders>
                    <w:tl2br w:val="nil"/>
                    <w:tr2bl w:val="nil"/>
                  </w:tcBorders>
                  <w:shd w:val="clear" w:color="auto" w:fill="auto"/>
                  <w:vAlign w:val="top"/>
                </w:tcPr>
                <w:p w14:paraId="19614FB6">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GB5009.3-2016</w:t>
                  </w:r>
                </w:p>
              </w:tc>
            </w:tr>
            <w:tr w14:paraId="02337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1" w:type="dxa"/>
                  <w:tcBorders>
                    <w:tl2br w:val="nil"/>
                    <w:tr2bl w:val="nil"/>
                  </w:tcBorders>
                  <w:shd w:val="clear" w:color="auto" w:fill="auto"/>
                  <w:vAlign w:val="top"/>
                </w:tcPr>
                <w:p w14:paraId="39943FB5">
                  <w:pPr>
                    <w:pStyle w:val="106"/>
                    <w:bidi w:val="0"/>
                    <w:ind w:firstLine="0" w:firstLineChars="0"/>
                    <w:jc w:val="left"/>
                    <w:rPr>
                      <w:rFonts w:hint="default" w:ascii="Times New Roman" w:hAnsi="Times New Roman" w:eastAsia="宋体" w:cs="Times New Roman"/>
                      <w:kern w:val="2"/>
                      <w:sz w:val="21"/>
                      <w:szCs w:val="21"/>
                      <w:lang w:val="en-US" w:eastAsia="zh-CN" w:bidi="ar-SA"/>
                    </w:rPr>
                  </w:pPr>
                  <w:r>
                    <w:rPr>
                      <w:rFonts w:hint="eastAsia"/>
                      <w:lang w:val="en-US" w:eastAsia="zh-CN"/>
                    </w:rPr>
                    <w:t xml:space="preserve">总灰分（以干基计）/%                          </w:t>
                  </w:r>
                  <w:r>
                    <w:rPr>
                      <w:rFonts w:hint="default"/>
                      <w:lang w:val="en-US" w:eastAsia="zh-CN"/>
                    </w:rPr>
                    <w:t xml:space="preserve"> ≤</w:t>
                  </w:r>
                </w:p>
              </w:tc>
              <w:tc>
                <w:tcPr>
                  <w:tcW w:w="1244" w:type="dxa"/>
                  <w:tcBorders>
                    <w:tl2br w:val="nil"/>
                    <w:tr2bl w:val="nil"/>
                  </w:tcBorders>
                  <w:shd w:val="clear" w:color="auto" w:fill="auto"/>
                  <w:vAlign w:val="top"/>
                </w:tcPr>
                <w:p w14:paraId="420640E2">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8.0</w:t>
                  </w:r>
                </w:p>
              </w:tc>
              <w:tc>
                <w:tcPr>
                  <w:tcW w:w="2822" w:type="dxa"/>
                  <w:tcBorders>
                    <w:tl2br w:val="nil"/>
                    <w:tr2bl w:val="nil"/>
                  </w:tcBorders>
                  <w:shd w:val="clear" w:color="auto" w:fill="auto"/>
                  <w:vAlign w:val="top"/>
                </w:tcPr>
                <w:p w14:paraId="6DFF5249">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GB5009.4-2016</w:t>
                  </w:r>
                </w:p>
              </w:tc>
            </w:tr>
            <w:tr w14:paraId="0550F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7" w:type="dxa"/>
                  <w:gridSpan w:val="3"/>
                  <w:tcBorders>
                    <w:tl2br w:val="nil"/>
                    <w:tr2bl w:val="nil"/>
                  </w:tcBorders>
                  <w:vAlign w:val="top"/>
                </w:tcPr>
                <w:p w14:paraId="2C2F76F8">
                  <w:pPr>
                    <w:pStyle w:val="106"/>
                    <w:bidi w:val="0"/>
                    <w:rPr>
                      <w:rFonts w:hint="default"/>
                      <w:color w:val="auto"/>
                      <w:highlight w:val="none"/>
                      <w:lang w:val="en-US" w:eastAsia="zh-CN"/>
                    </w:rPr>
                  </w:pPr>
                  <w:r>
                    <w:rPr>
                      <w:rFonts w:hint="eastAsia"/>
                      <w:color w:val="auto"/>
                      <w:highlight w:val="none"/>
                      <w:lang w:val="en-US" w:eastAsia="zh-CN"/>
                    </w:rPr>
                    <w:t>微生物</w:t>
                  </w:r>
                  <w:r>
                    <w:rPr>
                      <w:rFonts w:hint="default"/>
                      <w:color w:val="auto"/>
                      <w:highlight w:val="none"/>
                      <w:lang w:val="en-US" w:eastAsia="zh-CN"/>
                    </w:rPr>
                    <w:t>指标</w:t>
                  </w:r>
                  <w:r>
                    <w:rPr>
                      <w:rFonts w:hint="eastAsia"/>
                      <w:color w:val="auto"/>
                      <w:highlight w:val="none"/>
                      <w:lang w:val="en-US" w:eastAsia="zh-CN"/>
                    </w:rPr>
                    <w:t>（即食类）</w:t>
                  </w:r>
                </w:p>
              </w:tc>
            </w:tr>
            <w:tr w14:paraId="1B290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11" w:type="dxa"/>
                  <w:tcBorders>
                    <w:tl2br w:val="nil"/>
                    <w:tr2bl w:val="nil"/>
                  </w:tcBorders>
                  <w:vAlign w:val="top"/>
                </w:tcPr>
                <w:p w14:paraId="5764B239">
                  <w:pPr>
                    <w:pStyle w:val="106"/>
                    <w:bidi w:val="0"/>
                    <w:rPr>
                      <w:rFonts w:hint="default"/>
                      <w:color w:val="auto"/>
                      <w:highlight w:val="none"/>
                      <w:lang w:val="en-US" w:eastAsia="zh-CN"/>
                    </w:rPr>
                  </w:pPr>
                  <w:r>
                    <w:rPr>
                      <w:rFonts w:hint="default"/>
                      <w:color w:val="auto"/>
                      <w:highlight w:val="none"/>
                      <w:lang w:val="en-US" w:eastAsia="zh-CN"/>
                    </w:rPr>
                    <w:t xml:space="preserve">菌落总数/（cfu/g）       </w:t>
                  </w:r>
                  <w:r>
                    <w:rPr>
                      <w:rFonts w:hint="eastAsia"/>
                      <w:color w:val="auto"/>
                      <w:highlight w:val="none"/>
                      <w:lang w:val="en-US" w:eastAsia="zh-CN"/>
                    </w:rPr>
                    <w:t xml:space="preserve">       </w:t>
                  </w:r>
                  <w:r>
                    <w:rPr>
                      <w:rFonts w:hint="default"/>
                      <w:color w:val="auto"/>
                      <w:highlight w:val="none"/>
                      <w:lang w:val="en-US" w:eastAsia="zh-CN"/>
                    </w:rPr>
                    <w:t xml:space="preserve">                ≤</w:t>
                  </w:r>
                </w:p>
              </w:tc>
              <w:tc>
                <w:tcPr>
                  <w:tcW w:w="1244" w:type="dxa"/>
                  <w:tcBorders>
                    <w:tl2br w:val="nil"/>
                    <w:tr2bl w:val="nil"/>
                  </w:tcBorders>
                  <w:vAlign w:val="top"/>
                </w:tcPr>
                <w:p w14:paraId="17BDC90A">
                  <w:pPr>
                    <w:pStyle w:val="106"/>
                    <w:bidi w:val="0"/>
                    <w:rPr>
                      <w:rFonts w:hint="default"/>
                      <w:color w:val="auto"/>
                      <w:highlight w:val="none"/>
                      <w:lang w:val="en-US" w:eastAsia="zh-CN"/>
                    </w:rPr>
                  </w:pPr>
                  <w:r>
                    <w:rPr>
                      <w:rFonts w:hint="eastAsia"/>
                      <w:color w:val="auto"/>
                      <w:highlight w:val="none"/>
                      <w:lang w:val="en-US" w:eastAsia="zh-CN"/>
                    </w:rPr>
                    <w:t>100000</w:t>
                  </w:r>
                </w:p>
              </w:tc>
              <w:tc>
                <w:tcPr>
                  <w:tcW w:w="2822" w:type="dxa"/>
                  <w:tcBorders>
                    <w:tl2br w:val="nil"/>
                    <w:tr2bl w:val="nil"/>
                  </w:tcBorders>
                  <w:vAlign w:val="top"/>
                </w:tcPr>
                <w:p w14:paraId="682A1D87">
                  <w:pPr>
                    <w:pStyle w:val="106"/>
                    <w:bidi w:val="0"/>
                    <w:rPr>
                      <w:rFonts w:hint="default"/>
                      <w:color w:val="auto"/>
                      <w:highlight w:val="none"/>
                      <w:lang w:val="en-US" w:eastAsia="zh-CN"/>
                    </w:rPr>
                  </w:pPr>
                  <w:r>
                    <w:rPr>
                      <w:rFonts w:hint="default"/>
                      <w:color w:val="auto"/>
                      <w:highlight w:val="none"/>
                      <w:lang w:val="en-US" w:eastAsia="zh-CN"/>
                    </w:rPr>
                    <w:t>GB/T</w:t>
                  </w:r>
                  <w:r>
                    <w:rPr>
                      <w:rFonts w:hint="eastAsia"/>
                      <w:color w:val="auto"/>
                      <w:highlight w:val="none"/>
                      <w:lang w:val="en-US" w:eastAsia="zh-CN"/>
                    </w:rPr>
                    <w:t xml:space="preserve"> </w:t>
                  </w:r>
                  <w:r>
                    <w:rPr>
                      <w:rFonts w:hint="default"/>
                      <w:color w:val="auto"/>
                      <w:highlight w:val="none"/>
                      <w:lang w:val="en-US" w:eastAsia="zh-CN"/>
                    </w:rPr>
                    <w:t>4789.2</w:t>
                  </w:r>
                  <w:r>
                    <w:rPr>
                      <w:rFonts w:hint="eastAsia"/>
                      <w:color w:val="auto"/>
                      <w:highlight w:val="none"/>
                      <w:lang w:val="en-US" w:eastAsia="zh-CN"/>
                    </w:rPr>
                    <w:t>-2022</w:t>
                  </w:r>
                </w:p>
              </w:tc>
            </w:tr>
            <w:tr w14:paraId="49E43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1" w:type="dxa"/>
                  <w:tcBorders>
                    <w:tl2br w:val="nil"/>
                    <w:tr2bl w:val="nil"/>
                  </w:tcBorders>
                  <w:vAlign w:val="top"/>
                </w:tcPr>
                <w:p w14:paraId="54099B57">
                  <w:pPr>
                    <w:pStyle w:val="106"/>
                    <w:bidi w:val="0"/>
                    <w:rPr>
                      <w:rFonts w:hint="default"/>
                      <w:color w:val="auto"/>
                      <w:highlight w:val="none"/>
                      <w:lang w:val="en-US" w:eastAsia="zh-CN"/>
                    </w:rPr>
                  </w:pPr>
                  <w:r>
                    <w:rPr>
                      <w:rFonts w:hint="default"/>
                      <w:color w:val="auto"/>
                      <w:highlight w:val="none"/>
                      <w:lang w:val="en-US" w:eastAsia="zh-CN"/>
                    </w:rPr>
                    <w:t xml:space="preserve">大肠菌群/（MPN/g）     </w:t>
                  </w:r>
                  <w:r>
                    <w:rPr>
                      <w:rFonts w:hint="eastAsia"/>
                      <w:color w:val="auto"/>
                      <w:highlight w:val="none"/>
                      <w:lang w:val="en-US" w:eastAsia="zh-CN"/>
                    </w:rPr>
                    <w:t xml:space="preserve">   </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 xml:space="preserve">  ≤</w:t>
                  </w:r>
                </w:p>
              </w:tc>
              <w:tc>
                <w:tcPr>
                  <w:tcW w:w="1244" w:type="dxa"/>
                  <w:tcBorders>
                    <w:tl2br w:val="nil"/>
                    <w:tr2bl w:val="nil"/>
                  </w:tcBorders>
                  <w:vAlign w:val="top"/>
                </w:tcPr>
                <w:p w14:paraId="24131B73">
                  <w:pPr>
                    <w:pStyle w:val="106"/>
                    <w:bidi w:val="0"/>
                    <w:rPr>
                      <w:rFonts w:hint="default"/>
                      <w:color w:val="auto"/>
                      <w:highlight w:val="none"/>
                      <w:lang w:val="en-US" w:eastAsia="zh-CN"/>
                    </w:rPr>
                  </w:pPr>
                  <w:r>
                    <w:rPr>
                      <w:rFonts w:hint="eastAsia"/>
                      <w:color w:val="auto"/>
                      <w:highlight w:val="none"/>
                      <w:lang w:val="en-US" w:eastAsia="zh-CN"/>
                    </w:rPr>
                    <w:t>3</w:t>
                  </w:r>
                </w:p>
              </w:tc>
              <w:tc>
                <w:tcPr>
                  <w:tcW w:w="2822" w:type="dxa"/>
                  <w:tcBorders>
                    <w:tl2br w:val="nil"/>
                    <w:tr2bl w:val="nil"/>
                  </w:tcBorders>
                  <w:vAlign w:val="top"/>
                </w:tcPr>
                <w:p w14:paraId="27DC782A">
                  <w:pPr>
                    <w:pStyle w:val="106"/>
                    <w:bidi w:val="0"/>
                    <w:rPr>
                      <w:rFonts w:hint="default"/>
                      <w:color w:val="auto"/>
                      <w:highlight w:val="none"/>
                      <w:lang w:val="en-US" w:eastAsia="zh-CN"/>
                    </w:rPr>
                  </w:pPr>
                  <w:r>
                    <w:rPr>
                      <w:rFonts w:hint="default"/>
                      <w:color w:val="auto"/>
                      <w:highlight w:val="none"/>
                      <w:lang w:val="en-US" w:eastAsia="zh-CN"/>
                    </w:rPr>
                    <w:t>GB/T 4789.3</w:t>
                  </w:r>
                  <w:r>
                    <w:rPr>
                      <w:rFonts w:hint="eastAsia"/>
                      <w:color w:val="auto"/>
                      <w:highlight w:val="none"/>
                      <w:lang w:val="en-US" w:eastAsia="zh-CN"/>
                    </w:rPr>
                    <w:t>-2016</w:t>
                  </w:r>
                </w:p>
              </w:tc>
            </w:tr>
            <w:tr w14:paraId="49A86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11" w:type="dxa"/>
                  <w:tcBorders>
                    <w:tl2br w:val="nil"/>
                    <w:tr2bl w:val="nil"/>
                  </w:tcBorders>
                  <w:vAlign w:val="center"/>
                </w:tcPr>
                <w:p w14:paraId="6BE0E29C">
                  <w:pPr>
                    <w:pStyle w:val="106"/>
                    <w:bidi w:val="0"/>
                    <w:jc w:val="both"/>
                    <w:rPr>
                      <w:rFonts w:hint="default"/>
                      <w:color w:val="auto"/>
                      <w:highlight w:val="none"/>
                      <w:lang w:val="en-US" w:eastAsia="zh-CN"/>
                    </w:rPr>
                  </w:pPr>
                  <w:r>
                    <w:rPr>
                      <w:rFonts w:hint="default"/>
                      <w:color w:val="auto"/>
                      <w:highlight w:val="none"/>
                      <w:lang w:val="en-US" w:eastAsia="zh-CN"/>
                    </w:rPr>
                    <w:t>致病菌（</w:t>
                  </w:r>
                  <w:r>
                    <w:rPr>
                      <w:rFonts w:hint="eastAsia"/>
                      <w:color w:val="auto"/>
                      <w:highlight w:val="none"/>
                      <w:lang w:val="en-US" w:eastAsia="zh-CN"/>
                    </w:rPr>
                    <w:t>致病菌指沙门氏菌、金黄色葡萄球菌</w:t>
                  </w:r>
                  <w:r>
                    <w:rPr>
                      <w:rFonts w:hint="default"/>
                      <w:color w:val="auto"/>
                      <w:highlight w:val="none"/>
                      <w:lang w:val="en-US" w:eastAsia="zh-CN"/>
                    </w:rPr>
                    <w:t>）</w:t>
                  </w:r>
                </w:p>
              </w:tc>
              <w:tc>
                <w:tcPr>
                  <w:tcW w:w="1244" w:type="dxa"/>
                  <w:tcBorders>
                    <w:tl2br w:val="nil"/>
                    <w:tr2bl w:val="nil"/>
                  </w:tcBorders>
                  <w:vAlign w:val="center"/>
                </w:tcPr>
                <w:p w14:paraId="70B445EE">
                  <w:pPr>
                    <w:pStyle w:val="106"/>
                    <w:bidi w:val="0"/>
                    <w:jc w:val="center"/>
                    <w:rPr>
                      <w:rFonts w:hint="default"/>
                      <w:color w:val="auto"/>
                      <w:highlight w:val="none"/>
                      <w:lang w:val="en-US" w:eastAsia="zh-CN"/>
                    </w:rPr>
                  </w:pPr>
                  <w:r>
                    <w:rPr>
                      <w:rFonts w:hint="default"/>
                      <w:color w:val="auto"/>
                      <w:highlight w:val="none"/>
                      <w:lang w:val="en-US" w:eastAsia="zh-CN"/>
                    </w:rPr>
                    <w:t>不得检出</w:t>
                  </w:r>
                </w:p>
              </w:tc>
              <w:tc>
                <w:tcPr>
                  <w:tcW w:w="2822" w:type="dxa"/>
                  <w:tcBorders>
                    <w:tl2br w:val="nil"/>
                    <w:tr2bl w:val="nil"/>
                  </w:tcBorders>
                  <w:vAlign w:val="top"/>
                </w:tcPr>
                <w:p w14:paraId="498C6961">
                  <w:pPr>
                    <w:pStyle w:val="106"/>
                    <w:bidi w:val="0"/>
                    <w:rPr>
                      <w:rFonts w:hint="default"/>
                      <w:color w:val="auto"/>
                      <w:highlight w:val="none"/>
                      <w:lang w:val="en-US" w:eastAsia="zh-CN"/>
                    </w:rPr>
                  </w:pPr>
                  <w:r>
                    <w:rPr>
                      <w:rFonts w:hint="default"/>
                      <w:color w:val="auto"/>
                      <w:highlight w:val="none"/>
                      <w:lang w:val="en-US" w:eastAsia="zh-CN"/>
                    </w:rPr>
                    <w:t>GB/T 4789.4、GB/T 4789.10</w:t>
                  </w:r>
                </w:p>
              </w:tc>
            </w:tr>
          </w:tbl>
          <w:p w14:paraId="66EAC605">
            <w:pPr>
              <w:pStyle w:val="14"/>
              <w:rPr>
                <w:rFonts w:hint="default" w:eastAsia="宋体"/>
                <w:lang w:val="en-US" w:eastAsia="zh-CN"/>
              </w:rPr>
            </w:pPr>
            <w:r>
              <w:t xml:space="preserve">表2- </w:t>
            </w:r>
            <w:r>
              <w:fldChar w:fldCharType="begin"/>
            </w:r>
            <w:r>
              <w:instrText xml:space="preserve"> SEQ 表2- \* ARABIC </w:instrText>
            </w:r>
            <w:r>
              <w:fldChar w:fldCharType="separate"/>
            </w:r>
            <w:r>
              <w:t>4</w:t>
            </w:r>
            <w:r>
              <w:fldChar w:fldCharType="end"/>
            </w:r>
            <w:r>
              <w:rPr>
                <w:rFonts w:hint="eastAsia"/>
                <w:lang w:val="en-US" w:eastAsia="zh-CN"/>
              </w:rPr>
              <w:t xml:space="preserve">  罐头食品感官要求</w:t>
            </w:r>
          </w:p>
          <w:tbl>
            <w:tblPr>
              <w:tblStyle w:val="29"/>
              <w:tblW w:w="91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4223"/>
              <w:gridCol w:w="3756"/>
            </w:tblGrid>
            <w:tr w14:paraId="76BA0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8" w:type="dxa"/>
                  <w:tcBorders>
                    <w:tl2br w:val="nil"/>
                    <w:tr2bl w:val="nil"/>
                  </w:tcBorders>
                  <w:vAlign w:val="center"/>
                </w:tcPr>
                <w:p w14:paraId="7045C58A">
                  <w:pPr>
                    <w:pStyle w:val="106"/>
                    <w:bidi w:val="0"/>
                    <w:jc w:val="center"/>
                    <w:rPr>
                      <w:rFonts w:hint="default"/>
                      <w:b/>
                      <w:bCs/>
                      <w:color w:val="auto"/>
                      <w:highlight w:val="none"/>
                      <w:lang w:val="en-US" w:eastAsia="zh-CN"/>
                    </w:rPr>
                  </w:pPr>
                  <w:r>
                    <w:rPr>
                      <w:rFonts w:hint="default"/>
                      <w:b/>
                      <w:bCs/>
                      <w:color w:val="auto"/>
                      <w:highlight w:val="none"/>
                      <w:lang w:val="en-US" w:eastAsia="zh-CN"/>
                    </w:rPr>
                    <w:t>项目</w:t>
                  </w:r>
                </w:p>
              </w:tc>
              <w:tc>
                <w:tcPr>
                  <w:tcW w:w="4223" w:type="dxa"/>
                  <w:tcBorders>
                    <w:tl2br w:val="nil"/>
                    <w:tr2bl w:val="nil"/>
                  </w:tcBorders>
                  <w:vAlign w:val="center"/>
                </w:tcPr>
                <w:p w14:paraId="03BC2100">
                  <w:pPr>
                    <w:pStyle w:val="106"/>
                    <w:bidi w:val="0"/>
                    <w:jc w:val="center"/>
                    <w:rPr>
                      <w:rFonts w:hint="default"/>
                      <w:b/>
                      <w:bCs/>
                      <w:color w:val="auto"/>
                      <w:highlight w:val="none"/>
                      <w:lang w:val="en-US" w:eastAsia="zh-CN"/>
                    </w:rPr>
                  </w:pPr>
                  <w:r>
                    <w:rPr>
                      <w:rFonts w:hint="default"/>
                      <w:b/>
                      <w:bCs/>
                      <w:color w:val="auto"/>
                      <w:highlight w:val="none"/>
                      <w:lang w:val="en-US" w:eastAsia="zh-CN"/>
                    </w:rPr>
                    <w:t>要求</w:t>
                  </w:r>
                </w:p>
              </w:tc>
              <w:tc>
                <w:tcPr>
                  <w:tcW w:w="3756" w:type="dxa"/>
                  <w:tcBorders>
                    <w:tl2br w:val="nil"/>
                    <w:tr2bl w:val="nil"/>
                  </w:tcBorders>
                  <w:vAlign w:val="center"/>
                </w:tcPr>
                <w:p w14:paraId="3D308247">
                  <w:pPr>
                    <w:pStyle w:val="106"/>
                    <w:bidi w:val="0"/>
                    <w:jc w:val="center"/>
                    <w:rPr>
                      <w:rFonts w:hint="default"/>
                      <w:b/>
                      <w:bCs/>
                      <w:color w:val="auto"/>
                      <w:highlight w:val="none"/>
                      <w:lang w:val="en-US" w:eastAsia="zh-CN"/>
                    </w:rPr>
                  </w:pPr>
                  <w:r>
                    <w:rPr>
                      <w:rFonts w:hint="default"/>
                      <w:b/>
                      <w:bCs/>
                      <w:color w:val="auto"/>
                      <w:highlight w:val="none"/>
                      <w:lang w:val="en-US" w:eastAsia="zh-CN"/>
                    </w:rPr>
                    <w:t>检验方法</w:t>
                  </w:r>
                </w:p>
              </w:tc>
            </w:tr>
            <w:tr w14:paraId="20F09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8" w:type="dxa"/>
                  <w:tcBorders>
                    <w:tl2br w:val="nil"/>
                    <w:tr2bl w:val="nil"/>
                  </w:tcBorders>
                  <w:vAlign w:val="center"/>
                </w:tcPr>
                <w:p w14:paraId="27D0E7A6">
                  <w:pPr>
                    <w:pStyle w:val="106"/>
                    <w:bidi w:val="0"/>
                    <w:jc w:val="center"/>
                    <w:rPr>
                      <w:rFonts w:hint="default"/>
                      <w:color w:val="auto"/>
                      <w:highlight w:val="none"/>
                      <w:lang w:val="en-US" w:eastAsia="zh-CN"/>
                    </w:rPr>
                  </w:pPr>
                  <w:r>
                    <w:rPr>
                      <w:rFonts w:hint="eastAsia"/>
                      <w:color w:val="auto"/>
                      <w:highlight w:val="none"/>
                      <w:lang w:val="en-US" w:eastAsia="zh-CN"/>
                    </w:rPr>
                    <w:t>容器</w:t>
                  </w:r>
                </w:p>
              </w:tc>
              <w:tc>
                <w:tcPr>
                  <w:tcW w:w="4223" w:type="dxa"/>
                  <w:tcBorders>
                    <w:tl2br w:val="nil"/>
                    <w:tr2bl w:val="nil"/>
                  </w:tcBorders>
                  <w:vAlign w:val="center"/>
                </w:tcPr>
                <w:p w14:paraId="1C6C6C73">
                  <w:pPr>
                    <w:pStyle w:val="106"/>
                    <w:bidi w:val="0"/>
                    <w:jc w:val="both"/>
                    <w:rPr>
                      <w:rFonts w:hint="default"/>
                      <w:color w:val="auto"/>
                      <w:highlight w:val="none"/>
                      <w:lang w:val="en-US" w:eastAsia="zh-CN"/>
                    </w:rPr>
                  </w:pPr>
                  <w:r>
                    <w:rPr>
                      <w:rFonts w:hint="eastAsia"/>
                      <w:color w:val="auto"/>
                      <w:highlight w:val="none"/>
                      <w:lang w:val="en-US" w:eastAsia="zh-CN"/>
                    </w:rPr>
                    <w:t>包装容器密封完好，无泄漏，无胀罐（胖听）</w:t>
                  </w:r>
                </w:p>
              </w:tc>
              <w:tc>
                <w:tcPr>
                  <w:tcW w:w="3756" w:type="dxa"/>
                  <w:tcBorders>
                    <w:tl2br w:val="nil"/>
                    <w:tr2bl w:val="nil"/>
                  </w:tcBorders>
                  <w:vAlign w:val="center"/>
                </w:tcPr>
                <w:p w14:paraId="0CF914F2">
                  <w:pPr>
                    <w:pStyle w:val="106"/>
                    <w:bidi w:val="0"/>
                    <w:jc w:val="both"/>
                    <w:rPr>
                      <w:rFonts w:hint="default"/>
                      <w:color w:val="auto"/>
                      <w:highlight w:val="none"/>
                      <w:lang w:val="en-US" w:eastAsia="zh-CN"/>
                    </w:rPr>
                  </w:pPr>
                  <w:r>
                    <w:rPr>
                      <w:rFonts w:hint="eastAsia"/>
                      <w:color w:val="auto"/>
                      <w:highlight w:val="none"/>
                      <w:lang w:val="en-US" w:eastAsia="zh-CN"/>
                    </w:rPr>
                    <w:t>在自然光线下，目视检查容器外观</w:t>
                  </w:r>
                </w:p>
              </w:tc>
            </w:tr>
            <w:tr w14:paraId="37A93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8" w:type="dxa"/>
                  <w:tcBorders>
                    <w:tl2br w:val="nil"/>
                    <w:tr2bl w:val="nil"/>
                  </w:tcBorders>
                  <w:vAlign w:val="center"/>
                </w:tcPr>
                <w:p w14:paraId="7ECDBB46">
                  <w:pPr>
                    <w:pStyle w:val="106"/>
                    <w:bidi w:val="0"/>
                    <w:jc w:val="center"/>
                    <w:rPr>
                      <w:rFonts w:hint="default"/>
                      <w:color w:val="auto"/>
                      <w:highlight w:val="none"/>
                      <w:lang w:val="en-US" w:eastAsia="zh-CN"/>
                    </w:rPr>
                  </w:pPr>
                  <w:r>
                    <w:rPr>
                      <w:rFonts w:hint="eastAsia"/>
                      <w:color w:val="auto"/>
                      <w:highlight w:val="none"/>
                      <w:lang w:val="en-US" w:eastAsia="zh-CN"/>
                    </w:rPr>
                    <w:t>内容物</w:t>
                  </w:r>
                </w:p>
              </w:tc>
              <w:tc>
                <w:tcPr>
                  <w:tcW w:w="4223" w:type="dxa"/>
                  <w:tcBorders>
                    <w:tl2br w:val="nil"/>
                    <w:tr2bl w:val="nil"/>
                  </w:tcBorders>
                  <w:vAlign w:val="center"/>
                </w:tcPr>
                <w:p w14:paraId="2B920773">
                  <w:pPr>
                    <w:pStyle w:val="106"/>
                    <w:bidi w:val="0"/>
                    <w:jc w:val="both"/>
                    <w:rPr>
                      <w:rFonts w:hint="default"/>
                      <w:color w:val="auto"/>
                      <w:highlight w:val="none"/>
                      <w:lang w:val="en-US" w:eastAsia="zh-CN"/>
                    </w:rPr>
                  </w:pPr>
                  <w:r>
                    <w:rPr>
                      <w:rFonts w:hint="default"/>
                      <w:color w:val="auto"/>
                      <w:highlight w:val="none"/>
                      <w:lang w:val="en-US" w:eastAsia="zh-CN"/>
                    </w:rPr>
                    <w:t>具有该品种罐头食品应有的色泽、气味、滋味和性状</w:t>
                  </w:r>
                  <w:r>
                    <w:rPr>
                      <w:rFonts w:hint="eastAsia"/>
                      <w:color w:val="auto"/>
                      <w:highlight w:val="none"/>
                      <w:lang w:val="en-US" w:eastAsia="zh-CN"/>
                    </w:rPr>
                    <w:t>，</w:t>
                  </w:r>
                  <w:r>
                    <w:rPr>
                      <w:rFonts w:hint="default"/>
                      <w:color w:val="auto"/>
                      <w:highlight w:val="none"/>
                      <w:lang w:val="en-US" w:eastAsia="zh-CN"/>
                    </w:rPr>
                    <w:t>无肉眼可见的外来杂质</w:t>
                  </w:r>
                </w:p>
              </w:tc>
              <w:tc>
                <w:tcPr>
                  <w:tcW w:w="3756" w:type="dxa"/>
                  <w:tcBorders>
                    <w:tl2br w:val="nil"/>
                    <w:tr2bl w:val="nil"/>
                  </w:tcBorders>
                  <w:vAlign w:val="center"/>
                </w:tcPr>
                <w:p w14:paraId="50BC066A">
                  <w:pPr>
                    <w:pStyle w:val="106"/>
                    <w:bidi w:val="0"/>
                    <w:jc w:val="both"/>
                    <w:rPr>
                      <w:rFonts w:hint="default"/>
                      <w:color w:val="auto"/>
                      <w:highlight w:val="none"/>
                      <w:lang w:val="en-US" w:eastAsia="zh-CN"/>
                    </w:rPr>
                  </w:pPr>
                  <w:r>
                    <w:rPr>
                      <w:rFonts w:hint="eastAsia"/>
                      <w:color w:val="auto"/>
                      <w:highlight w:val="none"/>
                      <w:lang w:val="en-US" w:eastAsia="zh-CN"/>
                    </w:rPr>
                    <w:t>GB/T10786</w:t>
                  </w:r>
                </w:p>
              </w:tc>
            </w:tr>
          </w:tbl>
          <w:p w14:paraId="3A0EE8D7">
            <w:pPr>
              <w:pStyle w:val="14"/>
              <w:rPr>
                <w:rFonts w:hint="default" w:eastAsia="宋体"/>
                <w:lang w:val="en-US" w:eastAsia="zh-CN"/>
              </w:rPr>
            </w:pPr>
            <w:r>
              <w:t xml:space="preserve">表2- </w:t>
            </w:r>
            <w:r>
              <w:fldChar w:fldCharType="begin"/>
            </w:r>
            <w:r>
              <w:instrText xml:space="preserve"> SEQ 表2- \* ARABIC </w:instrText>
            </w:r>
            <w:r>
              <w:fldChar w:fldCharType="separate"/>
            </w:r>
            <w:r>
              <w:t>5</w:t>
            </w:r>
            <w:r>
              <w:fldChar w:fldCharType="end"/>
            </w:r>
            <w:r>
              <w:rPr>
                <w:rFonts w:hint="eastAsia"/>
                <w:lang w:val="en-US" w:eastAsia="zh-CN"/>
              </w:rPr>
              <w:t xml:space="preserve">  罐头食品理化指标及微生物指标</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19"/>
              <w:gridCol w:w="2943"/>
              <w:gridCol w:w="2825"/>
            </w:tblGrid>
            <w:tr w14:paraId="45E01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5" w:type="dxa"/>
                  <w:tcBorders>
                    <w:tl2br w:val="nil"/>
                    <w:tr2bl w:val="nil"/>
                  </w:tcBorders>
                  <w:vAlign w:val="top"/>
                </w:tcPr>
                <w:p w14:paraId="2F51BCFC">
                  <w:pPr>
                    <w:pStyle w:val="106"/>
                    <w:bidi w:val="0"/>
                    <w:rPr>
                      <w:rFonts w:hint="default"/>
                      <w:b/>
                      <w:bCs/>
                      <w:color w:val="auto"/>
                      <w:highlight w:val="none"/>
                      <w:lang w:val="en-US" w:eastAsia="zh-CN"/>
                    </w:rPr>
                  </w:pPr>
                  <w:r>
                    <w:rPr>
                      <w:rFonts w:hint="default"/>
                      <w:b/>
                      <w:bCs/>
                      <w:color w:val="auto"/>
                      <w:highlight w:val="none"/>
                      <w:lang w:val="en-US" w:eastAsia="zh-CN"/>
                    </w:rPr>
                    <w:t>项目</w:t>
                  </w:r>
                </w:p>
              </w:tc>
              <w:tc>
                <w:tcPr>
                  <w:tcW w:w="2940" w:type="dxa"/>
                  <w:tcBorders>
                    <w:tl2br w:val="nil"/>
                    <w:tr2bl w:val="nil"/>
                  </w:tcBorders>
                  <w:vAlign w:val="top"/>
                </w:tcPr>
                <w:p w14:paraId="523CEB7E">
                  <w:pPr>
                    <w:pStyle w:val="106"/>
                    <w:bidi w:val="0"/>
                    <w:rPr>
                      <w:rFonts w:hint="default"/>
                      <w:b/>
                      <w:bCs/>
                      <w:color w:val="auto"/>
                      <w:highlight w:val="none"/>
                      <w:lang w:val="en-US" w:eastAsia="zh-CN"/>
                    </w:rPr>
                  </w:pPr>
                  <w:r>
                    <w:rPr>
                      <w:rFonts w:hint="default"/>
                      <w:b/>
                      <w:bCs/>
                      <w:color w:val="auto"/>
                      <w:highlight w:val="none"/>
                      <w:lang w:val="en-US" w:eastAsia="zh-CN"/>
                    </w:rPr>
                    <w:t>指标</w:t>
                  </w:r>
                </w:p>
              </w:tc>
              <w:tc>
                <w:tcPr>
                  <w:tcW w:w="2822" w:type="dxa"/>
                  <w:tcBorders>
                    <w:tl2br w:val="nil"/>
                    <w:tr2bl w:val="nil"/>
                  </w:tcBorders>
                  <w:vAlign w:val="top"/>
                </w:tcPr>
                <w:p w14:paraId="15E25364">
                  <w:pPr>
                    <w:pStyle w:val="106"/>
                    <w:bidi w:val="0"/>
                    <w:rPr>
                      <w:rFonts w:hint="default"/>
                      <w:b/>
                      <w:bCs/>
                      <w:color w:val="auto"/>
                      <w:highlight w:val="none"/>
                      <w:lang w:val="en-US" w:eastAsia="zh-CN"/>
                    </w:rPr>
                  </w:pPr>
                  <w:r>
                    <w:rPr>
                      <w:rFonts w:hint="eastAsia"/>
                      <w:b/>
                      <w:bCs/>
                      <w:color w:val="auto"/>
                      <w:highlight w:val="none"/>
                      <w:lang w:val="en-US" w:eastAsia="zh-CN"/>
                    </w:rPr>
                    <w:t>检验方法</w:t>
                  </w:r>
                </w:p>
              </w:tc>
            </w:tr>
            <w:tr w14:paraId="7E24E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7" w:type="dxa"/>
                  <w:gridSpan w:val="3"/>
                  <w:tcBorders>
                    <w:tl2br w:val="nil"/>
                    <w:tr2bl w:val="nil"/>
                  </w:tcBorders>
                  <w:vAlign w:val="top"/>
                </w:tcPr>
                <w:p w14:paraId="003A0B34">
                  <w:pPr>
                    <w:pStyle w:val="106"/>
                    <w:bidi w:val="0"/>
                    <w:rPr>
                      <w:rFonts w:hint="default"/>
                      <w:color w:val="auto"/>
                      <w:highlight w:val="none"/>
                      <w:lang w:val="en-US" w:eastAsia="zh-CN"/>
                    </w:rPr>
                  </w:pPr>
                  <w:r>
                    <w:rPr>
                      <w:rFonts w:hint="default"/>
                      <w:color w:val="auto"/>
                      <w:highlight w:val="none"/>
                      <w:lang w:val="en-US" w:eastAsia="zh-CN"/>
                    </w:rPr>
                    <w:t>理化指标</w:t>
                  </w:r>
                </w:p>
              </w:tc>
            </w:tr>
            <w:tr w14:paraId="6097D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shd w:val="clear" w:color="auto" w:fill="auto"/>
                  <w:vAlign w:val="top"/>
                </w:tcPr>
                <w:p w14:paraId="5470AA2D">
                  <w:pPr>
                    <w:pStyle w:val="106"/>
                    <w:bidi w:val="0"/>
                    <w:ind w:firstLine="0" w:firstLineChars="0"/>
                    <w:jc w:val="left"/>
                    <w:rPr>
                      <w:rFonts w:hint="eastAsia"/>
                      <w:lang w:val="en-US" w:eastAsia="zh-CN"/>
                    </w:rPr>
                  </w:pPr>
                  <w:r>
                    <w:rPr>
                      <w:rFonts w:hint="eastAsia"/>
                      <w:lang w:val="en-US" w:eastAsia="zh-CN"/>
                    </w:rPr>
                    <w:t xml:space="preserve">铅/（mg/kg）                 </w:t>
                  </w:r>
                  <w:r>
                    <w:rPr>
                      <w:rFonts w:hint="default"/>
                      <w:lang w:val="en-US" w:eastAsia="zh-CN"/>
                    </w:rPr>
                    <w:t xml:space="preserve"> ≤</w:t>
                  </w:r>
                </w:p>
              </w:tc>
              <w:tc>
                <w:tcPr>
                  <w:tcW w:w="2940" w:type="dxa"/>
                  <w:tcBorders>
                    <w:tl2br w:val="nil"/>
                    <w:tr2bl w:val="nil"/>
                  </w:tcBorders>
                  <w:shd w:val="clear" w:color="auto" w:fill="auto"/>
                  <w:vAlign w:val="top"/>
                </w:tcPr>
                <w:p w14:paraId="2A0EC666">
                  <w:pPr>
                    <w:pStyle w:val="106"/>
                    <w:bidi w:val="0"/>
                    <w:ind w:firstLine="0" w:firstLineChars="0"/>
                    <w:rPr>
                      <w:rFonts w:hint="default"/>
                      <w:lang w:val="en-US" w:eastAsia="zh-CN"/>
                    </w:rPr>
                  </w:pPr>
                  <w:r>
                    <w:rPr>
                      <w:rFonts w:hint="eastAsia"/>
                      <w:lang w:val="en-US" w:eastAsia="zh-CN"/>
                    </w:rPr>
                    <w:t>0.3</w:t>
                  </w:r>
                </w:p>
              </w:tc>
              <w:tc>
                <w:tcPr>
                  <w:tcW w:w="2822" w:type="dxa"/>
                  <w:tcBorders>
                    <w:tl2br w:val="nil"/>
                    <w:tr2bl w:val="nil"/>
                  </w:tcBorders>
                  <w:shd w:val="clear" w:color="auto" w:fill="auto"/>
                  <w:vAlign w:val="top"/>
                </w:tcPr>
                <w:p w14:paraId="08F3ED68">
                  <w:pPr>
                    <w:pStyle w:val="106"/>
                    <w:bidi w:val="0"/>
                    <w:ind w:firstLine="0" w:firstLineChars="0"/>
                    <w:rPr>
                      <w:rFonts w:hint="default"/>
                      <w:lang w:val="en-US" w:eastAsia="zh-CN"/>
                    </w:rPr>
                  </w:pPr>
                  <w:r>
                    <w:rPr>
                      <w:rFonts w:hint="eastAsia"/>
                      <w:lang w:val="en-US" w:eastAsia="zh-CN"/>
                    </w:rPr>
                    <w:t>GB2762-2022</w:t>
                  </w:r>
                </w:p>
              </w:tc>
            </w:tr>
            <w:tr w14:paraId="3217E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shd w:val="clear" w:color="auto" w:fill="auto"/>
                  <w:vAlign w:val="top"/>
                </w:tcPr>
                <w:p w14:paraId="5D97A80B">
                  <w:pPr>
                    <w:pStyle w:val="106"/>
                    <w:bidi w:val="0"/>
                    <w:ind w:firstLine="0" w:firstLineChars="0"/>
                    <w:jc w:val="left"/>
                    <w:rPr>
                      <w:rFonts w:hint="eastAsia" w:ascii="Times New Roman" w:hAnsi="Times New Roman" w:eastAsia="宋体" w:cs="Times New Roman"/>
                      <w:kern w:val="2"/>
                      <w:sz w:val="21"/>
                      <w:szCs w:val="21"/>
                      <w:lang w:val="en-US" w:eastAsia="zh-CN" w:bidi="ar-SA"/>
                    </w:rPr>
                  </w:pPr>
                  <w:r>
                    <w:rPr>
                      <w:rFonts w:hint="eastAsia"/>
                      <w:lang w:val="en-US" w:eastAsia="zh-CN"/>
                    </w:rPr>
                    <w:t>砷</w:t>
                  </w:r>
                  <w:r>
                    <w:rPr>
                      <w:rFonts w:hint="default"/>
                      <w:lang w:val="en-US" w:eastAsia="zh-CN"/>
                    </w:rPr>
                    <w:t>/</w:t>
                  </w:r>
                  <w:r>
                    <w:rPr>
                      <w:rFonts w:hint="eastAsia"/>
                      <w:lang w:val="en-US" w:eastAsia="zh-CN"/>
                    </w:rPr>
                    <w:t>（mg/kg）</w:t>
                  </w:r>
                  <w:r>
                    <w:rPr>
                      <w:rFonts w:hint="default"/>
                      <w:lang w:val="en-US" w:eastAsia="zh-CN"/>
                    </w:rPr>
                    <w:t xml:space="preserve">  </w:t>
                  </w:r>
                  <w:r>
                    <w:rPr>
                      <w:rFonts w:hint="eastAsia"/>
                      <w:lang w:val="en-US" w:eastAsia="zh-CN"/>
                    </w:rPr>
                    <w:t xml:space="preserve">              </w:t>
                  </w:r>
                  <w:r>
                    <w:rPr>
                      <w:rFonts w:hint="default"/>
                      <w:lang w:val="en-US" w:eastAsia="zh-CN"/>
                    </w:rPr>
                    <w:t xml:space="preserve">  ≤</w:t>
                  </w:r>
                </w:p>
              </w:tc>
              <w:tc>
                <w:tcPr>
                  <w:tcW w:w="2940" w:type="dxa"/>
                  <w:tcBorders>
                    <w:tl2br w:val="nil"/>
                    <w:tr2bl w:val="nil"/>
                  </w:tcBorders>
                  <w:shd w:val="clear" w:color="auto" w:fill="auto"/>
                  <w:vAlign w:val="top"/>
                </w:tcPr>
                <w:p w14:paraId="4A164ACA">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0.5</w:t>
                  </w:r>
                </w:p>
              </w:tc>
              <w:tc>
                <w:tcPr>
                  <w:tcW w:w="2822" w:type="dxa"/>
                  <w:tcBorders>
                    <w:tl2br w:val="nil"/>
                    <w:tr2bl w:val="nil"/>
                  </w:tcBorders>
                  <w:shd w:val="clear" w:color="auto" w:fill="auto"/>
                  <w:vAlign w:val="top"/>
                </w:tcPr>
                <w:p w14:paraId="19FFAA97">
                  <w:pPr>
                    <w:pStyle w:val="106"/>
                    <w:bidi w:val="0"/>
                    <w:ind w:firstLine="0" w:firstLineChars="0"/>
                    <w:rPr>
                      <w:rFonts w:hint="eastAsia"/>
                      <w:highlight w:val="yellow"/>
                      <w:lang w:val="en-US" w:eastAsia="zh-CN"/>
                    </w:rPr>
                  </w:pPr>
                  <w:r>
                    <w:rPr>
                      <w:rFonts w:hint="eastAsia"/>
                      <w:lang w:val="en-US" w:eastAsia="zh-CN"/>
                    </w:rPr>
                    <w:t>GB2762-2022</w:t>
                  </w:r>
                </w:p>
              </w:tc>
            </w:tr>
            <w:tr w14:paraId="0E30B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shd w:val="clear" w:color="auto" w:fill="auto"/>
                  <w:vAlign w:val="top"/>
                </w:tcPr>
                <w:p w14:paraId="73AD3ED1">
                  <w:pPr>
                    <w:pStyle w:val="106"/>
                    <w:bidi w:val="0"/>
                    <w:ind w:firstLine="0" w:firstLineChars="0"/>
                    <w:jc w:val="left"/>
                    <w:rPr>
                      <w:rFonts w:hint="eastAsia" w:ascii="Times New Roman" w:hAnsi="Times New Roman" w:eastAsia="宋体" w:cs="Times New Roman"/>
                      <w:kern w:val="2"/>
                      <w:sz w:val="21"/>
                      <w:szCs w:val="21"/>
                      <w:lang w:val="en-US" w:eastAsia="zh-CN" w:bidi="ar-SA"/>
                    </w:rPr>
                  </w:pPr>
                  <w:r>
                    <w:rPr>
                      <w:rFonts w:hint="eastAsia"/>
                      <w:lang w:val="en-US" w:eastAsia="zh-CN"/>
                    </w:rPr>
                    <w:t>铬</w:t>
                  </w:r>
                  <w:r>
                    <w:rPr>
                      <w:rFonts w:hint="default"/>
                      <w:lang w:val="en-US" w:eastAsia="zh-CN"/>
                    </w:rPr>
                    <w:t>/</w:t>
                  </w:r>
                  <w:r>
                    <w:rPr>
                      <w:rFonts w:hint="eastAsia"/>
                      <w:lang w:val="en-US" w:eastAsia="zh-CN"/>
                    </w:rPr>
                    <w:t>（mg/kg）</w:t>
                  </w:r>
                  <w:r>
                    <w:rPr>
                      <w:rFonts w:hint="default"/>
                      <w:lang w:val="en-US" w:eastAsia="zh-CN"/>
                    </w:rPr>
                    <w:t xml:space="preserve">  </w:t>
                  </w:r>
                  <w:r>
                    <w:rPr>
                      <w:rFonts w:hint="eastAsia"/>
                      <w:lang w:val="en-US" w:eastAsia="zh-CN"/>
                    </w:rPr>
                    <w:t xml:space="preserve">              </w:t>
                  </w:r>
                  <w:r>
                    <w:rPr>
                      <w:rFonts w:hint="default"/>
                      <w:lang w:val="en-US" w:eastAsia="zh-CN"/>
                    </w:rPr>
                    <w:t xml:space="preserve">  ≤</w:t>
                  </w:r>
                </w:p>
              </w:tc>
              <w:tc>
                <w:tcPr>
                  <w:tcW w:w="2940" w:type="dxa"/>
                  <w:tcBorders>
                    <w:tl2br w:val="nil"/>
                    <w:tr2bl w:val="nil"/>
                  </w:tcBorders>
                  <w:shd w:val="clear" w:color="auto" w:fill="auto"/>
                  <w:vAlign w:val="top"/>
                </w:tcPr>
                <w:p w14:paraId="574F0DE7">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1.0</w:t>
                  </w:r>
                </w:p>
              </w:tc>
              <w:tc>
                <w:tcPr>
                  <w:tcW w:w="2822" w:type="dxa"/>
                  <w:tcBorders>
                    <w:tl2br w:val="nil"/>
                    <w:tr2bl w:val="nil"/>
                  </w:tcBorders>
                  <w:shd w:val="clear" w:color="auto" w:fill="auto"/>
                  <w:vAlign w:val="top"/>
                </w:tcPr>
                <w:p w14:paraId="748AD3B8">
                  <w:pPr>
                    <w:pStyle w:val="106"/>
                    <w:bidi w:val="0"/>
                    <w:ind w:firstLine="0" w:firstLineChars="0"/>
                    <w:rPr>
                      <w:rFonts w:hint="eastAsia" w:ascii="Times New Roman" w:hAnsi="Times New Roman" w:eastAsia="宋体" w:cs="Times New Roman"/>
                      <w:kern w:val="2"/>
                      <w:sz w:val="21"/>
                      <w:szCs w:val="21"/>
                      <w:highlight w:val="yellow"/>
                      <w:lang w:val="en-US" w:eastAsia="zh-CN" w:bidi="ar-SA"/>
                    </w:rPr>
                  </w:pPr>
                  <w:r>
                    <w:rPr>
                      <w:rFonts w:hint="eastAsia"/>
                      <w:lang w:val="en-US" w:eastAsia="zh-CN"/>
                    </w:rPr>
                    <w:t>GB2762-2022</w:t>
                  </w:r>
                </w:p>
              </w:tc>
            </w:tr>
            <w:tr w14:paraId="0127F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7" w:type="dxa"/>
                  <w:gridSpan w:val="3"/>
                  <w:tcBorders>
                    <w:tl2br w:val="nil"/>
                    <w:tr2bl w:val="nil"/>
                  </w:tcBorders>
                  <w:vAlign w:val="top"/>
                </w:tcPr>
                <w:p w14:paraId="083DC0FE">
                  <w:pPr>
                    <w:pStyle w:val="106"/>
                    <w:bidi w:val="0"/>
                    <w:rPr>
                      <w:rFonts w:hint="default"/>
                      <w:color w:val="auto"/>
                      <w:highlight w:val="none"/>
                      <w:lang w:val="en-US" w:eastAsia="zh-CN"/>
                    </w:rPr>
                  </w:pPr>
                  <w:r>
                    <w:rPr>
                      <w:rFonts w:hint="eastAsia"/>
                      <w:color w:val="auto"/>
                      <w:highlight w:val="none"/>
                      <w:lang w:val="en-US" w:eastAsia="zh-CN"/>
                    </w:rPr>
                    <w:t>微生物</w:t>
                  </w:r>
                  <w:r>
                    <w:rPr>
                      <w:rFonts w:hint="default"/>
                      <w:color w:val="auto"/>
                      <w:highlight w:val="none"/>
                      <w:lang w:val="en-US" w:eastAsia="zh-CN"/>
                    </w:rPr>
                    <w:t>指标</w:t>
                  </w:r>
                </w:p>
              </w:tc>
            </w:tr>
            <w:tr w14:paraId="4027D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vAlign w:val="top"/>
                </w:tcPr>
                <w:p w14:paraId="53A9BAAA">
                  <w:pPr>
                    <w:pStyle w:val="106"/>
                    <w:bidi w:val="0"/>
                    <w:jc w:val="left"/>
                    <w:rPr>
                      <w:rFonts w:hint="default"/>
                      <w:color w:val="auto"/>
                      <w:highlight w:val="none"/>
                      <w:lang w:val="en-US" w:eastAsia="zh-CN"/>
                    </w:rPr>
                  </w:pPr>
                  <w:r>
                    <w:rPr>
                      <w:rFonts w:hint="eastAsia"/>
                      <w:color w:val="auto"/>
                      <w:highlight w:val="none"/>
                      <w:lang w:val="en-US" w:eastAsia="zh-CN"/>
                    </w:rPr>
                    <w:t>/</w:t>
                  </w:r>
                </w:p>
              </w:tc>
              <w:tc>
                <w:tcPr>
                  <w:tcW w:w="2940" w:type="dxa"/>
                  <w:tcBorders>
                    <w:tl2br w:val="nil"/>
                    <w:tr2bl w:val="nil"/>
                  </w:tcBorders>
                  <w:vAlign w:val="top"/>
                </w:tcPr>
                <w:p w14:paraId="34F55826">
                  <w:pPr>
                    <w:pStyle w:val="106"/>
                    <w:bidi w:val="0"/>
                    <w:rPr>
                      <w:rFonts w:hint="default"/>
                      <w:color w:val="auto"/>
                      <w:highlight w:val="none"/>
                      <w:lang w:val="en-US" w:eastAsia="zh-CN"/>
                    </w:rPr>
                  </w:pPr>
                  <w:r>
                    <w:rPr>
                      <w:rFonts w:hint="eastAsia"/>
                      <w:color w:val="auto"/>
                      <w:highlight w:val="none"/>
                      <w:lang w:val="en-US" w:eastAsia="zh-CN"/>
                    </w:rPr>
                    <w:t>罐头食品商业无菌要求</w:t>
                  </w:r>
                </w:p>
              </w:tc>
              <w:tc>
                <w:tcPr>
                  <w:tcW w:w="2822" w:type="dxa"/>
                  <w:tcBorders>
                    <w:tl2br w:val="nil"/>
                    <w:tr2bl w:val="nil"/>
                  </w:tcBorders>
                  <w:vAlign w:val="top"/>
                </w:tcPr>
                <w:p w14:paraId="15C37A13">
                  <w:pPr>
                    <w:pStyle w:val="106"/>
                    <w:bidi w:val="0"/>
                    <w:rPr>
                      <w:rFonts w:hint="default"/>
                      <w:color w:val="auto"/>
                      <w:highlight w:val="none"/>
                      <w:lang w:val="en-US" w:eastAsia="zh-CN"/>
                    </w:rPr>
                  </w:pPr>
                  <w:r>
                    <w:rPr>
                      <w:rFonts w:hint="default"/>
                      <w:color w:val="auto"/>
                      <w:highlight w:val="none"/>
                      <w:lang w:val="en-US" w:eastAsia="zh-CN"/>
                    </w:rPr>
                    <w:t>GB</w:t>
                  </w:r>
                  <w:r>
                    <w:rPr>
                      <w:rFonts w:hint="eastAsia"/>
                      <w:color w:val="auto"/>
                      <w:highlight w:val="none"/>
                      <w:lang w:val="en-US" w:eastAsia="zh-CN"/>
                    </w:rPr>
                    <w:t>4789.26-2023</w:t>
                  </w:r>
                </w:p>
              </w:tc>
            </w:tr>
          </w:tbl>
          <w:p w14:paraId="642BFAEA">
            <w:pPr>
              <w:pStyle w:val="14"/>
              <w:rPr>
                <w:rFonts w:hint="default" w:eastAsia="宋体"/>
                <w:lang w:val="en-US" w:eastAsia="zh-CN"/>
              </w:rPr>
            </w:pPr>
            <w:r>
              <w:t xml:space="preserve">表2- </w:t>
            </w:r>
            <w:r>
              <w:fldChar w:fldCharType="begin"/>
            </w:r>
            <w:r>
              <w:instrText xml:space="preserve"> SEQ 表2- \* ARABIC </w:instrText>
            </w:r>
            <w:r>
              <w:fldChar w:fldCharType="separate"/>
            </w:r>
            <w:r>
              <w:t>6</w:t>
            </w:r>
            <w:r>
              <w:fldChar w:fldCharType="end"/>
            </w:r>
            <w:r>
              <w:rPr>
                <w:rFonts w:hint="eastAsia"/>
                <w:lang w:val="en-US" w:eastAsia="zh-CN"/>
              </w:rPr>
              <w:t xml:space="preserve">  纸巾感官要求</w:t>
            </w:r>
          </w:p>
          <w:tbl>
            <w:tblPr>
              <w:tblStyle w:val="29"/>
              <w:tblW w:w="91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4493"/>
              <w:gridCol w:w="3486"/>
            </w:tblGrid>
            <w:tr w14:paraId="1D274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8" w:type="dxa"/>
                  <w:tcBorders>
                    <w:tl2br w:val="nil"/>
                    <w:tr2bl w:val="nil"/>
                  </w:tcBorders>
                  <w:vAlign w:val="center"/>
                </w:tcPr>
                <w:p w14:paraId="3F41B6DE">
                  <w:pPr>
                    <w:pStyle w:val="106"/>
                    <w:bidi w:val="0"/>
                    <w:jc w:val="center"/>
                    <w:rPr>
                      <w:rFonts w:hint="default"/>
                      <w:b/>
                      <w:bCs/>
                      <w:color w:val="auto"/>
                      <w:highlight w:val="none"/>
                      <w:lang w:val="en-US" w:eastAsia="zh-CN"/>
                    </w:rPr>
                  </w:pPr>
                  <w:r>
                    <w:rPr>
                      <w:rFonts w:hint="default"/>
                      <w:b/>
                      <w:bCs/>
                      <w:color w:val="auto"/>
                      <w:highlight w:val="none"/>
                      <w:lang w:val="en-US" w:eastAsia="zh-CN"/>
                    </w:rPr>
                    <w:t>项目</w:t>
                  </w:r>
                </w:p>
              </w:tc>
              <w:tc>
                <w:tcPr>
                  <w:tcW w:w="4493" w:type="dxa"/>
                  <w:tcBorders>
                    <w:tl2br w:val="nil"/>
                    <w:tr2bl w:val="nil"/>
                  </w:tcBorders>
                  <w:vAlign w:val="center"/>
                </w:tcPr>
                <w:p w14:paraId="31D50350">
                  <w:pPr>
                    <w:pStyle w:val="106"/>
                    <w:bidi w:val="0"/>
                    <w:rPr>
                      <w:rFonts w:hint="default"/>
                      <w:lang w:val="en-US" w:eastAsia="zh-CN"/>
                    </w:rPr>
                  </w:pPr>
                  <w:r>
                    <w:rPr>
                      <w:rFonts w:hint="default"/>
                      <w:b/>
                      <w:bCs/>
                      <w:lang w:val="en-US" w:eastAsia="zh-CN"/>
                    </w:rPr>
                    <w:t>要求</w:t>
                  </w:r>
                </w:p>
              </w:tc>
              <w:tc>
                <w:tcPr>
                  <w:tcW w:w="3486" w:type="dxa"/>
                  <w:tcBorders>
                    <w:tl2br w:val="nil"/>
                    <w:tr2bl w:val="nil"/>
                  </w:tcBorders>
                  <w:vAlign w:val="center"/>
                </w:tcPr>
                <w:p w14:paraId="746314BE">
                  <w:pPr>
                    <w:pStyle w:val="106"/>
                    <w:bidi w:val="0"/>
                    <w:jc w:val="center"/>
                    <w:rPr>
                      <w:rFonts w:hint="default"/>
                      <w:b/>
                      <w:bCs/>
                      <w:color w:val="auto"/>
                      <w:highlight w:val="none"/>
                      <w:lang w:val="en-US" w:eastAsia="zh-CN"/>
                    </w:rPr>
                  </w:pPr>
                  <w:r>
                    <w:rPr>
                      <w:rFonts w:hint="default"/>
                      <w:b/>
                      <w:bCs/>
                      <w:color w:val="auto"/>
                      <w:highlight w:val="none"/>
                      <w:lang w:val="en-US" w:eastAsia="zh-CN"/>
                    </w:rPr>
                    <w:t>检验方法</w:t>
                  </w:r>
                </w:p>
              </w:tc>
            </w:tr>
            <w:tr w14:paraId="440FD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8" w:type="dxa"/>
                  <w:tcBorders>
                    <w:tl2br w:val="nil"/>
                    <w:tr2bl w:val="nil"/>
                  </w:tcBorders>
                  <w:vAlign w:val="center"/>
                </w:tcPr>
                <w:p w14:paraId="53611C3E">
                  <w:pPr>
                    <w:pStyle w:val="106"/>
                    <w:bidi w:val="0"/>
                    <w:jc w:val="center"/>
                    <w:rPr>
                      <w:rFonts w:hint="default"/>
                      <w:color w:val="auto"/>
                      <w:highlight w:val="none"/>
                      <w:lang w:val="en-US" w:eastAsia="zh-CN"/>
                    </w:rPr>
                  </w:pPr>
                  <w:r>
                    <w:rPr>
                      <w:rFonts w:hint="eastAsia"/>
                      <w:color w:val="auto"/>
                      <w:highlight w:val="none"/>
                      <w:lang w:val="en-US" w:eastAsia="zh-CN"/>
                    </w:rPr>
                    <w:t>外观及气味</w:t>
                  </w:r>
                </w:p>
              </w:tc>
              <w:tc>
                <w:tcPr>
                  <w:tcW w:w="4493" w:type="dxa"/>
                  <w:tcBorders>
                    <w:tl2br w:val="nil"/>
                    <w:tr2bl w:val="nil"/>
                  </w:tcBorders>
                  <w:vAlign w:val="center"/>
                </w:tcPr>
                <w:p w14:paraId="009F76F8">
                  <w:pPr>
                    <w:pStyle w:val="106"/>
                    <w:bidi w:val="0"/>
                    <w:jc w:val="both"/>
                    <w:rPr>
                      <w:rFonts w:hint="default"/>
                      <w:lang w:val="en-US" w:eastAsia="zh-CN"/>
                    </w:rPr>
                  </w:pPr>
                  <w:r>
                    <w:rPr>
                      <w:rFonts w:hint="eastAsia"/>
                      <w:lang w:val="en-US" w:eastAsia="zh-CN"/>
                    </w:rPr>
                    <w:t>外观应整洁，符合产品固有性状，不应有掉毛、</w:t>
                  </w:r>
                  <w:r>
                    <w:rPr>
                      <w:rFonts w:hint="default"/>
                      <w:lang w:val="en-US" w:eastAsia="zh-CN"/>
                    </w:rPr>
                    <w:t>掉屑现象，不应有异常气味与异物。</w:t>
                  </w:r>
                </w:p>
              </w:tc>
              <w:tc>
                <w:tcPr>
                  <w:tcW w:w="3486" w:type="dxa"/>
                  <w:tcBorders>
                    <w:tl2br w:val="nil"/>
                    <w:tr2bl w:val="nil"/>
                  </w:tcBorders>
                  <w:vAlign w:val="center"/>
                </w:tcPr>
                <w:p w14:paraId="26B0541B">
                  <w:pPr>
                    <w:pStyle w:val="106"/>
                    <w:bidi w:val="0"/>
                    <w:jc w:val="both"/>
                    <w:rPr>
                      <w:rFonts w:hint="default"/>
                      <w:color w:val="auto"/>
                      <w:highlight w:val="none"/>
                      <w:lang w:val="en-US" w:eastAsia="zh-CN"/>
                    </w:rPr>
                  </w:pPr>
                  <w:r>
                    <w:rPr>
                      <w:rFonts w:hint="eastAsia"/>
                      <w:color w:val="auto"/>
                      <w:highlight w:val="none"/>
                      <w:lang w:val="en-US" w:eastAsia="zh-CN"/>
                    </w:rPr>
                    <w:t>采用目测、鼻嗅的方法进行测定</w:t>
                  </w:r>
                </w:p>
              </w:tc>
            </w:tr>
          </w:tbl>
          <w:p w14:paraId="75AFB62A">
            <w:pPr>
              <w:pStyle w:val="14"/>
            </w:pPr>
          </w:p>
          <w:p w14:paraId="55ABC06A">
            <w:pPr>
              <w:pStyle w:val="14"/>
            </w:pPr>
          </w:p>
          <w:p w14:paraId="186C7B5D">
            <w:pPr>
              <w:pStyle w:val="14"/>
            </w:pPr>
          </w:p>
          <w:p w14:paraId="79472075">
            <w:pPr>
              <w:pStyle w:val="14"/>
            </w:pPr>
          </w:p>
          <w:p w14:paraId="2921E00D">
            <w:pPr>
              <w:pStyle w:val="14"/>
              <w:rPr>
                <w:rFonts w:hint="default" w:eastAsia="宋体"/>
                <w:lang w:val="en-US" w:eastAsia="zh-CN"/>
              </w:rPr>
            </w:pPr>
            <w:r>
              <w:t xml:space="preserve">表2- </w:t>
            </w:r>
            <w:r>
              <w:fldChar w:fldCharType="begin"/>
            </w:r>
            <w:r>
              <w:instrText xml:space="preserve"> SEQ 表2- \* ARABIC </w:instrText>
            </w:r>
            <w:r>
              <w:fldChar w:fldCharType="separate"/>
            </w:r>
            <w:r>
              <w:t>7</w:t>
            </w:r>
            <w:r>
              <w:fldChar w:fldCharType="end"/>
            </w:r>
            <w:r>
              <w:rPr>
                <w:rFonts w:hint="eastAsia"/>
                <w:lang w:val="en-US" w:eastAsia="zh-CN"/>
              </w:rPr>
              <w:t xml:space="preserve">  纸巾理化指标、毒理性指标及微生物指标</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19"/>
              <w:gridCol w:w="2943"/>
              <w:gridCol w:w="2825"/>
            </w:tblGrid>
            <w:tr w14:paraId="2C6DD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3415" w:type="dxa"/>
                  <w:tcBorders>
                    <w:tl2br w:val="nil"/>
                    <w:tr2bl w:val="nil"/>
                  </w:tcBorders>
                  <w:vAlign w:val="top"/>
                </w:tcPr>
                <w:p w14:paraId="366109C5">
                  <w:pPr>
                    <w:pStyle w:val="106"/>
                    <w:bidi w:val="0"/>
                    <w:rPr>
                      <w:rFonts w:hint="default"/>
                      <w:b/>
                      <w:bCs/>
                      <w:color w:val="auto"/>
                      <w:highlight w:val="none"/>
                      <w:lang w:val="en-US" w:eastAsia="zh-CN"/>
                    </w:rPr>
                  </w:pPr>
                  <w:r>
                    <w:rPr>
                      <w:rFonts w:hint="default"/>
                      <w:b/>
                      <w:bCs/>
                      <w:color w:val="auto"/>
                      <w:highlight w:val="none"/>
                      <w:lang w:val="en-US" w:eastAsia="zh-CN"/>
                    </w:rPr>
                    <w:t>项目</w:t>
                  </w:r>
                </w:p>
              </w:tc>
              <w:tc>
                <w:tcPr>
                  <w:tcW w:w="2940" w:type="dxa"/>
                  <w:tcBorders>
                    <w:tl2br w:val="nil"/>
                    <w:tr2bl w:val="nil"/>
                  </w:tcBorders>
                  <w:vAlign w:val="top"/>
                </w:tcPr>
                <w:p w14:paraId="0427FD8D">
                  <w:pPr>
                    <w:pStyle w:val="106"/>
                    <w:bidi w:val="0"/>
                    <w:rPr>
                      <w:rFonts w:hint="default"/>
                      <w:b/>
                      <w:bCs/>
                      <w:color w:val="auto"/>
                      <w:highlight w:val="none"/>
                      <w:lang w:val="en-US" w:eastAsia="zh-CN"/>
                    </w:rPr>
                  </w:pPr>
                  <w:r>
                    <w:rPr>
                      <w:rFonts w:hint="default"/>
                      <w:b/>
                      <w:bCs/>
                      <w:color w:val="auto"/>
                      <w:highlight w:val="none"/>
                      <w:lang w:val="en-US" w:eastAsia="zh-CN"/>
                    </w:rPr>
                    <w:t>指标</w:t>
                  </w:r>
                </w:p>
              </w:tc>
              <w:tc>
                <w:tcPr>
                  <w:tcW w:w="2822" w:type="dxa"/>
                  <w:tcBorders>
                    <w:tl2br w:val="nil"/>
                    <w:tr2bl w:val="nil"/>
                  </w:tcBorders>
                  <w:vAlign w:val="top"/>
                </w:tcPr>
                <w:p w14:paraId="7BF4C3D1">
                  <w:pPr>
                    <w:pStyle w:val="106"/>
                    <w:bidi w:val="0"/>
                    <w:rPr>
                      <w:rFonts w:hint="default"/>
                      <w:b/>
                      <w:bCs/>
                      <w:color w:val="auto"/>
                      <w:highlight w:val="none"/>
                      <w:lang w:val="en-US" w:eastAsia="zh-CN"/>
                    </w:rPr>
                  </w:pPr>
                  <w:r>
                    <w:rPr>
                      <w:rFonts w:hint="eastAsia"/>
                      <w:b/>
                      <w:bCs/>
                      <w:color w:val="auto"/>
                      <w:highlight w:val="none"/>
                      <w:lang w:val="en-US" w:eastAsia="zh-CN"/>
                    </w:rPr>
                    <w:t>检验方法</w:t>
                  </w:r>
                </w:p>
              </w:tc>
            </w:tr>
            <w:tr w14:paraId="7F242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7" w:type="dxa"/>
                  <w:gridSpan w:val="3"/>
                  <w:tcBorders>
                    <w:tl2br w:val="nil"/>
                    <w:tr2bl w:val="nil"/>
                  </w:tcBorders>
                  <w:vAlign w:val="top"/>
                </w:tcPr>
                <w:p w14:paraId="0F127003">
                  <w:pPr>
                    <w:pStyle w:val="106"/>
                    <w:bidi w:val="0"/>
                    <w:rPr>
                      <w:rFonts w:hint="default"/>
                      <w:color w:val="auto"/>
                      <w:highlight w:val="none"/>
                      <w:lang w:val="en-US" w:eastAsia="zh-CN"/>
                    </w:rPr>
                  </w:pPr>
                  <w:r>
                    <w:rPr>
                      <w:rFonts w:hint="default"/>
                      <w:color w:val="auto"/>
                      <w:highlight w:val="none"/>
                      <w:lang w:val="en-US" w:eastAsia="zh-CN"/>
                    </w:rPr>
                    <w:t>理化指标</w:t>
                  </w:r>
                </w:p>
              </w:tc>
            </w:tr>
            <w:tr w14:paraId="3C9DD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shd w:val="clear" w:color="auto" w:fill="auto"/>
                  <w:vAlign w:val="top"/>
                </w:tcPr>
                <w:p w14:paraId="0E715D11">
                  <w:pPr>
                    <w:pStyle w:val="106"/>
                    <w:bidi w:val="0"/>
                    <w:ind w:firstLine="0" w:firstLineChars="0"/>
                    <w:jc w:val="left"/>
                    <w:rPr>
                      <w:rFonts w:hint="eastAsia"/>
                      <w:lang w:val="en-US" w:eastAsia="zh-CN"/>
                    </w:rPr>
                  </w:pPr>
                  <w:r>
                    <w:rPr>
                      <w:rFonts w:hint="eastAsia"/>
                      <w:lang w:val="en-US" w:eastAsia="zh-CN"/>
                    </w:rPr>
                    <w:t xml:space="preserve">pH                         </w:t>
                  </w:r>
                  <w:r>
                    <w:rPr>
                      <w:rFonts w:hint="default"/>
                      <w:lang w:val="en-US" w:eastAsia="zh-CN"/>
                    </w:rPr>
                    <w:t xml:space="preserve"> ≤</w:t>
                  </w:r>
                </w:p>
              </w:tc>
              <w:tc>
                <w:tcPr>
                  <w:tcW w:w="2940" w:type="dxa"/>
                  <w:tcBorders>
                    <w:tl2br w:val="nil"/>
                    <w:tr2bl w:val="nil"/>
                  </w:tcBorders>
                  <w:shd w:val="clear" w:color="auto" w:fill="auto"/>
                  <w:vAlign w:val="top"/>
                </w:tcPr>
                <w:p w14:paraId="4E77EF7A">
                  <w:pPr>
                    <w:pStyle w:val="106"/>
                    <w:bidi w:val="0"/>
                    <w:ind w:firstLine="0" w:firstLineChars="0"/>
                    <w:rPr>
                      <w:rFonts w:hint="default"/>
                      <w:lang w:val="en-US" w:eastAsia="zh-CN"/>
                    </w:rPr>
                  </w:pPr>
                  <w:r>
                    <w:rPr>
                      <w:rFonts w:hint="eastAsia"/>
                      <w:lang w:val="en-US" w:eastAsia="zh-CN"/>
                    </w:rPr>
                    <w:t>标识均值±1以内</w:t>
                  </w:r>
                </w:p>
              </w:tc>
              <w:tc>
                <w:tcPr>
                  <w:tcW w:w="2822" w:type="dxa"/>
                  <w:tcBorders>
                    <w:tl2br w:val="nil"/>
                    <w:tr2bl w:val="nil"/>
                  </w:tcBorders>
                  <w:shd w:val="clear" w:color="auto" w:fill="auto"/>
                  <w:vAlign w:val="top"/>
                </w:tcPr>
                <w:p w14:paraId="3309E0AF">
                  <w:pPr>
                    <w:pStyle w:val="106"/>
                    <w:bidi w:val="0"/>
                    <w:ind w:firstLine="0" w:firstLineChars="0"/>
                    <w:rPr>
                      <w:rFonts w:hint="default"/>
                      <w:lang w:val="en-US" w:eastAsia="zh-CN"/>
                    </w:rPr>
                  </w:pPr>
                  <w:r>
                    <w:rPr>
                      <w:rFonts w:hint="default"/>
                      <w:lang w:val="en-US" w:eastAsia="zh-CN"/>
                    </w:rPr>
                    <w:t>WS/T 10009</w:t>
                  </w:r>
                </w:p>
              </w:tc>
            </w:tr>
            <w:tr w14:paraId="3BC6C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shd w:val="clear" w:color="auto" w:fill="auto"/>
                  <w:vAlign w:val="top"/>
                </w:tcPr>
                <w:p w14:paraId="2775168B">
                  <w:pPr>
                    <w:pStyle w:val="106"/>
                    <w:bidi w:val="0"/>
                    <w:ind w:firstLine="0" w:firstLineChars="0"/>
                    <w:jc w:val="left"/>
                    <w:rPr>
                      <w:rFonts w:hint="eastAsia" w:ascii="Times New Roman" w:hAnsi="Times New Roman" w:eastAsia="宋体" w:cs="Times New Roman"/>
                      <w:kern w:val="2"/>
                      <w:sz w:val="21"/>
                      <w:szCs w:val="21"/>
                      <w:lang w:val="en-US" w:eastAsia="zh-CN" w:bidi="ar-SA"/>
                    </w:rPr>
                  </w:pPr>
                  <w:r>
                    <w:rPr>
                      <w:rFonts w:hint="eastAsia"/>
                      <w:lang w:val="en-US" w:eastAsia="zh-CN"/>
                    </w:rPr>
                    <w:t xml:space="preserve">可迁移性荧光增白剂         </w:t>
                  </w:r>
                  <w:r>
                    <w:rPr>
                      <w:rFonts w:hint="default"/>
                      <w:lang w:val="en-US" w:eastAsia="zh-CN"/>
                    </w:rPr>
                    <w:t xml:space="preserve">  ≤</w:t>
                  </w:r>
                </w:p>
              </w:tc>
              <w:tc>
                <w:tcPr>
                  <w:tcW w:w="2940" w:type="dxa"/>
                  <w:tcBorders>
                    <w:tl2br w:val="nil"/>
                    <w:tr2bl w:val="nil"/>
                  </w:tcBorders>
                  <w:shd w:val="clear" w:color="auto" w:fill="auto"/>
                  <w:vAlign w:val="top"/>
                </w:tcPr>
                <w:p w14:paraId="48CCF0EB">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不得检出</w:t>
                  </w:r>
                </w:p>
              </w:tc>
              <w:tc>
                <w:tcPr>
                  <w:tcW w:w="2822" w:type="dxa"/>
                  <w:tcBorders>
                    <w:tl2br w:val="nil"/>
                    <w:tr2bl w:val="nil"/>
                  </w:tcBorders>
                  <w:shd w:val="clear" w:color="auto" w:fill="auto"/>
                  <w:vAlign w:val="top"/>
                </w:tcPr>
                <w:p w14:paraId="0D457F0F">
                  <w:pPr>
                    <w:pStyle w:val="106"/>
                    <w:bidi w:val="0"/>
                    <w:ind w:firstLine="0" w:firstLineChars="0"/>
                    <w:rPr>
                      <w:rFonts w:hint="eastAsia"/>
                      <w:highlight w:val="yellow"/>
                      <w:lang w:val="en-US" w:eastAsia="zh-CN"/>
                    </w:rPr>
                  </w:pPr>
                  <w:r>
                    <w:rPr>
                      <w:rFonts w:hint="eastAsia"/>
                      <w:highlight w:val="none"/>
                      <w:lang w:val="en-US" w:eastAsia="zh-CN"/>
                    </w:rPr>
                    <w:t>GB/T 27741</w:t>
                  </w:r>
                </w:p>
              </w:tc>
            </w:tr>
            <w:tr w14:paraId="1B6F5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7" w:type="dxa"/>
                  <w:gridSpan w:val="3"/>
                  <w:tcBorders>
                    <w:tl2br w:val="nil"/>
                    <w:tr2bl w:val="nil"/>
                  </w:tcBorders>
                  <w:vAlign w:val="top"/>
                </w:tcPr>
                <w:p w14:paraId="75B62C53">
                  <w:pPr>
                    <w:pStyle w:val="106"/>
                    <w:bidi w:val="0"/>
                    <w:rPr>
                      <w:rFonts w:hint="default"/>
                      <w:color w:val="auto"/>
                      <w:highlight w:val="none"/>
                      <w:lang w:val="en-US" w:eastAsia="zh-CN"/>
                    </w:rPr>
                  </w:pPr>
                  <w:r>
                    <w:rPr>
                      <w:rFonts w:hint="eastAsia"/>
                      <w:color w:val="auto"/>
                      <w:highlight w:val="none"/>
                      <w:lang w:val="en-US" w:eastAsia="zh-CN"/>
                    </w:rPr>
                    <w:t>毒理学</w:t>
                  </w:r>
                  <w:r>
                    <w:rPr>
                      <w:rFonts w:hint="default"/>
                      <w:color w:val="auto"/>
                      <w:highlight w:val="none"/>
                      <w:lang w:val="en-US" w:eastAsia="zh-CN"/>
                    </w:rPr>
                    <w:t>指标</w:t>
                  </w:r>
                </w:p>
              </w:tc>
            </w:tr>
            <w:tr w14:paraId="140BE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vAlign w:val="top"/>
                </w:tcPr>
                <w:p w14:paraId="769DFFD3">
                  <w:pPr>
                    <w:pStyle w:val="106"/>
                    <w:bidi w:val="0"/>
                    <w:jc w:val="left"/>
                    <w:rPr>
                      <w:rFonts w:hint="default"/>
                      <w:color w:val="auto"/>
                      <w:highlight w:val="none"/>
                      <w:lang w:val="en-US" w:eastAsia="zh-CN"/>
                    </w:rPr>
                  </w:pPr>
                  <w:r>
                    <w:rPr>
                      <w:rFonts w:hint="eastAsia"/>
                      <w:color w:val="auto"/>
                      <w:highlight w:val="none"/>
                      <w:lang w:val="en-US" w:eastAsia="zh-CN"/>
                    </w:rPr>
                    <w:t>皮肤刺激试验</w:t>
                  </w:r>
                </w:p>
              </w:tc>
              <w:tc>
                <w:tcPr>
                  <w:tcW w:w="2940" w:type="dxa"/>
                  <w:tcBorders>
                    <w:tl2br w:val="nil"/>
                    <w:tr2bl w:val="nil"/>
                  </w:tcBorders>
                  <w:vAlign w:val="top"/>
                </w:tcPr>
                <w:p w14:paraId="19DBA405">
                  <w:pPr>
                    <w:pStyle w:val="106"/>
                    <w:bidi w:val="0"/>
                    <w:rPr>
                      <w:rFonts w:hint="default"/>
                      <w:color w:val="auto"/>
                      <w:highlight w:val="none"/>
                      <w:lang w:val="en-US" w:eastAsia="zh-CN"/>
                    </w:rPr>
                  </w:pPr>
                  <w:r>
                    <w:rPr>
                      <w:rFonts w:hint="eastAsia"/>
                      <w:color w:val="auto"/>
                      <w:highlight w:val="none"/>
                      <w:lang w:val="en-US" w:eastAsia="zh-CN"/>
                    </w:rPr>
                    <w:t>无刺激性或轻刺激性</w:t>
                  </w:r>
                </w:p>
              </w:tc>
              <w:tc>
                <w:tcPr>
                  <w:tcW w:w="2822" w:type="dxa"/>
                  <w:vMerge w:val="restart"/>
                  <w:tcBorders>
                    <w:tl2br w:val="nil"/>
                    <w:tr2bl w:val="nil"/>
                  </w:tcBorders>
                  <w:vAlign w:val="center"/>
                </w:tcPr>
                <w:p w14:paraId="6455E733">
                  <w:pPr>
                    <w:pStyle w:val="106"/>
                    <w:bidi w:val="0"/>
                    <w:jc w:val="center"/>
                    <w:rPr>
                      <w:rFonts w:hint="default"/>
                      <w:color w:val="auto"/>
                      <w:highlight w:val="none"/>
                      <w:lang w:val="en-US" w:eastAsia="zh-CN"/>
                    </w:rPr>
                  </w:pPr>
                  <w:r>
                    <w:rPr>
                      <w:rStyle w:val="34"/>
                      <w:rFonts w:hint="eastAsia"/>
                      <w:color w:val="auto"/>
                      <w:sz w:val="21"/>
                      <w:szCs w:val="21"/>
                      <w:highlight w:val="none"/>
                      <w:u w:val="none"/>
                      <w:lang w:val="en-US" w:eastAsia="zh-CN"/>
                    </w:rPr>
                    <w:t>GB15979-2024</w:t>
                  </w:r>
                </w:p>
              </w:tc>
            </w:tr>
            <w:tr w14:paraId="2F1D0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vAlign w:val="top"/>
                </w:tcPr>
                <w:p w14:paraId="6F7D79BC">
                  <w:pPr>
                    <w:pStyle w:val="106"/>
                    <w:bidi w:val="0"/>
                    <w:jc w:val="left"/>
                    <w:rPr>
                      <w:rFonts w:hint="default"/>
                      <w:color w:val="auto"/>
                      <w:highlight w:val="none"/>
                      <w:lang w:val="en-US" w:eastAsia="zh-CN"/>
                    </w:rPr>
                  </w:pPr>
                  <w:r>
                    <w:rPr>
                      <w:rFonts w:hint="eastAsia"/>
                      <w:color w:val="auto"/>
                      <w:highlight w:val="none"/>
                      <w:lang w:val="en-US" w:eastAsia="zh-CN"/>
                    </w:rPr>
                    <w:t>眼刺激试验</w:t>
                  </w:r>
                </w:p>
              </w:tc>
              <w:tc>
                <w:tcPr>
                  <w:tcW w:w="2940" w:type="dxa"/>
                  <w:tcBorders>
                    <w:tl2br w:val="nil"/>
                    <w:tr2bl w:val="nil"/>
                  </w:tcBorders>
                  <w:vAlign w:val="top"/>
                </w:tcPr>
                <w:p w14:paraId="031486CA">
                  <w:pPr>
                    <w:pStyle w:val="106"/>
                    <w:bidi w:val="0"/>
                    <w:rPr>
                      <w:rFonts w:hint="eastAsia"/>
                      <w:color w:val="auto"/>
                      <w:highlight w:val="none"/>
                      <w:lang w:val="en-US" w:eastAsia="zh-CN"/>
                    </w:rPr>
                  </w:pPr>
                  <w:r>
                    <w:rPr>
                      <w:rFonts w:hint="eastAsia"/>
                      <w:color w:val="auto"/>
                      <w:highlight w:val="none"/>
                      <w:lang w:val="en-US" w:eastAsia="zh-CN"/>
                    </w:rPr>
                    <w:t>无刺激性或轻刺激性</w:t>
                  </w:r>
                </w:p>
              </w:tc>
              <w:tc>
                <w:tcPr>
                  <w:tcW w:w="2822" w:type="dxa"/>
                  <w:vMerge w:val="continue"/>
                  <w:tcBorders>
                    <w:tl2br w:val="nil"/>
                    <w:tr2bl w:val="nil"/>
                  </w:tcBorders>
                  <w:vAlign w:val="top"/>
                </w:tcPr>
                <w:p w14:paraId="21BCC20D">
                  <w:pPr>
                    <w:pStyle w:val="106"/>
                    <w:bidi w:val="0"/>
                    <w:rPr>
                      <w:rFonts w:hint="default"/>
                      <w:color w:val="auto"/>
                      <w:highlight w:val="none"/>
                      <w:lang w:val="en-US" w:eastAsia="zh-CN"/>
                    </w:rPr>
                  </w:pPr>
                </w:p>
              </w:tc>
            </w:tr>
            <w:tr w14:paraId="43AE4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vAlign w:val="top"/>
                </w:tcPr>
                <w:p w14:paraId="5DABB5C3">
                  <w:pPr>
                    <w:pStyle w:val="106"/>
                    <w:bidi w:val="0"/>
                    <w:jc w:val="left"/>
                    <w:rPr>
                      <w:rFonts w:hint="default"/>
                      <w:color w:val="auto"/>
                      <w:highlight w:val="none"/>
                      <w:lang w:val="en-US" w:eastAsia="zh-CN"/>
                    </w:rPr>
                  </w:pPr>
                  <w:r>
                    <w:rPr>
                      <w:rFonts w:hint="eastAsia"/>
                      <w:color w:val="auto"/>
                      <w:highlight w:val="none"/>
                      <w:lang w:val="en-US" w:eastAsia="zh-CN"/>
                    </w:rPr>
                    <w:t>皮肤变态反应试验</w:t>
                  </w:r>
                </w:p>
              </w:tc>
              <w:tc>
                <w:tcPr>
                  <w:tcW w:w="2940" w:type="dxa"/>
                  <w:tcBorders>
                    <w:tl2br w:val="nil"/>
                    <w:tr2bl w:val="nil"/>
                  </w:tcBorders>
                  <w:vAlign w:val="top"/>
                </w:tcPr>
                <w:p w14:paraId="2BE25424">
                  <w:pPr>
                    <w:pStyle w:val="106"/>
                    <w:bidi w:val="0"/>
                    <w:rPr>
                      <w:rFonts w:hint="default"/>
                      <w:color w:val="auto"/>
                      <w:highlight w:val="none"/>
                      <w:lang w:val="en-US" w:eastAsia="zh-CN"/>
                    </w:rPr>
                  </w:pPr>
                  <w:r>
                    <w:rPr>
                      <w:rFonts w:hint="eastAsia"/>
                      <w:color w:val="auto"/>
                      <w:highlight w:val="none"/>
                      <w:lang w:val="en-US" w:eastAsia="zh-CN"/>
                    </w:rPr>
                    <w:t>未见或极轻度</w:t>
                  </w:r>
                </w:p>
              </w:tc>
              <w:tc>
                <w:tcPr>
                  <w:tcW w:w="2822" w:type="dxa"/>
                  <w:vMerge w:val="continue"/>
                  <w:tcBorders>
                    <w:tl2br w:val="nil"/>
                    <w:tr2bl w:val="nil"/>
                  </w:tcBorders>
                  <w:vAlign w:val="top"/>
                </w:tcPr>
                <w:p w14:paraId="3FEC5BEB">
                  <w:pPr>
                    <w:pStyle w:val="106"/>
                    <w:bidi w:val="0"/>
                    <w:rPr>
                      <w:rFonts w:hint="default"/>
                      <w:color w:val="auto"/>
                      <w:highlight w:val="none"/>
                      <w:lang w:val="en-US" w:eastAsia="zh-CN"/>
                    </w:rPr>
                  </w:pPr>
                </w:p>
              </w:tc>
            </w:tr>
            <w:tr w14:paraId="0F36B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7" w:type="dxa"/>
                  <w:gridSpan w:val="3"/>
                  <w:tcBorders>
                    <w:tl2br w:val="nil"/>
                    <w:tr2bl w:val="nil"/>
                  </w:tcBorders>
                  <w:vAlign w:val="top"/>
                </w:tcPr>
                <w:p w14:paraId="0F914E20">
                  <w:pPr>
                    <w:pStyle w:val="106"/>
                    <w:bidi w:val="0"/>
                    <w:rPr>
                      <w:rFonts w:hint="default"/>
                      <w:color w:val="auto"/>
                      <w:highlight w:val="none"/>
                      <w:lang w:val="en-US" w:eastAsia="zh-CN"/>
                    </w:rPr>
                  </w:pPr>
                  <w:r>
                    <w:rPr>
                      <w:rFonts w:hint="eastAsia"/>
                      <w:color w:val="auto"/>
                      <w:highlight w:val="none"/>
                      <w:lang w:val="en-US" w:eastAsia="zh-CN"/>
                    </w:rPr>
                    <w:t>微生物指标</w:t>
                  </w:r>
                </w:p>
              </w:tc>
            </w:tr>
            <w:tr w14:paraId="5C3D3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vAlign w:val="top"/>
                </w:tcPr>
                <w:p w14:paraId="5C72E04B">
                  <w:pPr>
                    <w:pStyle w:val="106"/>
                    <w:bidi w:val="0"/>
                    <w:jc w:val="left"/>
                    <w:rPr>
                      <w:rFonts w:hint="default"/>
                      <w:color w:val="auto"/>
                      <w:highlight w:val="none"/>
                      <w:lang w:val="en-US" w:eastAsia="zh-CN"/>
                    </w:rPr>
                  </w:pPr>
                  <w:r>
                    <w:rPr>
                      <w:rFonts w:hint="eastAsia"/>
                      <w:color w:val="auto"/>
                      <w:highlight w:val="none"/>
                      <w:lang w:val="en-US" w:eastAsia="zh-CN"/>
                    </w:rPr>
                    <w:t>细菌菌落总数</w:t>
                  </w:r>
                </w:p>
              </w:tc>
              <w:tc>
                <w:tcPr>
                  <w:tcW w:w="2940" w:type="dxa"/>
                  <w:tcBorders>
                    <w:tl2br w:val="nil"/>
                    <w:tr2bl w:val="nil"/>
                  </w:tcBorders>
                  <w:vAlign w:val="top"/>
                </w:tcPr>
                <w:p w14:paraId="43D31671">
                  <w:pPr>
                    <w:pStyle w:val="106"/>
                    <w:bidi w:val="0"/>
                    <w:rPr>
                      <w:rFonts w:hint="default"/>
                      <w:color w:val="auto"/>
                      <w:highlight w:val="none"/>
                      <w:lang w:val="en-US" w:eastAsia="zh-CN"/>
                    </w:rPr>
                  </w:pPr>
                  <w:r>
                    <w:rPr>
                      <w:rFonts w:hint="eastAsia"/>
                      <w:color w:val="auto"/>
                      <w:highlight w:val="none"/>
                      <w:lang w:val="en-US" w:eastAsia="zh-CN"/>
                    </w:rPr>
                    <w:t>≤200</w:t>
                  </w:r>
                </w:p>
              </w:tc>
              <w:tc>
                <w:tcPr>
                  <w:tcW w:w="2822" w:type="dxa"/>
                  <w:vMerge w:val="restart"/>
                  <w:tcBorders>
                    <w:tl2br w:val="nil"/>
                    <w:tr2bl w:val="nil"/>
                  </w:tcBorders>
                  <w:vAlign w:val="center"/>
                </w:tcPr>
                <w:p w14:paraId="3A617C53">
                  <w:pPr>
                    <w:pStyle w:val="106"/>
                    <w:bidi w:val="0"/>
                    <w:jc w:val="center"/>
                    <w:rPr>
                      <w:rFonts w:hint="default"/>
                      <w:color w:val="auto"/>
                      <w:highlight w:val="none"/>
                      <w:lang w:val="en-US" w:eastAsia="zh-CN"/>
                    </w:rPr>
                  </w:pPr>
                  <w:r>
                    <w:rPr>
                      <w:rStyle w:val="34"/>
                      <w:rFonts w:hint="eastAsia" w:ascii="Times New Roman" w:hAnsi="Times New Roman" w:eastAsia="宋体" w:cs="Times New Roman"/>
                      <w:color w:val="auto"/>
                      <w:sz w:val="21"/>
                      <w:szCs w:val="21"/>
                      <w:highlight w:val="none"/>
                      <w:u w:val="none"/>
                      <w:lang w:val="en-US" w:eastAsia="zh-CN"/>
                    </w:rPr>
                    <w:t>GB15979-2024</w:t>
                  </w:r>
                </w:p>
              </w:tc>
            </w:tr>
            <w:tr w14:paraId="71B23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vAlign w:val="top"/>
                </w:tcPr>
                <w:p w14:paraId="66BEFEF2">
                  <w:pPr>
                    <w:pStyle w:val="106"/>
                    <w:bidi w:val="0"/>
                    <w:jc w:val="left"/>
                    <w:rPr>
                      <w:rFonts w:hint="default"/>
                      <w:color w:val="auto"/>
                      <w:highlight w:val="none"/>
                      <w:lang w:val="en-US" w:eastAsia="zh-CN"/>
                    </w:rPr>
                  </w:pPr>
                  <w:r>
                    <w:rPr>
                      <w:rFonts w:hint="eastAsia"/>
                      <w:color w:val="auto"/>
                      <w:highlight w:val="none"/>
                      <w:lang w:val="en-US" w:eastAsia="zh-CN"/>
                    </w:rPr>
                    <w:t>特定微生物及其他致病菌微生物</w:t>
                  </w:r>
                </w:p>
              </w:tc>
              <w:tc>
                <w:tcPr>
                  <w:tcW w:w="2940" w:type="dxa"/>
                  <w:tcBorders>
                    <w:tl2br w:val="nil"/>
                    <w:tr2bl w:val="nil"/>
                  </w:tcBorders>
                  <w:vAlign w:val="top"/>
                </w:tcPr>
                <w:p w14:paraId="76C8D54C">
                  <w:pPr>
                    <w:pStyle w:val="106"/>
                    <w:bidi w:val="0"/>
                    <w:rPr>
                      <w:rFonts w:hint="default"/>
                      <w:color w:val="auto"/>
                      <w:highlight w:val="none"/>
                      <w:lang w:val="en-US" w:eastAsia="zh-CN"/>
                    </w:rPr>
                  </w:pPr>
                  <w:r>
                    <w:rPr>
                      <w:rFonts w:hint="eastAsia"/>
                      <w:color w:val="auto"/>
                      <w:highlight w:val="none"/>
                      <w:lang w:val="en-US" w:eastAsia="zh-CN"/>
                    </w:rPr>
                    <w:t>不得检出</w:t>
                  </w:r>
                </w:p>
              </w:tc>
              <w:tc>
                <w:tcPr>
                  <w:tcW w:w="2822" w:type="dxa"/>
                  <w:vMerge w:val="continue"/>
                  <w:tcBorders>
                    <w:tl2br w:val="nil"/>
                    <w:tr2bl w:val="nil"/>
                  </w:tcBorders>
                  <w:vAlign w:val="top"/>
                </w:tcPr>
                <w:p w14:paraId="6BCFDE6C">
                  <w:pPr>
                    <w:pStyle w:val="106"/>
                    <w:bidi w:val="0"/>
                    <w:rPr>
                      <w:rFonts w:hint="default"/>
                      <w:color w:val="auto"/>
                      <w:highlight w:val="none"/>
                      <w:lang w:val="en-US" w:eastAsia="zh-CN"/>
                    </w:rPr>
                  </w:pPr>
                </w:p>
              </w:tc>
            </w:tr>
            <w:tr w14:paraId="6CE8B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5" w:type="dxa"/>
                  <w:tcBorders>
                    <w:tl2br w:val="nil"/>
                    <w:tr2bl w:val="nil"/>
                  </w:tcBorders>
                  <w:vAlign w:val="top"/>
                </w:tcPr>
                <w:p w14:paraId="14BF831D">
                  <w:pPr>
                    <w:pStyle w:val="106"/>
                    <w:bidi w:val="0"/>
                    <w:jc w:val="left"/>
                    <w:rPr>
                      <w:rFonts w:hint="default"/>
                      <w:color w:val="auto"/>
                      <w:highlight w:val="none"/>
                      <w:lang w:val="en-US" w:eastAsia="zh-CN"/>
                    </w:rPr>
                  </w:pPr>
                  <w:r>
                    <w:rPr>
                      <w:rFonts w:hint="eastAsia"/>
                      <w:color w:val="auto"/>
                      <w:highlight w:val="none"/>
                      <w:lang w:val="en-US" w:eastAsia="zh-CN"/>
                    </w:rPr>
                    <w:t>真菌菌落总数</w:t>
                  </w:r>
                </w:p>
              </w:tc>
              <w:tc>
                <w:tcPr>
                  <w:tcW w:w="2940" w:type="dxa"/>
                  <w:tcBorders>
                    <w:tl2br w:val="nil"/>
                    <w:tr2bl w:val="nil"/>
                  </w:tcBorders>
                  <w:vAlign w:val="top"/>
                </w:tcPr>
                <w:p w14:paraId="23F594FD">
                  <w:pPr>
                    <w:pStyle w:val="106"/>
                    <w:bidi w:val="0"/>
                    <w:rPr>
                      <w:rFonts w:hint="eastAsia"/>
                      <w:color w:val="auto"/>
                      <w:highlight w:val="none"/>
                      <w:lang w:val="en-US" w:eastAsia="zh-CN"/>
                    </w:rPr>
                  </w:pPr>
                  <w:r>
                    <w:rPr>
                      <w:rFonts w:hint="eastAsia"/>
                      <w:color w:val="auto"/>
                      <w:highlight w:val="none"/>
                      <w:lang w:val="en-US" w:eastAsia="zh-CN"/>
                    </w:rPr>
                    <w:t>≤100</w:t>
                  </w:r>
                </w:p>
              </w:tc>
              <w:tc>
                <w:tcPr>
                  <w:tcW w:w="2822" w:type="dxa"/>
                  <w:vMerge w:val="continue"/>
                  <w:tcBorders>
                    <w:tl2br w:val="nil"/>
                    <w:tr2bl w:val="nil"/>
                  </w:tcBorders>
                  <w:vAlign w:val="top"/>
                </w:tcPr>
                <w:p w14:paraId="7AA5F2A5">
                  <w:pPr>
                    <w:pStyle w:val="106"/>
                    <w:bidi w:val="0"/>
                    <w:rPr>
                      <w:rFonts w:hint="default"/>
                      <w:color w:val="auto"/>
                      <w:highlight w:val="none"/>
                      <w:lang w:val="en-US" w:eastAsia="zh-CN"/>
                    </w:rPr>
                  </w:pPr>
                </w:p>
              </w:tc>
            </w:tr>
          </w:tbl>
          <w:p w14:paraId="3CBC9F16">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default"/>
                <w:color w:val="auto"/>
                <w:lang w:val="en-US" w:eastAsia="zh-CN"/>
              </w:rPr>
            </w:pPr>
            <w:r>
              <w:rPr>
                <w:rFonts w:hint="eastAsia"/>
                <w:color w:val="auto"/>
                <w:lang w:val="en-US" w:eastAsia="zh-CN"/>
              </w:rPr>
              <w:t>产品介绍：</w:t>
            </w:r>
          </w:p>
          <w:p w14:paraId="6410FEF9">
            <w:pPr>
              <w:bidi w:val="0"/>
              <w:rPr>
                <w:rFonts w:hint="default"/>
                <w:color w:val="auto"/>
                <w:lang w:val="en-US" w:eastAsia="zh-CN"/>
              </w:rPr>
            </w:pPr>
            <w:r>
              <w:rPr>
                <w:rFonts w:hint="eastAsia"/>
                <w:color w:val="auto"/>
                <w:lang w:val="en-US" w:eastAsia="zh-CN"/>
              </w:rPr>
              <w:t>冻干葱葱、冻干上海青、冻干红薯、冻干韭菜、冻干火龙果：外购新鲜小葱、上海青、红薯、韭菜、火龙果经过清洗、去皮、去核、切片等预处理过程后进行低温冻结、升华干燥、解析干燥、后处理等工序制成成品冻干产品。</w:t>
            </w:r>
          </w:p>
          <w:p w14:paraId="3A202347">
            <w:pPr>
              <w:bidi w:val="0"/>
              <w:rPr>
                <w:rFonts w:hint="default"/>
                <w:color w:val="auto"/>
                <w:lang w:val="en-US" w:eastAsia="zh-CN"/>
              </w:rPr>
            </w:pPr>
            <w:r>
              <w:rPr>
                <w:rFonts w:hint="eastAsia"/>
                <w:color w:val="auto"/>
                <w:lang w:val="en-US" w:eastAsia="zh-CN"/>
              </w:rPr>
              <w:t>午餐肉罐头：外购肉类自然解冻后经过切分、筛选、预处理、宰拌、真空拌料、定量灌装、灌装封口、杀菌熟化、冷却等工序后装箱入库。</w:t>
            </w:r>
          </w:p>
          <w:p w14:paraId="050106C0">
            <w:pPr>
              <w:bidi w:val="0"/>
              <w:rPr>
                <w:rFonts w:hint="default"/>
                <w:color w:val="FF0000"/>
                <w:lang w:val="en-US" w:eastAsia="zh-CN"/>
              </w:rPr>
            </w:pPr>
            <w:r>
              <w:rPr>
                <w:rFonts w:hint="eastAsia"/>
                <w:color w:val="auto"/>
                <w:lang w:val="en-US" w:eastAsia="zh-CN"/>
              </w:rPr>
              <w:t>纸巾生产：外购原纸检验是否有损坏后经过打纸、切纸、包装、成品检验等工序后装箱/装袋入库</w:t>
            </w:r>
            <w:r>
              <w:rPr>
                <w:rFonts w:hint="eastAsia"/>
                <w:b w:val="0"/>
                <w:bCs w:val="0"/>
                <w:color w:val="auto"/>
                <w:lang w:val="en-US" w:eastAsia="zh-CN"/>
              </w:rPr>
              <w:t>（不涉及纸浆生产，不涉及涂布、浸渍、印刷、粘胶等工艺）。</w:t>
            </w:r>
          </w:p>
          <w:p w14:paraId="3B21DD38">
            <w:pPr>
              <w:bidi w:val="0"/>
              <w:rPr>
                <w:rFonts w:hint="eastAsia"/>
                <w:lang w:val="en-US" w:eastAsia="zh-CN"/>
              </w:rPr>
            </w:pPr>
            <w:r>
              <w:rPr>
                <w:rFonts w:hint="eastAsia"/>
                <w:lang w:val="en-US" w:eastAsia="zh-CN"/>
              </w:rPr>
              <w:t>项目产品关联图如下：</w:t>
            </w:r>
          </w:p>
          <w:p w14:paraId="094AB249">
            <w:pPr>
              <w:ind w:left="0" w:leftChars="0" w:firstLine="0" w:firstLineChars="0"/>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5832475" cy="2823210"/>
                  <wp:effectExtent l="0" t="0" r="0" b="0"/>
                  <wp:docPr id="7" name="图片 7" descr="未命名文件(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命名文件(27)"/>
                          <pic:cNvPicPr>
                            <a:picLocks noChangeAspect="1"/>
                          </pic:cNvPicPr>
                        </pic:nvPicPr>
                        <pic:blipFill>
                          <a:blip r:embed="rId19"/>
                          <a:stretch>
                            <a:fillRect/>
                          </a:stretch>
                        </pic:blipFill>
                        <pic:spPr>
                          <a:xfrm>
                            <a:off x="0" y="0"/>
                            <a:ext cx="5832475" cy="2823210"/>
                          </a:xfrm>
                          <a:prstGeom prst="rect">
                            <a:avLst/>
                          </a:prstGeom>
                        </pic:spPr>
                      </pic:pic>
                    </a:graphicData>
                  </a:graphic>
                </wp:inline>
              </w:drawing>
            </w:r>
          </w:p>
          <w:p w14:paraId="61274A45">
            <w:pPr>
              <w:pStyle w:val="14"/>
              <w:bidi w:val="0"/>
              <w:rPr>
                <w:rFonts w:hint="eastAsia"/>
                <w:color w:val="auto"/>
                <w:highlight w:val="none"/>
                <w:lang w:val="en-US" w:eastAsia="zh-CN"/>
              </w:rPr>
            </w:pPr>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项目产品关联图</w:t>
            </w:r>
          </w:p>
          <w:p w14:paraId="5BE1E24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4、项目组成及主要建设内容</w:t>
            </w:r>
          </w:p>
          <w:p w14:paraId="5126E467">
            <w:pPr>
              <w:ind w:firstLine="480"/>
              <w:rPr>
                <w:rFonts w:hint="eastAsia"/>
                <w:color w:val="auto"/>
                <w:sz w:val="24"/>
                <w:szCs w:val="32"/>
                <w:highlight w:val="none"/>
              </w:rPr>
            </w:pPr>
            <w:r>
              <w:rPr>
                <w:rFonts w:hint="eastAsia"/>
                <w:color w:val="auto"/>
                <w:sz w:val="24"/>
                <w:szCs w:val="32"/>
                <w:highlight w:val="none"/>
              </w:rPr>
              <w:t>项目组成及主要环境问题详见</w:t>
            </w:r>
            <w:r>
              <w:rPr>
                <w:rFonts w:hint="eastAsia"/>
                <w:color w:val="auto"/>
                <w:sz w:val="24"/>
                <w:szCs w:val="32"/>
                <w:highlight w:val="none"/>
                <w:lang w:val="en-US" w:eastAsia="zh-CN"/>
              </w:rPr>
              <w:t>下表</w:t>
            </w:r>
            <w:r>
              <w:rPr>
                <w:rFonts w:hint="eastAsia"/>
                <w:color w:val="auto"/>
                <w:sz w:val="24"/>
                <w:szCs w:val="32"/>
                <w:highlight w:val="none"/>
              </w:rPr>
              <w:t>。</w:t>
            </w:r>
          </w:p>
          <w:p w14:paraId="560D083A">
            <w:pPr>
              <w:pStyle w:val="14"/>
              <w:bidi w:val="0"/>
              <w:rPr>
                <w:rFonts w:hint="eastAsia"/>
                <w:color w:val="auto"/>
                <w:highlight w:val="none"/>
              </w:rPr>
            </w:pPr>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lang w:val="en-US" w:eastAsia="zh-CN"/>
              </w:rPr>
              <w:t xml:space="preserve">  </w:t>
            </w:r>
            <w:r>
              <w:rPr>
                <w:rFonts w:hint="eastAsia"/>
                <w:color w:val="auto"/>
                <w:highlight w:val="none"/>
              </w:rPr>
              <w:t>项目工程组成及主要环境问题表</w:t>
            </w:r>
          </w:p>
          <w:tbl>
            <w:tblPr>
              <w:tblStyle w:val="28"/>
              <w:tblW w:w="92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0"/>
              <w:gridCol w:w="481"/>
              <w:gridCol w:w="509"/>
              <w:gridCol w:w="4916"/>
              <w:gridCol w:w="950"/>
              <w:gridCol w:w="1095"/>
              <w:gridCol w:w="829"/>
            </w:tblGrid>
            <w:tr w14:paraId="6FF8A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gridSpan w:val="2"/>
                  <w:vMerge w:val="restart"/>
                  <w:tcBorders>
                    <w:bottom w:val="single" w:color="auto" w:sz="4" w:space="0"/>
                  </w:tcBorders>
                  <w:vAlign w:val="center"/>
                </w:tcPr>
                <w:p w14:paraId="6B256844">
                  <w:pPr>
                    <w:pStyle w:val="94"/>
                    <w:bidi w:val="0"/>
                    <w:rPr>
                      <w:b/>
                      <w:bCs w:val="0"/>
                      <w:color w:val="auto"/>
                      <w:highlight w:val="none"/>
                    </w:rPr>
                  </w:pPr>
                  <w:r>
                    <w:rPr>
                      <w:b/>
                      <w:bCs w:val="0"/>
                      <w:color w:val="auto"/>
                      <w:highlight w:val="none"/>
                    </w:rPr>
                    <w:t>类别</w:t>
                  </w:r>
                </w:p>
              </w:tc>
              <w:tc>
                <w:tcPr>
                  <w:tcW w:w="2929" w:type="pct"/>
                  <w:gridSpan w:val="2"/>
                  <w:vMerge w:val="restart"/>
                  <w:tcBorders>
                    <w:bottom w:val="single" w:color="auto" w:sz="4" w:space="0"/>
                  </w:tcBorders>
                  <w:vAlign w:val="center"/>
                </w:tcPr>
                <w:p w14:paraId="7D4426EC">
                  <w:pPr>
                    <w:pStyle w:val="94"/>
                    <w:bidi w:val="0"/>
                    <w:jc w:val="center"/>
                    <w:rPr>
                      <w:b/>
                      <w:bCs w:val="0"/>
                      <w:color w:val="auto"/>
                      <w:highlight w:val="none"/>
                    </w:rPr>
                  </w:pPr>
                  <w:r>
                    <w:rPr>
                      <w:b/>
                      <w:bCs w:val="0"/>
                      <w:color w:val="auto"/>
                      <w:highlight w:val="none"/>
                    </w:rPr>
                    <w:t>建设内容及规模</w:t>
                  </w:r>
                </w:p>
              </w:tc>
              <w:tc>
                <w:tcPr>
                  <w:tcW w:w="1104" w:type="pct"/>
                  <w:gridSpan w:val="2"/>
                  <w:tcBorders>
                    <w:bottom w:val="single" w:color="auto" w:sz="4" w:space="0"/>
                  </w:tcBorders>
                  <w:vAlign w:val="center"/>
                </w:tcPr>
                <w:p w14:paraId="45AC12D6">
                  <w:pPr>
                    <w:pStyle w:val="94"/>
                    <w:bidi w:val="0"/>
                    <w:rPr>
                      <w:b/>
                      <w:bCs w:val="0"/>
                      <w:color w:val="auto"/>
                      <w:highlight w:val="none"/>
                    </w:rPr>
                  </w:pPr>
                  <w:r>
                    <w:rPr>
                      <w:b/>
                      <w:bCs w:val="0"/>
                      <w:color w:val="auto"/>
                      <w:highlight w:val="none"/>
                    </w:rPr>
                    <w:t>主要环境问题</w:t>
                  </w:r>
                </w:p>
              </w:tc>
              <w:tc>
                <w:tcPr>
                  <w:tcW w:w="447" w:type="pct"/>
                  <w:vMerge w:val="restart"/>
                  <w:tcBorders>
                    <w:bottom w:val="single" w:color="auto" w:sz="4" w:space="0"/>
                  </w:tcBorders>
                  <w:vAlign w:val="center"/>
                </w:tcPr>
                <w:p w14:paraId="5FBE7FCA">
                  <w:pPr>
                    <w:pStyle w:val="106"/>
                    <w:bidi w:val="0"/>
                    <w:rPr>
                      <w:b/>
                      <w:bCs/>
                    </w:rPr>
                  </w:pPr>
                  <w:r>
                    <w:rPr>
                      <w:b/>
                      <w:bCs/>
                    </w:rPr>
                    <w:t>备注</w:t>
                  </w:r>
                </w:p>
              </w:tc>
            </w:tr>
            <w:tr w14:paraId="0FC00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gridSpan w:val="2"/>
                  <w:vMerge w:val="continue"/>
                  <w:tcBorders>
                    <w:top w:val="single" w:color="auto" w:sz="4" w:space="0"/>
                    <w:bottom w:val="single" w:color="auto" w:sz="4" w:space="0"/>
                    <w:tl2br w:val="nil"/>
                    <w:tr2bl w:val="nil"/>
                  </w:tcBorders>
                  <w:vAlign w:val="center"/>
                </w:tcPr>
                <w:p w14:paraId="7AF7CE8A">
                  <w:pPr>
                    <w:pStyle w:val="94"/>
                    <w:bidi w:val="0"/>
                    <w:rPr>
                      <w:color w:val="FF0000"/>
                      <w:highlight w:val="none"/>
                    </w:rPr>
                  </w:pPr>
                </w:p>
              </w:tc>
              <w:tc>
                <w:tcPr>
                  <w:tcW w:w="2929" w:type="pct"/>
                  <w:gridSpan w:val="2"/>
                  <w:vMerge w:val="continue"/>
                  <w:tcBorders>
                    <w:top w:val="single" w:color="auto" w:sz="4" w:space="0"/>
                    <w:bottom w:val="single" w:color="auto" w:sz="4" w:space="0"/>
                    <w:tl2br w:val="nil"/>
                    <w:tr2bl w:val="nil"/>
                  </w:tcBorders>
                  <w:vAlign w:val="center"/>
                </w:tcPr>
                <w:p w14:paraId="43991D16">
                  <w:pPr>
                    <w:pStyle w:val="94"/>
                    <w:bidi w:val="0"/>
                    <w:jc w:val="both"/>
                    <w:rPr>
                      <w:color w:val="FF0000"/>
                      <w:highlight w:val="none"/>
                    </w:rPr>
                  </w:pPr>
                </w:p>
              </w:tc>
              <w:tc>
                <w:tcPr>
                  <w:tcW w:w="512" w:type="pct"/>
                  <w:tcBorders>
                    <w:top w:val="single" w:color="auto" w:sz="4" w:space="0"/>
                    <w:bottom w:val="single" w:color="000000" w:sz="4" w:space="0"/>
                    <w:tl2br w:val="nil"/>
                    <w:tr2bl w:val="nil"/>
                  </w:tcBorders>
                  <w:vAlign w:val="center"/>
                </w:tcPr>
                <w:p w14:paraId="118C599B">
                  <w:pPr>
                    <w:pStyle w:val="94"/>
                    <w:bidi w:val="0"/>
                    <w:rPr>
                      <w:b/>
                      <w:bCs w:val="0"/>
                      <w:color w:val="auto"/>
                      <w:highlight w:val="none"/>
                    </w:rPr>
                  </w:pPr>
                  <w:r>
                    <w:rPr>
                      <w:b/>
                      <w:bCs w:val="0"/>
                      <w:color w:val="auto"/>
                      <w:highlight w:val="none"/>
                    </w:rPr>
                    <w:t>建设期</w:t>
                  </w:r>
                </w:p>
              </w:tc>
              <w:tc>
                <w:tcPr>
                  <w:tcW w:w="591" w:type="pct"/>
                  <w:tcBorders>
                    <w:top w:val="single" w:color="auto" w:sz="4" w:space="0"/>
                    <w:bottom w:val="single" w:color="000000" w:sz="4" w:space="0"/>
                    <w:tl2br w:val="nil"/>
                    <w:tr2bl w:val="nil"/>
                  </w:tcBorders>
                  <w:vAlign w:val="center"/>
                </w:tcPr>
                <w:p w14:paraId="693BCA18">
                  <w:pPr>
                    <w:pStyle w:val="94"/>
                    <w:bidi w:val="0"/>
                    <w:rPr>
                      <w:b/>
                      <w:bCs w:val="0"/>
                      <w:color w:val="auto"/>
                      <w:highlight w:val="none"/>
                    </w:rPr>
                  </w:pPr>
                  <w:r>
                    <w:rPr>
                      <w:b/>
                      <w:bCs w:val="0"/>
                      <w:color w:val="auto"/>
                      <w:highlight w:val="none"/>
                    </w:rPr>
                    <w:t>营运期</w:t>
                  </w:r>
                </w:p>
              </w:tc>
              <w:tc>
                <w:tcPr>
                  <w:tcW w:w="447" w:type="pct"/>
                  <w:vMerge w:val="continue"/>
                  <w:tcBorders>
                    <w:top w:val="single" w:color="auto" w:sz="4" w:space="0"/>
                    <w:bottom w:val="single" w:color="000000" w:sz="4" w:space="0"/>
                    <w:tl2br w:val="nil"/>
                    <w:tr2bl w:val="nil"/>
                  </w:tcBorders>
                  <w:vAlign w:val="center"/>
                </w:tcPr>
                <w:p w14:paraId="4B030C8F">
                  <w:pPr>
                    <w:pStyle w:val="106"/>
                    <w:bidi w:val="0"/>
                  </w:pPr>
                </w:p>
              </w:tc>
            </w:tr>
            <w:tr w14:paraId="16715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restart"/>
                  <w:tcBorders>
                    <w:top w:val="single" w:color="auto" w:sz="4" w:space="0"/>
                    <w:tl2br w:val="nil"/>
                    <w:tr2bl w:val="nil"/>
                  </w:tcBorders>
                  <w:vAlign w:val="center"/>
                </w:tcPr>
                <w:p w14:paraId="6A7097C7">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r>
                    <w:rPr>
                      <w:color w:val="auto"/>
                      <w:highlight w:val="none"/>
                    </w:rPr>
                    <w:t>主体工程</w:t>
                  </w:r>
                </w:p>
              </w:tc>
              <w:tc>
                <w:tcPr>
                  <w:tcW w:w="259" w:type="pct"/>
                  <w:tcBorders>
                    <w:top w:val="single" w:color="auto" w:sz="4" w:space="0"/>
                    <w:tl2br w:val="nil"/>
                    <w:tr2bl w:val="nil"/>
                  </w:tcBorders>
                  <w:shd w:val="clear" w:color="auto" w:fill="auto"/>
                  <w:vAlign w:val="center"/>
                </w:tcPr>
                <w:p w14:paraId="50E2695A">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纸制品生产区</w:t>
                  </w:r>
                </w:p>
              </w:tc>
              <w:tc>
                <w:tcPr>
                  <w:tcW w:w="274" w:type="pct"/>
                  <w:tcBorders>
                    <w:top w:val="single" w:color="auto" w:sz="4" w:space="0"/>
                    <w:tl2br w:val="nil"/>
                    <w:tr2bl w:val="nil"/>
                  </w:tcBorders>
                  <w:shd w:val="clear" w:color="auto" w:fill="auto"/>
                  <w:vAlign w:val="center"/>
                </w:tcPr>
                <w:p w14:paraId="0724A977">
                  <w:pPr>
                    <w:pStyle w:val="94"/>
                    <w:ind w:firstLine="0" w:firstLineChars="0"/>
                    <w:jc w:val="left"/>
                    <w:rPr>
                      <w:rFonts w:hint="default" w:ascii="Times New Roman" w:hAnsi="Times New Roman" w:eastAsia="宋体" w:cs="Times New Roman"/>
                      <w:b w:val="0"/>
                      <w:bCs/>
                      <w:color w:val="auto"/>
                      <w:kern w:val="2"/>
                      <w:sz w:val="21"/>
                      <w:szCs w:val="21"/>
                      <w:highlight w:val="none"/>
                      <w:lang w:val="en-US" w:eastAsia="zh-CN" w:bidi="ar-SA"/>
                    </w:rPr>
                  </w:pPr>
                  <w:r>
                    <w:rPr>
                      <w:rFonts w:hint="eastAsia"/>
                      <w:b w:val="0"/>
                      <w:bCs/>
                      <w:color w:val="auto"/>
                      <w:highlight w:val="none"/>
                      <w:lang w:val="en-US" w:eastAsia="zh-CN"/>
                    </w:rPr>
                    <w:t>一车间1F</w:t>
                  </w:r>
                </w:p>
              </w:tc>
              <w:tc>
                <w:tcPr>
                  <w:tcW w:w="2654" w:type="pct"/>
                  <w:tcBorders>
                    <w:top w:val="single" w:color="auto" w:sz="4" w:space="0"/>
                    <w:tl2br w:val="nil"/>
                    <w:tr2bl w:val="nil"/>
                  </w:tcBorders>
                  <w:shd w:val="clear" w:color="auto" w:fill="auto"/>
                  <w:vAlign w:val="center"/>
                </w:tcPr>
                <w:p w14:paraId="5F0A1AF9">
                  <w:pPr>
                    <w:pStyle w:val="94"/>
                    <w:ind w:firstLine="0" w:firstLineChars="0"/>
                    <w:jc w:val="left"/>
                    <w:rPr>
                      <w:rFonts w:hint="default" w:ascii="Times New Roman" w:hAnsi="Times New Roman" w:eastAsia="宋体" w:cs="Times New Roman"/>
                      <w:b/>
                      <w:bCs w:val="0"/>
                      <w:color w:val="auto"/>
                      <w:kern w:val="2"/>
                      <w:sz w:val="21"/>
                      <w:szCs w:val="21"/>
                      <w:highlight w:val="none"/>
                      <w:lang w:val="en-US" w:eastAsia="zh-CN" w:bidi="ar-SA"/>
                    </w:rPr>
                  </w:pPr>
                  <w:r>
                    <w:rPr>
                      <w:rFonts w:hint="eastAsia"/>
                      <w:b/>
                      <w:bCs w:val="0"/>
                      <w:color w:val="auto"/>
                      <w:highlight w:val="none"/>
                      <w:lang w:val="en-US" w:eastAsia="zh-CN"/>
                    </w:rPr>
                    <w:t>生产车间：</w:t>
                  </w:r>
                  <w:r>
                    <w:rPr>
                      <w:rFonts w:hint="eastAsia"/>
                      <w:b w:val="0"/>
                      <w:bCs/>
                      <w:color w:val="auto"/>
                      <w:highlight w:val="none"/>
                      <w:lang w:val="en-US" w:eastAsia="zh-CN"/>
                    </w:rPr>
                    <w:t>面积约6000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，厂房东部，拟设置</w:t>
                  </w:r>
                  <w:r>
                    <w:rPr>
                      <w:rFonts w:hint="eastAsia"/>
                      <w:color w:val="auto"/>
                    </w:rPr>
                    <w:t>高速盘纸分切复卷机</w:t>
                  </w:r>
                  <w:r>
                    <w:rPr>
                      <w:rFonts w:hint="eastAsia"/>
                      <w:color w:val="auto"/>
                      <w:lang w:eastAsia="zh-CN"/>
                    </w:rPr>
                    <w:t>、</w:t>
                  </w:r>
                  <w:r>
                    <w:rPr>
                      <w:rFonts w:hint="eastAsia"/>
                      <w:color w:val="auto"/>
                      <w:lang w:val="en-US" w:eastAsia="zh-CN"/>
                    </w:rPr>
                    <w:t>卫生纸生产线、面巾纸生产线</w:t>
                  </w:r>
                  <w:r>
                    <w:rPr>
                      <w:rFonts w:hint="eastAsia"/>
                      <w:color w:val="auto"/>
                      <w:highlight w:val="none"/>
                      <w:lang w:val="en-US" w:eastAsia="zh-CN"/>
                    </w:rPr>
                    <w:t>等设备，进行外购原纸的复卷、打纸、切纸、包装等工序。</w:t>
                  </w:r>
                </w:p>
              </w:tc>
              <w:tc>
                <w:tcPr>
                  <w:tcW w:w="512" w:type="pct"/>
                  <w:vMerge w:val="restart"/>
                  <w:tcBorders>
                    <w:top w:val="single" w:color="000000" w:sz="4" w:space="0"/>
                    <w:tl2br w:val="nil"/>
                    <w:tr2bl w:val="nil"/>
                  </w:tcBorders>
                  <w:vAlign w:val="center"/>
                </w:tcPr>
                <w:p w14:paraId="7BEA1845">
                  <w:pPr>
                    <w:pStyle w:val="94"/>
                    <w:bidi w:val="0"/>
                    <w:rPr>
                      <w:rFonts w:hint="eastAsia"/>
                      <w:color w:val="FF0000"/>
                      <w:highlight w:val="none"/>
                    </w:rPr>
                  </w:pPr>
                  <w:r>
                    <w:rPr>
                      <w:rFonts w:hint="eastAsia"/>
                      <w:color w:val="auto"/>
                      <w:highlight w:val="none"/>
                    </w:rPr>
                    <w:t>施工扬尘、生活污水、施工噪声、固体废物</w:t>
                  </w:r>
                </w:p>
              </w:tc>
              <w:tc>
                <w:tcPr>
                  <w:tcW w:w="591" w:type="pct"/>
                  <w:tcBorders>
                    <w:top w:val="single" w:color="000000" w:sz="4" w:space="0"/>
                    <w:tl2br w:val="nil"/>
                    <w:tr2bl w:val="nil"/>
                  </w:tcBorders>
                  <w:shd w:val="clear" w:color="auto" w:fill="auto"/>
                  <w:vAlign w:val="center"/>
                </w:tcPr>
                <w:p w14:paraId="02FEE061">
                  <w:pPr>
                    <w:pStyle w:val="94"/>
                    <w:bidi w:val="0"/>
                    <w:ind w:firstLine="0" w:firstLineChars="0"/>
                    <w:rPr>
                      <w:rFonts w:hint="default" w:ascii="Times New Roman" w:hAnsi="Times New Roman" w:eastAsia="宋体" w:cs="Times New Roman"/>
                      <w:bCs/>
                      <w:color w:val="FF0000"/>
                      <w:kern w:val="2"/>
                      <w:sz w:val="21"/>
                      <w:szCs w:val="21"/>
                      <w:highlight w:val="none"/>
                      <w:lang w:val="en-US" w:eastAsia="zh-CN" w:bidi="ar-SA"/>
                    </w:rPr>
                  </w:pPr>
                  <w:r>
                    <w:rPr>
                      <w:rFonts w:hint="eastAsia"/>
                      <w:color w:val="auto"/>
                      <w:highlight w:val="none"/>
                      <w:lang w:val="en-US" w:eastAsia="zh-CN"/>
                    </w:rPr>
                    <w:t>噪声、固废</w:t>
                  </w:r>
                </w:p>
              </w:tc>
              <w:tc>
                <w:tcPr>
                  <w:tcW w:w="447" w:type="pct"/>
                  <w:tcBorders>
                    <w:top w:val="single" w:color="000000" w:sz="4" w:space="0"/>
                    <w:tl2br w:val="nil"/>
                    <w:tr2bl w:val="nil"/>
                  </w:tcBorders>
                  <w:shd w:val="clear" w:color="auto" w:fill="auto"/>
                  <w:vAlign w:val="center"/>
                </w:tcPr>
                <w:p w14:paraId="2B792AE2">
                  <w:pPr>
                    <w:pStyle w:val="106"/>
                    <w:bidi w:val="0"/>
                    <w:rPr>
                      <w:rFonts w:hint="default"/>
                      <w:lang w:val="en-US" w:eastAsia="zh-CN"/>
                    </w:rPr>
                  </w:pPr>
                  <w:r>
                    <w:rPr>
                      <w:rFonts w:hint="eastAsia"/>
                      <w:lang w:val="en-US" w:eastAsia="zh-CN"/>
                    </w:rPr>
                    <w:t>新建</w:t>
                  </w:r>
                </w:p>
              </w:tc>
            </w:tr>
            <w:tr w14:paraId="11E22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58709F22">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restart"/>
                  <w:tcBorders>
                    <w:tl2br w:val="nil"/>
                    <w:tr2bl w:val="nil"/>
                  </w:tcBorders>
                  <w:vAlign w:val="center"/>
                </w:tcPr>
                <w:p w14:paraId="7A84C900">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午餐肉罐头生产区</w:t>
                  </w:r>
                </w:p>
              </w:tc>
              <w:tc>
                <w:tcPr>
                  <w:tcW w:w="274" w:type="pct"/>
                  <w:vMerge w:val="restart"/>
                  <w:tcBorders>
                    <w:tl2br w:val="nil"/>
                    <w:tr2bl w:val="nil"/>
                  </w:tcBorders>
                  <w:vAlign w:val="center"/>
                </w:tcPr>
                <w:p w14:paraId="6D08BCAD">
                  <w:pPr>
                    <w:pStyle w:val="94"/>
                    <w:jc w:val="left"/>
                    <w:rPr>
                      <w:rFonts w:hint="default"/>
                      <w:b w:val="0"/>
                      <w:bCs/>
                      <w:color w:val="auto"/>
                      <w:highlight w:val="none"/>
                      <w:lang w:val="en-US" w:eastAsia="zh-CN"/>
                    </w:rPr>
                  </w:pPr>
                  <w:r>
                    <w:rPr>
                      <w:rFonts w:hint="eastAsia"/>
                      <w:b w:val="0"/>
                      <w:bCs/>
                      <w:color w:val="auto"/>
                      <w:highlight w:val="none"/>
                      <w:lang w:val="en-US" w:eastAsia="zh-CN"/>
                    </w:rPr>
                    <w:t>二车间1F</w:t>
                  </w:r>
                </w:p>
              </w:tc>
              <w:tc>
                <w:tcPr>
                  <w:tcW w:w="2654" w:type="pct"/>
                  <w:tcBorders>
                    <w:tl2br w:val="nil"/>
                    <w:tr2bl w:val="nil"/>
                  </w:tcBorders>
                  <w:shd w:val="clear" w:color="auto" w:fill="auto"/>
                  <w:vAlign w:val="center"/>
                </w:tcPr>
                <w:p w14:paraId="532C6A13">
                  <w:pPr>
                    <w:pStyle w:val="94"/>
                    <w:ind w:firstLine="0" w:firstLineChars="0"/>
                    <w:jc w:val="left"/>
                    <w:rPr>
                      <w:rFonts w:hint="default"/>
                      <w:b/>
                      <w:bCs w:val="0"/>
                      <w:color w:val="auto"/>
                      <w:highlight w:val="none"/>
                      <w:lang w:val="en-US" w:eastAsia="zh-CN"/>
                    </w:rPr>
                  </w:pPr>
                  <w:r>
                    <w:rPr>
                      <w:rFonts w:hint="eastAsia"/>
                      <w:b/>
                      <w:bCs w:val="0"/>
                      <w:color w:val="auto"/>
                      <w:highlight w:val="none"/>
                      <w:lang w:val="en-US" w:eastAsia="zh-CN"/>
                    </w:rPr>
                    <w:t>生产车间：</w:t>
                  </w:r>
                  <w:r>
                    <w:rPr>
                      <w:rFonts w:hint="eastAsia"/>
                      <w:b w:val="0"/>
                      <w:bCs/>
                      <w:color w:val="auto"/>
                      <w:highlight w:val="none"/>
                      <w:lang w:val="en-US" w:eastAsia="zh-CN"/>
                    </w:rPr>
                    <w:t>面积约5000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，厂房中部，拟设置</w:t>
                  </w:r>
                  <w:r>
                    <w:rPr>
                      <w:rFonts w:hint="eastAsia"/>
                      <w:color w:val="auto"/>
                      <w:lang w:val="en-US" w:eastAsia="zh-CN"/>
                    </w:rPr>
                    <w:t>空罐清洗设备、提升定量灌装机、杀菌锅、蒸汽发生器、贴标喷码机</w:t>
                  </w:r>
                  <w:r>
                    <w:rPr>
                      <w:rFonts w:hint="eastAsia"/>
                      <w:color w:val="auto"/>
                      <w:highlight w:val="none"/>
                      <w:lang w:val="en-US" w:eastAsia="zh-CN"/>
                    </w:rPr>
                    <w:t>等设备，进行空罐清洗、定量灌装、杀菌熟化、贴标喷码等工序。</w:t>
                  </w:r>
                </w:p>
              </w:tc>
              <w:tc>
                <w:tcPr>
                  <w:tcW w:w="512" w:type="pct"/>
                  <w:vMerge w:val="continue"/>
                  <w:tcBorders>
                    <w:tl2br w:val="nil"/>
                    <w:tr2bl w:val="nil"/>
                  </w:tcBorders>
                  <w:vAlign w:val="center"/>
                </w:tcPr>
                <w:p w14:paraId="1B52784A">
                  <w:pPr>
                    <w:pStyle w:val="94"/>
                    <w:bidi w:val="0"/>
                    <w:rPr>
                      <w:rFonts w:hint="eastAsia"/>
                      <w:color w:val="FF0000"/>
                      <w:highlight w:val="none"/>
                    </w:rPr>
                  </w:pPr>
                </w:p>
              </w:tc>
              <w:tc>
                <w:tcPr>
                  <w:tcW w:w="591" w:type="pct"/>
                  <w:tcBorders>
                    <w:tl2br w:val="nil"/>
                    <w:tr2bl w:val="nil"/>
                  </w:tcBorders>
                  <w:shd w:val="clear" w:color="auto" w:fill="auto"/>
                  <w:vAlign w:val="center"/>
                </w:tcPr>
                <w:p w14:paraId="22634281">
                  <w:pPr>
                    <w:pStyle w:val="94"/>
                    <w:bidi w:val="0"/>
                    <w:ind w:firstLine="0" w:firstLineChars="0"/>
                    <w:rPr>
                      <w:rFonts w:hint="default"/>
                      <w:color w:val="auto"/>
                      <w:highlight w:val="none"/>
                      <w:lang w:val="en-US" w:eastAsia="zh-CN"/>
                    </w:rPr>
                  </w:pPr>
                  <w:r>
                    <w:rPr>
                      <w:rFonts w:hint="eastAsia"/>
                      <w:color w:val="auto"/>
                      <w:highlight w:val="none"/>
                      <w:lang w:val="en-US" w:eastAsia="zh-CN"/>
                    </w:rPr>
                    <w:t>废气、废水、噪声、固废</w:t>
                  </w:r>
                </w:p>
              </w:tc>
              <w:tc>
                <w:tcPr>
                  <w:tcW w:w="447" w:type="pct"/>
                  <w:tcBorders>
                    <w:tl2br w:val="nil"/>
                    <w:tr2bl w:val="nil"/>
                  </w:tcBorders>
                  <w:shd w:val="clear" w:color="auto" w:fill="auto"/>
                  <w:vAlign w:val="center"/>
                </w:tcPr>
                <w:p w14:paraId="19023C0E">
                  <w:pPr>
                    <w:pStyle w:val="106"/>
                    <w:bidi w:val="0"/>
                    <w:rPr>
                      <w:rFonts w:hint="eastAsia"/>
                      <w:lang w:val="en-US" w:eastAsia="zh-CN"/>
                    </w:rPr>
                  </w:pPr>
                  <w:r>
                    <w:rPr>
                      <w:rFonts w:hint="eastAsia"/>
                      <w:lang w:val="en-US" w:eastAsia="zh-CN"/>
                    </w:rPr>
                    <w:t>新建</w:t>
                  </w:r>
                </w:p>
              </w:tc>
            </w:tr>
            <w:tr w14:paraId="61BD6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7720B5C2">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continue"/>
                  <w:tcBorders>
                    <w:tl2br w:val="nil"/>
                    <w:tr2bl w:val="nil"/>
                  </w:tcBorders>
                  <w:vAlign w:val="center"/>
                </w:tcPr>
                <w:p w14:paraId="5EE5483F">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74" w:type="pct"/>
                  <w:vMerge w:val="continue"/>
                  <w:tcBorders>
                    <w:tl2br w:val="nil"/>
                    <w:tr2bl w:val="nil"/>
                  </w:tcBorders>
                  <w:vAlign w:val="center"/>
                </w:tcPr>
                <w:p w14:paraId="70719D62">
                  <w:pPr>
                    <w:pStyle w:val="94"/>
                    <w:jc w:val="left"/>
                    <w:rPr>
                      <w:rFonts w:hint="eastAsia"/>
                      <w:b w:val="0"/>
                      <w:bCs/>
                      <w:color w:val="auto"/>
                      <w:highlight w:val="none"/>
                      <w:lang w:val="en-US" w:eastAsia="zh-CN"/>
                    </w:rPr>
                  </w:pPr>
                </w:p>
              </w:tc>
              <w:tc>
                <w:tcPr>
                  <w:tcW w:w="2654" w:type="pct"/>
                  <w:tcBorders>
                    <w:tl2br w:val="nil"/>
                    <w:tr2bl w:val="nil"/>
                  </w:tcBorders>
                  <w:shd w:val="clear" w:color="auto" w:fill="auto"/>
                  <w:vAlign w:val="center"/>
                </w:tcPr>
                <w:p w14:paraId="268DDC06">
                  <w:pPr>
                    <w:pStyle w:val="94"/>
                    <w:ind w:firstLine="0" w:firstLineChars="0"/>
                    <w:jc w:val="left"/>
                    <w:rPr>
                      <w:rFonts w:hint="default"/>
                      <w:b/>
                      <w:bCs w:val="0"/>
                      <w:color w:val="auto"/>
                      <w:highlight w:val="none"/>
                      <w:lang w:val="en-US" w:eastAsia="zh-CN"/>
                    </w:rPr>
                  </w:pPr>
                  <w:r>
                    <w:rPr>
                      <w:rFonts w:hint="eastAsia"/>
                      <w:b/>
                      <w:bCs w:val="0"/>
                      <w:color w:val="auto"/>
                      <w:highlight w:val="none"/>
                      <w:lang w:val="en-US" w:eastAsia="zh-CN"/>
                    </w:rPr>
                    <w:t>脱包解冻间：</w:t>
                  </w:r>
                  <w:r>
                    <w:rPr>
                      <w:rFonts w:hint="eastAsia"/>
                      <w:b w:val="0"/>
                      <w:bCs/>
                      <w:color w:val="auto"/>
                      <w:highlight w:val="none"/>
                      <w:lang w:val="en-US" w:eastAsia="zh-CN"/>
                    </w:rPr>
                    <w:t>面积约100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，厂房西北侧，拟设置</w:t>
                  </w:r>
                  <w:r>
                    <w:rPr>
                      <w:rFonts w:hint="eastAsia"/>
                      <w:color w:val="auto"/>
                      <w:lang w:val="en-US" w:eastAsia="zh-CN"/>
                    </w:rPr>
                    <w:t>气泡解冻池1座</w:t>
                  </w:r>
                  <w:r>
                    <w:rPr>
                      <w:rFonts w:hint="eastAsia"/>
                      <w:color w:val="auto"/>
                      <w:highlight w:val="none"/>
                      <w:lang w:val="en-US" w:eastAsia="zh-CN"/>
                    </w:rPr>
                    <w:t>，进行肉类解冻工序。</w:t>
                  </w:r>
                </w:p>
              </w:tc>
              <w:tc>
                <w:tcPr>
                  <w:tcW w:w="512" w:type="pct"/>
                  <w:vMerge w:val="continue"/>
                  <w:tcBorders>
                    <w:tl2br w:val="nil"/>
                    <w:tr2bl w:val="nil"/>
                  </w:tcBorders>
                  <w:vAlign w:val="center"/>
                </w:tcPr>
                <w:p w14:paraId="050268E6">
                  <w:pPr>
                    <w:pStyle w:val="94"/>
                    <w:bidi w:val="0"/>
                    <w:rPr>
                      <w:rFonts w:hint="eastAsia"/>
                      <w:color w:val="FF0000"/>
                      <w:highlight w:val="none"/>
                    </w:rPr>
                  </w:pPr>
                </w:p>
              </w:tc>
              <w:tc>
                <w:tcPr>
                  <w:tcW w:w="591" w:type="pct"/>
                  <w:tcBorders>
                    <w:tl2br w:val="nil"/>
                    <w:tr2bl w:val="nil"/>
                  </w:tcBorders>
                  <w:shd w:val="clear" w:color="auto" w:fill="auto"/>
                  <w:vAlign w:val="center"/>
                </w:tcPr>
                <w:p w14:paraId="2EB280E1">
                  <w:pPr>
                    <w:pStyle w:val="94"/>
                    <w:bidi w:val="0"/>
                    <w:ind w:firstLine="0" w:firstLineChars="0"/>
                    <w:rPr>
                      <w:rFonts w:hint="default"/>
                      <w:color w:val="auto"/>
                      <w:highlight w:val="none"/>
                      <w:lang w:val="en-US" w:eastAsia="zh-CN"/>
                    </w:rPr>
                  </w:pPr>
                  <w:r>
                    <w:rPr>
                      <w:rFonts w:hint="eastAsia"/>
                      <w:color w:val="auto"/>
                      <w:highlight w:val="none"/>
                      <w:lang w:val="en-US" w:eastAsia="zh-CN"/>
                    </w:rPr>
                    <w:t>废水</w:t>
                  </w:r>
                </w:p>
              </w:tc>
              <w:tc>
                <w:tcPr>
                  <w:tcW w:w="447" w:type="pct"/>
                  <w:tcBorders>
                    <w:tl2br w:val="nil"/>
                    <w:tr2bl w:val="nil"/>
                  </w:tcBorders>
                  <w:shd w:val="clear" w:color="auto" w:fill="auto"/>
                  <w:vAlign w:val="center"/>
                </w:tcPr>
                <w:p w14:paraId="6A0FCB8A">
                  <w:pPr>
                    <w:pStyle w:val="106"/>
                    <w:bidi w:val="0"/>
                    <w:rPr>
                      <w:rFonts w:hint="eastAsia"/>
                      <w:lang w:val="en-US" w:eastAsia="zh-CN"/>
                    </w:rPr>
                  </w:pPr>
                  <w:r>
                    <w:rPr>
                      <w:rFonts w:hint="eastAsia"/>
                      <w:lang w:val="en-US" w:eastAsia="zh-CN"/>
                    </w:rPr>
                    <w:t>新建</w:t>
                  </w:r>
                </w:p>
              </w:tc>
            </w:tr>
            <w:tr w14:paraId="1AC7E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0CA2DA9D">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continue"/>
                  <w:tcBorders>
                    <w:tl2br w:val="nil"/>
                    <w:tr2bl w:val="nil"/>
                  </w:tcBorders>
                  <w:vAlign w:val="center"/>
                </w:tcPr>
                <w:p w14:paraId="2D297276">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74" w:type="pct"/>
                  <w:vMerge w:val="continue"/>
                  <w:tcBorders>
                    <w:tl2br w:val="nil"/>
                    <w:tr2bl w:val="nil"/>
                  </w:tcBorders>
                  <w:vAlign w:val="center"/>
                </w:tcPr>
                <w:p w14:paraId="3B58392E">
                  <w:pPr>
                    <w:pStyle w:val="94"/>
                    <w:jc w:val="left"/>
                    <w:rPr>
                      <w:rFonts w:hint="eastAsia"/>
                      <w:b w:val="0"/>
                      <w:bCs/>
                      <w:color w:val="FF0000"/>
                      <w:highlight w:val="none"/>
                      <w:lang w:val="en-US" w:eastAsia="zh-CN"/>
                    </w:rPr>
                  </w:pPr>
                </w:p>
              </w:tc>
              <w:tc>
                <w:tcPr>
                  <w:tcW w:w="2654" w:type="pct"/>
                  <w:tcBorders>
                    <w:tl2br w:val="nil"/>
                    <w:tr2bl w:val="nil"/>
                  </w:tcBorders>
                  <w:shd w:val="clear" w:color="auto" w:fill="auto"/>
                  <w:vAlign w:val="center"/>
                </w:tcPr>
                <w:p w14:paraId="79735F1C">
                  <w:pPr>
                    <w:pStyle w:val="94"/>
                    <w:ind w:firstLine="0" w:firstLineChars="0"/>
                    <w:jc w:val="left"/>
                    <w:rPr>
                      <w:rFonts w:hint="default"/>
                      <w:b/>
                      <w:bCs w:val="0"/>
                      <w:color w:val="FF0000"/>
                      <w:highlight w:val="none"/>
                      <w:lang w:val="en-US" w:eastAsia="zh-CN"/>
                    </w:rPr>
                  </w:pPr>
                  <w:r>
                    <w:rPr>
                      <w:rFonts w:hint="eastAsia"/>
                      <w:b/>
                      <w:bCs w:val="0"/>
                      <w:color w:val="auto"/>
                      <w:highlight w:val="none"/>
                      <w:lang w:val="en-US" w:eastAsia="zh-CN"/>
                    </w:rPr>
                    <w:t>分割间：</w:t>
                  </w:r>
                  <w:r>
                    <w:rPr>
                      <w:rFonts w:hint="eastAsia"/>
                      <w:b w:val="0"/>
                      <w:bCs/>
                      <w:color w:val="auto"/>
                      <w:highlight w:val="none"/>
                      <w:lang w:val="en-US" w:eastAsia="zh-CN"/>
                    </w:rPr>
                    <w:t>面积约100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，厂房西侧，拟设置绞肉机、宰拌机、真空搅拌机，进行肉类解冻工序。</w:t>
                  </w:r>
                </w:p>
              </w:tc>
              <w:tc>
                <w:tcPr>
                  <w:tcW w:w="512" w:type="pct"/>
                  <w:vMerge w:val="continue"/>
                  <w:tcBorders>
                    <w:tl2br w:val="nil"/>
                    <w:tr2bl w:val="nil"/>
                  </w:tcBorders>
                  <w:vAlign w:val="center"/>
                </w:tcPr>
                <w:p w14:paraId="5967BEE6">
                  <w:pPr>
                    <w:pStyle w:val="94"/>
                    <w:bidi w:val="0"/>
                    <w:rPr>
                      <w:rFonts w:hint="eastAsia"/>
                      <w:color w:val="FF0000"/>
                      <w:highlight w:val="none"/>
                    </w:rPr>
                  </w:pPr>
                </w:p>
              </w:tc>
              <w:tc>
                <w:tcPr>
                  <w:tcW w:w="591" w:type="pct"/>
                  <w:tcBorders>
                    <w:tl2br w:val="nil"/>
                    <w:tr2bl w:val="nil"/>
                  </w:tcBorders>
                  <w:shd w:val="clear" w:color="auto" w:fill="auto"/>
                  <w:vAlign w:val="center"/>
                </w:tcPr>
                <w:p w14:paraId="1E6E6FFB">
                  <w:pPr>
                    <w:pStyle w:val="94"/>
                    <w:bidi w:val="0"/>
                    <w:ind w:firstLine="0" w:firstLineChars="0"/>
                    <w:rPr>
                      <w:rFonts w:hint="default"/>
                      <w:color w:val="auto"/>
                      <w:highlight w:val="none"/>
                      <w:lang w:val="en-US" w:eastAsia="zh-CN"/>
                    </w:rPr>
                  </w:pPr>
                  <w:r>
                    <w:rPr>
                      <w:rFonts w:hint="eastAsia"/>
                      <w:color w:val="auto"/>
                      <w:highlight w:val="none"/>
                      <w:lang w:val="en-US" w:eastAsia="zh-CN"/>
                    </w:rPr>
                    <w:t>噪声、固废</w:t>
                  </w:r>
                </w:p>
              </w:tc>
              <w:tc>
                <w:tcPr>
                  <w:tcW w:w="447" w:type="pct"/>
                  <w:tcBorders>
                    <w:tl2br w:val="nil"/>
                    <w:tr2bl w:val="nil"/>
                  </w:tcBorders>
                  <w:shd w:val="clear" w:color="auto" w:fill="auto"/>
                  <w:vAlign w:val="center"/>
                </w:tcPr>
                <w:p w14:paraId="6DDD2347">
                  <w:pPr>
                    <w:pStyle w:val="106"/>
                    <w:bidi w:val="0"/>
                    <w:rPr>
                      <w:rFonts w:hint="eastAsia"/>
                      <w:lang w:val="en-US" w:eastAsia="zh-CN"/>
                    </w:rPr>
                  </w:pPr>
                  <w:r>
                    <w:rPr>
                      <w:rFonts w:hint="eastAsia"/>
                      <w:lang w:val="en-US" w:eastAsia="zh-CN"/>
                    </w:rPr>
                    <w:t>新建</w:t>
                  </w:r>
                </w:p>
              </w:tc>
            </w:tr>
            <w:tr w14:paraId="18D30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47E84E7D">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continue"/>
                  <w:tcBorders>
                    <w:tl2br w:val="nil"/>
                    <w:tr2bl w:val="nil"/>
                  </w:tcBorders>
                  <w:vAlign w:val="center"/>
                </w:tcPr>
                <w:p w14:paraId="5B49961A">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74" w:type="pct"/>
                  <w:vMerge w:val="continue"/>
                  <w:tcBorders>
                    <w:tl2br w:val="nil"/>
                    <w:tr2bl w:val="nil"/>
                  </w:tcBorders>
                  <w:vAlign w:val="center"/>
                </w:tcPr>
                <w:p w14:paraId="333E1060">
                  <w:pPr>
                    <w:pStyle w:val="94"/>
                    <w:jc w:val="left"/>
                    <w:rPr>
                      <w:rFonts w:hint="eastAsia"/>
                      <w:b w:val="0"/>
                      <w:bCs/>
                      <w:color w:val="FF0000"/>
                      <w:highlight w:val="none"/>
                      <w:lang w:val="en-US" w:eastAsia="zh-CN"/>
                    </w:rPr>
                  </w:pPr>
                </w:p>
              </w:tc>
              <w:tc>
                <w:tcPr>
                  <w:tcW w:w="2654" w:type="pct"/>
                  <w:tcBorders>
                    <w:tl2br w:val="nil"/>
                    <w:tr2bl w:val="nil"/>
                  </w:tcBorders>
                  <w:shd w:val="clear" w:color="auto" w:fill="auto"/>
                  <w:vAlign w:val="center"/>
                </w:tcPr>
                <w:p w14:paraId="622C9599">
                  <w:pPr>
                    <w:pStyle w:val="94"/>
                    <w:ind w:firstLine="0" w:firstLineChars="0"/>
                    <w:jc w:val="left"/>
                    <w:rPr>
                      <w:rFonts w:hint="default"/>
                      <w:b/>
                      <w:bCs w:val="0"/>
                      <w:color w:val="FF0000"/>
                      <w:highlight w:val="none"/>
                      <w:lang w:val="en-US" w:eastAsia="zh-CN"/>
                    </w:rPr>
                  </w:pPr>
                  <w:r>
                    <w:rPr>
                      <w:rFonts w:hint="eastAsia"/>
                      <w:b/>
                      <w:bCs w:val="0"/>
                      <w:color w:val="auto"/>
                      <w:highlight w:val="none"/>
                      <w:lang w:val="en-US" w:eastAsia="zh-CN"/>
                    </w:rPr>
                    <w:t>配料间：</w:t>
                  </w:r>
                  <w:r>
                    <w:rPr>
                      <w:rFonts w:hint="eastAsia"/>
                      <w:b w:val="0"/>
                      <w:bCs/>
                      <w:color w:val="auto"/>
                      <w:highlight w:val="none"/>
                      <w:lang w:val="en-US" w:eastAsia="zh-CN"/>
                    </w:rPr>
                    <w:t>面积约100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，厂房西南侧，主要为人工进行调味料等的配料。</w:t>
                  </w:r>
                </w:p>
              </w:tc>
              <w:tc>
                <w:tcPr>
                  <w:tcW w:w="512" w:type="pct"/>
                  <w:vMerge w:val="continue"/>
                  <w:tcBorders>
                    <w:tl2br w:val="nil"/>
                    <w:tr2bl w:val="nil"/>
                  </w:tcBorders>
                  <w:vAlign w:val="center"/>
                </w:tcPr>
                <w:p w14:paraId="1FACE379">
                  <w:pPr>
                    <w:pStyle w:val="94"/>
                    <w:bidi w:val="0"/>
                    <w:rPr>
                      <w:rFonts w:hint="eastAsia"/>
                      <w:color w:val="FF0000"/>
                      <w:highlight w:val="none"/>
                    </w:rPr>
                  </w:pPr>
                </w:p>
              </w:tc>
              <w:tc>
                <w:tcPr>
                  <w:tcW w:w="591" w:type="pct"/>
                  <w:tcBorders>
                    <w:tl2br w:val="nil"/>
                    <w:tr2bl w:val="nil"/>
                  </w:tcBorders>
                  <w:shd w:val="clear" w:color="auto" w:fill="auto"/>
                  <w:vAlign w:val="center"/>
                </w:tcPr>
                <w:p w14:paraId="26A20393">
                  <w:pPr>
                    <w:pStyle w:val="94"/>
                    <w:bidi w:val="0"/>
                    <w:ind w:firstLine="0" w:firstLineChars="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shd w:val="clear" w:color="auto" w:fill="auto"/>
                  <w:vAlign w:val="center"/>
                </w:tcPr>
                <w:p w14:paraId="78EEFC91">
                  <w:pPr>
                    <w:pStyle w:val="106"/>
                    <w:bidi w:val="0"/>
                    <w:rPr>
                      <w:rFonts w:hint="eastAsia"/>
                      <w:lang w:val="en-US" w:eastAsia="zh-CN"/>
                    </w:rPr>
                  </w:pPr>
                  <w:r>
                    <w:rPr>
                      <w:rFonts w:hint="eastAsia"/>
                      <w:lang w:val="en-US" w:eastAsia="zh-CN"/>
                    </w:rPr>
                    <w:t>新建</w:t>
                  </w:r>
                </w:p>
              </w:tc>
            </w:tr>
            <w:tr w14:paraId="3DDDD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641992A6">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restart"/>
                  <w:tcBorders>
                    <w:tl2br w:val="nil"/>
                    <w:tr2bl w:val="nil"/>
                  </w:tcBorders>
                  <w:vAlign w:val="center"/>
                </w:tcPr>
                <w:p w14:paraId="32EB1007">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r>
                    <w:rPr>
                      <w:rFonts w:hint="eastAsia"/>
                      <w:color w:val="auto"/>
                      <w:highlight w:val="none"/>
                      <w:lang w:val="en-US" w:eastAsia="zh-CN"/>
                    </w:rPr>
                    <w:t>冻干生产区</w:t>
                  </w:r>
                </w:p>
              </w:tc>
              <w:tc>
                <w:tcPr>
                  <w:tcW w:w="274" w:type="pct"/>
                  <w:vMerge w:val="restart"/>
                  <w:tcBorders>
                    <w:tl2br w:val="nil"/>
                    <w:tr2bl w:val="nil"/>
                  </w:tcBorders>
                  <w:vAlign w:val="center"/>
                </w:tcPr>
                <w:p w14:paraId="4B5D3B91">
                  <w:pPr>
                    <w:pStyle w:val="94"/>
                    <w:jc w:val="left"/>
                    <w:rPr>
                      <w:rFonts w:hint="eastAsia"/>
                      <w:b w:val="0"/>
                      <w:bCs/>
                      <w:color w:val="FF0000"/>
                      <w:highlight w:val="none"/>
                      <w:lang w:val="en-US" w:eastAsia="zh-CN"/>
                    </w:rPr>
                  </w:pPr>
                  <w:r>
                    <w:rPr>
                      <w:rFonts w:hint="eastAsia"/>
                      <w:b w:val="0"/>
                      <w:bCs/>
                      <w:color w:val="auto"/>
                      <w:highlight w:val="none"/>
                      <w:lang w:val="en-US" w:eastAsia="zh-CN"/>
                    </w:rPr>
                    <w:t>二车间2F</w:t>
                  </w:r>
                </w:p>
              </w:tc>
              <w:tc>
                <w:tcPr>
                  <w:tcW w:w="2654" w:type="pct"/>
                  <w:tcBorders>
                    <w:tl2br w:val="nil"/>
                    <w:tr2bl w:val="nil"/>
                  </w:tcBorders>
                  <w:shd w:val="clear" w:color="auto" w:fill="auto"/>
                  <w:vAlign w:val="center"/>
                </w:tcPr>
                <w:p w14:paraId="12569B36">
                  <w:pPr>
                    <w:pStyle w:val="94"/>
                    <w:ind w:firstLine="0" w:firstLineChars="0"/>
                    <w:jc w:val="left"/>
                    <w:rPr>
                      <w:rFonts w:hint="eastAsia" w:ascii="Times New Roman" w:hAnsi="Times New Roman" w:eastAsia="宋体" w:cs="Times New Roman"/>
                      <w:b/>
                      <w:bCs w:val="0"/>
                      <w:color w:val="auto"/>
                      <w:kern w:val="2"/>
                      <w:sz w:val="21"/>
                      <w:szCs w:val="21"/>
                      <w:highlight w:val="none"/>
                      <w:lang w:val="en-US" w:eastAsia="zh-CN" w:bidi="ar-SA"/>
                    </w:rPr>
                  </w:pPr>
                  <w:r>
                    <w:rPr>
                      <w:rFonts w:hint="eastAsia"/>
                      <w:b/>
                      <w:bCs w:val="0"/>
                      <w:color w:val="auto"/>
                      <w:highlight w:val="none"/>
                      <w:lang w:val="en-US" w:eastAsia="zh-CN"/>
                    </w:rPr>
                    <w:t>生产车间：</w:t>
                  </w:r>
                  <w:r>
                    <w:rPr>
                      <w:rFonts w:hint="eastAsia"/>
                      <w:color w:val="auto"/>
                      <w:highlight w:val="none"/>
                      <w:lang w:val="en-US" w:eastAsia="zh-CN"/>
                    </w:rPr>
                    <w:t>面积约4800m</w:t>
                  </w:r>
                  <w:r>
                    <w:rPr>
                      <w:rFonts w:hint="eastAsia"/>
                      <w:color w:val="auto"/>
                      <w:highlight w:val="none"/>
                      <w:vertAlign w:val="superscript"/>
                      <w:lang w:val="en-US" w:eastAsia="zh-CN"/>
                    </w:rPr>
                    <w:t>2</w:t>
                  </w:r>
                  <w:r>
                    <w:rPr>
                      <w:rFonts w:hint="eastAsia"/>
                      <w:color w:val="auto"/>
                      <w:highlight w:val="none"/>
                      <w:lang w:val="en-US" w:eastAsia="zh-CN"/>
                    </w:rPr>
                    <w:t>，厂房中部，拟设置气泡清洗机、高压喷淋机、隧道式漂烫机、冷水循环冷却槽等设备，进行冻干产品原料的预处理。</w:t>
                  </w:r>
                </w:p>
              </w:tc>
              <w:tc>
                <w:tcPr>
                  <w:tcW w:w="512" w:type="pct"/>
                  <w:vMerge w:val="continue"/>
                  <w:tcBorders>
                    <w:tl2br w:val="nil"/>
                    <w:tr2bl w:val="nil"/>
                  </w:tcBorders>
                  <w:vAlign w:val="center"/>
                </w:tcPr>
                <w:p w14:paraId="570F399B">
                  <w:pPr>
                    <w:pStyle w:val="94"/>
                    <w:bidi w:val="0"/>
                    <w:rPr>
                      <w:rFonts w:hint="eastAsia"/>
                      <w:color w:val="FF0000"/>
                      <w:highlight w:val="none"/>
                    </w:rPr>
                  </w:pPr>
                </w:p>
              </w:tc>
              <w:tc>
                <w:tcPr>
                  <w:tcW w:w="591" w:type="pct"/>
                  <w:tcBorders>
                    <w:tl2br w:val="nil"/>
                    <w:tr2bl w:val="nil"/>
                  </w:tcBorders>
                  <w:shd w:val="clear" w:color="auto" w:fill="auto"/>
                  <w:vAlign w:val="center"/>
                </w:tcPr>
                <w:p w14:paraId="67DF833C">
                  <w:pPr>
                    <w:pStyle w:val="94"/>
                    <w:bidi w:val="0"/>
                    <w:ind w:firstLine="0" w:firstLineChars="0"/>
                    <w:rPr>
                      <w:rFonts w:hint="eastAsia" w:ascii="Times New Roman" w:hAnsi="Times New Roman" w:eastAsia="宋体" w:cs="Times New Roman"/>
                      <w:bCs/>
                      <w:color w:val="FF0000"/>
                      <w:kern w:val="2"/>
                      <w:sz w:val="21"/>
                      <w:szCs w:val="21"/>
                      <w:highlight w:val="none"/>
                      <w:lang w:val="en-US" w:eastAsia="zh-CN" w:bidi="ar-SA"/>
                    </w:rPr>
                  </w:pPr>
                  <w:r>
                    <w:rPr>
                      <w:rFonts w:hint="eastAsia"/>
                      <w:color w:val="auto"/>
                      <w:highlight w:val="none"/>
                      <w:lang w:val="en-US" w:eastAsia="zh-CN"/>
                    </w:rPr>
                    <w:t>废气、废水、噪声、固废</w:t>
                  </w:r>
                </w:p>
              </w:tc>
              <w:tc>
                <w:tcPr>
                  <w:tcW w:w="447" w:type="pct"/>
                  <w:tcBorders>
                    <w:tl2br w:val="nil"/>
                    <w:tr2bl w:val="nil"/>
                  </w:tcBorders>
                  <w:shd w:val="clear" w:color="auto" w:fill="auto"/>
                  <w:vAlign w:val="center"/>
                </w:tcPr>
                <w:p w14:paraId="08259C7A">
                  <w:pPr>
                    <w:pStyle w:val="106"/>
                    <w:bidi w:val="0"/>
                    <w:rPr>
                      <w:rFonts w:hint="eastAsia"/>
                      <w:lang w:val="en-US" w:eastAsia="zh-CN"/>
                    </w:rPr>
                  </w:pPr>
                  <w:r>
                    <w:rPr>
                      <w:rFonts w:hint="eastAsia"/>
                      <w:lang w:val="en-US" w:eastAsia="zh-CN"/>
                    </w:rPr>
                    <w:t>新建</w:t>
                  </w:r>
                </w:p>
              </w:tc>
            </w:tr>
            <w:tr w14:paraId="527C6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11B957DD">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continue"/>
                  <w:tcBorders>
                    <w:tl2br w:val="nil"/>
                    <w:tr2bl w:val="nil"/>
                  </w:tcBorders>
                  <w:vAlign w:val="center"/>
                </w:tcPr>
                <w:p w14:paraId="6C38CB50">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74" w:type="pct"/>
                  <w:vMerge w:val="continue"/>
                  <w:tcBorders>
                    <w:tl2br w:val="nil"/>
                    <w:tr2bl w:val="nil"/>
                  </w:tcBorders>
                  <w:vAlign w:val="center"/>
                </w:tcPr>
                <w:p w14:paraId="035183DB">
                  <w:pPr>
                    <w:pStyle w:val="94"/>
                    <w:jc w:val="left"/>
                    <w:rPr>
                      <w:rFonts w:hint="eastAsia"/>
                      <w:b w:val="0"/>
                      <w:bCs/>
                      <w:color w:val="FF0000"/>
                      <w:highlight w:val="none"/>
                      <w:lang w:val="en-US" w:eastAsia="zh-CN"/>
                    </w:rPr>
                  </w:pPr>
                </w:p>
              </w:tc>
              <w:tc>
                <w:tcPr>
                  <w:tcW w:w="2654" w:type="pct"/>
                  <w:tcBorders>
                    <w:tl2br w:val="nil"/>
                    <w:tr2bl w:val="nil"/>
                  </w:tcBorders>
                  <w:shd w:val="clear" w:color="auto" w:fill="auto"/>
                  <w:vAlign w:val="center"/>
                </w:tcPr>
                <w:p w14:paraId="40D056CD">
                  <w:pPr>
                    <w:pStyle w:val="94"/>
                    <w:ind w:firstLine="0" w:firstLineChars="0"/>
                    <w:jc w:val="left"/>
                    <w:rPr>
                      <w:rFonts w:hint="eastAsia" w:ascii="Times New Roman" w:hAnsi="Times New Roman" w:eastAsia="宋体" w:cs="Times New Roman"/>
                      <w:b/>
                      <w:bCs w:val="0"/>
                      <w:color w:val="auto"/>
                      <w:kern w:val="2"/>
                      <w:sz w:val="21"/>
                      <w:szCs w:val="21"/>
                      <w:highlight w:val="none"/>
                      <w:lang w:val="en-US" w:eastAsia="zh-CN" w:bidi="ar-SA"/>
                    </w:rPr>
                  </w:pPr>
                  <w:r>
                    <w:rPr>
                      <w:rFonts w:hint="eastAsia"/>
                      <w:b/>
                      <w:bCs w:val="0"/>
                      <w:color w:val="auto"/>
                      <w:highlight w:val="none"/>
                      <w:lang w:val="en-US" w:eastAsia="zh-CN"/>
                    </w:rPr>
                    <w:t>冻干区：</w:t>
                  </w:r>
                  <w:r>
                    <w:rPr>
                      <w:rFonts w:hint="eastAsia"/>
                      <w:b w:val="0"/>
                      <w:bCs/>
                      <w:color w:val="auto"/>
                      <w:highlight w:val="none"/>
                      <w:lang w:val="en-US" w:eastAsia="zh-CN"/>
                    </w:rPr>
                    <w:t>面积约300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，厂房东部，拟设置螺旋速冻机、真空冷冻干燥机、速冻库、冻干仓等设备，进行半成品的预冻结及升华干燥工序。</w:t>
                  </w:r>
                </w:p>
              </w:tc>
              <w:tc>
                <w:tcPr>
                  <w:tcW w:w="512" w:type="pct"/>
                  <w:vMerge w:val="continue"/>
                  <w:tcBorders>
                    <w:tl2br w:val="nil"/>
                    <w:tr2bl w:val="nil"/>
                  </w:tcBorders>
                  <w:vAlign w:val="center"/>
                </w:tcPr>
                <w:p w14:paraId="41D9C370">
                  <w:pPr>
                    <w:pStyle w:val="94"/>
                    <w:bidi w:val="0"/>
                    <w:rPr>
                      <w:rFonts w:hint="eastAsia"/>
                      <w:color w:val="FF0000"/>
                      <w:highlight w:val="none"/>
                    </w:rPr>
                  </w:pPr>
                </w:p>
              </w:tc>
              <w:tc>
                <w:tcPr>
                  <w:tcW w:w="591" w:type="pct"/>
                  <w:tcBorders>
                    <w:tl2br w:val="nil"/>
                    <w:tr2bl w:val="nil"/>
                  </w:tcBorders>
                  <w:shd w:val="clear" w:color="auto" w:fill="auto"/>
                  <w:vAlign w:val="center"/>
                </w:tcPr>
                <w:p w14:paraId="6187068A">
                  <w:pPr>
                    <w:pStyle w:val="94"/>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噪声</w:t>
                  </w:r>
                </w:p>
              </w:tc>
              <w:tc>
                <w:tcPr>
                  <w:tcW w:w="447" w:type="pct"/>
                  <w:tcBorders>
                    <w:tl2br w:val="nil"/>
                    <w:tr2bl w:val="nil"/>
                  </w:tcBorders>
                  <w:shd w:val="clear" w:color="auto" w:fill="auto"/>
                  <w:vAlign w:val="center"/>
                </w:tcPr>
                <w:p w14:paraId="6709FE1D">
                  <w:pPr>
                    <w:pStyle w:val="106"/>
                    <w:bidi w:val="0"/>
                    <w:rPr>
                      <w:rFonts w:hint="eastAsia"/>
                      <w:lang w:val="en-US" w:eastAsia="zh-CN"/>
                    </w:rPr>
                  </w:pPr>
                  <w:r>
                    <w:rPr>
                      <w:rFonts w:hint="eastAsia"/>
                      <w:lang w:val="en-US" w:eastAsia="zh-CN"/>
                    </w:rPr>
                    <w:t>新建</w:t>
                  </w:r>
                </w:p>
              </w:tc>
            </w:tr>
            <w:tr w14:paraId="19095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30331A68">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continue"/>
                  <w:tcBorders>
                    <w:tl2br w:val="nil"/>
                    <w:tr2bl w:val="nil"/>
                  </w:tcBorders>
                  <w:vAlign w:val="center"/>
                </w:tcPr>
                <w:p w14:paraId="2199DD1B">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74" w:type="pct"/>
                  <w:vMerge w:val="continue"/>
                  <w:tcBorders>
                    <w:tl2br w:val="nil"/>
                    <w:tr2bl w:val="nil"/>
                  </w:tcBorders>
                  <w:vAlign w:val="center"/>
                </w:tcPr>
                <w:p w14:paraId="62950451">
                  <w:pPr>
                    <w:pStyle w:val="94"/>
                    <w:jc w:val="left"/>
                    <w:rPr>
                      <w:rFonts w:hint="eastAsia"/>
                      <w:b w:val="0"/>
                      <w:bCs/>
                      <w:color w:val="FF0000"/>
                      <w:highlight w:val="none"/>
                      <w:lang w:val="en-US" w:eastAsia="zh-CN"/>
                    </w:rPr>
                  </w:pPr>
                </w:p>
              </w:tc>
              <w:tc>
                <w:tcPr>
                  <w:tcW w:w="2654" w:type="pct"/>
                  <w:tcBorders>
                    <w:tl2br w:val="nil"/>
                    <w:tr2bl w:val="nil"/>
                  </w:tcBorders>
                  <w:shd w:val="clear" w:color="auto" w:fill="auto"/>
                  <w:vAlign w:val="center"/>
                </w:tcPr>
                <w:p w14:paraId="08624C32">
                  <w:pPr>
                    <w:pStyle w:val="94"/>
                    <w:ind w:firstLine="0" w:firstLineChars="0"/>
                    <w:jc w:val="left"/>
                    <w:rPr>
                      <w:rFonts w:hint="eastAsia" w:ascii="Times New Roman" w:hAnsi="Times New Roman" w:eastAsia="宋体" w:cs="Times New Roman"/>
                      <w:b/>
                      <w:bCs w:val="0"/>
                      <w:color w:val="FF0000"/>
                      <w:kern w:val="2"/>
                      <w:sz w:val="21"/>
                      <w:szCs w:val="21"/>
                      <w:highlight w:val="none"/>
                      <w:lang w:val="en-US" w:eastAsia="zh-CN" w:bidi="ar-SA"/>
                    </w:rPr>
                  </w:pPr>
                  <w:r>
                    <w:rPr>
                      <w:rFonts w:hint="eastAsia"/>
                      <w:b/>
                      <w:bCs w:val="0"/>
                      <w:color w:val="auto"/>
                      <w:highlight w:val="none"/>
                      <w:lang w:val="en-US" w:eastAsia="zh-CN"/>
                    </w:rPr>
                    <w:t>脱包间：</w:t>
                  </w:r>
                  <w:r>
                    <w:rPr>
                      <w:rFonts w:hint="eastAsia"/>
                      <w:b w:val="0"/>
                      <w:bCs/>
                      <w:color w:val="auto"/>
                      <w:highlight w:val="none"/>
                      <w:lang w:val="en-US" w:eastAsia="zh-CN"/>
                    </w:rPr>
                    <w:t>面积约100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，厂房西北部，拟由人工进行脱包。</w:t>
                  </w:r>
                </w:p>
              </w:tc>
              <w:tc>
                <w:tcPr>
                  <w:tcW w:w="512" w:type="pct"/>
                  <w:vMerge w:val="continue"/>
                  <w:tcBorders>
                    <w:tl2br w:val="nil"/>
                    <w:tr2bl w:val="nil"/>
                  </w:tcBorders>
                  <w:vAlign w:val="center"/>
                </w:tcPr>
                <w:p w14:paraId="3119B7B8">
                  <w:pPr>
                    <w:pStyle w:val="94"/>
                    <w:bidi w:val="0"/>
                    <w:rPr>
                      <w:rFonts w:hint="eastAsia"/>
                      <w:color w:val="FF0000"/>
                      <w:highlight w:val="none"/>
                    </w:rPr>
                  </w:pPr>
                </w:p>
              </w:tc>
              <w:tc>
                <w:tcPr>
                  <w:tcW w:w="591" w:type="pct"/>
                  <w:tcBorders>
                    <w:tl2br w:val="nil"/>
                    <w:tr2bl w:val="nil"/>
                  </w:tcBorders>
                  <w:shd w:val="clear" w:color="auto" w:fill="auto"/>
                  <w:vAlign w:val="center"/>
                </w:tcPr>
                <w:p w14:paraId="5B4E5929">
                  <w:pPr>
                    <w:pStyle w:val="94"/>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固废</w:t>
                  </w:r>
                </w:p>
              </w:tc>
              <w:tc>
                <w:tcPr>
                  <w:tcW w:w="447" w:type="pct"/>
                  <w:tcBorders>
                    <w:tl2br w:val="nil"/>
                    <w:tr2bl w:val="nil"/>
                  </w:tcBorders>
                  <w:shd w:val="clear" w:color="auto" w:fill="auto"/>
                  <w:vAlign w:val="center"/>
                </w:tcPr>
                <w:p w14:paraId="071BDC3A">
                  <w:pPr>
                    <w:pStyle w:val="106"/>
                    <w:bidi w:val="0"/>
                    <w:rPr>
                      <w:rFonts w:hint="eastAsia"/>
                      <w:lang w:val="en-US" w:eastAsia="zh-CN"/>
                    </w:rPr>
                  </w:pPr>
                  <w:r>
                    <w:rPr>
                      <w:rFonts w:hint="eastAsia"/>
                      <w:lang w:val="en-US" w:eastAsia="zh-CN"/>
                    </w:rPr>
                    <w:t>新建</w:t>
                  </w:r>
                </w:p>
              </w:tc>
            </w:tr>
            <w:tr w14:paraId="61921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666AE332">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continue"/>
                  <w:tcBorders>
                    <w:tl2br w:val="nil"/>
                    <w:tr2bl w:val="nil"/>
                  </w:tcBorders>
                  <w:vAlign w:val="center"/>
                </w:tcPr>
                <w:p w14:paraId="5E8FA7E3">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74" w:type="pct"/>
                  <w:vMerge w:val="continue"/>
                  <w:tcBorders>
                    <w:tl2br w:val="nil"/>
                    <w:tr2bl w:val="nil"/>
                  </w:tcBorders>
                  <w:vAlign w:val="center"/>
                </w:tcPr>
                <w:p w14:paraId="49411F03">
                  <w:pPr>
                    <w:pStyle w:val="94"/>
                    <w:jc w:val="left"/>
                    <w:rPr>
                      <w:rFonts w:hint="eastAsia"/>
                      <w:b w:val="0"/>
                      <w:bCs/>
                      <w:color w:val="FF0000"/>
                      <w:highlight w:val="none"/>
                      <w:lang w:val="en-US" w:eastAsia="zh-CN"/>
                    </w:rPr>
                  </w:pPr>
                </w:p>
              </w:tc>
              <w:tc>
                <w:tcPr>
                  <w:tcW w:w="2654" w:type="pct"/>
                  <w:tcBorders>
                    <w:tl2br w:val="nil"/>
                    <w:tr2bl w:val="nil"/>
                  </w:tcBorders>
                  <w:shd w:val="clear" w:color="auto" w:fill="auto"/>
                  <w:vAlign w:val="center"/>
                </w:tcPr>
                <w:p w14:paraId="12163290">
                  <w:pPr>
                    <w:pStyle w:val="94"/>
                    <w:ind w:firstLine="0" w:firstLineChars="0"/>
                    <w:jc w:val="left"/>
                    <w:rPr>
                      <w:rFonts w:hint="eastAsia" w:ascii="Times New Roman" w:hAnsi="Times New Roman" w:eastAsia="宋体" w:cs="Times New Roman"/>
                      <w:b/>
                      <w:bCs w:val="0"/>
                      <w:color w:val="FF0000"/>
                      <w:kern w:val="2"/>
                      <w:sz w:val="21"/>
                      <w:szCs w:val="21"/>
                      <w:highlight w:val="none"/>
                      <w:lang w:val="en-US" w:eastAsia="zh-CN" w:bidi="ar-SA"/>
                    </w:rPr>
                  </w:pPr>
                  <w:r>
                    <w:rPr>
                      <w:rFonts w:hint="eastAsia"/>
                      <w:b/>
                      <w:bCs w:val="0"/>
                      <w:color w:val="auto"/>
                      <w:highlight w:val="none"/>
                      <w:lang w:val="en-US" w:eastAsia="zh-CN"/>
                    </w:rPr>
                    <w:t>分切车间：</w:t>
                  </w:r>
                  <w:r>
                    <w:rPr>
                      <w:rFonts w:hint="eastAsia"/>
                      <w:b w:val="0"/>
                      <w:bCs/>
                      <w:color w:val="auto"/>
                      <w:highlight w:val="none"/>
                      <w:lang w:val="en-US" w:eastAsia="zh-CN"/>
                    </w:rPr>
                    <w:t>面积约200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，厂房西侧，拟设置分选机、去皮/去核机、多功能切菜机、切片机等设备，进行原料的分切。</w:t>
                  </w:r>
                </w:p>
              </w:tc>
              <w:tc>
                <w:tcPr>
                  <w:tcW w:w="512" w:type="pct"/>
                  <w:vMerge w:val="continue"/>
                  <w:tcBorders>
                    <w:tl2br w:val="nil"/>
                    <w:tr2bl w:val="nil"/>
                  </w:tcBorders>
                  <w:vAlign w:val="center"/>
                </w:tcPr>
                <w:p w14:paraId="2AB31025">
                  <w:pPr>
                    <w:pStyle w:val="94"/>
                    <w:bidi w:val="0"/>
                    <w:rPr>
                      <w:rFonts w:hint="eastAsia"/>
                      <w:color w:val="FF0000"/>
                      <w:highlight w:val="none"/>
                    </w:rPr>
                  </w:pPr>
                </w:p>
              </w:tc>
              <w:tc>
                <w:tcPr>
                  <w:tcW w:w="591" w:type="pct"/>
                  <w:tcBorders>
                    <w:tl2br w:val="nil"/>
                    <w:tr2bl w:val="nil"/>
                  </w:tcBorders>
                  <w:vAlign w:val="center"/>
                </w:tcPr>
                <w:p w14:paraId="3536F47E">
                  <w:pPr>
                    <w:pStyle w:val="94"/>
                    <w:bidi w:val="0"/>
                    <w:rPr>
                      <w:rFonts w:hint="default"/>
                      <w:color w:val="auto"/>
                      <w:highlight w:val="none"/>
                      <w:lang w:val="en-US" w:eastAsia="zh-CN"/>
                    </w:rPr>
                  </w:pPr>
                  <w:r>
                    <w:rPr>
                      <w:rFonts w:hint="eastAsia"/>
                      <w:color w:val="auto"/>
                      <w:highlight w:val="none"/>
                      <w:lang w:val="en-US" w:eastAsia="zh-CN"/>
                    </w:rPr>
                    <w:t>噪声、固废</w:t>
                  </w:r>
                </w:p>
              </w:tc>
              <w:tc>
                <w:tcPr>
                  <w:tcW w:w="447" w:type="pct"/>
                  <w:tcBorders>
                    <w:tl2br w:val="nil"/>
                    <w:tr2bl w:val="nil"/>
                  </w:tcBorders>
                  <w:vAlign w:val="center"/>
                </w:tcPr>
                <w:p w14:paraId="2E2B3C5A">
                  <w:pPr>
                    <w:pStyle w:val="106"/>
                    <w:bidi w:val="0"/>
                    <w:rPr>
                      <w:rFonts w:hint="eastAsia"/>
                      <w:lang w:val="en-US" w:eastAsia="zh-CN"/>
                    </w:rPr>
                  </w:pPr>
                  <w:r>
                    <w:rPr>
                      <w:rFonts w:hint="eastAsia"/>
                      <w:lang w:val="en-US" w:eastAsia="zh-CN"/>
                    </w:rPr>
                    <w:t>新建</w:t>
                  </w:r>
                </w:p>
              </w:tc>
            </w:tr>
            <w:tr w14:paraId="3884C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6B0BD2AF">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continue"/>
                  <w:tcBorders>
                    <w:tl2br w:val="nil"/>
                    <w:tr2bl w:val="nil"/>
                  </w:tcBorders>
                  <w:vAlign w:val="center"/>
                </w:tcPr>
                <w:p w14:paraId="52DF54CE">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74" w:type="pct"/>
                  <w:vMerge w:val="continue"/>
                  <w:tcBorders>
                    <w:tl2br w:val="nil"/>
                    <w:tr2bl w:val="nil"/>
                  </w:tcBorders>
                  <w:vAlign w:val="center"/>
                </w:tcPr>
                <w:p w14:paraId="73E69949">
                  <w:pPr>
                    <w:pStyle w:val="94"/>
                    <w:jc w:val="left"/>
                    <w:rPr>
                      <w:rFonts w:hint="eastAsia"/>
                      <w:b w:val="0"/>
                      <w:bCs/>
                      <w:color w:val="FF0000"/>
                      <w:highlight w:val="none"/>
                      <w:lang w:val="en-US" w:eastAsia="zh-CN"/>
                    </w:rPr>
                  </w:pPr>
                </w:p>
              </w:tc>
              <w:tc>
                <w:tcPr>
                  <w:tcW w:w="2654" w:type="pct"/>
                  <w:tcBorders>
                    <w:tl2br w:val="nil"/>
                    <w:tr2bl w:val="nil"/>
                  </w:tcBorders>
                  <w:vAlign w:val="center"/>
                </w:tcPr>
                <w:p w14:paraId="7EE691CE">
                  <w:pPr>
                    <w:pStyle w:val="94"/>
                    <w:ind w:firstLine="0" w:firstLineChars="0"/>
                    <w:jc w:val="left"/>
                    <w:rPr>
                      <w:rFonts w:hint="default"/>
                      <w:b/>
                      <w:bCs w:val="0"/>
                      <w:color w:val="FF0000"/>
                      <w:highlight w:val="none"/>
                      <w:lang w:val="en-US" w:eastAsia="zh-CN"/>
                    </w:rPr>
                  </w:pPr>
                  <w:r>
                    <w:rPr>
                      <w:rFonts w:hint="eastAsia"/>
                      <w:b/>
                      <w:bCs w:val="0"/>
                      <w:color w:val="auto"/>
                      <w:highlight w:val="none"/>
                      <w:lang w:val="en-US" w:eastAsia="zh-CN"/>
                    </w:rPr>
                    <w:t>包材杀菌间：</w:t>
                  </w:r>
                  <w:r>
                    <w:rPr>
                      <w:rFonts w:hint="eastAsia"/>
                      <w:b w:val="0"/>
                      <w:bCs/>
                      <w:color w:val="auto"/>
                      <w:highlight w:val="none"/>
                      <w:lang w:val="en-US" w:eastAsia="zh-CN"/>
                    </w:rPr>
                    <w:t>面积约80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，厂房西南侧，拟设臭氧机进行包材杀菌。</w:t>
                  </w:r>
                </w:p>
              </w:tc>
              <w:tc>
                <w:tcPr>
                  <w:tcW w:w="512" w:type="pct"/>
                  <w:vMerge w:val="continue"/>
                  <w:tcBorders>
                    <w:tl2br w:val="nil"/>
                    <w:tr2bl w:val="nil"/>
                  </w:tcBorders>
                  <w:vAlign w:val="center"/>
                </w:tcPr>
                <w:p w14:paraId="7982BB4F">
                  <w:pPr>
                    <w:pStyle w:val="94"/>
                    <w:bidi w:val="0"/>
                    <w:rPr>
                      <w:rFonts w:hint="eastAsia"/>
                      <w:color w:val="FF0000"/>
                      <w:highlight w:val="none"/>
                    </w:rPr>
                  </w:pPr>
                </w:p>
              </w:tc>
              <w:tc>
                <w:tcPr>
                  <w:tcW w:w="591" w:type="pct"/>
                  <w:tcBorders>
                    <w:tl2br w:val="nil"/>
                    <w:tr2bl w:val="nil"/>
                  </w:tcBorders>
                  <w:vAlign w:val="center"/>
                </w:tcPr>
                <w:p w14:paraId="47F6D829">
                  <w:pPr>
                    <w:pStyle w:val="94"/>
                    <w:bidi w:val="0"/>
                    <w:rPr>
                      <w:rFonts w:hint="default"/>
                      <w:color w:val="auto"/>
                      <w:highlight w:val="none"/>
                      <w:lang w:val="en-US" w:eastAsia="zh-CN"/>
                    </w:rPr>
                  </w:pPr>
                  <w:r>
                    <w:rPr>
                      <w:rFonts w:hint="eastAsia"/>
                      <w:color w:val="auto"/>
                      <w:highlight w:val="none"/>
                      <w:lang w:val="en-US" w:eastAsia="zh-CN"/>
                    </w:rPr>
                    <w:t>噪声</w:t>
                  </w:r>
                </w:p>
              </w:tc>
              <w:tc>
                <w:tcPr>
                  <w:tcW w:w="447" w:type="pct"/>
                  <w:tcBorders>
                    <w:tl2br w:val="nil"/>
                    <w:tr2bl w:val="nil"/>
                  </w:tcBorders>
                  <w:vAlign w:val="center"/>
                </w:tcPr>
                <w:p w14:paraId="5ED16947">
                  <w:pPr>
                    <w:pStyle w:val="106"/>
                    <w:bidi w:val="0"/>
                    <w:rPr>
                      <w:rFonts w:hint="eastAsia"/>
                      <w:lang w:val="en-US" w:eastAsia="zh-CN"/>
                    </w:rPr>
                  </w:pPr>
                  <w:r>
                    <w:rPr>
                      <w:rFonts w:hint="eastAsia"/>
                      <w:lang w:val="en-US" w:eastAsia="zh-CN"/>
                    </w:rPr>
                    <w:t>新建</w:t>
                  </w:r>
                </w:p>
              </w:tc>
            </w:tr>
            <w:tr w14:paraId="1603E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2F05D5E5">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continue"/>
                  <w:tcBorders>
                    <w:tl2br w:val="nil"/>
                    <w:tr2bl w:val="nil"/>
                  </w:tcBorders>
                  <w:vAlign w:val="center"/>
                </w:tcPr>
                <w:p w14:paraId="677C579A">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74" w:type="pct"/>
                  <w:vMerge w:val="continue"/>
                  <w:tcBorders>
                    <w:tl2br w:val="nil"/>
                    <w:tr2bl w:val="nil"/>
                  </w:tcBorders>
                  <w:vAlign w:val="center"/>
                </w:tcPr>
                <w:p w14:paraId="4174E460">
                  <w:pPr>
                    <w:pStyle w:val="94"/>
                    <w:jc w:val="left"/>
                    <w:rPr>
                      <w:rFonts w:hint="eastAsia"/>
                      <w:b w:val="0"/>
                      <w:bCs/>
                      <w:color w:val="FF0000"/>
                      <w:highlight w:val="none"/>
                      <w:lang w:val="en-US" w:eastAsia="zh-CN"/>
                    </w:rPr>
                  </w:pPr>
                </w:p>
              </w:tc>
              <w:tc>
                <w:tcPr>
                  <w:tcW w:w="2654" w:type="pct"/>
                  <w:tcBorders>
                    <w:tl2br w:val="nil"/>
                    <w:tr2bl w:val="nil"/>
                  </w:tcBorders>
                  <w:shd w:val="clear" w:color="auto" w:fill="auto"/>
                  <w:vAlign w:val="center"/>
                </w:tcPr>
                <w:p w14:paraId="6A0E54FB">
                  <w:pPr>
                    <w:pStyle w:val="94"/>
                    <w:ind w:firstLine="0" w:firstLineChars="0"/>
                    <w:jc w:val="left"/>
                    <w:rPr>
                      <w:rFonts w:hint="eastAsia" w:ascii="Times New Roman" w:hAnsi="Times New Roman" w:eastAsia="宋体" w:cs="Times New Roman"/>
                      <w:b/>
                      <w:bCs w:val="0"/>
                      <w:color w:val="auto"/>
                      <w:kern w:val="2"/>
                      <w:sz w:val="21"/>
                      <w:szCs w:val="21"/>
                      <w:highlight w:val="none"/>
                      <w:lang w:val="en-US" w:eastAsia="zh-CN" w:bidi="ar-SA"/>
                    </w:rPr>
                  </w:pPr>
                  <w:r>
                    <w:rPr>
                      <w:rFonts w:hint="eastAsia"/>
                      <w:b/>
                      <w:bCs w:val="0"/>
                      <w:color w:val="auto"/>
                      <w:highlight w:val="none"/>
                      <w:lang w:val="en-US" w:eastAsia="zh-CN"/>
                    </w:rPr>
                    <w:t>喷码间：</w:t>
                  </w:r>
                  <w:r>
                    <w:rPr>
                      <w:rFonts w:hint="eastAsia"/>
                      <w:color w:val="auto"/>
                      <w:highlight w:val="none"/>
                      <w:lang w:val="en-US" w:eastAsia="zh-CN"/>
                    </w:rPr>
                    <w:t>面积约80m</w:t>
                  </w:r>
                  <w:r>
                    <w:rPr>
                      <w:rFonts w:hint="eastAsia"/>
                      <w:color w:val="auto"/>
                      <w:highlight w:val="none"/>
                      <w:vertAlign w:val="superscript"/>
                      <w:lang w:val="en-US" w:eastAsia="zh-CN"/>
                    </w:rPr>
                    <w:t>2</w:t>
                  </w:r>
                  <w:r>
                    <w:rPr>
                      <w:rFonts w:hint="eastAsia"/>
                      <w:color w:val="auto"/>
                      <w:highlight w:val="none"/>
                      <w:lang w:val="en-US" w:eastAsia="zh-CN"/>
                    </w:rPr>
                    <w:t>，厂房南侧，拟设置激光喷码机等设备，主要进行冻干产品的内包装。</w:t>
                  </w:r>
                </w:p>
              </w:tc>
              <w:tc>
                <w:tcPr>
                  <w:tcW w:w="512" w:type="pct"/>
                  <w:vMerge w:val="continue"/>
                  <w:tcBorders>
                    <w:tl2br w:val="nil"/>
                    <w:tr2bl w:val="nil"/>
                  </w:tcBorders>
                  <w:vAlign w:val="center"/>
                </w:tcPr>
                <w:p w14:paraId="6F9E1CA8">
                  <w:pPr>
                    <w:pStyle w:val="94"/>
                    <w:bidi w:val="0"/>
                    <w:rPr>
                      <w:rFonts w:hint="eastAsia"/>
                      <w:color w:val="FF0000"/>
                      <w:highlight w:val="none"/>
                    </w:rPr>
                  </w:pPr>
                </w:p>
              </w:tc>
              <w:tc>
                <w:tcPr>
                  <w:tcW w:w="591" w:type="pct"/>
                  <w:tcBorders>
                    <w:tl2br w:val="nil"/>
                    <w:tr2bl w:val="nil"/>
                  </w:tcBorders>
                  <w:vAlign w:val="center"/>
                </w:tcPr>
                <w:p w14:paraId="47FB372D">
                  <w:pPr>
                    <w:pStyle w:val="94"/>
                    <w:bidi w:val="0"/>
                    <w:rPr>
                      <w:rFonts w:hint="default"/>
                      <w:color w:val="auto"/>
                      <w:highlight w:val="none"/>
                      <w:lang w:val="en-US" w:eastAsia="zh-CN"/>
                    </w:rPr>
                  </w:pPr>
                  <w:r>
                    <w:rPr>
                      <w:rFonts w:hint="eastAsia"/>
                      <w:color w:val="auto"/>
                      <w:highlight w:val="none"/>
                      <w:lang w:val="en-US" w:eastAsia="zh-CN"/>
                    </w:rPr>
                    <w:t>噪声</w:t>
                  </w:r>
                </w:p>
              </w:tc>
              <w:tc>
                <w:tcPr>
                  <w:tcW w:w="447" w:type="pct"/>
                  <w:tcBorders>
                    <w:tl2br w:val="nil"/>
                    <w:tr2bl w:val="nil"/>
                  </w:tcBorders>
                  <w:vAlign w:val="center"/>
                </w:tcPr>
                <w:p w14:paraId="05660B4B">
                  <w:pPr>
                    <w:pStyle w:val="106"/>
                    <w:bidi w:val="0"/>
                    <w:rPr>
                      <w:rFonts w:hint="eastAsia"/>
                      <w:lang w:val="en-US" w:eastAsia="zh-CN"/>
                    </w:rPr>
                  </w:pPr>
                  <w:r>
                    <w:rPr>
                      <w:rFonts w:hint="eastAsia"/>
                      <w:lang w:val="en-US" w:eastAsia="zh-CN"/>
                    </w:rPr>
                    <w:t>新建</w:t>
                  </w:r>
                </w:p>
              </w:tc>
            </w:tr>
            <w:tr w14:paraId="39660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04922BE8">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continue"/>
                  <w:tcBorders>
                    <w:tl2br w:val="nil"/>
                    <w:tr2bl w:val="nil"/>
                  </w:tcBorders>
                  <w:vAlign w:val="center"/>
                </w:tcPr>
                <w:p w14:paraId="32911094">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74" w:type="pct"/>
                  <w:vMerge w:val="continue"/>
                  <w:tcBorders>
                    <w:tl2br w:val="nil"/>
                    <w:tr2bl w:val="nil"/>
                  </w:tcBorders>
                  <w:vAlign w:val="center"/>
                </w:tcPr>
                <w:p w14:paraId="451AAEBB">
                  <w:pPr>
                    <w:pStyle w:val="94"/>
                    <w:jc w:val="left"/>
                    <w:rPr>
                      <w:rFonts w:hint="eastAsia"/>
                      <w:b w:val="0"/>
                      <w:bCs/>
                      <w:color w:val="FF0000"/>
                      <w:highlight w:val="none"/>
                      <w:lang w:val="en-US" w:eastAsia="zh-CN"/>
                    </w:rPr>
                  </w:pPr>
                </w:p>
              </w:tc>
              <w:tc>
                <w:tcPr>
                  <w:tcW w:w="2654" w:type="pct"/>
                  <w:tcBorders>
                    <w:tl2br w:val="nil"/>
                    <w:tr2bl w:val="nil"/>
                  </w:tcBorders>
                  <w:shd w:val="clear" w:color="auto" w:fill="auto"/>
                  <w:vAlign w:val="center"/>
                </w:tcPr>
                <w:p w14:paraId="1D3730BD">
                  <w:pPr>
                    <w:pStyle w:val="94"/>
                    <w:ind w:firstLine="0" w:firstLineChars="0"/>
                    <w:jc w:val="left"/>
                    <w:rPr>
                      <w:rFonts w:hint="eastAsia" w:ascii="Times New Roman" w:hAnsi="Times New Roman" w:eastAsia="宋体" w:cs="Times New Roman"/>
                      <w:b/>
                      <w:bCs w:val="0"/>
                      <w:color w:val="auto"/>
                      <w:kern w:val="2"/>
                      <w:sz w:val="21"/>
                      <w:szCs w:val="21"/>
                      <w:highlight w:val="none"/>
                      <w:lang w:val="en-US" w:eastAsia="zh-CN" w:bidi="ar-SA"/>
                    </w:rPr>
                  </w:pPr>
                  <w:r>
                    <w:rPr>
                      <w:rFonts w:hint="eastAsia"/>
                      <w:b/>
                      <w:bCs w:val="0"/>
                      <w:color w:val="auto"/>
                      <w:highlight w:val="none"/>
                      <w:lang w:val="en-US" w:eastAsia="zh-CN"/>
                    </w:rPr>
                    <w:t>包装间：</w:t>
                  </w:r>
                  <w:r>
                    <w:rPr>
                      <w:rFonts w:hint="eastAsia"/>
                      <w:color w:val="auto"/>
                      <w:highlight w:val="none"/>
                      <w:lang w:val="en-US" w:eastAsia="zh-CN"/>
                    </w:rPr>
                    <w:t>面积约200m</w:t>
                  </w:r>
                  <w:r>
                    <w:rPr>
                      <w:rFonts w:hint="eastAsia"/>
                      <w:color w:val="auto"/>
                      <w:highlight w:val="none"/>
                      <w:vertAlign w:val="superscript"/>
                      <w:lang w:val="en-US" w:eastAsia="zh-CN"/>
                    </w:rPr>
                    <w:t>2</w:t>
                  </w:r>
                  <w:r>
                    <w:rPr>
                      <w:rFonts w:hint="eastAsia"/>
                      <w:color w:val="auto"/>
                      <w:highlight w:val="none"/>
                      <w:lang w:val="en-US" w:eastAsia="zh-CN"/>
                    </w:rPr>
                    <w:t>，厂房南侧，拟设置真空充氮包装机、真空封口机、贴标机等设备，主要进行冻干产品的外包装。</w:t>
                  </w:r>
                </w:p>
              </w:tc>
              <w:tc>
                <w:tcPr>
                  <w:tcW w:w="512" w:type="pct"/>
                  <w:vMerge w:val="continue"/>
                  <w:tcBorders>
                    <w:tl2br w:val="nil"/>
                    <w:tr2bl w:val="nil"/>
                  </w:tcBorders>
                  <w:vAlign w:val="center"/>
                </w:tcPr>
                <w:p w14:paraId="3379AD0D">
                  <w:pPr>
                    <w:pStyle w:val="94"/>
                    <w:bidi w:val="0"/>
                    <w:rPr>
                      <w:rFonts w:hint="eastAsia"/>
                      <w:color w:val="FF0000"/>
                      <w:highlight w:val="none"/>
                    </w:rPr>
                  </w:pPr>
                </w:p>
              </w:tc>
              <w:tc>
                <w:tcPr>
                  <w:tcW w:w="591" w:type="pct"/>
                  <w:tcBorders>
                    <w:tl2br w:val="nil"/>
                    <w:tr2bl w:val="nil"/>
                  </w:tcBorders>
                  <w:vAlign w:val="center"/>
                </w:tcPr>
                <w:p w14:paraId="44B4A80A">
                  <w:pPr>
                    <w:pStyle w:val="94"/>
                    <w:bidi w:val="0"/>
                    <w:rPr>
                      <w:rFonts w:hint="default"/>
                      <w:color w:val="auto"/>
                      <w:highlight w:val="none"/>
                      <w:lang w:val="en-US" w:eastAsia="zh-CN"/>
                    </w:rPr>
                  </w:pPr>
                  <w:r>
                    <w:rPr>
                      <w:rFonts w:hint="eastAsia"/>
                      <w:color w:val="auto"/>
                      <w:highlight w:val="none"/>
                      <w:lang w:val="en-US" w:eastAsia="zh-CN"/>
                    </w:rPr>
                    <w:t>噪声、固废</w:t>
                  </w:r>
                </w:p>
              </w:tc>
              <w:tc>
                <w:tcPr>
                  <w:tcW w:w="447" w:type="pct"/>
                  <w:tcBorders>
                    <w:tl2br w:val="nil"/>
                    <w:tr2bl w:val="nil"/>
                  </w:tcBorders>
                  <w:vAlign w:val="center"/>
                </w:tcPr>
                <w:p w14:paraId="4F9DC5CA">
                  <w:pPr>
                    <w:pStyle w:val="106"/>
                    <w:bidi w:val="0"/>
                    <w:rPr>
                      <w:rFonts w:hint="eastAsia"/>
                      <w:lang w:val="en-US" w:eastAsia="zh-CN"/>
                    </w:rPr>
                  </w:pPr>
                  <w:r>
                    <w:rPr>
                      <w:rFonts w:hint="eastAsia"/>
                      <w:lang w:val="en-US" w:eastAsia="zh-CN"/>
                    </w:rPr>
                    <w:t>新建</w:t>
                  </w:r>
                </w:p>
              </w:tc>
            </w:tr>
            <w:tr w14:paraId="404E7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259" w:type="pct"/>
                  <w:vMerge w:val="restart"/>
                  <w:tcBorders>
                    <w:tl2br w:val="nil"/>
                    <w:tr2bl w:val="nil"/>
                  </w:tcBorders>
                  <w:vAlign w:val="center"/>
                </w:tcPr>
                <w:p w14:paraId="62734201">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eastAsia="宋体"/>
                      <w:color w:val="auto"/>
                      <w:highlight w:val="none"/>
                      <w:lang w:val="en-US" w:eastAsia="zh-CN"/>
                    </w:rPr>
                  </w:pPr>
                  <w:r>
                    <w:rPr>
                      <w:rFonts w:hint="eastAsia"/>
                      <w:color w:val="auto"/>
                      <w:highlight w:val="none"/>
                      <w:lang w:val="en-US" w:eastAsia="zh-CN"/>
                    </w:rPr>
                    <w:t>辅助工程</w:t>
                  </w:r>
                </w:p>
              </w:tc>
              <w:tc>
                <w:tcPr>
                  <w:tcW w:w="259" w:type="pct"/>
                  <w:tcBorders>
                    <w:tl2br w:val="nil"/>
                    <w:tr2bl w:val="nil"/>
                  </w:tcBorders>
                  <w:vAlign w:val="center"/>
                </w:tcPr>
                <w:p w14:paraId="27FB7A40">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更衣区</w:t>
                  </w:r>
                </w:p>
              </w:tc>
              <w:tc>
                <w:tcPr>
                  <w:tcW w:w="2929" w:type="pct"/>
                  <w:gridSpan w:val="2"/>
                  <w:tcBorders>
                    <w:tl2br w:val="nil"/>
                    <w:tr2bl w:val="nil"/>
                  </w:tcBorders>
                  <w:vAlign w:val="center"/>
                </w:tcPr>
                <w:p w14:paraId="49F8ED47">
                  <w:pPr>
                    <w:pStyle w:val="94"/>
                    <w:bidi w:val="0"/>
                    <w:jc w:val="both"/>
                    <w:rPr>
                      <w:rFonts w:hint="eastAsia"/>
                      <w:b/>
                      <w:bCs w:val="0"/>
                      <w:color w:val="auto"/>
                      <w:highlight w:val="none"/>
                      <w:lang w:val="en-US" w:eastAsia="zh-CN"/>
                    </w:rPr>
                  </w:pPr>
                  <w:r>
                    <w:rPr>
                      <w:rFonts w:hint="eastAsia"/>
                      <w:b/>
                      <w:bCs/>
                      <w:lang w:val="en-US" w:eastAsia="zh-CN"/>
                    </w:rPr>
                    <w:t>更衣室：</w:t>
                  </w:r>
                  <w:r>
                    <w:rPr>
                      <w:rFonts w:hint="eastAsia"/>
                      <w:b w:val="0"/>
                      <w:bCs w:val="0"/>
                      <w:lang w:val="en-US" w:eastAsia="zh-CN"/>
                    </w:rPr>
                    <w:t>项目拟于各车间设置更衣室。</w:t>
                  </w:r>
                </w:p>
              </w:tc>
              <w:tc>
                <w:tcPr>
                  <w:tcW w:w="512" w:type="pct"/>
                  <w:vMerge w:val="continue"/>
                  <w:tcBorders>
                    <w:tl2br w:val="nil"/>
                    <w:tr2bl w:val="nil"/>
                  </w:tcBorders>
                  <w:vAlign w:val="center"/>
                </w:tcPr>
                <w:p w14:paraId="275C753F">
                  <w:pPr>
                    <w:pStyle w:val="94"/>
                    <w:bidi w:val="0"/>
                    <w:rPr>
                      <w:color w:val="FF0000"/>
                      <w:highlight w:val="none"/>
                    </w:rPr>
                  </w:pPr>
                </w:p>
              </w:tc>
              <w:tc>
                <w:tcPr>
                  <w:tcW w:w="591" w:type="pct"/>
                  <w:tcBorders>
                    <w:tl2br w:val="nil"/>
                    <w:tr2bl w:val="nil"/>
                  </w:tcBorders>
                  <w:vAlign w:val="center"/>
                </w:tcPr>
                <w:p w14:paraId="6B308239">
                  <w:pPr>
                    <w:pStyle w:val="94"/>
                    <w:bidi w:val="0"/>
                    <w:rPr>
                      <w:rFonts w:hint="default" w:eastAsia="宋体"/>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47202A02">
                  <w:pPr>
                    <w:pStyle w:val="106"/>
                    <w:bidi w:val="0"/>
                    <w:rPr>
                      <w:rFonts w:hint="eastAsia"/>
                    </w:rPr>
                  </w:pPr>
                  <w:r>
                    <w:rPr>
                      <w:rFonts w:hint="eastAsia"/>
                      <w:lang w:val="en-US" w:eastAsia="zh-CN"/>
                    </w:rPr>
                    <w:t>新建</w:t>
                  </w:r>
                </w:p>
              </w:tc>
            </w:tr>
            <w:tr w14:paraId="715E2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13181FBA">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color w:val="auto"/>
                      <w:highlight w:val="none"/>
                      <w:lang w:val="en-US" w:eastAsia="zh-CN"/>
                    </w:rPr>
                  </w:pPr>
                </w:p>
              </w:tc>
              <w:tc>
                <w:tcPr>
                  <w:tcW w:w="259" w:type="pct"/>
                  <w:tcBorders>
                    <w:tl2br w:val="nil"/>
                    <w:tr2bl w:val="nil"/>
                  </w:tcBorders>
                  <w:vAlign w:val="center"/>
                </w:tcPr>
                <w:p w14:paraId="441F9366">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洗消区</w:t>
                  </w:r>
                </w:p>
              </w:tc>
              <w:tc>
                <w:tcPr>
                  <w:tcW w:w="2929" w:type="pct"/>
                  <w:gridSpan w:val="2"/>
                  <w:tcBorders>
                    <w:tl2br w:val="nil"/>
                    <w:tr2bl w:val="nil"/>
                  </w:tcBorders>
                  <w:shd w:val="clear" w:color="auto" w:fill="auto"/>
                  <w:vAlign w:val="center"/>
                </w:tcPr>
                <w:p w14:paraId="72740584">
                  <w:pPr>
                    <w:pStyle w:val="106"/>
                    <w:bidi w:val="0"/>
                    <w:jc w:val="both"/>
                    <w:rPr>
                      <w:rFonts w:hint="eastAsia"/>
                      <w:lang w:val="en-US" w:eastAsia="zh-CN"/>
                    </w:rPr>
                  </w:pPr>
                  <w:r>
                    <w:rPr>
                      <w:rFonts w:hint="eastAsia"/>
                      <w:b/>
                      <w:bCs/>
                      <w:lang w:val="en-US" w:eastAsia="zh-CN"/>
                    </w:rPr>
                    <w:t>洗消间：</w:t>
                  </w:r>
                  <w:r>
                    <w:rPr>
                      <w:rFonts w:hint="eastAsia"/>
                      <w:b w:val="0"/>
                      <w:bCs w:val="0"/>
                      <w:lang w:val="en-US" w:eastAsia="zh-CN"/>
                    </w:rPr>
                    <w:t>拟于食品生产车间设置洗消间，</w:t>
                  </w:r>
                  <w:r>
                    <w:rPr>
                      <w:rFonts w:hint="eastAsia"/>
                      <w:lang w:val="en-US" w:eastAsia="zh-CN"/>
                    </w:rPr>
                    <w:t>面积分别约10.0m</w:t>
                  </w:r>
                  <w:r>
                    <w:rPr>
                      <w:rFonts w:hint="eastAsia"/>
                      <w:vertAlign w:val="superscript"/>
                      <w:lang w:val="en-US" w:eastAsia="zh-CN"/>
                    </w:rPr>
                    <w:t>2</w:t>
                  </w:r>
                  <w:r>
                    <w:rPr>
                      <w:rFonts w:hint="eastAsia"/>
                      <w:vertAlign w:val="baseline"/>
                      <w:lang w:val="en-US" w:eastAsia="zh-CN"/>
                    </w:rPr>
                    <w:t>、10.0</w:t>
                  </w:r>
                  <w:r>
                    <w:rPr>
                      <w:rFonts w:hint="eastAsia"/>
                      <w:lang w:val="en-US" w:eastAsia="zh-CN"/>
                    </w:rPr>
                    <w:t>m</w:t>
                  </w:r>
                  <w:r>
                    <w:rPr>
                      <w:rFonts w:hint="eastAsia"/>
                      <w:vertAlign w:val="superscript"/>
                      <w:lang w:val="en-US" w:eastAsia="zh-CN"/>
                    </w:rPr>
                    <w:t>2</w:t>
                  </w:r>
                  <w:r>
                    <w:rPr>
                      <w:rFonts w:hint="eastAsia"/>
                      <w:lang w:val="en-US" w:eastAsia="zh-CN"/>
                    </w:rPr>
                    <w:t>。</w:t>
                  </w:r>
                </w:p>
              </w:tc>
              <w:tc>
                <w:tcPr>
                  <w:tcW w:w="512" w:type="pct"/>
                  <w:vMerge w:val="continue"/>
                  <w:tcBorders>
                    <w:tl2br w:val="nil"/>
                    <w:tr2bl w:val="nil"/>
                  </w:tcBorders>
                  <w:vAlign w:val="center"/>
                </w:tcPr>
                <w:p w14:paraId="7E365CA7">
                  <w:pPr>
                    <w:pStyle w:val="94"/>
                    <w:bidi w:val="0"/>
                    <w:rPr>
                      <w:color w:val="FF0000"/>
                      <w:highlight w:val="none"/>
                    </w:rPr>
                  </w:pPr>
                </w:p>
              </w:tc>
              <w:tc>
                <w:tcPr>
                  <w:tcW w:w="591" w:type="pct"/>
                  <w:tcBorders>
                    <w:tl2br w:val="nil"/>
                    <w:tr2bl w:val="nil"/>
                  </w:tcBorders>
                  <w:vAlign w:val="center"/>
                </w:tcPr>
                <w:p w14:paraId="3150767C">
                  <w:pPr>
                    <w:pStyle w:val="94"/>
                    <w:bidi w:val="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59A40B8E">
                  <w:pPr>
                    <w:pStyle w:val="106"/>
                    <w:bidi w:val="0"/>
                    <w:rPr>
                      <w:rFonts w:hint="eastAsia"/>
                      <w:lang w:val="en-US" w:eastAsia="zh-CN"/>
                    </w:rPr>
                  </w:pPr>
                  <w:r>
                    <w:rPr>
                      <w:rFonts w:hint="eastAsia"/>
                      <w:lang w:val="en-US" w:eastAsia="zh-CN"/>
                    </w:rPr>
                    <w:t>新建</w:t>
                  </w:r>
                </w:p>
              </w:tc>
            </w:tr>
            <w:tr w14:paraId="26E8F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4A14BCC0">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color w:val="auto"/>
                      <w:highlight w:val="none"/>
                      <w:lang w:val="en-US" w:eastAsia="zh-CN"/>
                    </w:rPr>
                  </w:pPr>
                </w:p>
              </w:tc>
              <w:tc>
                <w:tcPr>
                  <w:tcW w:w="259" w:type="pct"/>
                  <w:tcBorders>
                    <w:tl2br w:val="nil"/>
                    <w:tr2bl w:val="nil"/>
                  </w:tcBorders>
                  <w:vAlign w:val="center"/>
                </w:tcPr>
                <w:p w14:paraId="701CA977">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质检区</w:t>
                  </w:r>
                </w:p>
              </w:tc>
              <w:tc>
                <w:tcPr>
                  <w:tcW w:w="2929" w:type="pct"/>
                  <w:gridSpan w:val="2"/>
                  <w:tcBorders>
                    <w:tl2br w:val="nil"/>
                    <w:tr2bl w:val="nil"/>
                  </w:tcBorders>
                  <w:shd w:val="clear" w:color="auto" w:fill="auto"/>
                  <w:vAlign w:val="center"/>
                </w:tcPr>
                <w:p w14:paraId="60869D88">
                  <w:pPr>
                    <w:pStyle w:val="106"/>
                    <w:bidi w:val="0"/>
                    <w:jc w:val="both"/>
                    <w:rPr>
                      <w:rFonts w:hint="eastAsia"/>
                      <w:lang w:val="en-US" w:eastAsia="zh-CN"/>
                    </w:rPr>
                  </w:pPr>
                  <w:r>
                    <w:rPr>
                      <w:rFonts w:hint="eastAsia"/>
                      <w:b/>
                      <w:bCs/>
                      <w:lang w:val="en-US" w:eastAsia="zh-CN"/>
                    </w:rPr>
                    <w:t>质检室：</w:t>
                  </w:r>
                  <w:r>
                    <w:rPr>
                      <w:rFonts w:hint="eastAsia"/>
                      <w:lang w:val="en-US" w:eastAsia="zh-CN"/>
                    </w:rPr>
                    <w:t>综合楼1F，1间，厂房东南侧，面积约20m</w:t>
                  </w:r>
                  <w:r>
                    <w:rPr>
                      <w:rFonts w:hint="eastAsia"/>
                      <w:vertAlign w:val="superscript"/>
                      <w:lang w:val="en-US" w:eastAsia="zh-CN"/>
                    </w:rPr>
                    <w:t>2</w:t>
                  </w:r>
                  <w:r>
                    <w:rPr>
                      <w:rFonts w:hint="eastAsia"/>
                      <w:lang w:val="en-US" w:eastAsia="zh-CN"/>
                    </w:rPr>
                    <w:t>，主要产品质量检测前留样准备，产品检测（主要检测产品感官、水分等，微生物及其他理化指标检验均外委进行）</w:t>
                  </w:r>
                  <w:r>
                    <w:rPr>
                      <w:rFonts w:hint="eastAsia"/>
                    </w:rPr>
                    <w:t>。</w:t>
                  </w:r>
                </w:p>
              </w:tc>
              <w:tc>
                <w:tcPr>
                  <w:tcW w:w="512" w:type="pct"/>
                  <w:vMerge w:val="continue"/>
                  <w:tcBorders>
                    <w:tl2br w:val="nil"/>
                    <w:tr2bl w:val="nil"/>
                  </w:tcBorders>
                  <w:vAlign w:val="center"/>
                </w:tcPr>
                <w:p w14:paraId="5A6BE54B">
                  <w:pPr>
                    <w:pStyle w:val="94"/>
                    <w:bidi w:val="0"/>
                    <w:rPr>
                      <w:color w:val="FF0000"/>
                      <w:highlight w:val="none"/>
                    </w:rPr>
                  </w:pPr>
                </w:p>
              </w:tc>
              <w:tc>
                <w:tcPr>
                  <w:tcW w:w="591" w:type="pct"/>
                  <w:tcBorders>
                    <w:tl2br w:val="nil"/>
                    <w:tr2bl w:val="nil"/>
                  </w:tcBorders>
                  <w:vAlign w:val="center"/>
                </w:tcPr>
                <w:p w14:paraId="2877B16B">
                  <w:pPr>
                    <w:pStyle w:val="94"/>
                    <w:bidi w:val="0"/>
                    <w:rPr>
                      <w:rFonts w:hint="default"/>
                      <w:color w:val="auto"/>
                      <w:highlight w:val="none"/>
                      <w:lang w:val="en-US" w:eastAsia="zh-CN"/>
                    </w:rPr>
                  </w:pPr>
                  <w:r>
                    <w:rPr>
                      <w:rFonts w:hint="eastAsia"/>
                      <w:color w:val="auto"/>
                      <w:highlight w:val="none"/>
                      <w:lang w:val="en-US" w:eastAsia="zh-CN"/>
                    </w:rPr>
                    <w:t>废水、固废</w:t>
                  </w:r>
                </w:p>
              </w:tc>
              <w:tc>
                <w:tcPr>
                  <w:tcW w:w="447" w:type="pct"/>
                  <w:tcBorders>
                    <w:tl2br w:val="nil"/>
                    <w:tr2bl w:val="nil"/>
                  </w:tcBorders>
                  <w:vAlign w:val="center"/>
                </w:tcPr>
                <w:p w14:paraId="2DFA8E8F">
                  <w:pPr>
                    <w:pStyle w:val="106"/>
                    <w:bidi w:val="0"/>
                    <w:rPr>
                      <w:rFonts w:hint="eastAsia"/>
                      <w:lang w:val="en-US" w:eastAsia="zh-CN"/>
                    </w:rPr>
                  </w:pPr>
                  <w:r>
                    <w:rPr>
                      <w:rFonts w:hint="eastAsia"/>
                      <w:lang w:val="en-US" w:eastAsia="zh-CN"/>
                    </w:rPr>
                    <w:t>新建</w:t>
                  </w:r>
                </w:p>
              </w:tc>
            </w:tr>
            <w:tr w14:paraId="5FABE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18" w:type="pct"/>
                  <w:gridSpan w:val="2"/>
                  <w:vMerge w:val="restart"/>
                  <w:tcBorders>
                    <w:tl2br w:val="nil"/>
                    <w:tr2bl w:val="nil"/>
                  </w:tcBorders>
                  <w:vAlign w:val="center"/>
                </w:tcPr>
                <w:p w14:paraId="5FF4949A">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color w:val="FF0000"/>
                      <w:highlight w:val="none"/>
                    </w:rPr>
                  </w:pPr>
                  <w:r>
                    <w:rPr>
                      <w:rFonts w:hint="eastAsia"/>
                      <w:color w:val="auto"/>
                      <w:highlight w:val="none"/>
                    </w:rPr>
                    <w:t>公</w:t>
                  </w:r>
                  <w:r>
                    <w:rPr>
                      <w:rFonts w:hint="eastAsia"/>
                      <w:color w:val="auto"/>
                      <w:highlight w:val="none"/>
                      <w:lang w:val="en-US" w:eastAsia="zh-CN"/>
                    </w:rPr>
                    <w:t>用</w:t>
                  </w:r>
                  <w:r>
                    <w:rPr>
                      <w:rFonts w:hint="eastAsia"/>
                      <w:color w:val="auto"/>
                      <w:highlight w:val="none"/>
                    </w:rPr>
                    <w:t>工程</w:t>
                  </w:r>
                </w:p>
              </w:tc>
              <w:tc>
                <w:tcPr>
                  <w:tcW w:w="2929" w:type="pct"/>
                  <w:gridSpan w:val="2"/>
                  <w:tcBorders>
                    <w:tl2br w:val="nil"/>
                    <w:tr2bl w:val="nil"/>
                  </w:tcBorders>
                  <w:vAlign w:val="center"/>
                </w:tcPr>
                <w:p w14:paraId="7C3B7AEA">
                  <w:pPr>
                    <w:pStyle w:val="94"/>
                    <w:bidi w:val="0"/>
                    <w:jc w:val="both"/>
                    <w:rPr>
                      <w:color w:val="auto"/>
                      <w:highlight w:val="none"/>
                    </w:rPr>
                  </w:pPr>
                  <w:r>
                    <w:rPr>
                      <w:rFonts w:hint="eastAsia"/>
                      <w:b/>
                      <w:bCs w:val="0"/>
                      <w:color w:val="auto"/>
                      <w:highlight w:val="none"/>
                    </w:rPr>
                    <w:t>供水：</w:t>
                  </w:r>
                  <w:r>
                    <w:rPr>
                      <w:rFonts w:cs="Times New Roman"/>
                      <w:color w:val="auto"/>
                      <w:szCs w:val="21"/>
                      <w:highlight w:val="none"/>
                    </w:rPr>
                    <w:t>依托</w:t>
                  </w:r>
                  <w:r>
                    <w:rPr>
                      <w:rFonts w:hint="eastAsia" w:cs="Times New Roman"/>
                      <w:color w:val="auto"/>
                      <w:szCs w:val="21"/>
                      <w:highlight w:val="none"/>
                      <w:lang w:val="en-US" w:eastAsia="zh-CN"/>
                    </w:rPr>
                    <w:t>市政供水管网</w:t>
                  </w:r>
                  <w:r>
                    <w:rPr>
                      <w:rFonts w:cs="Times New Roman"/>
                      <w:color w:val="auto"/>
                      <w:szCs w:val="21"/>
                      <w:highlight w:val="none"/>
                    </w:rPr>
                    <w:t>。</w:t>
                  </w:r>
                </w:p>
              </w:tc>
              <w:tc>
                <w:tcPr>
                  <w:tcW w:w="512" w:type="pct"/>
                  <w:vMerge w:val="continue"/>
                  <w:tcBorders>
                    <w:tl2br w:val="nil"/>
                    <w:tr2bl w:val="nil"/>
                  </w:tcBorders>
                  <w:vAlign w:val="center"/>
                </w:tcPr>
                <w:p w14:paraId="690890DE">
                  <w:pPr>
                    <w:pStyle w:val="94"/>
                    <w:bidi w:val="0"/>
                    <w:rPr>
                      <w:color w:val="FF0000"/>
                      <w:highlight w:val="none"/>
                    </w:rPr>
                  </w:pPr>
                </w:p>
              </w:tc>
              <w:tc>
                <w:tcPr>
                  <w:tcW w:w="591" w:type="pct"/>
                  <w:tcBorders>
                    <w:tl2br w:val="nil"/>
                    <w:tr2bl w:val="nil"/>
                  </w:tcBorders>
                  <w:vAlign w:val="center"/>
                </w:tcPr>
                <w:p w14:paraId="56BDC82F">
                  <w:pPr>
                    <w:pStyle w:val="94"/>
                    <w:bidi w:val="0"/>
                    <w:rPr>
                      <w:color w:val="auto"/>
                      <w:highlight w:val="none"/>
                    </w:rPr>
                  </w:pPr>
                  <w:r>
                    <w:rPr>
                      <w:rFonts w:hint="eastAsia"/>
                      <w:color w:val="auto"/>
                      <w:highlight w:val="none"/>
                    </w:rPr>
                    <w:t>/</w:t>
                  </w:r>
                </w:p>
              </w:tc>
              <w:tc>
                <w:tcPr>
                  <w:tcW w:w="447" w:type="pct"/>
                  <w:tcBorders>
                    <w:tl2br w:val="nil"/>
                    <w:tr2bl w:val="nil"/>
                  </w:tcBorders>
                  <w:vAlign w:val="center"/>
                </w:tcPr>
                <w:p w14:paraId="3D0810AB">
                  <w:pPr>
                    <w:pStyle w:val="106"/>
                    <w:bidi w:val="0"/>
                  </w:pPr>
                  <w:r>
                    <w:rPr>
                      <w:rFonts w:hint="eastAsia"/>
                    </w:rPr>
                    <w:t>依托</w:t>
                  </w:r>
                </w:p>
              </w:tc>
            </w:tr>
            <w:tr w14:paraId="1D71F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518" w:type="pct"/>
                  <w:gridSpan w:val="2"/>
                  <w:vMerge w:val="continue"/>
                  <w:tcBorders>
                    <w:tl2br w:val="nil"/>
                    <w:tr2bl w:val="nil"/>
                  </w:tcBorders>
                  <w:vAlign w:val="center"/>
                </w:tcPr>
                <w:p w14:paraId="17C36DA7">
                  <w:pPr>
                    <w:pStyle w:val="94"/>
                    <w:bidi w:val="0"/>
                    <w:rPr>
                      <w:color w:val="FF0000"/>
                      <w:highlight w:val="none"/>
                    </w:rPr>
                  </w:pPr>
                </w:p>
              </w:tc>
              <w:tc>
                <w:tcPr>
                  <w:tcW w:w="2929" w:type="pct"/>
                  <w:gridSpan w:val="2"/>
                  <w:tcBorders>
                    <w:tl2br w:val="nil"/>
                    <w:tr2bl w:val="nil"/>
                  </w:tcBorders>
                  <w:vAlign w:val="center"/>
                </w:tcPr>
                <w:p w14:paraId="2B35DBA7">
                  <w:pPr>
                    <w:pStyle w:val="94"/>
                    <w:bidi w:val="0"/>
                    <w:jc w:val="both"/>
                    <w:rPr>
                      <w:color w:val="auto"/>
                      <w:highlight w:val="none"/>
                    </w:rPr>
                  </w:pPr>
                  <w:r>
                    <w:rPr>
                      <w:rFonts w:hint="eastAsia"/>
                      <w:b/>
                      <w:bCs w:val="0"/>
                      <w:color w:val="auto"/>
                      <w:highlight w:val="none"/>
                    </w:rPr>
                    <w:t>供电：</w:t>
                  </w:r>
                  <w:r>
                    <w:rPr>
                      <w:rFonts w:cs="Times New Roman"/>
                      <w:color w:val="auto"/>
                      <w:szCs w:val="21"/>
                      <w:highlight w:val="none"/>
                    </w:rPr>
                    <w:t>依托</w:t>
                  </w:r>
                  <w:r>
                    <w:rPr>
                      <w:rFonts w:hint="eastAsia" w:cs="Times New Roman"/>
                      <w:color w:val="auto"/>
                      <w:szCs w:val="21"/>
                      <w:highlight w:val="none"/>
                      <w:lang w:val="en-US" w:eastAsia="zh-CN"/>
                    </w:rPr>
                    <w:t>市政供电管网</w:t>
                  </w:r>
                  <w:r>
                    <w:rPr>
                      <w:rFonts w:cs="Times New Roman"/>
                      <w:color w:val="auto"/>
                      <w:szCs w:val="21"/>
                      <w:highlight w:val="none"/>
                    </w:rPr>
                    <w:t>。</w:t>
                  </w:r>
                </w:p>
              </w:tc>
              <w:tc>
                <w:tcPr>
                  <w:tcW w:w="512" w:type="pct"/>
                  <w:vMerge w:val="continue"/>
                  <w:tcBorders>
                    <w:tl2br w:val="nil"/>
                    <w:tr2bl w:val="nil"/>
                  </w:tcBorders>
                  <w:vAlign w:val="center"/>
                </w:tcPr>
                <w:p w14:paraId="5814FA80">
                  <w:pPr>
                    <w:pStyle w:val="94"/>
                    <w:bidi w:val="0"/>
                    <w:rPr>
                      <w:color w:val="FF0000"/>
                      <w:highlight w:val="none"/>
                    </w:rPr>
                  </w:pPr>
                </w:p>
              </w:tc>
              <w:tc>
                <w:tcPr>
                  <w:tcW w:w="591" w:type="pct"/>
                  <w:tcBorders>
                    <w:tl2br w:val="nil"/>
                    <w:tr2bl w:val="nil"/>
                  </w:tcBorders>
                  <w:vAlign w:val="center"/>
                </w:tcPr>
                <w:p w14:paraId="602058CB">
                  <w:pPr>
                    <w:pStyle w:val="94"/>
                    <w:bidi w:val="0"/>
                    <w:rPr>
                      <w:color w:val="auto"/>
                      <w:highlight w:val="none"/>
                    </w:rPr>
                  </w:pPr>
                  <w:r>
                    <w:rPr>
                      <w:rFonts w:hint="eastAsia"/>
                      <w:color w:val="auto"/>
                      <w:highlight w:val="none"/>
                    </w:rPr>
                    <w:t>/</w:t>
                  </w:r>
                </w:p>
              </w:tc>
              <w:tc>
                <w:tcPr>
                  <w:tcW w:w="447" w:type="pct"/>
                  <w:tcBorders>
                    <w:tl2br w:val="nil"/>
                    <w:tr2bl w:val="nil"/>
                  </w:tcBorders>
                  <w:vAlign w:val="center"/>
                </w:tcPr>
                <w:p w14:paraId="6A280CC8">
                  <w:pPr>
                    <w:pStyle w:val="106"/>
                    <w:bidi w:val="0"/>
                  </w:pPr>
                  <w:r>
                    <w:rPr>
                      <w:rFonts w:hint="eastAsia"/>
                    </w:rPr>
                    <w:t>依托</w:t>
                  </w:r>
                </w:p>
              </w:tc>
            </w:tr>
            <w:tr w14:paraId="4D1D2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18" w:type="pct"/>
                  <w:gridSpan w:val="2"/>
                  <w:vMerge w:val="continue"/>
                  <w:tcBorders>
                    <w:tl2br w:val="nil"/>
                    <w:tr2bl w:val="nil"/>
                  </w:tcBorders>
                  <w:vAlign w:val="center"/>
                </w:tcPr>
                <w:p w14:paraId="67166455">
                  <w:pPr>
                    <w:pStyle w:val="94"/>
                    <w:bidi w:val="0"/>
                    <w:rPr>
                      <w:color w:val="FF0000"/>
                      <w:highlight w:val="none"/>
                    </w:rPr>
                  </w:pPr>
                </w:p>
              </w:tc>
              <w:tc>
                <w:tcPr>
                  <w:tcW w:w="2929" w:type="pct"/>
                  <w:gridSpan w:val="2"/>
                  <w:tcBorders>
                    <w:tl2br w:val="nil"/>
                    <w:tr2bl w:val="nil"/>
                  </w:tcBorders>
                  <w:vAlign w:val="center"/>
                </w:tcPr>
                <w:p w14:paraId="0CB0E8D6">
                  <w:pPr>
                    <w:pStyle w:val="94"/>
                    <w:bidi w:val="0"/>
                    <w:jc w:val="both"/>
                    <w:rPr>
                      <w:rFonts w:hint="default" w:eastAsia="宋体"/>
                      <w:b/>
                      <w:bCs w:val="0"/>
                      <w:color w:val="auto"/>
                      <w:highlight w:val="none"/>
                      <w:lang w:val="en-US" w:eastAsia="zh-CN"/>
                    </w:rPr>
                  </w:pPr>
                  <w:r>
                    <w:rPr>
                      <w:rFonts w:hint="eastAsia"/>
                      <w:b/>
                      <w:bCs w:val="0"/>
                      <w:color w:val="auto"/>
                      <w:highlight w:val="none"/>
                      <w:lang w:val="en-US" w:eastAsia="zh-CN"/>
                    </w:rPr>
                    <w:t>供气：</w:t>
                  </w:r>
                  <w:r>
                    <w:rPr>
                      <w:rFonts w:hint="eastAsia" w:cs="Times New Roman"/>
                      <w:color w:val="auto"/>
                      <w:szCs w:val="21"/>
                      <w:highlight w:val="none"/>
                      <w:lang w:val="en-US" w:eastAsia="zh-CN"/>
                    </w:rPr>
                    <w:t>依托市政供气管网</w:t>
                  </w:r>
                  <w:r>
                    <w:rPr>
                      <w:rFonts w:cs="Times New Roman"/>
                      <w:color w:val="auto"/>
                      <w:szCs w:val="21"/>
                      <w:highlight w:val="none"/>
                    </w:rPr>
                    <w:t>。</w:t>
                  </w:r>
                </w:p>
              </w:tc>
              <w:tc>
                <w:tcPr>
                  <w:tcW w:w="512" w:type="pct"/>
                  <w:vMerge w:val="continue"/>
                  <w:tcBorders>
                    <w:tl2br w:val="nil"/>
                    <w:tr2bl w:val="nil"/>
                  </w:tcBorders>
                  <w:vAlign w:val="center"/>
                </w:tcPr>
                <w:p w14:paraId="2BFDD8AE">
                  <w:pPr>
                    <w:pStyle w:val="94"/>
                    <w:bidi w:val="0"/>
                    <w:rPr>
                      <w:color w:val="FF0000"/>
                      <w:highlight w:val="none"/>
                    </w:rPr>
                  </w:pPr>
                </w:p>
              </w:tc>
              <w:tc>
                <w:tcPr>
                  <w:tcW w:w="591" w:type="pct"/>
                  <w:tcBorders>
                    <w:tl2br w:val="nil"/>
                    <w:tr2bl w:val="nil"/>
                  </w:tcBorders>
                  <w:vAlign w:val="center"/>
                </w:tcPr>
                <w:p w14:paraId="5CC1D355">
                  <w:pPr>
                    <w:pStyle w:val="94"/>
                    <w:bidi w:val="0"/>
                    <w:rPr>
                      <w:rFonts w:hint="eastAsia" w:eastAsia="宋体"/>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68DA7027">
                  <w:pPr>
                    <w:pStyle w:val="106"/>
                    <w:bidi w:val="0"/>
                    <w:rPr>
                      <w:rFonts w:hint="default"/>
                      <w:lang w:val="en-US" w:eastAsia="zh-CN"/>
                    </w:rPr>
                  </w:pPr>
                  <w:r>
                    <w:rPr>
                      <w:rFonts w:hint="eastAsia"/>
                      <w:lang w:val="en-US" w:eastAsia="zh-CN"/>
                    </w:rPr>
                    <w:t>依托</w:t>
                  </w:r>
                </w:p>
              </w:tc>
            </w:tr>
            <w:tr w14:paraId="6D134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18" w:type="pct"/>
                  <w:gridSpan w:val="2"/>
                  <w:vMerge w:val="continue"/>
                  <w:tcBorders>
                    <w:tl2br w:val="nil"/>
                    <w:tr2bl w:val="nil"/>
                  </w:tcBorders>
                  <w:vAlign w:val="center"/>
                </w:tcPr>
                <w:p w14:paraId="18B0FB65">
                  <w:pPr>
                    <w:pStyle w:val="94"/>
                    <w:bidi w:val="0"/>
                    <w:rPr>
                      <w:color w:val="FF0000"/>
                      <w:highlight w:val="none"/>
                    </w:rPr>
                  </w:pPr>
                </w:p>
              </w:tc>
              <w:tc>
                <w:tcPr>
                  <w:tcW w:w="2929" w:type="pct"/>
                  <w:gridSpan w:val="2"/>
                  <w:tcBorders>
                    <w:tl2br w:val="nil"/>
                    <w:tr2bl w:val="nil"/>
                  </w:tcBorders>
                  <w:vAlign w:val="center"/>
                </w:tcPr>
                <w:p w14:paraId="036B8A60">
                  <w:pPr>
                    <w:pStyle w:val="94"/>
                    <w:bidi w:val="0"/>
                    <w:jc w:val="both"/>
                    <w:rPr>
                      <w:rFonts w:hint="default"/>
                      <w:b/>
                      <w:bCs w:val="0"/>
                      <w:color w:val="auto"/>
                      <w:highlight w:val="none"/>
                      <w:lang w:val="en-US" w:eastAsia="zh-CN"/>
                    </w:rPr>
                  </w:pPr>
                  <w:r>
                    <w:rPr>
                      <w:rFonts w:hint="eastAsia"/>
                      <w:b/>
                      <w:bCs w:val="0"/>
                      <w:color w:val="auto"/>
                      <w:highlight w:val="none"/>
                      <w:lang w:val="en-US" w:eastAsia="zh-CN"/>
                    </w:rPr>
                    <w:t>空压机：</w:t>
                  </w:r>
                  <w:r>
                    <w:rPr>
                      <w:rFonts w:hint="eastAsia"/>
                      <w:b w:val="0"/>
                      <w:bCs/>
                      <w:color w:val="auto"/>
                      <w:highlight w:val="none"/>
                      <w:lang w:val="en-US" w:eastAsia="zh-CN"/>
                    </w:rPr>
                    <w:t>项目拟于一车间外东侧设置空压机房，设空压机2台，50kW，配套储气罐。</w:t>
                  </w:r>
                </w:p>
              </w:tc>
              <w:tc>
                <w:tcPr>
                  <w:tcW w:w="512" w:type="pct"/>
                  <w:vMerge w:val="continue"/>
                  <w:tcBorders>
                    <w:tl2br w:val="nil"/>
                    <w:tr2bl w:val="nil"/>
                  </w:tcBorders>
                  <w:vAlign w:val="center"/>
                </w:tcPr>
                <w:p w14:paraId="78BBEC87">
                  <w:pPr>
                    <w:pStyle w:val="94"/>
                    <w:bidi w:val="0"/>
                    <w:rPr>
                      <w:color w:val="auto"/>
                      <w:highlight w:val="none"/>
                    </w:rPr>
                  </w:pPr>
                </w:p>
              </w:tc>
              <w:tc>
                <w:tcPr>
                  <w:tcW w:w="591" w:type="pct"/>
                  <w:tcBorders>
                    <w:tl2br w:val="nil"/>
                    <w:tr2bl w:val="nil"/>
                  </w:tcBorders>
                  <w:vAlign w:val="center"/>
                </w:tcPr>
                <w:p w14:paraId="58EE952F">
                  <w:pPr>
                    <w:pStyle w:val="94"/>
                    <w:bidi w:val="0"/>
                    <w:rPr>
                      <w:rFonts w:hint="default"/>
                      <w:color w:val="auto"/>
                      <w:highlight w:val="none"/>
                      <w:lang w:val="en-US" w:eastAsia="zh-CN"/>
                    </w:rPr>
                  </w:pPr>
                  <w:r>
                    <w:rPr>
                      <w:rFonts w:hint="eastAsia"/>
                      <w:color w:val="auto"/>
                      <w:highlight w:val="none"/>
                      <w:lang w:val="en-US" w:eastAsia="zh-CN"/>
                    </w:rPr>
                    <w:t>噪声</w:t>
                  </w:r>
                </w:p>
              </w:tc>
              <w:tc>
                <w:tcPr>
                  <w:tcW w:w="447" w:type="pct"/>
                  <w:tcBorders>
                    <w:tl2br w:val="nil"/>
                    <w:tr2bl w:val="nil"/>
                  </w:tcBorders>
                  <w:vAlign w:val="center"/>
                </w:tcPr>
                <w:p w14:paraId="53DA8A5B">
                  <w:pPr>
                    <w:pStyle w:val="106"/>
                    <w:bidi w:val="0"/>
                    <w:rPr>
                      <w:rFonts w:hint="default"/>
                      <w:lang w:val="en-US" w:eastAsia="zh-CN"/>
                    </w:rPr>
                  </w:pPr>
                  <w:r>
                    <w:rPr>
                      <w:rFonts w:hint="eastAsia"/>
                      <w:lang w:val="en-US" w:eastAsia="zh-CN"/>
                    </w:rPr>
                    <w:t>新建</w:t>
                  </w:r>
                </w:p>
              </w:tc>
            </w:tr>
            <w:tr w14:paraId="141E9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18" w:type="pct"/>
                  <w:gridSpan w:val="2"/>
                  <w:vMerge w:val="continue"/>
                  <w:tcBorders>
                    <w:tl2br w:val="nil"/>
                    <w:tr2bl w:val="nil"/>
                  </w:tcBorders>
                  <w:vAlign w:val="center"/>
                </w:tcPr>
                <w:p w14:paraId="46F64004">
                  <w:pPr>
                    <w:pStyle w:val="94"/>
                    <w:bidi w:val="0"/>
                    <w:rPr>
                      <w:color w:val="FF0000"/>
                      <w:highlight w:val="none"/>
                    </w:rPr>
                  </w:pPr>
                </w:p>
              </w:tc>
              <w:tc>
                <w:tcPr>
                  <w:tcW w:w="2929" w:type="pct"/>
                  <w:gridSpan w:val="2"/>
                  <w:tcBorders>
                    <w:tl2br w:val="nil"/>
                    <w:tr2bl w:val="nil"/>
                  </w:tcBorders>
                  <w:vAlign w:val="center"/>
                </w:tcPr>
                <w:p w14:paraId="66638310">
                  <w:pPr>
                    <w:pStyle w:val="94"/>
                    <w:bidi w:val="0"/>
                    <w:jc w:val="both"/>
                    <w:rPr>
                      <w:color w:val="FF0000"/>
                      <w:highlight w:val="none"/>
                    </w:rPr>
                  </w:pPr>
                  <w:r>
                    <w:rPr>
                      <w:rFonts w:hint="eastAsia"/>
                      <w:b/>
                      <w:bCs w:val="0"/>
                      <w:color w:val="auto"/>
                      <w:highlight w:val="none"/>
                    </w:rPr>
                    <w:t>排水系统：</w:t>
                  </w:r>
                  <w:r>
                    <w:rPr>
                      <w:rFonts w:hint="eastAsia"/>
                      <w:color w:val="auto"/>
                      <w:highlight w:val="none"/>
                    </w:rPr>
                    <w:t>排水雨污分流；</w:t>
                  </w:r>
                  <w:r>
                    <w:rPr>
                      <w:rFonts w:cs="Times New Roman"/>
                      <w:color w:val="auto"/>
                      <w:szCs w:val="24"/>
                      <w:highlight w:val="none"/>
                    </w:rPr>
                    <w:t>依托</w:t>
                  </w:r>
                  <w:r>
                    <w:rPr>
                      <w:rFonts w:hint="eastAsia" w:cs="Times New Roman"/>
                      <w:color w:val="auto"/>
                      <w:szCs w:val="24"/>
                      <w:highlight w:val="none"/>
                      <w:lang w:val="en-US" w:eastAsia="zh-CN"/>
                    </w:rPr>
                    <w:t>园区雨污排水</w:t>
                  </w:r>
                  <w:r>
                    <w:rPr>
                      <w:rFonts w:cs="Times New Roman"/>
                      <w:color w:val="auto"/>
                      <w:szCs w:val="24"/>
                      <w:highlight w:val="none"/>
                    </w:rPr>
                    <w:t>管网。</w:t>
                  </w:r>
                </w:p>
              </w:tc>
              <w:tc>
                <w:tcPr>
                  <w:tcW w:w="512" w:type="pct"/>
                  <w:vMerge w:val="continue"/>
                  <w:tcBorders>
                    <w:tl2br w:val="nil"/>
                    <w:tr2bl w:val="nil"/>
                  </w:tcBorders>
                  <w:vAlign w:val="center"/>
                </w:tcPr>
                <w:p w14:paraId="262228E3">
                  <w:pPr>
                    <w:pStyle w:val="94"/>
                    <w:bidi w:val="0"/>
                    <w:rPr>
                      <w:color w:val="FF0000"/>
                      <w:highlight w:val="none"/>
                    </w:rPr>
                  </w:pPr>
                </w:p>
              </w:tc>
              <w:tc>
                <w:tcPr>
                  <w:tcW w:w="591" w:type="pct"/>
                  <w:tcBorders>
                    <w:tl2br w:val="nil"/>
                    <w:tr2bl w:val="nil"/>
                  </w:tcBorders>
                  <w:vAlign w:val="center"/>
                </w:tcPr>
                <w:p w14:paraId="36BA6A39">
                  <w:pPr>
                    <w:pStyle w:val="94"/>
                    <w:bidi w:val="0"/>
                    <w:rPr>
                      <w:color w:val="FF0000"/>
                      <w:highlight w:val="none"/>
                    </w:rPr>
                  </w:pPr>
                  <w:r>
                    <w:rPr>
                      <w:rFonts w:hint="eastAsia"/>
                      <w:color w:val="auto"/>
                      <w:highlight w:val="none"/>
                    </w:rPr>
                    <w:t>/</w:t>
                  </w:r>
                </w:p>
              </w:tc>
              <w:tc>
                <w:tcPr>
                  <w:tcW w:w="447" w:type="pct"/>
                  <w:tcBorders>
                    <w:tl2br w:val="nil"/>
                    <w:tr2bl w:val="nil"/>
                  </w:tcBorders>
                  <w:vAlign w:val="center"/>
                </w:tcPr>
                <w:p w14:paraId="41D5A10F">
                  <w:pPr>
                    <w:pStyle w:val="106"/>
                    <w:bidi w:val="0"/>
                  </w:pPr>
                  <w:r>
                    <w:rPr>
                      <w:rFonts w:hint="eastAsia"/>
                    </w:rPr>
                    <w:t>依托</w:t>
                  </w:r>
                </w:p>
              </w:tc>
            </w:tr>
            <w:tr w14:paraId="09693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518" w:type="pct"/>
                  <w:gridSpan w:val="2"/>
                  <w:vMerge w:val="restart"/>
                  <w:tcBorders>
                    <w:tl2br w:val="nil"/>
                    <w:tr2bl w:val="nil"/>
                  </w:tcBorders>
                  <w:vAlign w:val="center"/>
                </w:tcPr>
                <w:p w14:paraId="09F5DE70">
                  <w:pPr>
                    <w:pStyle w:val="94"/>
                    <w:bidi w:val="0"/>
                    <w:rPr>
                      <w:color w:val="auto"/>
                      <w:highlight w:val="none"/>
                    </w:rPr>
                  </w:pPr>
                  <w:r>
                    <w:rPr>
                      <w:rFonts w:hint="eastAsia"/>
                      <w:color w:val="auto"/>
                      <w:highlight w:val="none"/>
                    </w:rPr>
                    <w:t>办公及生活设施</w:t>
                  </w:r>
                </w:p>
              </w:tc>
              <w:tc>
                <w:tcPr>
                  <w:tcW w:w="2929" w:type="pct"/>
                  <w:gridSpan w:val="2"/>
                  <w:tcBorders>
                    <w:tl2br w:val="nil"/>
                    <w:tr2bl w:val="nil"/>
                  </w:tcBorders>
                  <w:vAlign w:val="center"/>
                </w:tcPr>
                <w:p w14:paraId="29F50470">
                  <w:pPr>
                    <w:pStyle w:val="94"/>
                    <w:bidi w:val="0"/>
                    <w:jc w:val="both"/>
                    <w:rPr>
                      <w:rFonts w:hint="default"/>
                      <w:b/>
                      <w:bCs w:val="0"/>
                      <w:color w:val="auto"/>
                      <w:highlight w:val="none"/>
                      <w:lang w:val="en-US" w:eastAsia="zh-CN"/>
                    </w:rPr>
                  </w:pPr>
                  <w:r>
                    <w:rPr>
                      <w:rFonts w:hint="eastAsia"/>
                      <w:b/>
                      <w:bCs w:val="0"/>
                      <w:color w:val="auto"/>
                      <w:highlight w:val="none"/>
                      <w:lang w:val="en-US" w:eastAsia="zh-CN"/>
                    </w:rPr>
                    <w:t>车间办公室：</w:t>
                  </w:r>
                  <w:r>
                    <w:rPr>
                      <w:rFonts w:hint="eastAsia"/>
                      <w:b w:val="0"/>
                      <w:bCs/>
                      <w:color w:val="auto"/>
                      <w:highlight w:val="none"/>
                      <w:lang w:val="en-US" w:eastAsia="zh-CN"/>
                    </w:rPr>
                    <w:t>一车间拟设1间，厂房东侧，面积约20m</w:t>
                  </w:r>
                  <w:r>
                    <w:rPr>
                      <w:rFonts w:hint="eastAsia"/>
                      <w:b w:val="0"/>
                      <w:bCs/>
                      <w:color w:val="auto"/>
                      <w:highlight w:val="none"/>
                      <w:vertAlign w:val="superscript"/>
                      <w:lang w:val="en-US" w:eastAsia="zh-CN"/>
                    </w:rPr>
                    <w:t>2</w:t>
                  </w:r>
                  <w:r>
                    <w:rPr>
                      <w:rFonts w:hint="eastAsia"/>
                      <w:b w:val="0"/>
                      <w:bCs/>
                      <w:color w:val="auto"/>
                      <w:highlight w:val="none"/>
                      <w:lang w:val="en-US" w:eastAsia="zh-CN"/>
                    </w:rPr>
                    <w:t>。</w:t>
                  </w:r>
                </w:p>
              </w:tc>
              <w:tc>
                <w:tcPr>
                  <w:tcW w:w="512" w:type="pct"/>
                  <w:vMerge w:val="continue"/>
                  <w:tcBorders>
                    <w:tl2br w:val="nil"/>
                    <w:tr2bl w:val="nil"/>
                  </w:tcBorders>
                  <w:vAlign w:val="center"/>
                </w:tcPr>
                <w:p w14:paraId="01BACADF">
                  <w:pPr>
                    <w:pStyle w:val="94"/>
                    <w:bidi w:val="0"/>
                    <w:rPr>
                      <w:color w:val="auto"/>
                      <w:highlight w:val="none"/>
                    </w:rPr>
                  </w:pPr>
                </w:p>
              </w:tc>
              <w:tc>
                <w:tcPr>
                  <w:tcW w:w="591" w:type="pct"/>
                  <w:vMerge w:val="restart"/>
                  <w:tcBorders>
                    <w:tl2br w:val="nil"/>
                    <w:tr2bl w:val="nil"/>
                  </w:tcBorders>
                  <w:vAlign w:val="center"/>
                </w:tcPr>
                <w:p w14:paraId="140D8E2C">
                  <w:pPr>
                    <w:pStyle w:val="94"/>
                    <w:bidi w:val="0"/>
                    <w:rPr>
                      <w:rFonts w:hint="eastAsia" w:eastAsia="宋体"/>
                      <w:color w:val="auto"/>
                      <w:highlight w:val="none"/>
                      <w:lang w:eastAsia="zh-CN"/>
                    </w:rPr>
                  </w:pPr>
                  <w:r>
                    <w:rPr>
                      <w:rFonts w:hint="eastAsia"/>
                      <w:color w:val="auto"/>
                      <w:highlight w:val="none"/>
                    </w:rPr>
                    <w:t>生活垃圾、生活污水</w:t>
                  </w:r>
                </w:p>
              </w:tc>
              <w:tc>
                <w:tcPr>
                  <w:tcW w:w="447" w:type="pct"/>
                  <w:vMerge w:val="restart"/>
                  <w:tcBorders>
                    <w:tl2br w:val="nil"/>
                    <w:tr2bl w:val="nil"/>
                  </w:tcBorders>
                  <w:vAlign w:val="center"/>
                </w:tcPr>
                <w:p w14:paraId="03FB7A44">
                  <w:pPr>
                    <w:pStyle w:val="106"/>
                    <w:bidi w:val="0"/>
                    <w:rPr>
                      <w:rFonts w:hint="default"/>
                      <w:lang w:val="en-US" w:eastAsia="zh-CN"/>
                    </w:rPr>
                  </w:pPr>
                  <w:r>
                    <w:rPr>
                      <w:rFonts w:hint="eastAsia"/>
                      <w:lang w:val="en-US" w:eastAsia="zh-CN"/>
                    </w:rPr>
                    <w:t>新建</w:t>
                  </w:r>
                </w:p>
              </w:tc>
            </w:tr>
            <w:tr w14:paraId="097CE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518" w:type="pct"/>
                  <w:gridSpan w:val="2"/>
                  <w:vMerge w:val="continue"/>
                  <w:tcBorders>
                    <w:tl2br w:val="nil"/>
                    <w:tr2bl w:val="nil"/>
                  </w:tcBorders>
                  <w:vAlign w:val="center"/>
                </w:tcPr>
                <w:p w14:paraId="29F02F93">
                  <w:pPr>
                    <w:pStyle w:val="94"/>
                    <w:bidi w:val="0"/>
                    <w:rPr>
                      <w:color w:val="auto"/>
                      <w:highlight w:val="none"/>
                    </w:rPr>
                  </w:pPr>
                </w:p>
              </w:tc>
              <w:tc>
                <w:tcPr>
                  <w:tcW w:w="2929" w:type="pct"/>
                  <w:gridSpan w:val="2"/>
                  <w:tcBorders>
                    <w:tl2br w:val="nil"/>
                    <w:tr2bl w:val="nil"/>
                  </w:tcBorders>
                  <w:vAlign w:val="center"/>
                </w:tcPr>
                <w:p w14:paraId="3F884323">
                  <w:pPr>
                    <w:pStyle w:val="94"/>
                    <w:bidi w:val="0"/>
                    <w:jc w:val="both"/>
                    <w:rPr>
                      <w:rFonts w:hint="eastAsia"/>
                      <w:b/>
                      <w:bCs w:val="0"/>
                      <w:color w:val="auto"/>
                      <w:highlight w:val="none"/>
                    </w:rPr>
                  </w:pPr>
                  <w:r>
                    <w:rPr>
                      <w:rFonts w:hint="eastAsia"/>
                      <w:b/>
                      <w:bCs w:val="0"/>
                      <w:color w:val="auto"/>
                      <w:highlight w:val="none"/>
                      <w:lang w:val="en-US" w:eastAsia="zh-CN"/>
                    </w:rPr>
                    <w:t>综合楼</w:t>
                  </w:r>
                  <w:r>
                    <w:rPr>
                      <w:rFonts w:hint="eastAsia"/>
                      <w:b/>
                      <w:bCs w:val="0"/>
                      <w:color w:val="auto"/>
                      <w:highlight w:val="none"/>
                    </w:rPr>
                    <w:t>：</w:t>
                  </w:r>
                  <w:r>
                    <w:rPr>
                      <w:rFonts w:hint="eastAsia"/>
                      <w:b w:val="0"/>
                      <w:bCs/>
                      <w:color w:val="auto"/>
                      <w:highlight w:val="none"/>
                      <w:lang w:val="en-US" w:eastAsia="zh-CN"/>
                    </w:rPr>
                    <w:t>1栋</w:t>
                  </w:r>
                  <w:r>
                    <w:rPr>
                      <w:rFonts w:hint="eastAsia"/>
                      <w:color w:val="auto"/>
                      <w:highlight w:val="none"/>
                      <w:lang w:val="en-US" w:eastAsia="zh-CN"/>
                    </w:rPr>
                    <w:t>，3F</w:t>
                  </w:r>
                  <w:r>
                    <w:rPr>
                      <w:rFonts w:hint="eastAsia"/>
                      <w:b w:val="0"/>
                      <w:bCs/>
                      <w:color w:val="auto"/>
                      <w:highlight w:val="none"/>
                      <w:lang w:val="en-US" w:eastAsia="zh-CN"/>
                    </w:rPr>
                    <w:t>，</w:t>
                  </w:r>
                  <w:r>
                    <w:rPr>
                      <w:rFonts w:hint="eastAsia"/>
                      <w:color w:val="auto"/>
                      <w:highlight w:val="none"/>
                    </w:rPr>
                    <w:t>位于</w:t>
                  </w:r>
                  <w:r>
                    <w:rPr>
                      <w:rFonts w:hint="eastAsia"/>
                      <w:color w:val="auto"/>
                      <w:highlight w:val="none"/>
                      <w:lang w:val="en-US" w:eastAsia="zh-CN"/>
                    </w:rPr>
                    <w:t>厂区西南侧</w:t>
                  </w:r>
                  <w:r>
                    <w:rPr>
                      <w:rFonts w:hint="eastAsia"/>
                      <w:color w:val="auto"/>
                      <w:highlight w:val="none"/>
                    </w:rPr>
                    <w:t>，建筑面积为</w:t>
                  </w:r>
                  <w:r>
                    <w:rPr>
                      <w:rFonts w:hint="eastAsia"/>
                      <w:color w:val="auto"/>
                      <w:highlight w:val="none"/>
                      <w:lang w:val="en-US" w:eastAsia="zh-CN"/>
                    </w:rPr>
                    <w:t>820.04</w:t>
                  </w:r>
                  <w:r>
                    <w:rPr>
                      <w:rFonts w:hint="eastAsia"/>
                      <w:color w:val="auto"/>
                      <w:highlight w:val="none"/>
                    </w:rPr>
                    <w:t>m</w:t>
                  </w:r>
                  <w:r>
                    <w:rPr>
                      <w:rFonts w:hint="eastAsia"/>
                      <w:color w:val="auto"/>
                      <w:highlight w:val="none"/>
                      <w:vertAlign w:val="superscript"/>
                    </w:rPr>
                    <w:t>2</w:t>
                  </w:r>
                  <w:r>
                    <w:rPr>
                      <w:rFonts w:hint="eastAsia"/>
                      <w:color w:val="auto"/>
                      <w:highlight w:val="none"/>
                      <w:vertAlign w:val="baseline"/>
                      <w:lang w:val="en-US" w:eastAsia="zh-CN"/>
                    </w:rPr>
                    <w:t>。</w:t>
                  </w:r>
                </w:p>
              </w:tc>
              <w:tc>
                <w:tcPr>
                  <w:tcW w:w="512" w:type="pct"/>
                  <w:vMerge w:val="continue"/>
                  <w:tcBorders>
                    <w:tl2br w:val="nil"/>
                    <w:tr2bl w:val="nil"/>
                  </w:tcBorders>
                  <w:vAlign w:val="center"/>
                </w:tcPr>
                <w:p w14:paraId="0286CF78">
                  <w:pPr>
                    <w:pStyle w:val="94"/>
                    <w:bidi w:val="0"/>
                    <w:rPr>
                      <w:color w:val="auto"/>
                      <w:highlight w:val="none"/>
                    </w:rPr>
                  </w:pPr>
                </w:p>
              </w:tc>
              <w:tc>
                <w:tcPr>
                  <w:tcW w:w="591" w:type="pct"/>
                  <w:vMerge w:val="continue"/>
                  <w:tcBorders>
                    <w:tl2br w:val="nil"/>
                    <w:tr2bl w:val="nil"/>
                  </w:tcBorders>
                  <w:vAlign w:val="center"/>
                </w:tcPr>
                <w:p w14:paraId="2228A3C9">
                  <w:pPr>
                    <w:pStyle w:val="94"/>
                    <w:bidi w:val="0"/>
                    <w:rPr>
                      <w:rFonts w:hint="eastAsia" w:eastAsia="宋体"/>
                      <w:color w:val="auto"/>
                      <w:highlight w:val="none"/>
                      <w:lang w:eastAsia="zh-CN"/>
                    </w:rPr>
                  </w:pPr>
                </w:p>
              </w:tc>
              <w:tc>
                <w:tcPr>
                  <w:tcW w:w="447" w:type="pct"/>
                  <w:vMerge w:val="continue"/>
                  <w:tcBorders>
                    <w:tl2br w:val="nil"/>
                    <w:tr2bl w:val="nil"/>
                  </w:tcBorders>
                  <w:vAlign w:val="center"/>
                </w:tcPr>
                <w:p w14:paraId="6E5F6109">
                  <w:pPr>
                    <w:pStyle w:val="106"/>
                    <w:bidi w:val="0"/>
                    <w:rPr>
                      <w:rFonts w:hint="default"/>
                      <w:lang w:val="en-US" w:eastAsia="zh-CN"/>
                    </w:rPr>
                  </w:pPr>
                </w:p>
              </w:tc>
            </w:tr>
            <w:tr w14:paraId="234C4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restart"/>
                  <w:tcBorders>
                    <w:tl2br w:val="nil"/>
                    <w:tr2bl w:val="nil"/>
                  </w:tcBorders>
                  <w:vAlign w:val="center"/>
                </w:tcPr>
                <w:p w14:paraId="584A55B4">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r>
                    <w:rPr>
                      <w:rFonts w:hint="eastAsia"/>
                      <w:color w:val="auto"/>
                      <w:highlight w:val="none"/>
                      <w:lang w:val="en-US" w:eastAsia="zh-CN"/>
                    </w:rPr>
                    <w:t>储运</w:t>
                  </w:r>
                  <w:r>
                    <w:rPr>
                      <w:rFonts w:hint="eastAsia"/>
                      <w:color w:val="auto"/>
                      <w:highlight w:val="none"/>
                    </w:rPr>
                    <w:t>工程</w:t>
                  </w:r>
                </w:p>
              </w:tc>
              <w:tc>
                <w:tcPr>
                  <w:tcW w:w="259" w:type="pct"/>
                  <w:vMerge w:val="restart"/>
                  <w:tcBorders>
                    <w:tl2br w:val="nil"/>
                    <w:tr2bl w:val="nil"/>
                  </w:tcBorders>
                  <w:vAlign w:val="center"/>
                </w:tcPr>
                <w:p w14:paraId="46E97669">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纸制品生产区</w:t>
                  </w:r>
                </w:p>
              </w:tc>
              <w:tc>
                <w:tcPr>
                  <w:tcW w:w="2929" w:type="pct"/>
                  <w:gridSpan w:val="2"/>
                  <w:tcBorders>
                    <w:tl2br w:val="nil"/>
                    <w:tr2bl w:val="nil"/>
                  </w:tcBorders>
                  <w:vAlign w:val="center"/>
                </w:tcPr>
                <w:p w14:paraId="326A855E">
                  <w:pPr>
                    <w:pStyle w:val="94"/>
                    <w:bidi w:val="0"/>
                    <w:jc w:val="both"/>
                    <w:rPr>
                      <w:rFonts w:hint="default"/>
                      <w:b/>
                      <w:bCs w:val="0"/>
                      <w:color w:val="auto"/>
                      <w:highlight w:val="none"/>
                      <w:lang w:val="en-US" w:eastAsia="zh-CN"/>
                    </w:rPr>
                  </w:pPr>
                  <w:r>
                    <w:rPr>
                      <w:rFonts w:hint="eastAsia"/>
                      <w:b/>
                      <w:bCs w:val="0"/>
                      <w:color w:val="auto"/>
                      <w:highlight w:val="none"/>
                      <w:lang w:val="en-US" w:eastAsia="zh-CN"/>
                    </w:rPr>
                    <w:t>半成品堆放区：</w:t>
                  </w:r>
                  <w:r>
                    <w:rPr>
                      <w:rFonts w:hint="eastAsia"/>
                      <w:b w:val="0"/>
                      <w:bCs/>
                      <w:color w:val="auto"/>
                      <w:highlight w:val="none"/>
                      <w:lang w:val="en-US" w:eastAsia="zh-CN"/>
                    </w:rPr>
                    <w:t>一车间F，面积约500m</w:t>
                  </w:r>
                  <w:r>
                    <w:rPr>
                      <w:rFonts w:hint="eastAsia"/>
                      <w:b w:val="0"/>
                      <w:bCs/>
                      <w:color w:val="auto"/>
                      <w:highlight w:val="none"/>
                      <w:vertAlign w:val="superscript"/>
                      <w:lang w:val="en-US" w:eastAsia="zh-CN"/>
                    </w:rPr>
                    <w:t>2</w:t>
                  </w:r>
                  <w:r>
                    <w:rPr>
                      <w:rFonts w:hint="eastAsia"/>
                      <w:b w:val="0"/>
                      <w:bCs/>
                      <w:color w:val="auto"/>
                      <w:highlight w:val="none"/>
                      <w:lang w:val="en-US" w:eastAsia="zh-CN"/>
                    </w:rPr>
                    <w:t>，厂房西北侧，用于暂存外购原纸。</w:t>
                  </w:r>
                </w:p>
              </w:tc>
              <w:tc>
                <w:tcPr>
                  <w:tcW w:w="512" w:type="pct"/>
                  <w:vMerge w:val="continue"/>
                  <w:tcBorders>
                    <w:tl2br w:val="nil"/>
                    <w:tr2bl w:val="nil"/>
                  </w:tcBorders>
                  <w:vAlign w:val="center"/>
                </w:tcPr>
                <w:p w14:paraId="1E97661C">
                  <w:pPr>
                    <w:pStyle w:val="94"/>
                    <w:bidi w:val="0"/>
                    <w:rPr>
                      <w:color w:val="FF0000"/>
                      <w:highlight w:val="none"/>
                    </w:rPr>
                  </w:pPr>
                </w:p>
              </w:tc>
              <w:tc>
                <w:tcPr>
                  <w:tcW w:w="591" w:type="pct"/>
                  <w:tcBorders>
                    <w:tl2br w:val="nil"/>
                    <w:tr2bl w:val="nil"/>
                  </w:tcBorders>
                  <w:vAlign w:val="center"/>
                </w:tcPr>
                <w:p w14:paraId="76E5B61F">
                  <w:pPr>
                    <w:pStyle w:val="94"/>
                    <w:bidi w:val="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41E7B78B">
                  <w:pPr>
                    <w:pStyle w:val="106"/>
                    <w:bidi w:val="0"/>
                    <w:rPr>
                      <w:rFonts w:hint="eastAsia"/>
                      <w:lang w:val="en-US" w:eastAsia="zh-CN"/>
                    </w:rPr>
                  </w:pPr>
                  <w:r>
                    <w:rPr>
                      <w:rFonts w:hint="eastAsia"/>
                      <w:lang w:val="en-US" w:eastAsia="zh-CN"/>
                    </w:rPr>
                    <w:t>新建</w:t>
                  </w:r>
                </w:p>
              </w:tc>
            </w:tr>
            <w:tr w14:paraId="319A9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52F52FF1">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59" w:type="pct"/>
                  <w:vMerge w:val="continue"/>
                  <w:tcBorders>
                    <w:tl2br w:val="nil"/>
                    <w:tr2bl w:val="nil"/>
                  </w:tcBorders>
                  <w:vAlign w:val="center"/>
                </w:tcPr>
                <w:p w14:paraId="787D0A97">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auto"/>
                      <w:highlight w:val="none"/>
                      <w:lang w:val="en-US" w:eastAsia="zh-CN"/>
                    </w:rPr>
                  </w:pPr>
                </w:p>
              </w:tc>
              <w:tc>
                <w:tcPr>
                  <w:tcW w:w="2929" w:type="pct"/>
                  <w:gridSpan w:val="2"/>
                  <w:tcBorders>
                    <w:tl2br w:val="nil"/>
                    <w:tr2bl w:val="nil"/>
                  </w:tcBorders>
                  <w:vAlign w:val="center"/>
                </w:tcPr>
                <w:p w14:paraId="1EF44286">
                  <w:pPr>
                    <w:pStyle w:val="94"/>
                    <w:bidi w:val="0"/>
                    <w:jc w:val="both"/>
                    <w:rPr>
                      <w:rFonts w:hint="default"/>
                      <w:b/>
                      <w:bCs w:val="0"/>
                      <w:color w:val="auto"/>
                      <w:highlight w:val="none"/>
                      <w:lang w:val="en-US" w:eastAsia="zh-CN"/>
                    </w:rPr>
                  </w:pPr>
                  <w:r>
                    <w:rPr>
                      <w:rFonts w:hint="eastAsia"/>
                      <w:b/>
                      <w:bCs w:val="0"/>
                      <w:color w:val="auto"/>
                      <w:highlight w:val="none"/>
                      <w:lang w:val="en-US" w:eastAsia="zh-CN"/>
                    </w:rPr>
                    <w:t>成品堆放区：</w:t>
                  </w:r>
                  <w:r>
                    <w:rPr>
                      <w:rFonts w:hint="eastAsia"/>
                      <w:b w:val="0"/>
                      <w:bCs/>
                      <w:color w:val="auto"/>
                      <w:highlight w:val="none"/>
                      <w:lang w:val="en-US" w:eastAsia="zh-CN"/>
                    </w:rPr>
                    <w:t>一车间F，面积约500m</w:t>
                  </w:r>
                  <w:r>
                    <w:rPr>
                      <w:rFonts w:hint="eastAsia"/>
                      <w:b w:val="0"/>
                      <w:bCs/>
                      <w:color w:val="auto"/>
                      <w:highlight w:val="none"/>
                      <w:vertAlign w:val="superscript"/>
                      <w:lang w:val="en-US" w:eastAsia="zh-CN"/>
                    </w:rPr>
                    <w:t>2</w:t>
                  </w:r>
                  <w:r>
                    <w:rPr>
                      <w:rFonts w:hint="eastAsia"/>
                      <w:b w:val="0"/>
                      <w:bCs/>
                      <w:color w:val="auto"/>
                      <w:highlight w:val="none"/>
                      <w:lang w:val="en-US" w:eastAsia="zh-CN"/>
                    </w:rPr>
                    <w:t>，厂房西南侧，用于暂存成品纸制品。</w:t>
                  </w:r>
                </w:p>
              </w:tc>
              <w:tc>
                <w:tcPr>
                  <w:tcW w:w="512" w:type="pct"/>
                  <w:vMerge w:val="continue"/>
                  <w:tcBorders>
                    <w:tl2br w:val="nil"/>
                    <w:tr2bl w:val="nil"/>
                  </w:tcBorders>
                  <w:vAlign w:val="center"/>
                </w:tcPr>
                <w:p w14:paraId="59C0AC97">
                  <w:pPr>
                    <w:pStyle w:val="94"/>
                    <w:bidi w:val="0"/>
                    <w:rPr>
                      <w:color w:val="FF0000"/>
                      <w:highlight w:val="none"/>
                    </w:rPr>
                  </w:pPr>
                </w:p>
              </w:tc>
              <w:tc>
                <w:tcPr>
                  <w:tcW w:w="591" w:type="pct"/>
                  <w:tcBorders>
                    <w:tl2br w:val="nil"/>
                    <w:tr2bl w:val="nil"/>
                  </w:tcBorders>
                  <w:vAlign w:val="center"/>
                </w:tcPr>
                <w:p w14:paraId="678EE129">
                  <w:pPr>
                    <w:pStyle w:val="94"/>
                    <w:bidi w:val="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0A285C28">
                  <w:pPr>
                    <w:pStyle w:val="106"/>
                    <w:bidi w:val="0"/>
                    <w:rPr>
                      <w:rFonts w:hint="eastAsia"/>
                      <w:lang w:val="en-US" w:eastAsia="zh-CN"/>
                    </w:rPr>
                  </w:pPr>
                  <w:r>
                    <w:rPr>
                      <w:rFonts w:hint="eastAsia"/>
                      <w:lang w:val="en-US" w:eastAsia="zh-CN"/>
                    </w:rPr>
                    <w:t>新建</w:t>
                  </w:r>
                </w:p>
              </w:tc>
            </w:tr>
            <w:tr w14:paraId="698DB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26CBD8AC">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59" w:type="pct"/>
                  <w:vMerge w:val="restart"/>
                  <w:tcBorders>
                    <w:tl2br w:val="nil"/>
                    <w:tr2bl w:val="nil"/>
                  </w:tcBorders>
                  <w:vAlign w:val="center"/>
                </w:tcPr>
                <w:p w14:paraId="0C573E5A">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午餐肉罐头生产区</w:t>
                  </w:r>
                </w:p>
              </w:tc>
              <w:tc>
                <w:tcPr>
                  <w:tcW w:w="2929" w:type="pct"/>
                  <w:gridSpan w:val="2"/>
                  <w:tcBorders>
                    <w:tl2br w:val="nil"/>
                    <w:tr2bl w:val="nil"/>
                  </w:tcBorders>
                  <w:vAlign w:val="center"/>
                </w:tcPr>
                <w:p w14:paraId="0C4AC484">
                  <w:pPr>
                    <w:pStyle w:val="94"/>
                    <w:bidi w:val="0"/>
                    <w:jc w:val="both"/>
                    <w:rPr>
                      <w:rFonts w:hint="eastAsia"/>
                      <w:b/>
                      <w:bCs w:val="0"/>
                      <w:color w:val="auto"/>
                      <w:highlight w:val="none"/>
                      <w:lang w:val="en-US" w:eastAsia="zh-CN"/>
                    </w:rPr>
                  </w:pPr>
                  <w:r>
                    <w:rPr>
                      <w:rFonts w:hint="eastAsia"/>
                      <w:b/>
                      <w:bCs w:val="0"/>
                      <w:color w:val="auto"/>
                      <w:highlight w:val="none"/>
                      <w:lang w:val="en-US" w:eastAsia="zh-CN"/>
                    </w:rPr>
                    <w:t>原料冻库：</w:t>
                  </w:r>
                  <w:r>
                    <w:rPr>
                      <w:rFonts w:hint="eastAsia"/>
                      <w:b w:val="0"/>
                      <w:bCs/>
                      <w:color w:val="auto"/>
                      <w:highlight w:val="none"/>
                      <w:lang w:val="en-US" w:eastAsia="zh-CN"/>
                    </w:rPr>
                    <w:t>二车间1F西北侧，1间，面积约200m</w:t>
                  </w:r>
                  <w:r>
                    <w:rPr>
                      <w:rFonts w:hint="eastAsia"/>
                      <w:b w:val="0"/>
                      <w:bCs/>
                      <w:color w:val="auto"/>
                      <w:highlight w:val="none"/>
                      <w:vertAlign w:val="superscript"/>
                      <w:lang w:val="en-US" w:eastAsia="zh-CN"/>
                    </w:rPr>
                    <w:t>2</w:t>
                  </w:r>
                  <w:r>
                    <w:rPr>
                      <w:rFonts w:hint="eastAsia"/>
                      <w:b w:val="0"/>
                      <w:bCs/>
                      <w:color w:val="auto"/>
                      <w:highlight w:val="none"/>
                      <w:lang w:val="en-US" w:eastAsia="zh-CN"/>
                    </w:rPr>
                    <w:t>，储存温度-18℃，用于猪肉原料储存。</w:t>
                  </w:r>
                </w:p>
              </w:tc>
              <w:tc>
                <w:tcPr>
                  <w:tcW w:w="512" w:type="pct"/>
                  <w:vMerge w:val="continue"/>
                  <w:tcBorders>
                    <w:tl2br w:val="nil"/>
                    <w:tr2bl w:val="nil"/>
                  </w:tcBorders>
                  <w:vAlign w:val="center"/>
                </w:tcPr>
                <w:p w14:paraId="7584C30B">
                  <w:pPr>
                    <w:pStyle w:val="94"/>
                    <w:bidi w:val="0"/>
                    <w:rPr>
                      <w:color w:val="FF0000"/>
                      <w:highlight w:val="none"/>
                    </w:rPr>
                  </w:pPr>
                </w:p>
              </w:tc>
              <w:tc>
                <w:tcPr>
                  <w:tcW w:w="591" w:type="pct"/>
                  <w:tcBorders>
                    <w:tl2br w:val="nil"/>
                    <w:tr2bl w:val="nil"/>
                  </w:tcBorders>
                  <w:vAlign w:val="center"/>
                </w:tcPr>
                <w:p w14:paraId="47168D29">
                  <w:pPr>
                    <w:pStyle w:val="94"/>
                    <w:bidi w:val="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461EC5E5">
                  <w:pPr>
                    <w:pStyle w:val="106"/>
                    <w:bidi w:val="0"/>
                    <w:rPr>
                      <w:rFonts w:hint="eastAsia"/>
                      <w:lang w:val="en-US" w:eastAsia="zh-CN"/>
                    </w:rPr>
                  </w:pPr>
                  <w:r>
                    <w:rPr>
                      <w:rFonts w:hint="eastAsia"/>
                      <w:lang w:val="en-US" w:eastAsia="zh-CN"/>
                    </w:rPr>
                    <w:t>新建</w:t>
                  </w:r>
                </w:p>
              </w:tc>
            </w:tr>
            <w:tr w14:paraId="734B9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54D2E734">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59" w:type="pct"/>
                  <w:vMerge w:val="continue"/>
                  <w:tcBorders>
                    <w:tl2br w:val="nil"/>
                    <w:tr2bl w:val="nil"/>
                  </w:tcBorders>
                  <w:vAlign w:val="center"/>
                </w:tcPr>
                <w:p w14:paraId="6DBFCCE6">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929" w:type="pct"/>
                  <w:gridSpan w:val="2"/>
                  <w:tcBorders>
                    <w:tl2br w:val="nil"/>
                    <w:tr2bl w:val="nil"/>
                  </w:tcBorders>
                  <w:vAlign w:val="center"/>
                </w:tcPr>
                <w:p w14:paraId="39F49DF5">
                  <w:pPr>
                    <w:pStyle w:val="94"/>
                    <w:bidi w:val="0"/>
                    <w:jc w:val="both"/>
                    <w:rPr>
                      <w:rFonts w:hint="eastAsia"/>
                      <w:b/>
                      <w:bCs w:val="0"/>
                      <w:color w:val="auto"/>
                      <w:highlight w:val="none"/>
                      <w:lang w:val="en-US" w:eastAsia="zh-CN"/>
                    </w:rPr>
                  </w:pPr>
                  <w:r>
                    <w:rPr>
                      <w:rFonts w:hint="eastAsia"/>
                      <w:b/>
                      <w:bCs w:val="0"/>
                      <w:color w:val="auto"/>
                      <w:highlight w:val="none"/>
                      <w:lang w:val="en-US" w:eastAsia="zh-CN"/>
                    </w:rPr>
                    <w:t>辅料暂存间：</w:t>
                  </w:r>
                  <w:r>
                    <w:rPr>
                      <w:rFonts w:hint="eastAsia"/>
                      <w:b w:val="0"/>
                      <w:bCs/>
                      <w:color w:val="auto"/>
                      <w:highlight w:val="none"/>
                      <w:lang w:val="en-US" w:eastAsia="zh-CN"/>
                    </w:rPr>
                    <w:t>二车间1F西南侧，1间，面积约100m</w:t>
                  </w:r>
                  <w:r>
                    <w:rPr>
                      <w:rFonts w:hint="eastAsia"/>
                      <w:b w:val="0"/>
                      <w:bCs/>
                      <w:color w:val="auto"/>
                      <w:highlight w:val="none"/>
                      <w:vertAlign w:val="superscript"/>
                      <w:lang w:val="en-US" w:eastAsia="zh-CN"/>
                    </w:rPr>
                    <w:t>2</w:t>
                  </w:r>
                  <w:r>
                    <w:rPr>
                      <w:rFonts w:hint="eastAsia"/>
                      <w:b w:val="0"/>
                      <w:bCs/>
                      <w:color w:val="auto"/>
                      <w:highlight w:val="none"/>
                      <w:lang w:val="en-US" w:eastAsia="zh-CN"/>
                    </w:rPr>
                    <w:t>，用于储存淀粉、调味料等辅料。</w:t>
                  </w:r>
                </w:p>
              </w:tc>
              <w:tc>
                <w:tcPr>
                  <w:tcW w:w="512" w:type="pct"/>
                  <w:vMerge w:val="continue"/>
                  <w:tcBorders>
                    <w:tl2br w:val="nil"/>
                    <w:tr2bl w:val="nil"/>
                  </w:tcBorders>
                  <w:vAlign w:val="center"/>
                </w:tcPr>
                <w:p w14:paraId="4409C1F8">
                  <w:pPr>
                    <w:pStyle w:val="94"/>
                    <w:bidi w:val="0"/>
                    <w:rPr>
                      <w:color w:val="FF0000"/>
                      <w:highlight w:val="none"/>
                    </w:rPr>
                  </w:pPr>
                </w:p>
              </w:tc>
              <w:tc>
                <w:tcPr>
                  <w:tcW w:w="591" w:type="pct"/>
                  <w:tcBorders>
                    <w:tl2br w:val="nil"/>
                    <w:tr2bl w:val="nil"/>
                  </w:tcBorders>
                  <w:vAlign w:val="center"/>
                </w:tcPr>
                <w:p w14:paraId="4323F266">
                  <w:pPr>
                    <w:pStyle w:val="94"/>
                    <w:bidi w:val="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1557D1A8">
                  <w:pPr>
                    <w:pStyle w:val="106"/>
                    <w:bidi w:val="0"/>
                    <w:rPr>
                      <w:rFonts w:hint="eastAsia"/>
                      <w:lang w:val="en-US" w:eastAsia="zh-CN"/>
                    </w:rPr>
                  </w:pPr>
                  <w:r>
                    <w:rPr>
                      <w:rFonts w:hint="eastAsia"/>
                      <w:lang w:val="en-US" w:eastAsia="zh-CN"/>
                    </w:rPr>
                    <w:t>新建</w:t>
                  </w:r>
                </w:p>
              </w:tc>
            </w:tr>
            <w:tr w14:paraId="412E7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46D1E24D">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59" w:type="pct"/>
                  <w:vMerge w:val="continue"/>
                  <w:tcBorders>
                    <w:tl2br w:val="nil"/>
                    <w:tr2bl w:val="nil"/>
                  </w:tcBorders>
                  <w:vAlign w:val="center"/>
                </w:tcPr>
                <w:p w14:paraId="4864A517">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929" w:type="pct"/>
                  <w:gridSpan w:val="2"/>
                  <w:tcBorders>
                    <w:tl2br w:val="nil"/>
                    <w:tr2bl w:val="nil"/>
                  </w:tcBorders>
                  <w:vAlign w:val="center"/>
                </w:tcPr>
                <w:p w14:paraId="7F2A8F9D">
                  <w:pPr>
                    <w:pStyle w:val="94"/>
                    <w:bidi w:val="0"/>
                    <w:jc w:val="both"/>
                    <w:rPr>
                      <w:rFonts w:hint="default"/>
                      <w:b/>
                      <w:bCs w:val="0"/>
                      <w:color w:val="auto"/>
                      <w:highlight w:val="none"/>
                      <w:lang w:val="en-US" w:eastAsia="zh-CN"/>
                    </w:rPr>
                  </w:pPr>
                  <w:r>
                    <w:rPr>
                      <w:rFonts w:hint="eastAsia"/>
                      <w:b/>
                      <w:bCs w:val="0"/>
                      <w:color w:val="auto"/>
                      <w:highlight w:val="none"/>
                      <w:lang w:val="en-US" w:eastAsia="zh-CN"/>
                    </w:rPr>
                    <w:t>包材间：</w:t>
                  </w:r>
                  <w:r>
                    <w:rPr>
                      <w:rFonts w:hint="eastAsia"/>
                      <w:b w:val="0"/>
                      <w:bCs/>
                      <w:color w:val="auto"/>
                      <w:highlight w:val="none"/>
                      <w:lang w:val="en-US" w:eastAsia="zh-CN"/>
                    </w:rPr>
                    <w:t>二车间1F西南侧，1间，面积约100m</w:t>
                  </w:r>
                  <w:r>
                    <w:rPr>
                      <w:rFonts w:hint="eastAsia"/>
                      <w:b w:val="0"/>
                      <w:bCs/>
                      <w:color w:val="auto"/>
                      <w:highlight w:val="none"/>
                      <w:vertAlign w:val="superscript"/>
                      <w:lang w:val="en-US" w:eastAsia="zh-CN"/>
                    </w:rPr>
                    <w:t>2</w:t>
                  </w:r>
                  <w:r>
                    <w:rPr>
                      <w:rFonts w:hint="eastAsia"/>
                      <w:b w:val="0"/>
                      <w:bCs/>
                      <w:color w:val="auto"/>
                      <w:highlight w:val="none"/>
                      <w:lang w:val="en-US" w:eastAsia="zh-CN"/>
                    </w:rPr>
                    <w:t>，用于储存内包材、外包材等。</w:t>
                  </w:r>
                </w:p>
              </w:tc>
              <w:tc>
                <w:tcPr>
                  <w:tcW w:w="512" w:type="pct"/>
                  <w:vMerge w:val="continue"/>
                  <w:tcBorders>
                    <w:tl2br w:val="nil"/>
                    <w:tr2bl w:val="nil"/>
                  </w:tcBorders>
                  <w:vAlign w:val="center"/>
                </w:tcPr>
                <w:p w14:paraId="3955A22D">
                  <w:pPr>
                    <w:pStyle w:val="94"/>
                    <w:bidi w:val="0"/>
                    <w:rPr>
                      <w:color w:val="FF0000"/>
                      <w:highlight w:val="none"/>
                    </w:rPr>
                  </w:pPr>
                </w:p>
              </w:tc>
              <w:tc>
                <w:tcPr>
                  <w:tcW w:w="591" w:type="pct"/>
                  <w:tcBorders>
                    <w:tl2br w:val="nil"/>
                    <w:tr2bl w:val="nil"/>
                  </w:tcBorders>
                  <w:vAlign w:val="center"/>
                </w:tcPr>
                <w:p w14:paraId="110C738A">
                  <w:pPr>
                    <w:pStyle w:val="94"/>
                    <w:bidi w:val="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6666B137">
                  <w:pPr>
                    <w:pStyle w:val="106"/>
                    <w:bidi w:val="0"/>
                    <w:rPr>
                      <w:rFonts w:hint="eastAsia"/>
                      <w:lang w:val="en-US" w:eastAsia="zh-CN"/>
                    </w:rPr>
                  </w:pPr>
                  <w:r>
                    <w:rPr>
                      <w:rFonts w:hint="eastAsia"/>
                      <w:lang w:val="en-US" w:eastAsia="zh-CN"/>
                    </w:rPr>
                    <w:t>新建</w:t>
                  </w:r>
                </w:p>
              </w:tc>
            </w:tr>
            <w:tr w14:paraId="217A6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055416CF">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59" w:type="pct"/>
                  <w:vMerge w:val="continue"/>
                  <w:tcBorders>
                    <w:tl2br w:val="nil"/>
                    <w:tr2bl w:val="nil"/>
                  </w:tcBorders>
                  <w:vAlign w:val="center"/>
                </w:tcPr>
                <w:p w14:paraId="3716EBC9">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929" w:type="pct"/>
                  <w:gridSpan w:val="2"/>
                  <w:tcBorders>
                    <w:tl2br w:val="nil"/>
                    <w:tr2bl w:val="nil"/>
                  </w:tcBorders>
                  <w:vAlign w:val="center"/>
                </w:tcPr>
                <w:p w14:paraId="34563328">
                  <w:pPr>
                    <w:pStyle w:val="94"/>
                    <w:bidi w:val="0"/>
                    <w:jc w:val="both"/>
                    <w:rPr>
                      <w:rFonts w:hint="eastAsia"/>
                      <w:b/>
                      <w:bCs w:val="0"/>
                      <w:color w:val="auto"/>
                      <w:highlight w:val="none"/>
                      <w:lang w:val="en-US" w:eastAsia="zh-CN"/>
                    </w:rPr>
                  </w:pPr>
                  <w:r>
                    <w:rPr>
                      <w:rFonts w:hint="eastAsia"/>
                      <w:b/>
                      <w:bCs w:val="0"/>
                      <w:color w:val="auto"/>
                      <w:highlight w:val="none"/>
                      <w:lang w:val="en-US" w:eastAsia="zh-CN"/>
                    </w:rPr>
                    <w:t>成品库房：</w:t>
                  </w:r>
                  <w:r>
                    <w:rPr>
                      <w:rFonts w:hint="eastAsia"/>
                      <w:b w:val="0"/>
                      <w:bCs/>
                      <w:color w:val="auto"/>
                      <w:highlight w:val="none"/>
                      <w:lang w:val="en-US" w:eastAsia="zh-CN"/>
                    </w:rPr>
                    <w:t>二车间1F东南侧，1间，面积约400m</w:t>
                  </w:r>
                  <w:r>
                    <w:rPr>
                      <w:rFonts w:hint="eastAsia"/>
                      <w:b w:val="0"/>
                      <w:bCs/>
                      <w:color w:val="auto"/>
                      <w:highlight w:val="none"/>
                      <w:vertAlign w:val="superscript"/>
                      <w:lang w:val="en-US" w:eastAsia="zh-CN"/>
                    </w:rPr>
                    <w:t>2</w:t>
                  </w:r>
                  <w:r>
                    <w:rPr>
                      <w:rFonts w:hint="eastAsia"/>
                      <w:b w:val="0"/>
                      <w:bCs/>
                      <w:color w:val="auto"/>
                      <w:highlight w:val="none"/>
                      <w:lang w:val="en-US" w:eastAsia="zh-CN"/>
                    </w:rPr>
                    <w:t>，用于储存午餐肉罐头成品。</w:t>
                  </w:r>
                </w:p>
              </w:tc>
              <w:tc>
                <w:tcPr>
                  <w:tcW w:w="512" w:type="pct"/>
                  <w:vMerge w:val="continue"/>
                  <w:tcBorders>
                    <w:tl2br w:val="nil"/>
                    <w:tr2bl w:val="nil"/>
                  </w:tcBorders>
                  <w:vAlign w:val="center"/>
                </w:tcPr>
                <w:p w14:paraId="725CB18E">
                  <w:pPr>
                    <w:pStyle w:val="94"/>
                    <w:bidi w:val="0"/>
                    <w:rPr>
                      <w:color w:val="FF0000"/>
                      <w:highlight w:val="none"/>
                    </w:rPr>
                  </w:pPr>
                </w:p>
              </w:tc>
              <w:tc>
                <w:tcPr>
                  <w:tcW w:w="591" w:type="pct"/>
                  <w:tcBorders>
                    <w:tl2br w:val="nil"/>
                    <w:tr2bl w:val="nil"/>
                  </w:tcBorders>
                  <w:vAlign w:val="center"/>
                </w:tcPr>
                <w:p w14:paraId="4617E5B5">
                  <w:pPr>
                    <w:pStyle w:val="94"/>
                    <w:bidi w:val="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07CCC245">
                  <w:pPr>
                    <w:pStyle w:val="106"/>
                    <w:bidi w:val="0"/>
                    <w:rPr>
                      <w:rFonts w:hint="eastAsia"/>
                      <w:lang w:val="en-US" w:eastAsia="zh-CN"/>
                    </w:rPr>
                  </w:pPr>
                  <w:r>
                    <w:rPr>
                      <w:rFonts w:hint="eastAsia"/>
                      <w:lang w:val="en-US" w:eastAsia="zh-CN"/>
                    </w:rPr>
                    <w:t>新建</w:t>
                  </w:r>
                </w:p>
              </w:tc>
            </w:tr>
            <w:tr w14:paraId="536A4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37A0BED3">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color w:val="FF0000"/>
                      <w:highlight w:val="none"/>
                    </w:rPr>
                  </w:pPr>
                </w:p>
              </w:tc>
              <w:tc>
                <w:tcPr>
                  <w:tcW w:w="259" w:type="pct"/>
                  <w:vMerge w:val="restart"/>
                  <w:tcBorders>
                    <w:tl2br w:val="nil"/>
                    <w:tr2bl w:val="nil"/>
                  </w:tcBorders>
                  <w:vAlign w:val="center"/>
                </w:tcPr>
                <w:p w14:paraId="2D7A84BC">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eastAsia="宋体"/>
                      <w:color w:val="FF0000"/>
                      <w:highlight w:val="none"/>
                      <w:lang w:val="en-US" w:eastAsia="zh-CN"/>
                    </w:rPr>
                  </w:pPr>
                  <w:r>
                    <w:rPr>
                      <w:rFonts w:hint="eastAsia"/>
                      <w:color w:val="auto"/>
                      <w:highlight w:val="none"/>
                      <w:lang w:val="en-US" w:eastAsia="zh-CN"/>
                    </w:rPr>
                    <w:t>冻干生产区</w:t>
                  </w:r>
                </w:p>
              </w:tc>
              <w:tc>
                <w:tcPr>
                  <w:tcW w:w="2929" w:type="pct"/>
                  <w:gridSpan w:val="2"/>
                  <w:tcBorders>
                    <w:tl2br w:val="nil"/>
                    <w:tr2bl w:val="nil"/>
                  </w:tcBorders>
                  <w:vAlign w:val="center"/>
                </w:tcPr>
                <w:p w14:paraId="5517BCD4">
                  <w:pPr>
                    <w:pStyle w:val="94"/>
                    <w:bidi w:val="0"/>
                    <w:jc w:val="both"/>
                    <w:rPr>
                      <w:rFonts w:hint="default"/>
                      <w:b/>
                      <w:bCs w:val="0"/>
                      <w:color w:val="FF0000"/>
                      <w:highlight w:val="none"/>
                      <w:lang w:val="en-US" w:eastAsia="zh-CN"/>
                    </w:rPr>
                  </w:pPr>
                  <w:r>
                    <w:rPr>
                      <w:rFonts w:hint="eastAsia"/>
                      <w:b/>
                      <w:bCs w:val="0"/>
                      <w:color w:val="auto"/>
                      <w:highlight w:val="none"/>
                      <w:lang w:val="en-US" w:eastAsia="zh-CN"/>
                    </w:rPr>
                    <w:t>原料暂存间：</w:t>
                  </w:r>
                  <w:r>
                    <w:rPr>
                      <w:rFonts w:hint="eastAsia"/>
                      <w:b w:val="0"/>
                      <w:bCs/>
                      <w:color w:val="auto"/>
                      <w:highlight w:val="none"/>
                      <w:lang w:val="en-US" w:eastAsia="zh-CN"/>
                    </w:rPr>
                    <w:t>二车间2F西北侧，1间，面积约200m</w:t>
                  </w:r>
                  <w:r>
                    <w:rPr>
                      <w:rFonts w:hint="eastAsia"/>
                      <w:b w:val="0"/>
                      <w:bCs/>
                      <w:color w:val="auto"/>
                      <w:highlight w:val="none"/>
                      <w:vertAlign w:val="superscript"/>
                      <w:lang w:val="en-US" w:eastAsia="zh-CN"/>
                    </w:rPr>
                    <w:t>2</w:t>
                  </w:r>
                  <w:r>
                    <w:rPr>
                      <w:rFonts w:hint="eastAsia"/>
                      <w:b w:val="0"/>
                      <w:bCs/>
                      <w:color w:val="auto"/>
                      <w:highlight w:val="none"/>
                      <w:lang w:val="en-US" w:eastAsia="zh-CN"/>
                    </w:rPr>
                    <w:t>，储存温度4℃，用于冻干产品原料的储存。</w:t>
                  </w:r>
                </w:p>
              </w:tc>
              <w:tc>
                <w:tcPr>
                  <w:tcW w:w="512" w:type="pct"/>
                  <w:vMerge w:val="continue"/>
                  <w:tcBorders>
                    <w:tl2br w:val="nil"/>
                    <w:tr2bl w:val="nil"/>
                  </w:tcBorders>
                  <w:vAlign w:val="center"/>
                </w:tcPr>
                <w:p w14:paraId="0A66EB62">
                  <w:pPr>
                    <w:pStyle w:val="94"/>
                    <w:bidi w:val="0"/>
                    <w:rPr>
                      <w:color w:val="FF0000"/>
                      <w:highlight w:val="none"/>
                    </w:rPr>
                  </w:pPr>
                </w:p>
              </w:tc>
              <w:tc>
                <w:tcPr>
                  <w:tcW w:w="591" w:type="pct"/>
                  <w:tcBorders>
                    <w:tl2br w:val="nil"/>
                    <w:tr2bl w:val="nil"/>
                  </w:tcBorders>
                  <w:vAlign w:val="center"/>
                </w:tcPr>
                <w:p w14:paraId="75B7438C">
                  <w:pPr>
                    <w:pStyle w:val="94"/>
                    <w:bidi w:val="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5D2B4C58">
                  <w:pPr>
                    <w:pStyle w:val="106"/>
                    <w:bidi w:val="0"/>
                    <w:rPr>
                      <w:rFonts w:hint="eastAsia"/>
                    </w:rPr>
                  </w:pPr>
                  <w:r>
                    <w:rPr>
                      <w:rFonts w:hint="eastAsia"/>
                      <w:lang w:val="en-US" w:eastAsia="zh-CN"/>
                    </w:rPr>
                    <w:t>新建</w:t>
                  </w:r>
                </w:p>
              </w:tc>
            </w:tr>
            <w:tr w14:paraId="65F44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6B3802C0">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59" w:type="pct"/>
                  <w:vMerge w:val="continue"/>
                  <w:tcBorders>
                    <w:tl2br w:val="nil"/>
                    <w:tr2bl w:val="nil"/>
                  </w:tcBorders>
                  <w:vAlign w:val="center"/>
                </w:tcPr>
                <w:p w14:paraId="1CF6A248">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929" w:type="pct"/>
                  <w:gridSpan w:val="2"/>
                  <w:tcBorders>
                    <w:tl2br w:val="nil"/>
                    <w:tr2bl w:val="nil"/>
                  </w:tcBorders>
                  <w:vAlign w:val="center"/>
                </w:tcPr>
                <w:p w14:paraId="31705191">
                  <w:pPr>
                    <w:pStyle w:val="94"/>
                    <w:bidi w:val="0"/>
                    <w:jc w:val="both"/>
                    <w:rPr>
                      <w:rFonts w:hint="eastAsia"/>
                      <w:b/>
                      <w:bCs w:val="0"/>
                      <w:color w:val="FF0000"/>
                      <w:highlight w:val="none"/>
                      <w:lang w:val="en-US" w:eastAsia="zh-CN"/>
                    </w:rPr>
                  </w:pPr>
                  <w:r>
                    <w:rPr>
                      <w:rFonts w:hint="eastAsia"/>
                      <w:b/>
                      <w:bCs w:val="0"/>
                      <w:color w:val="auto"/>
                      <w:highlight w:val="none"/>
                      <w:lang w:val="en-US" w:eastAsia="zh-CN"/>
                    </w:rPr>
                    <w:t>包材间：</w:t>
                  </w:r>
                  <w:r>
                    <w:rPr>
                      <w:rFonts w:hint="eastAsia"/>
                      <w:b w:val="0"/>
                      <w:bCs/>
                      <w:color w:val="auto"/>
                      <w:highlight w:val="none"/>
                      <w:lang w:val="en-US" w:eastAsia="zh-CN"/>
                    </w:rPr>
                    <w:t>二车间2F西南侧，1间，面积约50m</w:t>
                  </w:r>
                  <w:r>
                    <w:rPr>
                      <w:rFonts w:hint="eastAsia"/>
                      <w:b w:val="0"/>
                      <w:bCs/>
                      <w:color w:val="auto"/>
                      <w:highlight w:val="none"/>
                      <w:vertAlign w:val="superscript"/>
                      <w:lang w:val="en-US" w:eastAsia="zh-CN"/>
                    </w:rPr>
                    <w:t>2</w:t>
                  </w:r>
                  <w:r>
                    <w:rPr>
                      <w:rFonts w:hint="eastAsia"/>
                      <w:b w:val="0"/>
                      <w:bCs/>
                      <w:color w:val="auto"/>
                      <w:highlight w:val="none"/>
                      <w:lang w:val="en-US" w:eastAsia="zh-CN"/>
                    </w:rPr>
                    <w:t>，主要用于内包材、外包材等的储存。</w:t>
                  </w:r>
                </w:p>
              </w:tc>
              <w:tc>
                <w:tcPr>
                  <w:tcW w:w="512" w:type="pct"/>
                  <w:vMerge w:val="continue"/>
                  <w:tcBorders>
                    <w:tl2br w:val="nil"/>
                    <w:tr2bl w:val="nil"/>
                  </w:tcBorders>
                  <w:vAlign w:val="center"/>
                </w:tcPr>
                <w:p w14:paraId="18297CE1">
                  <w:pPr>
                    <w:pStyle w:val="94"/>
                    <w:bidi w:val="0"/>
                    <w:rPr>
                      <w:color w:val="FF0000"/>
                      <w:highlight w:val="none"/>
                    </w:rPr>
                  </w:pPr>
                </w:p>
              </w:tc>
              <w:tc>
                <w:tcPr>
                  <w:tcW w:w="591" w:type="pct"/>
                  <w:tcBorders>
                    <w:tl2br w:val="nil"/>
                    <w:tr2bl w:val="nil"/>
                  </w:tcBorders>
                  <w:vAlign w:val="center"/>
                </w:tcPr>
                <w:p w14:paraId="451BA54E">
                  <w:pPr>
                    <w:pStyle w:val="94"/>
                    <w:bidi w:val="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50227B6A">
                  <w:pPr>
                    <w:pStyle w:val="106"/>
                    <w:bidi w:val="0"/>
                    <w:rPr>
                      <w:rFonts w:hint="eastAsia"/>
                    </w:rPr>
                  </w:pPr>
                  <w:r>
                    <w:rPr>
                      <w:rFonts w:hint="eastAsia"/>
                      <w:lang w:val="en-US" w:eastAsia="zh-CN"/>
                    </w:rPr>
                    <w:t>新建</w:t>
                  </w:r>
                </w:p>
              </w:tc>
            </w:tr>
            <w:tr w14:paraId="6F859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47654414">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59" w:type="pct"/>
                  <w:vMerge w:val="continue"/>
                  <w:tcBorders>
                    <w:tl2br w:val="nil"/>
                    <w:tr2bl w:val="nil"/>
                  </w:tcBorders>
                  <w:vAlign w:val="center"/>
                </w:tcPr>
                <w:p w14:paraId="13EF965B">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color w:val="FF0000"/>
                      <w:highlight w:val="none"/>
                      <w:lang w:val="en-US" w:eastAsia="zh-CN"/>
                    </w:rPr>
                  </w:pPr>
                </w:p>
              </w:tc>
              <w:tc>
                <w:tcPr>
                  <w:tcW w:w="2929" w:type="pct"/>
                  <w:gridSpan w:val="2"/>
                  <w:tcBorders>
                    <w:tl2br w:val="nil"/>
                    <w:tr2bl w:val="nil"/>
                  </w:tcBorders>
                  <w:vAlign w:val="center"/>
                </w:tcPr>
                <w:p w14:paraId="3D5E2FB3">
                  <w:pPr>
                    <w:pStyle w:val="94"/>
                    <w:bidi w:val="0"/>
                    <w:jc w:val="both"/>
                    <w:rPr>
                      <w:rFonts w:hint="default"/>
                      <w:b/>
                      <w:bCs w:val="0"/>
                      <w:color w:val="auto"/>
                      <w:highlight w:val="none"/>
                      <w:lang w:val="en-US" w:eastAsia="zh-CN"/>
                    </w:rPr>
                  </w:pPr>
                  <w:r>
                    <w:rPr>
                      <w:rFonts w:hint="eastAsia"/>
                      <w:b/>
                      <w:bCs w:val="0"/>
                      <w:color w:val="auto"/>
                      <w:highlight w:val="none"/>
                      <w:lang w:val="en-US" w:eastAsia="zh-CN"/>
                    </w:rPr>
                    <w:t>成品库房：</w:t>
                  </w:r>
                  <w:r>
                    <w:rPr>
                      <w:rFonts w:hint="eastAsia"/>
                      <w:b w:val="0"/>
                      <w:bCs/>
                      <w:color w:val="auto"/>
                      <w:highlight w:val="none"/>
                      <w:lang w:val="en-US" w:eastAsia="zh-CN"/>
                    </w:rPr>
                    <w:t>二车间2F东南侧，1间，面积约400m</w:t>
                  </w:r>
                  <w:r>
                    <w:rPr>
                      <w:rFonts w:hint="eastAsia"/>
                      <w:b w:val="0"/>
                      <w:bCs/>
                      <w:color w:val="auto"/>
                      <w:highlight w:val="none"/>
                      <w:vertAlign w:val="superscript"/>
                      <w:lang w:val="en-US" w:eastAsia="zh-CN"/>
                    </w:rPr>
                    <w:t>2</w:t>
                  </w:r>
                  <w:r>
                    <w:rPr>
                      <w:rFonts w:hint="eastAsia"/>
                      <w:b w:val="0"/>
                      <w:bCs/>
                      <w:color w:val="auto"/>
                      <w:highlight w:val="none"/>
                      <w:lang w:val="en-US" w:eastAsia="zh-CN"/>
                    </w:rPr>
                    <w:t>，主要用于成品冻干的储存。</w:t>
                  </w:r>
                </w:p>
              </w:tc>
              <w:tc>
                <w:tcPr>
                  <w:tcW w:w="512" w:type="pct"/>
                  <w:vMerge w:val="continue"/>
                  <w:tcBorders>
                    <w:tl2br w:val="nil"/>
                    <w:tr2bl w:val="nil"/>
                  </w:tcBorders>
                  <w:vAlign w:val="center"/>
                </w:tcPr>
                <w:p w14:paraId="6B2CDB63">
                  <w:pPr>
                    <w:pStyle w:val="94"/>
                    <w:bidi w:val="0"/>
                    <w:rPr>
                      <w:color w:val="FF0000"/>
                      <w:highlight w:val="none"/>
                    </w:rPr>
                  </w:pPr>
                </w:p>
              </w:tc>
              <w:tc>
                <w:tcPr>
                  <w:tcW w:w="591" w:type="pct"/>
                  <w:tcBorders>
                    <w:tl2br w:val="nil"/>
                    <w:tr2bl w:val="nil"/>
                  </w:tcBorders>
                  <w:vAlign w:val="center"/>
                </w:tcPr>
                <w:p w14:paraId="02514C95">
                  <w:pPr>
                    <w:pStyle w:val="94"/>
                    <w:bidi w:val="0"/>
                    <w:rPr>
                      <w:rFonts w:hint="default"/>
                      <w:color w:val="auto"/>
                      <w:highlight w:val="none"/>
                      <w:lang w:val="en-US" w:eastAsia="zh-CN"/>
                    </w:rPr>
                  </w:pPr>
                  <w:r>
                    <w:rPr>
                      <w:rFonts w:hint="eastAsia"/>
                      <w:color w:val="auto"/>
                      <w:highlight w:val="none"/>
                      <w:lang w:val="en-US" w:eastAsia="zh-CN"/>
                    </w:rPr>
                    <w:t>/</w:t>
                  </w:r>
                </w:p>
              </w:tc>
              <w:tc>
                <w:tcPr>
                  <w:tcW w:w="447" w:type="pct"/>
                  <w:tcBorders>
                    <w:tl2br w:val="nil"/>
                    <w:tr2bl w:val="nil"/>
                  </w:tcBorders>
                  <w:vAlign w:val="center"/>
                </w:tcPr>
                <w:p w14:paraId="23C10608">
                  <w:pPr>
                    <w:pStyle w:val="106"/>
                    <w:bidi w:val="0"/>
                    <w:rPr>
                      <w:rFonts w:hint="eastAsia"/>
                    </w:rPr>
                  </w:pPr>
                  <w:r>
                    <w:rPr>
                      <w:rFonts w:hint="eastAsia"/>
                      <w:lang w:val="en-US" w:eastAsia="zh-CN"/>
                    </w:rPr>
                    <w:t>新建</w:t>
                  </w:r>
                </w:p>
              </w:tc>
            </w:tr>
            <w:tr w14:paraId="29ACA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restart"/>
                  <w:tcBorders>
                    <w:tl2br w:val="nil"/>
                    <w:tr2bl w:val="nil"/>
                  </w:tcBorders>
                  <w:vAlign w:val="center"/>
                </w:tcPr>
                <w:p w14:paraId="43E929BF">
                  <w:pPr>
                    <w:pStyle w:val="94"/>
                    <w:bidi w:val="0"/>
                    <w:rPr>
                      <w:color w:val="FF0000"/>
                      <w:highlight w:val="none"/>
                    </w:rPr>
                  </w:pPr>
                  <w:r>
                    <w:rPr>
                      <w:rFonts w:hint="eastAsia"/>
                      <w:color w:val="auto"/>
                      <w:highlight w:val="none"/>
                    </w:rPr>
                    <w:t>环保工程</w:t>
                  </w:r>
                </w:p>
              </w:tc>
              <w:tc>
                <w:tcPr>
                  <w:tcW w:w="259" w:type="pct"/>
                  <w:vMerge w:val="restart"/>
                  <w:tcBorders>
                    <w:tl2br w:val="nil"/>
                    <w:tr2bl w:val="nil"/>
                  </w:tcBorders>
                  <w:vAlign w:val="center"/>
                </w:tcPr>
                <w:p w14:paraId="5CE2BBCA">
                  <w:pPr>
                    <w:pStyle w:val="94"/>
                    <w:bidi w:val="0"/>
                    <w:jc w:val="center"/>
                    <w:rPr>
                      <w:color w:val="FF0000"/>
                      <w:highlight w:val="none"/>
                    </w:rPr>
                  </w:pPr>
                  <w:r>
                    <w:rPr>
                      <w:rFonts w:hint="eastAsia"/>
                      <w:color w:val="auto"/>
                      <w:highlight w:val="none"/>
                    </w:rPr>
                    <w:t>废水处理</w:t>
                  </w:r>
                </w:p>
              </w:tc>
              <w:tc>
                <w:tcPr>
                  <w:tcW w:w="2929" w:type="pct"/>
                  <w:gridSpan w:val="2"/>
                  <w:tcBorders>
                    <w:tl2br w:val="nil"/>
                    <w:tr2bl w:val="nil"/>
                  </w:tcBorders>
                  <w:vAlign w:val="center"/>
                </w:tcPr>
                <w:p w14:paraId="58B916E3">
                  <w:pPr>
                    <w:pStyle w:val="94"/>
                    <w:bidi w:val="0"/>
                    <w:jc w:val="both"/>
                    <w:rPr>
                      <w:rFonts w:hint="eastAsia" w:eastAsia="宋体"/>
                      <w:b/>
                      <w:bCs w:val="0"/>
                      <w:color w:val="auto"/>
                      <w:highlight w:val="none"/>
                      <w:lang w:eastAsia="zh-CN"/>
                    </w:rPr>
                  </w:pPr>
                  <w:r>
                    <w:rPr>
                      <w:rFonts w:cs="Times New Roman"/>
                      <w:b/>
                      <w:bCs w:val="0"/>
                      <w:color w:val="auto"/>
                      <w:szCs w:val="21"/>
                      <w:highlight w:val="none"/>
                    </w:rPr>
                    <w:t>生活污水</w:t>
                  </w:r>
                  <w:r>
                    <w:rPr>
                      <w:rFonts w:hint="eastAsia" w:cs="Times New Roman"/>
                      <w:color w:val="auto"/>
                      <w:szCs w:val="21"/>
                      <w:highlight w:val="none"/>
                      <w:lang w:eastAsia="zh-CN"/>
                    </w:rPr>
                    <w:t>：</w:t>
                  </w:r>
                  <w:r>
                    <w:rPr>
                      <w:rFonts w:hint="eastAsia" w:cs="Times New Roman"/>
                      <w:color w:val="auto"/>
                      <w:szCs w:val="21"/>
                      <w:highlight w:val="none"/>
                      <w:lang w:val="en-US" w:eastAsia="zh-CN"/>
                    </w:rPr>
                    <w:t>先经过本项目新建预处理池（5m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）处理达标后</w:t>
                  </w:r>
                  <w:r>
                    <w:rPr>
                      <w:rFonts w:hint="eastAsia" w:cs="Times New Roman"/>
                      <w:color w:val="auto"/>
                      <w:szCs w:val="21"/>
                      <w:highlight w:val="none"/>
                      <w:lang w:eastAsia="zh-CN"/>
                    </w:rPr>
                    <w:t>排入</w:t>
                  </w:r>
                  <w:r>
                    <w:rPr>
                      <w:rFonts w:hint="eastAsia" w:cs="Times New Roman"/>
                      <w:color w:val="auto"/>
                      <w:highlight w:val="none"/>
                      <w:lang w:val="en-US" w:eastAsia="zh-CN"/>
                    </w:rPr>
                    <w:t>龙眼井污水处理厂处理，达标后排入</w:t>
                  </w:r>
                  <w:r>
                    <w:rPr>
                      <w:rFonts w:hint="eastAsia" w:cs="Times New Roman"/>
                      <w:color w:val="auto"/>
                      <w:szCs w:val="21"/>
                      <w:highlight w:val="none"/>
                      <w:lang w:val="en-US" w:eastAsia="zh-CN"/>
                    </w:rPr>
                    <w:t>琼江</w:t>
                  </w:r>
                  <w:r>
                    <w:rPr>
                      <w:rFonts w:hint="eastAsia" w:cs="Times New Roman"/>
                      <w:color w:val="auto"/>
                      <w:szCs w:val="21"/>
                      <w:highlight w:val="none"/>
                      <w:lang w:eastAsia="zh-CN"/>
                    </w:rPr>
                    <w:t>。</w:t>
                  </w:r>
                </w:p>
              </w:tc>
              <w:tc>
                <w:tcPr>
                  <w:tcW w:w="512" w:type="pct"/>
                  <w:vMerge w:val="continue"/>
                  <w:tcBorders>
                    <w:tl2br w:val="nil"/>
                    <w:tr2bl w:val="nil"/>
                  </w:tcBorders>
                  <w:vAlign w:val="center"/>
                </w:tcPr>
                <w:p w14:paraId="1511A37B">
                  <w:pPr>
                    <w:pStyle w:val="94"/>
                    <w:bidi w:val="0"/>
                    <w:rPr>
                      <w:color w:val="FF0000"/>
                      <w:highlight w:val="none"/>
                    </w:rPr>
                  </w:pPr>
                </w:p>
              </w:tc>
              <w:tc>
                <w:tcPr>
                  <w:tcW w:w="591" w:type="pct"/>
                  <w:vMerge w:val="restart"/>
                  <w:tcBorders>
                    <w:tl2br w:val="nil"/>
                    <w:tr2bl w:val="nil"/>
                  </w:tcBorders>
                  <w:vAlign w:val="center"/>
                </w:tcPr>
                <w:p w14:paraId="7A81C1F7">
                  <w:pPr>
                    <w:pStyle w:val="94"/>
                    <w:bidi w:val="0"/>
                    <w:rPr>
                      <w:rFonts w:hint="default"/>
                      <w:color w:val="FF0000"/>
                      <w:highlight w:val="none"/>
                      <w:lang w:val="en-US" w:eastAsia="zh-CN"/>
                    </w:rPr>
                  </w:pPr>
                  <w:r>
                    <w:rPr>
                      <w:rFonts w:hint="eastAsia"/>
                      <w:color w:val="auto"/>
                      <w:highlight w:val="none"/>
                      <w:lang w:val="en-US" w:eastAsia="zh-CN"/>
                    </w:rPr>
                    <w:t>恶臭、固废</w:t>
                  </w:r>
                </w:p>
              </w:tc>
              <w:tc>
                <w:tcPr>
                  <w:tcW w:w="447" w:type="pct"/>
                  <w:vMerge w:val="restart"/>
                  <w:tcBorders>
                    <w:tl2br w:val="nil"/>
                    <w:tr2bl w:val="nil"/>
                  </w:tcBorders>
                  <w:vAlign w:val="center"/>
                </w:tcPr>
                <w:p w14:paraId="10C5330C">
                  <w:pPr>
                    <w:pStyle w:val="106"/>
                    <w:bidi w:val="0"/>
                    <w:rPr>
                      <w:rFonts w:hint="default"/>
                      <w:lang w:val="en-US" w:eastAsia="zh-CN"/>
                    </w:rPr>
                  </w:pPr>
                  <w:r>
                    <w:rPr>
                      <w:rFonts w:hint="eastAsia"/>
                      <w:lang w:val="en-US" w:eastAsia="zh-CN"/>
                    </w:rPr>
                    <w:t>新建+依托</w:t>
                  </w:r>
                </w:p>
              </w:tc>
            </w:tr>
            <w:tr w14:paraId="37B90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1ED56BA4">
                  <w:pPr>
                    <w:pStyle w:val="94"/>
                    <w:bidi w:val="0"/>
                    <w:rPr>
                      <w:rFonts w:hint="eastAsia"/>
                      <w:color w:val="auto"/>
                      <w:highlight w:val="none"/>
                    </w:rPr>
                  </w:pPr>
                </w:p>
              </w:tc>
              <w:tc>
                <w:tcPr>
                  <w:tcW w:w="259" w:type="pct"/>
                  <w:vMerge w:val="continue"/>
                  <w:tcBorders>
                    <w:tl2br w:val="nil"/>
                    <w:tr2bl w:val="nil"/>
                  </w:tcBorders>
                  <w:vAlign w:val="center"/>
                </w:tcPr>
                <w:p w14:paraId="76C5D1CA">
                  <w:pPr>
                    <w:pStyle w:val="94"/>
                    <w:bidi w:val="0"/>
                    <w:jc w:val="center"/>
                    <w:rPr>
                      <w:rFonts w:hint="eastAsia"/>
                      <w:color w:val="auto"/>
                      <w:highlight w:val="none"/>
                    </w:rPr>
                  </w:pPr>
                </w:p>
              </w:tc>
              <w:tc>
                <w:tcPr>
                  <w:tcW w:w="2929" w:type="pct"/>
                  <w:gridSpan w:val="2"/>
                  <w:tcBorders>
                    <w:tl2br w:val="nil"/>
                    <w:tr2bl w:val="nil"/>
                  </w:tcBorders>
                  <w:vAlign w:val="center"/>
                </w:tcPr>
                <w:p w14:paraId="202CAF32">
                  <w:pPr>
                    <w:pStyle w:val="94"/>
                    <w:bidi w:val="0"/>
                    <w:jc w:val="both"/>
                    <w:rPr>
                      <w:rFonts w:cs="Times New Roman"/>
                      <w:b/>
                      <w:bCs w:val="0"/>
                      <w:color w:val="auto"/>
                      <w:szCs w:val="21"/>
                      <w:highlight w:val="none"/>
                    </w:rPr>
                  </w:pPr>
                  <w:r>
                    <w:rPr>
                      <w:rFonts w:hint="eastAsia" w:cs="Times New Roman"/>
                      <w:b/>
                      <w:bCs w:val="0"/>
                      <w:color w:val="auto"/>
                      <w:szCs w:val="21"/>
                      <w:highlight w:val="none"/>
                      <w:lang w:val="en-US" w:eastAsia="zh-CN"/>
                    </w:rPr>
                    <w:t>原料清洗废水、设备清洗废水、漂烫废水、猪肉解冻废水、空罐及实罐清洗废水、蒸汽发生器废水、地面清洁废水、实验器皿清洗废水</w:t>
                  </w:r>
                  <w:r>
                    <w:rPr>
                      <w:rFonts w:hint="eastAsia" w:cs="Times New Roman"/>
                      <w:color w:val="auto"/>
                      <w:szCs w:val="21"/>
                      <w:highlight w:val="none"/>
                      <w:lang w:eastAsia="zh-CN"/>
                    </w:rPr>
                    <w:t>：</w:t>
                  </w:r>
                  <w:r>
                    <w:rPr>
                      <w:rFonts w:hint="eastAsia" w:cs="Times New Roman"/>
                      <w:color w:val="auto"/>
                      <w:szCs w:val="21"/>
                      <w:highlight w:val="none"/>
                      <w:lang w:val="en-US" w:eastAsia="zh-CN"/>
                    </w:rPr>
                    <w:t>先经过本项目新建污水处理池（60m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）处理达标后</w:t>
                  </w:r>
                  <w:r>
                    <w:rPr>
                      <w:rFonts w:hint="eastAsia" w:cs="Times New Roman"/>
                      <w:color w:val="auto"/>
                      <w:szCs w:val="21"/>
                      <w:highlight w:val="none"/>
                      <w:lang w:eastAsia="zh-CN"/>
                    </w:rPr>
                    <w:t>排入</w:t>
                  </w:r>
                  <w:r>
                    <w:rPr>
                      <w:rFonts w:hint="eastAsia" w:cs="Times New Roman"/>
                      <w:color w:val="auto"/>
                      <w:highlight w:val="none"/>
                      <w:lang w:val="en-US" w:eastAsia="zh-CN"/>
                    </w:rPr>
                    <w:t>龙眼井污水处理厂处理，达标后排入</w:t>
                  </w:r>
                  <w:r>
                    <w:rPr>
                      <w:rFonts w:hint="eastAsia" w:cs="Times New Roman"/>
                      <w:color w:val="auto"/>
                      <w:szCs w:val="21"/>
                      <w:highlight w:val="none"/>
                      <w:lang w:val="en-US" w:eastAsia="zh-CN"/>
                    </w:rPr>
                    <w:t>琼江</w:t>
                  </w:r>
                  <w:r>
                    <w:rPr>
                      <w:rFonts w:hint="eastAsia" w:cs="Times New Roman"/>
                      <w:color w:val="auto"/>
                      <w:szCs w:val="21"/>
                      <w:highlight w:val="none"/>
                      <w:lang w:eastAsia="zh-CN"/>
                    </w:rPr>
                    <w:t>。</w:t>
                  </w:r>
                </w:p>
              </w:tc>
              <w:tc>
                <w:tcPr>
                  <w:tcW w:w="512" w:type="pct"/>
                  <w:vMerge w:val="continue"/>
                  <w:tcBorders>
                    <w:tl2br w:val="nil"/>
                    <w:tr2bl w:val="nil"/>
                  </w:tcBorders>
                  <w:vAlign w:val="center"/>
                </w:tcPr>
                <w:p w14:paraId="4BB3744F">
                  <w:pPr>
                    <w:pStyle w:val="94"/>
                    <w:bidi w:val="0"/>
                    <w:rPr>
                      <w:color w:val="FF0000"/>
                      <w:highlight w:val="none"/>
                    </w:rPr>
                  </w:pPr>
                </w:p>
              </w:tc>
              <w:tc>
                <w:tcPr>
                  <w:tcW w:w="591" w:type="pct"/>
                  <w:vMerge w:val="continue"/>
                  <w:tcBorders>
                    <w:tl2br w:val="nil"/>
                    <w:tr2bl w:val="nil"/>
                  </w:tcBorders>
                  <w:vAlign w:val="center"/>
                </w:tcPr>
                <w:p w14:paraId="7F74B6BF">
                  <w:pPr>
                    <w:pStyle w:val="94"/>
                    <w:bidi w:val="0"/>
                    <w:rPr>
                      <w:rFonts w:hint="eastAsia"/>
                      <w:color w:val="FF0000"/>
                      <w:highlight w:val="none"/>
                      <w:lang w:val="en-US" w:eastAsia="zh-CN"/>
                    </w:rPr>
                  </w:pPr>
                </w:p>
              </w:tc>
              <w:tc>
                <w:tcPr>
                  <w:tcW w:w="447" w:type="pct"/>
                  <w:vMerge w:val="continue"/>
                  <w:tcBorders>
                    <w:tl2br w:val="nil"/>
                    <w:tr2bl w:val="nil"/>
                  </w:tcBorders>
                  <w:vAlign w:val="center"/>
                </w:tcPr>
                <w:p w14:paraId="0AF83AF8">
                  <w:pPr>
                    <w:pStyle w:val="106"/>
                    <w:bidi w:val="0"/>
                    <w:rPr>
                      <w:rFonts w:hint="eastAsia"/>
                      <w:lang w:val="en-US" w:eastAsia="zh-CN"/>
                    </w:rPr>
                  </w:pPr>
                </w:p>
              </w:tc>
            </w:tr>
            <w:tr w14:paraId="529E8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9" w:type="pct"/>
                  <w:vMerge w:val="continue"/>
                  <w:tcBorders>
                    <w:tl2br w:val="nil"/>
                    <w:tr2bl w:val="nil"/>
                  </w:tcBorders>
                  <w:vAlign w:val="center"/>
                </w:tcPr>
                <w:p w14:paraId="7EA51CA8">
                  <w:pPr>
                    <w:pStyle w:val="94"/>
                    <w:bidi w:val="0"/>
                    <w:rPr>
                      <w:color w:val="FF0000"/>
                      <w:highlight w:val="none"/>
                    </w:rPr>
                  </w:pPr>
                </w:p>
              </w:tc>
              <w:tc>
                <w:tcPr>
                  <w:tcW w:w="259" w:type="pct"/>
                  <w:vMerge w:val="restart"/>
                  <w:tcBorders>
                    <w:tl2br w:val="nil"/>
                    <w:tr2bl w:val="nil"/>
                  </w:tcBorders>
                  <w:vAlign w:val="center"/>
                </w:tcPr>
                <w:p w14:paraId="1DAB1E55">
                  <w:pPr>
                    <w:pStyle w:val="94"/>
                    <w:bidi w:val="0"/>
                    <w:jc w:val="center"/>
                    <w:rPr>
                      <w:color w:val="auto"/>
                      <w:highlight w:val="none"/>
                    </w:rPr>
                  </w:pPr>
                  <w:r>
                    <w:rPr>
                      <w:rFonts w:hint="eastAsia"/>
                      <w:color w:val="auto"/>
                      <w:highlight w:val="none"/>
                    </w:rPr>
                    <w:t>废气处理</w:t>
                  </w:r>
                </w:p>
              </w:tc>
              <w:tc>
                <w:tcPr>
                  <w:tcW w:w="2929" w:type="pct"/>
                  <w:gridSpan w:val="2"/>
                  <w:tcBorders>
                    <w:tl2br w:val="nil"/>
                    <w:tr2bl w:val="nil"/>
                  </w:tcBorders>
                  <w:vAlign w:val="center"/>
                </w:tcPr>
                <w:p w14:paraId="716417A3">
                  <w:pPr>
                    <w:pStyle w:val="94"/>
                    <w:bidi w:val="0"/>
                    <w:jc w:val="both"/>
                    <w:rPr>
                      <w:rFonts w:hint="default"/>
                      <w:b/>
                      <w:bCs w:val="0"/>
                      <w:color w:val="auto"/>
                      <w:highlight w:val="none"/>
                      <w:lang w:val="en-US" w:eastAsia="zh-CN"/>
                    </w:rPr>
                  </w:pPr>
                  <w:r>
                    <w:rPr>
                      <w:rFonts w:hint="eastAsia"/>
                      <w:b/>
                      <w:bCs w:val="0"/>
                      <w:color w:val="auto"/>
                      <w:highlight w:val="none"/>
                      <w:lang w:val="en-US" w:eastAsia="zh-CN"/>
                    </w:rPr>
                    <w:t>天然气燃烧废气：</w:t>
                  </w:r>
                  <w:r>
                    <w:rPr>
                      <w:rFonts w:hint="eastAsia"/>
                      <w:b w:val="0"/>
                      <w:bCs/>
                      <w:color w:val="auto"/>
                      <w:highlight w:val="none"/>
                      <w:lang w:val="en-US" w:eastAsia="zh-CN"/>
                    </w:rPr>
                    <w:t>项目2台蒸汽发生器拟使用天然气加热，天然气拟低氮燃烧后共经1根15m排气筒（DA001）排放。</w:t>
                  </w:r>
                </w:p>
              </w:tc>
              <w:tc>
                <w:tcPr>
                  <w:tcW w:w="512" w:type="pct"/>
                  <w:vMerge w:val="continue"/>
                  <w:tcBorders>
                    <w:tl2br w:val="nil"/>
                    <w:tr2bl w:val="nil"/>
                  </w:tcBorders>
                  <w:vAlign w:val="center"/>
                </w:tcPr>
                <w:p w14:paraId="161492C4">
                  <w:pPr>
                    <w:pStyle w:val="94"/>
                    <w:bidi w:val="0"/>
                    <w:rPr>
                      <w:color w:val="auto"/>
                      <w:highlight w:val="none"/>
                    </w:rPr>
                  </w:pPr>
                </w:p>
              </w:tc>
              <w:tc>
                <w:tcPr>
                  <w:tcW w:w="591" w:type="pct"/>
                  <w:tcBorders>
                    <w:tl2br w:val="nil"/>
                    <w:tr2bl w:val="nil"/>
                  </w:tcBorders>
                  <w:vAlign w:val="center"/>
                </w:tcPr>
                <w:p w14:paraId="47BA4FE9">
                  <w:pPr>
                    <w:pStyle w:val="94"/>
                    <w:bidi w:val="0"/>
                    <w:rPr>
                      <w:rFonts w:hint="default"/>
                      <w:color w:val="auto"/>
                      <w:highlight w:val="none"/>
                      <w:lang w:val="en-US" w:eastAsia="zh-CN"/>
                    </w:rPr>
                  </w:pPr>
                  <w:r>
                    <w:rPr>
                      <w:rFonts w:hint="eastAsia"/>
                      <w:color w:val="auto"/>
                      <w:highlight w:val="none"/>
                      <w:lang w:val="en-US" w:eastAsia="zh-CN"/>
                    </w:rPr>
                    <w:t>噪声</w:t>
                  </w:r>
                </w:p>
              </w:tc>
              <w:tc>
                <w:tcPr>
                  <w:tcW w:w="447" w:type="pct"/>
                  <w:tcBorders>
                    <w:tl2br w:val="nil"/>
                    <w:tr2bl w:val="nil"/>
                  </w:tcBorders>
                  <w:vAlign w:val="center"/>
                </w:tcPr>
                <w:p w14:paraId="7DD0E48B">
                  <w:pPr>
                    <w:pStyle w:val="106"/>
                    <w:bidi w:val="0"/>
                    <w:rPr>
                      <w:rFonts w:hint="eastAsia"/>
                      <w:lang w:val="en-US" w:eastAsia="zh-CN"/>
                    </w:rPr>
                  </w:pPr>
                  <w:r>
                    <w:rPr>
                      <w:rFonts w:hint="eastAsia"/>
                      <w:lang w:val="en-US" w:eastAsia="zh-CN"/>
                    </w:rPr>
                    <w:t>新建</w:t>
                  </w:r>
                </w:p>
              </w:tc>
            </w:tr>
            <w:tr w14:paraId="48C14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089C2710">
                  <w:pPr>
                    <w:pStyle w:val="94"/>
                    <w:bidi w:val="0"/>
                    <w:rPr>
                      <w:color w:val="FF0000"/>
                      <w:highlight w:val="none"/>
                    </w:rPr>
                  </w:pPr>
                  <w:bookmarkStart w:id="12" w:name="OLE_LINK1" w:colFirst="4" w:colLast="5"/>
                </w:p>
              </w:tc>
              <w:tc>
                <w:tcPr>
                  <w:tcW w:w="259" w:type="pct"/>
                  <w:vMerge w:val="continue"/>
                  <w:tcBorders>
                    <w:tl2br w:val="nil"/>
                    <w:tr2bl w:val="nil"/>
                  </w:tcBorders>
                  <w:vAlign w:val="center"/>
                </w:tcPr>
                <w:p w14:paraId="7DDE821E">
                  <w:pPr>
                    <w:pStyle w:val="94"/>
                    <w:bidi w:val="0"/>
                    <w:jc w:val="center"/>
                    <w:rPr>
                      <w:rFonts w:hint="eastAsia"/>
                      <w:color w:val="auto"/>
                      <w:highlight w:val="none"/>
                    </w:rPr>
                  </w:pPr>
                </w:p>
              </w:tc>
              <w:tc>
                <w:tcPr>
                  <w:tcW w:w="2929" w:type="pct"/>
                  <w:gridSpan w:val="2"/>
                  <w:tcBorders>
                    <w:tl2br w:val="nil"/>
                    <w:tr2bl w:val="nil"/>
                  </w:tcBorders>
                  <w:vAlign w:val="center"/>
                </w:tcPr>
                <w:p w14:paraId="6BED1DB2">
                  <w:pPr>
                    <w:pStyle w:val="94"/>
                    <w:bidi w:val="0"/>
                    <w:jc w:val="both"/>
                    <w:rPr>
                      <w:rFonts w:hint="eastAsia"/>
                      <w:b/>
                      <w:bCs w:val="0"/>
                      <w:color w:val="auto"/>
                      <w:highlight w:val="none"/>
                      <w:lang w:val="en-US" w:eastAsia="zh-CN"/>
                    </w:rPr>
                  </w:pPr>
                  <w:r>
                    <w:rPr>
                      <w:rFonts w:hint="eastAsia"/>
                      <w:b/>
                      <w:bCs w:val="0"/>
                      <w:color w:val="auto"/>
                      <w:highlight w:val="none"/>
                      <w:lang w:val="en-US" w:eastAsia="zh-CN"/>
                    </w:rPr>
                    <w:t>粉尘：</w:t>
                  </w:r>
                  <w:r>
                    <w:rPr>
                      <w:rFonts w:hint="eastAsia"/>
                      <w:b w:val="0"/>
                      <w:bCs/>
                      <w:color w:val="auto"/>
                      <w:highlight w:val="none"/>
                      <w:lang w:val="en-US" w:eastAsia="zh-CN"/>
                    </w:rPr>
                    <w:t>项目纸巾生产切纸等工序会产生颗粒物，拟直接无组织排放。</w:t>
                  </w:r>
                </w:p>
              </w:tc>
              <w:tc>
                <w:tcPr>
                  <w:tcW w:w="512" w:type="pct"/>
                  <w:vMerge w:val="continue"/>
                  <w:tcBorders>
                    <w:tl2br w:val="nil"/>
                    <w:tr2bl w:val="nil"/>
                  </w:tcBorders>
                  <w:vAlign w:val="center"/>
                </w:tcPr>
                <w:p w14:paraId="21399592">
                  <w:pPr>
                    <w:pStyle w:val="94"/>
                    <w:bidi w:val="0"/>
                    <w:rPr>
                      <w:color w:val="auto"/>
                      <w:highlight w:val="none"/>
                    </w:rPr>
                  </w:pPr>
                </w:p>
              </w:tc>
              <w:tc>
                <w:tcPr>
                  <w:tcW w:w="591" w:type="pct"/>
                  <w:tcBorders>
                    <w:tl2br w:val="nil"/>
                    <w:tr2bl w:val="nil"/>
                  </w:tcBorders>
                  <w:shd w:val="clear" w:color="auto" w:fill="auto"/>
                  <w:vAlign w:val="center"/>
                </w:tcPr>
                <w:p w14:paraId="747492C9">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废气</w:t>
                  </w:r>
                </w:p>
              </w:tc>
              <w:tc>
                <w:tcPr>
                  <w:tcW w:w="447" w:type="pct"/>
                  <w:tcBorders>
                    <w:tl2br w:val="nil"/>
                    <w:tr2bl w:val="nil"/>
                  </w:tcBorders>
                  <w:shd w:val="clear" w:color="auto" w:fill="auto"/>
                  <w:vAlign w:val="center"/>
                </w:tcPr>
                <w:p w14:paraId="1D4B82C1">
                  <w:pPr>
                    <w:pStyle w:val="106"/>
                    <w:bidi w:val="0"/>
                    <w:rPr>
                      <w:rFonts w:hint="eastAsia"/>
                      <w:lang w:val="en-US" w:eastAsia="zh-CN"/>
                    </w:rPr>
                  </w:pPr>
                  <w:r>
                    <w:rPr>
                      <w:rFonts w:hint="eastAsia"/>
                      <w:lang w:val="en-US" w:eastAsia="zh-CN"/>
                    </w:rPr>
                    <w:t>新建</w:t>
                  </w:r>
                </w:p>
              </w:tc>
            </w:tr>
            <w:tr w14:paraId="0DD8C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309BDE37">
                  <w:pPr>
                    <w:pStyle w:val="94"/>
                    <w:bidi w:val="0"/>
                    <w:rPr>
                      <w:color w:val="FF0000"/>
                      <w:highlight w:val="none"/>
                    </w:rPr>
                  </w:pPr>
                </w:p>
              </w:tc>
              <w:tc>
                <w:tcPr>
                  <w:tcW w:w="259" w:type="pct"/>
                  <w:vMerge w:val="continue"/>
                  <w:tcBorders>
                    <w:tl2br w:val="nil"/>
                    <w:tr2bl w:val="nil"/>
                  </w:tcBorders>
                  <w:vAlign w:val="center"/>
                </w:tcPr>
                <w:p w14:paraId="695B9DC4">
                  <w:pPr>
                    <w:pStyle w:val="94"/>
                    <w:bidi w:val="0"/>
                    <w:jc w:val="center"/>
                    <w:rPr>
                      <w:rFonts w:hint="eastAsia"/>
                      <w:color w:val="auto"/>
                      <w:highlight w:val="none"/>
                    </w:rPr>
                  </w:pPr>
                </w:p>
              </w:tc>
              <w:tc>
                <w:tcPr>
                  <w:tcW w:w="2929" w:type="pct"/>
                  <w:gridSpan w:val="2"/>
                  <w:tcBorders>
                    <w:tl2br w:val="nil"/>
                    <w:tr2bl w:val="nil"/>
                  </w:tcBorders>
                  <w:vAlign w:val="center"/>
                </w:tcPr>
                <w:p w14:paraId="1A8A6A18">
                  <w:pPr>
                    <w:pStyle w:val="94"/>
                    <w:bidi w:val="0"/>
                    <w:jc w:val="both"/>
                    <w:rPr>
                      <w:rFonts w:hint="default"/>
                      <w:b/>
                      <w:bCs w:val="0"/>
                      <w:color w:val="auto"/>
                      <w:highlight w:val="none"/>
                      <w:lang w:val="en-US" w:eastAsia="zh-CN"/>
                    </w:rPr>
                  </w:pPr>
                  <w:r>
                    <w:rPr>
                      <w:rFonts w:hint="eastAsia"/>
                      <w:b/>
                      <w:bCs w:val="0"/>
                      <w:color w:val="auto"/>
                      <w:highlight w:val="none"/>
                      <w:lang w:val="en-US" w:eastAsia="zh-CN"/>
                    </w:rPr>
                    <w:t>污水处理设施恶臭：</w:t>
                  </w:r>
                  <w:r>
                    <w:rPr>
                      <w:rFonts w:hint="eastAsia"/>
                      <w:color w:val="auto"/>
                      <w:highlight w:val="none"/>
                      <w:lang w:val="en-US" w:eastAsia="zh-CN"/>
                    </w:rPr>
                    <w:t>加强污泥清理频次、在污泥暂存点喷洒高效的除臭剂、加强污水处理站及区绿化设施、对产生恶臭的设施实施密封作业等措施。</w:t>
                  </w:r>
                </w:p>
              </w:tc>
              <w:tc>
                <w:tcPr>
                  <w:tcW w:w="512" w:type="pct"/>
                  <w:vMerge w:val="continue"/>
                  <w:tcBorders>
                    <w:tl2br w:val="nil"/>
                    <w:tr2bl w:val="nil"/>
                  </w:tcBorders>
                  <w:vAlign w:val="center"/>
                </w:tcPr>
                <w:p w14:paraId="1451ACDC">
                  <w:pPr>
                    <w:pStyle w:val="94"/>
                    <w:bidi w:val="0"/>
                    <w:rPr>
                      <w:color w:val="auto"/>
                      <w:highlight w:val="none"/>
                    </w:rPr>
                  </w:pPr>
                </w:p>
              </w:tc>
              <w:tc>
                <w:tcPr>
                  <w:tcW w:w="591" w:type="pct"/>
                  <w:tcBorders>
                    <w:tl2br w:val="nil"/>
                    <w:tr2bl w:val="nil"/>
                  </w:tcBorders>
                  <w:shd w:val="clear" w:color="auto" w:fill="auto"/>
                  <w:vAlign w:val="center"/>
                </w:tcPr>
                <w:p w14:paraId="07F908D2">
                  <w:pPr>
                    <w:pStyle w:val="94"/>
                    <w:bidi w:val="0"/>
                    <w:ind w:firstLine="0" w:firstLineChars="0"/>
                    <w:rPr>
                      <w:rFonts w:hint="default"/>
                      <w:color w:val="auto"/>
                      <w:highlight w:val="none"/>
                      <w:lang w:val="en-US" w:eastAsia="zh-CN"/>
                    </w:rPr>
                  </w:pPr>
                  <w:r>
                    <w:rPr>
                      <w:rFonts w:hint="eastAsia"/>
                      <w:color w:val="auto"/>
                      <w:highlight w:val="none"/>
                      <w:lang w:val="en-US" w:eastAsia="zh-CN"/>
                    </w:rPr>
                    <w:t>固废</w:t>
                  </w:r>
                </w:p>
              </w:tc>
              <w:tc>
                <w:tcPr>
                  <w:tcW w:w="447" w:type="pct"/>
                  <w:tcBorders>
                    <w:tl2br w:val="nil"/>
                    <w:tr2bl w:val="nil"/>
                  </w:tcBorders>
                  <w:shd w:val="clear" w:color="auto" w:fill="auto"/>
                  <w:vAlign w:val="center"/>
                </w:tcPr>
                <w:p w14:paraId="623A7285">
                  <w:pPr>
                    <w:pStyle w:val="106"/>
                    <w:bidi w:val="0"/>
                    <w:rPr>
                      <w:rFonts w:hint="default"/>
                      <w:lang w:val="en-US" w:eastAsia="zh-CN"/>
                    </w:rPr>
                  </w:pPr>
                  <w:r>
                    <w:rPr>
                      <w:rFonts w:hint="eastAsia"/>
                      <w:lang w:val="en-US" w:eastAsia="zh-CN"/>
                    </w:rPr>
                    <w:t>新建</w:t>
                  </w:r>
                </w:p>
              </w:tc>
            </w:tr>
            <w:bookmarkEnd w:id="12"/>
            <w:tr w14:paraId="20989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0883074B">
                  <w:pPr>
                    <w:pStyle w:val="94"/>
                    <w:bidi w:val="0"/>
                    <w:rPr>
                      <w:color w:val="FF0000"/>
                      <w:highlight w:val="none"/>
                    </w:rPr>
                  </w:pPr>
                </w:p>
              </w:tc>
              <w:tc>
                <w:tcPr>
                  <w:tcW w:w="259" w:type="pct"/>
                  <w:vMerge w:val="restart"/>
                  <w:tcBorders>
                    <w:tl2br w:val="nil"/>
                    <w:tr2bl w:val="nil"/>
                  </w:tcBorders>
                  <w:vAlign w:val="center"/>
                </w:tcPr>
                <w:p w14:paraId="19876378">
                  <w:pPr>
                    <w:pStyle w:val="94"/>
                    <w:bidi w:val="0"/>
                    <w:jc w:val="center"/>
                    <w:rPr>
                      <w:color w:val="auto"/>
                      <w:highlight w:val="none"/>
                    </w:rPr>
                  </w:pPr>
                  <w:r>
                    <w:rPr>
                      <w:rFonts w:hint="eastAsia"/>
                      <w:color w:val="auto"/>
                      <w:highlight w:val="none"/>
                    </w:rPr>
                    <w:t>固废处置</w:t>
                  </w:r>
                </w:p>
              </w:tc>
              <w:tc>
                <w:tcPr>
                  <w:tcW w:w="2929" w:type="pct"/>
                  <w:gridSpan w:val="2"/>
                  <w:tcBorders>
                    <w:tl2br w:val="nil"/>
                    <w:tr2bl w:val="nil"/>
                  </w:tcBorders>
                  <w:vAlign w:val="center"/>
                </w:tcPr>
                <w:p w14:paraId="21067FD4">
                  <w:pPr>
                    <w:pStyle w:val="94"/>
                    <w:bidi w:val="0"/>
                    <w:jc w:val="both"/>
                    <w:rPr>
                      <w:color w:val="auto"/>
                      <w:highlight w:val="none"/>
                    </w:rPr>
                  </w:pPr>
                  <w:r>
                    <w:rPr>
                      <w:rFonts w:hint="eastAsia"/>
                      <w:b/>
                      <w:bCs w:val="0"/>
                      <w:color w:val="auto"/>
                      <w:highlight w:val="none"/>
                    </w:rPr>
                    <w:t>生活垃圾：</w:t>
                  </w:r>
                  <w:r>
                    <w:rPr>
                      <w:rFonts w:hint="eastAsia"/>
                      <w:color w:val="auto"/>
                      <w:highlight w:val="none"/>
                      <w:lang w:eastAsia="zh-CN"/>
                    </w:rPr>
                    <w:t>本项目</w:t>
                  </w:r>
                  <w:r>
                    <w:rPr>
                      <w:rFonts w:hint="eastAsia"/>
                      <w:color w:val="auto"/>
                      <w:highlight w:val="none"/>
                    </w:rPr>
                    <w:t>生活垃圾通过垃圾桶收集后，统一由环卫部门清运处理。</w:t>
                  </w:r>
                </w:p>
              </w:tc>
              <w:tc>
                <w:tcPr>
                  <w:tcW w:w="512" w:type="pct"/>
                  <w:vMerge w:val="continue"/>
                  <w:tcBorders>
                    <w:tl2br w:val="nil"/>
                    <w:tr2bl w:val="nil"/>
                  </w:tcBorders>
                  <w:vAlign w:val="center"/>
                </w:tcPr>
                <w:p w14:paraId="6E909F04">
                  <w:pPr>
                    <w:pStyle w:val="94"/>
                    <w:bidi w:val="0"/>
                    <w:rPr>
                      <w:color w:val="auto"/>
                      <w:highlight w:val="none"/>
                    </w:rPr>
                  </w:pPr>
                </w:p>
              </w:tc>
              <w:tc>
                <w:tcPr>
                  <w:tcW w:w="591" w:type="pct"/>
                  <w:tcBorders>
                    <w:tl2br w:val="nil"/>
                    <w:tr2bl w:val="nil"/>
                  </w:tcBorders>
                  <w:vAlign w:val="center"/>
                </w:tcPr>
                <w:p w14:paraId="1373D884">
                  <w:pPr>
                    <w:pStyle w:val="94"/>
                    <w:bidi w:val="0"/>
                    <w:rPr>
                      <w:rFonts w:hint="eastAsia"/>
                      <w:color w:val="auto"/>
                      <w:highlight w:val="none"/>
                      <w:lang w:eastAsia="zh-CN"/>
                    </w:rPr>
                  </w:pPr>
                  <w:r>
                    <w:rPr>
                      <w:rFonts w:hint="eastAsia"/>
                      <w:color w:val="auto"/>
                      <w:highlight w:val="none"/>
                      <w:lang w:val="en-US" w:eastAsia="zh-CN"/>
                    </w:rPr>
                    <w:t>恶臭</w:t>
                  </w:r>
                </w:p>
              </w:tc>
              <w:tc>
                <w:tcPr>
                  <w:tcW w:w="447" w:type="pct"/>
                  <w:tcBorders>
                    <w:tl2br w:val="nil"/>
                    <w:tr2bl w:val="nil"/>
                  </w:tcBorders>
                  <w:vAlign w:val="center"/>
                </w:tcPr>
                <w:p w14:paraId="5A83DF37">
                  <w:pPr>
                    <w:pStyle w:val="106"/>
                    <w:bidi w:val="0"/>
                    <w:rPr>
                      <w:rFonts w:hint="eastAsia"/>
                      <w:lang w:val="en-US" w:eastAsia="zh-CN"/>
                    </w:rPr>
                  </w:pPr>
                  <w:r>
                    <w:rPr>
                      <w:rFonts w:hint="eastAsia"/>
                      <w:lang w:val="en-US" w:eastAsia="zh-CN"/>
                    </w:rPr>
                    <w:t>新建</w:t>
                  </w:r>
                </w:p>
              </w:tc>
            </w:tr>
            <w:tr w14:paraId="05465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259" w:type="pct"/>
                  <w:vMerge w:val="continue"/>
                  <w:tcBorders>
                    <w:tl2br w:val="nil"/>
                    <w:tr2bl w:val="nil"/>
                  </w:tcBorders>
                  <w:vAlign w:val="center"/>
                </w:tcPr>
                <w:p w14:paraId="7A79B6A5">
                  <w:pPr>
                    <w:pStyle w:val="94"/>
                    <w:bidi w:val="0"/>
                    <w:rPr>
                      <w:color w:val="FF0000"/>
                      <w:highlight w:val="none"/>
                    </w:rPr>
                  </w:pPr>
                </w:p>
              </w:tc>
              <w:tc>
                <w:tcPr>
                  <w:tcW w:w="259" w:type="pct"/>
                  <w:vMerge w:val="continue"/>
                  <w:tcBorders>
                    <w:tl2br w:val="nil"/>
                    <w:tr2bl w:val="nil"/>
                  </w:tcBorders>
                  <w:vAlign w:val="center"/>
                </w:tcPr>
                <w:p w14:paraId="60DB3C67">
                  <w:pPr>
                    <w:pStyle w:val="94"/>
                    <w:bidi w:val="0"/>
                    <w:jc w:val="both"/>
                    <w:rPr>
                      <w:color w:val="FF0000"/>
                      <w:highlight w:val="none"/>
                    </w:rPr>
                  </w:pPr>
                </w:p>
              </w:tc>
              <w:tc>
                <w:tcPr>
                  <w:tcW w:w="2929" w:type="pct"/>
                  <w:gridSpan w:val="2"/>
                  <w:tcBorders>
                    <w:tl2br w:val="nil"/>
                    <w:tr2bl w:val="nil"/>
                  </w:tcBorders>
                  <w:vAlign w:val="center"/>
                </w:tcPr>
                <w:p w14:paraId="6B550E6A">
                  <w:pPr>
                    <w:pStyle w:val="94"/>
                    <w:bidi w:val="0"/>
                    <w:jc w:val="both"/>
                    <w:rPr>
                      <w:color w:val="auto"/>
                      <w:highlight w:val="none"/>
                    </w:rPr>
                  </w:pPr>
                  <w:r>
                    <w:rPr>
                      <w:rFonts w:hint="eastAsia"/>
                      <w:b/>
                      <w:bCs w:val="0"/>
                      <w:color w:val="auto"/>
                      <w:highlight w:val="none"/>
                    </w:rPr>
                    <w:t>一般工业固废：</w:t>
                  </w:r>
                  <w:r>
                    <w:rPr>
                      <w:rFonts w:hint="eastAsia"/>
                      <w:b w:val="0"/>
                      <w:bCs/>
                      <w:color w:val="auto"/>
                      <w:highlight w:val="none"/>
                      <w:lang w:val="en-US" w:eastAsia="zh-CN"/>
                    </w:rPr>
                    <w:t>拟设置2处</w:t>
                  </w:r>
                  <w:r>
                    <w:rPr>
                      <w:rFonts w:hint="eastAsia"/>
                      <w:color w:val="auto"/>
                      <w:highlight w:val="none"/>
                    </w:rPr>
                    <w:t>一般工业固废</w:t>
                  </w:r>
                  <w:r>
                    <w:rPr>
                      <w:rFonts w:hint="eastAsia"/>
                      <w:color w:val="auto"/>
                      <w:highlight w:val="none"/>
                      <w:lang w:val="en-US" w:eastAsia="zh-CN"/>
                    </w:rPr>
                    <w:t>区</w:t>
                  </w:r>
                  <w:r>
                    <w:rPr>
                      <w:rFonts w:hint="eastAsia"/>
                      <w:color w:val="auto"/>
                      <w:highlight w:val="none"/>
                    </w:rPr>
                    <w:t>进行暂存，</w:t>
                  </w:r>
                  <w:r>
                    <w:rPr>
                      <w:rFonts w:hint="eastAsia"/>
                      <w:color w:val="auto"/>
                      <w:highlight w:val="none"/>
                      <w:lang w:val="en-US" w:eastAsia="zh-CN"/>
                    </w:rPr>
                    <w:t>一车间、二车间一层各1间，</w:t>
                  </w:r>
                  <w:r>
                    <w:rPr>
                      <w:rFonts w:hint="eastAsia"/>
                      <w:color w:val="auto"/>
                      <w:highlight w:val="none"/>
                    </w:rPr>
                    <w:t>面积</w:t>
                  </w:r>
                  <w:r>
                    <w:rPr>
                      <w:rFonts w:hint="eastAsia"/>
                      <w:color w:val="auto"/>
                      <w:highlight w:val="none"/>
                      <w:lang w:val="en-US" w:eastAsia="zh-CN"/>
                    </w:rPr>
                    <w:t>分别为25</w:t>
                  </w:r>
                  <w:r>
                    <w:rPr>
                      <w:rFonts w:hint="eastAsia"/>
                      <w:color w:val="auto"/>
                      <w:highlight w:val="none"/>
                    </w:rPr>
                    <w:t>m</w:t>
                  </w:r>
                  <w:r>
                    <w:rPr>
                      <w:rFonts w:hint="eastAsia"/>
                      <w:color w:val="auto"/>
                      <w:highlight w:val="none"/>
                      <w:vertAlign w:val="superscript"/>
                    </w:rPr>
                    <w:t>2</w:t>
                  </w:r>
                  <w:r>
                    <w:rPr>
                      <w:rFonts w:hint="eastAsia"/>
                      <w:color w:val="auto"/>
                      <w:highlight w:val="none"/>
                    </w:rPr>
                    <w:t>。</w:t>
                  </w:r>
                </w:p>
              </w:tc>
              <w:tc>
                <w:tcPr>
                  <w:tcW w:w="512" w:type="pct"/>
                  <w:vMerge w:val="continue"/>
                  <w:tcBorders>
                    <w:tl2br w:val="nil"/>
                    <w:tr2bl w:val="nil"/>
                  </w:tcBorders>
                  <w:vAlign w:val="center"/>
                </w:tcPr>
                <w:p w14:paraId="39FA4573">
                  <w:pPr>
                    <w:pStyle w:val="94"/>
                    <w:bidi w:val="0"/>
                    <w:rPr>
                      <w:color w:val="auto"/>
                      <w:highlight w:val="none"/>
                    </w:rPr>
                  </w:pPr>
                </w:p>
              </w:tc>
              <w:tc>
                <w:tcPr>
                  <w:tcW w:w="591" w:type="pct"/>
                  <w:tcBorders>
                    <w:tl2br w:val="nil"/>
                    <w:tr2bl w:val="nil"/>
                  </w:tcBorders>
                  <w:vAlign w:val="center"/>
                </w:tcPr>
                <w:p w14:paraId="251E83FE">
                  <w:pPr>
                    <w:pStyle w:val="94"/>
                    <w:bidi w:val="0"/>
                    <w:rPr>
                      <w:rFonts w:hint="eastAsia"/>
                      <w:color w:val="auto"/>
                      <w:highlight w:val="none"/>
                      <w:lang w:eastAsia="zh-CN"/>
                    </w:rPr>
                  </w:pPr>
                  <w:r>
                    <w:rPr>
                      <w:rFonts w:hint="eastAsia"/>
                      <w:color w:val="auto"/>
                      <w:highlight w:val="none"/>
                      <w:lang w:val="en-US" w:eastAsia="zh-CN"/>
                    </w:rPr>
                    <w:t>/</w:t>
                  </w:r>
                </w:p>
              </w:tc>
              <w:tc>
                <w:tcPr>
                  <w:tcW w:w="447" w:type="pct"/>
                  <w:tcBorders>
                    <w:tl2br w:val="nil"/>
                    <w:tr2bl w:val="nil"/>
                  </w:tcBorders>
                  <w:vAlign w:val="center"/>
                </w:tcPr>
                <w:p w14:paraId="04825DD7">
                  <w:pPr>
                    <w:pStyle w:val="106"/>
                    <w:bidi w:val="0"/>
                  </w:pPr>
                  <w:r>
                    <w:rPr>
                      <w:rFonts w:hint="eastAsia"/>
                      <w:lang w:val="en-US" w:eastAsia="zh-CN"/>
                    </w:rPr>
                    <w:t>新建</w:t>
                  </w:r>
                </w:p>
              </w:tc>
            </w:tr>
            <w:tr w14:paraId="0CAC5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9" w:type="pct"/>
                  <w:vMerge w:val="continue"/>
                  <w:tcBorders>
                    <w:tl2br w:val="nil"/>
                    <w:tr2bl w:val="nil"/>
                  </w:tcBorders>
                  <w:vAlign w:val="center"/>
                </w:tcPr>
                <w:p w14:paraId="574621B5">
                  <w:pPr>
                    <w:pStyle w:val="94"/>
                    <w:bidi w:val="0"/>
                    <w:rPr>
                      <w:color w:val="FF0000"/>
                      <w:highlight w:val="none"/>
                    </w:rPr>
                  </w:pPr>
                </w:p>
              </w:tc>
              <w:tc>
                <w:tcPr>
                  <w:tcW w:w="259" w:type="pct"/>
                  <w:vMerge w:val="continue"/>
                  <w:tcBorders>
                    <w:tl2br w:val="nil"/>
                    <w:tr2bl w:val="nil"/>
                  </w:tcBorders>
                  <w:vAlign w:val="center"/>
                </w:tcPr>
                <w:p w14:paraId="221C7779">
                  <w:pPr>
                    <w:pStyle w:val="94"/>
                    <w:bidi w:val="0"/>
                    <w:jc w:val="both"/>
                    <w:rPr>
                      <w:color w:val="FF0000"/>
                      <w:highlight w:val="none"/>
                    </w:rPr>
                  </w:pPr>
                </w:p>
              </w:tc>
              <w:tc>
                <w:tcPr>
                  <w:tcW w:w="2929" w:type="pct"/>
                  <w:gridSpan w:val="2"/>
                  <w:tcBorders>
                    <w:tl2br w:val="nil"/>
                    <w:tr2bl w:val="nil"/>
                  </w:tcBorders>
                  <w:vAlign w:val="center"/>
                </w:tcPr>
                <w:p w14:paraId="41A7B39C">
                  <w:pPr>
                    <w:pStyle w:val="94"/>
                    <w:bidi w:val="0"/>
                    <w:jc w:val="both"/>
                    <w:rPr>
                      <w:color w:val="auto"/>
                      <w:highlight w:val="none"/>
                    </w:rPr>
                  </w:pPr>
                  <w:r>
                    <w:rPr>
                      <w:rFonts w:hint="eastAsia"/>
                      <w:b/>
                      <w:bCs w:val="0"/>
                      <w:color w:val="auto"/>
                      <w:highlight w:val="none"/>
                      <w:lang w:val="en-US" w:eastAsia="zh-CN"/>
                    </w:rPr>
                    <w:t>危险废物</w:t>
                  </w:r>
                  <w:r>
                    <w:rPr>
                      <w:rFonts w:hint="eastAsia"/>
                      <w:b/>
                      <w:bCs w:val="0"/>
                      <w:color w:val="auto"/>
                      <w:highlight w:val="none"/>
                    </w:rPr>
                    <w:t>：</w:t>
                  </w:r>
                  <w:r>
                    <w:rPr>
                      <w:rFonts w:hint="eastAsia"/>
                      <w:color w:val="auto"/>
                      <w:highlight w:val="none"/>
                      <w:lang w:val="en-US" w:eastAsia="zh-CN"/>
                    </w:rPr>
                    <w:t>拟设置1间危废暂存间，综合楼一层，</w:t>
                  </w:r>
                  <w:r>
                    <w:rPr>
                      <w:color w:val="auto"/>
                      <w:highlight w:val="none"/>
                    </w:rPr>
                    <w:t>面积</w:t>
                  </w:r>
                  <w:r>
                    <w:rPr>
                      <w:rFonts w:hint="eastAsia"/>
                      <w:color w:val="auto"/>
                      <w:highlight w:val="none"/>
                      <w:lang w:val="en-US" w:eastAsia="zh-CN"/>
                    </w:rPr>
                    <w:t>5</w:t>
                  </w:r>
                  <w:r>
                    <w:rPr>
                      <w:color w:val="auto"/>
                      <w:highlight w:val="none"/>
                    </w:rPr>
                    <w:t>m</w:t>
                  </w:r>
                  <w:r>
                    <w:rPr>
                      <w:color w:val="auto"/>
                      <w:highlight w:val="none"/>
                      <w:vertAlign w:val="superscript"/>
                    </w:rPr>
                    <w:t>2</w:t>
                  </w:r>
                  <w:r>
                    <w:rPr>
                      <w:rFonts w:hint="eastAsia"/>
                      <w:color w:val="auto"/>
                      <w:highlight w:val="none"/>
                    </w:rPr>
                    <w:t>。</w:t>
                  </w:r>
                </w:p>
              </w:tc>
              <w:tc>
                <w:tcPr>
                  <w:tcW w:w="512" w:type="pct"/>
                  <w:vMerge w:val="continue"/>
                  <w:tcBorders>
                    <w:tl2br w:val="nil"/>
                    <w:tr2bl w:val="nil"/>
                  </w:tcBorders>
                  <w:vAlign w:val="center"/>
                </w:tcPr>
                <w:p w14:paraId="18EA8987">
                  <w:pPr>
                    <w:pStyle w:val="94"/>
                    <w:bidi w:val="0"/>
                    <w:rPr>
                      <w:color w:val="auto"/>
                      <w:highlight w:val="none"/>
                    </w:rPr>
                  </w:pPr>
                </w:p>
              </w:tc>
              <w:tc>
                <w:tcPr>
                  <w:tcW w:w="591" w:type="pct"/>
                  <w:tcBorders>
                    <w:tl2br w:val="nil"/>
                    <w:tr2bl w:val="nil"/>
                  </w:tcBorders>
                  <w:vAlign w:val="center"/>
                </w:tcPr>
                <w:p w14:paraId="778825AF">
                  <w:pPr>
                    <w:pStyle w:val="94"/>
                    <w:bidi w:val="0"/>
                    <w:rPr>
                      <w:color w:val="auto"/>
                      <w:highlight w:val="none"/>
                    </w:rPr>
                  </w:pPr>
                  <w:r>
                    <w:rPr>
                      <w:rFonts w:hint="eastAsia"/>
                      <w:color w:val="auto"/>
                      <w:highlight w:val="none"/>
                    </w:rPr>
                    <w:t>环境风险</w:t>
                  </w:r>
                </w:p>
              </w:tc>
              <w:tc>
                <w:tcPr>
                  <w:tcW w:w="447" w:type="pct"/>
                  <w:tcBorders>
                    <w:tl2br w:val="nil"/>
                    <w:tr2bl w:val="nil"/>
                  </w:tcBorders>
                  <w:vAlign w:val="center"/>
                </w:tcPr>
                <w:p w14:paraId="3012A297">
                  <w:pPr>
                    <w:pStyle w:val="106"/>
                    <w:bidi w:val="0"/>
                  </w:pPr>
                  <w:r>
                    <w:rPr>
                      <w:rFonts w:hint="eastAsia"/>
                      <w:lang w:val="en-US" w:eastAsia="zh-CN"/>
                    </w:rPr>
                    <w:t>新建</w:t>
                  </w:r>
                </w:p>
              </w:tc>
            </w:tr>
          </w:tbl>
          <w:p w14:paraId="742FAEB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both"/>
              <w:textAlignment w:val="auto"/>
              <w:rPr>
                <w:rFonts w:hint="default"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5、依托可行性分析</w:t>
            </w:r>
          </w:p>
          <w:p w14:paraId="27464679">
            <w:pPr>
              <w:spacing w:line="360" w:lineRule="auto"/>
              <w:ind w:firstLine="480" w:firstLineChars="200"/>
              <w:rPr>
                <w:color w:val="auto"/>
                <w:kern w:val="24"/>
                <w:sz w:val="24"/>
                <w:szCs w:val="24"/>
                <w:highlight w:val="none"/>
              </w:rPr>
            </w:pPr>
            <w:r>
              <w:rPr>
                <w:rFonts w:hint="eastAsia"/>
                <w:color w:val="auto"/>
                <w:kern w:val="24"/>
                <w:sz w:val="24"/>
                <w:szCs w:val="24"/>
                <w:highlight w:val="none"/>
              </w:rPr>
              <w:t>本项目</w:t>
            </w:r>
            <w:r>
              <w:rPr>
                <w:rFonts w:hint="eastAsia"/>
                <w:color w:val="auto"/>
                <w:kern w:val="24"/>
                <w:sz w:val="24"/>
                <w:szCs w:val="24"/>
                <w:highlight w:val="none"/>
                <w:lang w:val="en-US" w:eastAsia="zh-CN"/>
              </w:rPr>
              <w:t>设施依托情况见下表</w:t>
            </w:r>
            <w:r>
              <w:rPr>
                <w:rFonts w:hint="eastAsia"/>
                <w:color w:val="auto"/>
                <w:kern w:val="24"/>
                <w:sz w:val="24"/>
                <w:szCs w:val="24"/>
                <w:highlight w:val="none"/>
              </w:rPr>
              <w:t>。</w:t>
            </w:r>
          </w:p>
          <w:p w14:paraId="28281AFD">
            <w:pPr>
              <w:pStyle w:val="14"/>
              <w:bidi w:val="0"/>
              <w:rPr>
                <w:rFonts w:hint="default"/>
                <w:color w:val="auto"/>
                <w:highlight w:val="none"/>
                <w:lang w:val="en-US" w:eastAsia="zh-CN"/>
              </w:rPr>
            </w:pPr>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9</w:t>
            </w:r>
            <w:r>
              <w:rPr>
                <w:color w:val="auto"/>
                <w:highlight w:val="none"/>
              </w:rPr>
              <w:fldChar w:fldCharType="end"/>
            </w:r>
            <w:r>
              <w:rPr>
                <w:rFonts w:hint="eastAsia"/>
                <w:color w:val="auto"/>
                <w:highlight w:val="none"/>
                <w:lang w:val="en-US" w:eastAsia="zh-CN"/>
              </w:rPr>
              <w:t xml:space="preserve">  项目依托情况及依托可行性</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2349"/>
              <w:gridCol w:w="4489"/>
              <w:gridCol w:w="1090"/>
            </w:tblGrid>
            <w:tr w14:paraId="6FCCF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58" w:type="dxa"/>
                  <w:tcBorders>
                    <w:bottom w:val="single" w:color="000000" w:sz="4" w:space="0"/>
                    <w:tl2br w:val="nil"/>
                    <w:tr2bl w:val="nil"/>
                  </w:tcBorders>
                  <w:vAlign w:val="center"/>
                </w:tcPr>
                <w:p w14:paraId="48147E2B">
                  <w:pPr>
                    <w:pStyle w:val="106"/>
                    <w:bidi w:val="0"/>
                    <w:rPr>
                      <w:rFonts w:hint="default"/>
                      <w:b/>
                      <w:bCs/>
                      <w:lang w:val="en-US" w:eastAsia="zh-CN"/>
                    </w:rPr>
                  </w:pPr>
                  <w:r>
                    <w:rPr>
                      <w:rFonts w:hint="default"/>
                      <w:b/>
                      <w:bCs/>
                      <w:lang w:val="en-US" w:eastAsia="zh-CN"/>
                    </w:rPr>
                    <w:t>依托设施</w:t>
                  </w:r>
                </w:p>
              </w:tc>
              <w:tc>
                <w:tcPr>
                  <w:tcW w:w="2346" w:type="dxa"/>
                  <w:tcBorders>
                    <w:bottom w:val="single" w:color="000000" w:sz="4" w:space="0"/>
                    <w:tl2br w:val="nil"/>
                    <w:tr2bl w:val="nil"/>
                  </w:tcBorders>
                  <w:vAlign w:val="center"/>
                </w:tcPr>
                <w:p w14:paraId="022883A5">
                  <w:pPr>
                    <w:pStyle w:val="106"/>
                    <w:bidi w:val="0"/>
                    <w:rPr>
                      <w:rFonts w:hint="default"/>
                      <w:b/>
                      <w:bCs/>
                      <w:lang w:val="en-US" w:eastAsia="zh-CN"/>
                    </w:rPr>
                  </w:pPr>
                  <w:r>
                    <w:rPr>
                      <w:rFonts w:hint="default"/>
                      <w:b/>
                      <w:bCs/>
                      <w:lang w:val="en-US" w:eastAsia="zh-CN"/>
                    </w:rPr>
                    <w:t>建设内容</w:t>
                  </w:r>
                </w:p>
              </w:tc>
              <w:tc>
                <w:tcPr>
                  <w:tcW w:w="4484" w:type="dxa"/>
                  <w:tcBorders>
                    <w:bottom w:val="single" w:color="000000" w:sz="4" w:space="0"/>
                    <w:tl2br w:val="nil"/>
                    <w:tr2bl w:val="nil"/>
                  </w:tcBorders>
                  <w:vAlign w:val="center"/>
                </w:tcPr>
                <w:p w14:paraId="71BF6BC5">
                  <w:pPr>
                    <w:pStyle w:val="106"/>
                    <w:bidi w:val="0"/>
                    <w:rPr>
                      <w:rFonts w:hint="default"/>
                      <w:b/>
                      <w:bCs/>
                      <w:lang w:val="en-US" w:eastAsia="zh-CN"/>
                    </w:rPr>
                  </w:pPr>
                  <w:r>
                    <w:rPr>
                      <w:rFonts w:hint="default"/>
                      <w:b/>
                      <w:bCs/>
                      <w:lang w:val="en-US" w:eastAsia="zh-CN"/>
                    </w:rPr>
                    <w:t>依托情况</w:t>
                  </w:r>
                </w:p>
              </w:tc>
              <w:tc>
                <w:tcPr>
                  <w:tcW w:w="1089" w:type="dxa"/>
                  <w:tcBorders>
                    <w:bottom w:val="single" w:color="000000" w:sz="4" w:space="0"/>
                    <w:tl2br w:val="nil"/>
                    <w:tr2bl w:val="nil"/>
                  </w:tcBorders>
                  <w:vAlign w:val="center"/>
                </w:tcPr>
                <w:p w14:paraId="427E0863">
                  <w:pPr>
                    <w:pStyle w:val="106"/>
                    <w:bidi w:val="0"/>
                    <w:rPr>
                      <w:rFonts w:hint="default"/>
                      <w:b/>
                      <w:bCs/>
                      <w:lang w:val="en-US" w:eastAsia="zh-CN"/>
                    </w:rPr>
                  </w:pPr>
                  <w:r>
                    <w:rPr>
                      <w:rFonts w:hint="default"/>
                      <w:b/>
                      <w:bCs/>
                      <w:lang w:val="en-US" w:eastAsia="zh-CN"/>
                    </w:rPr>
                    <w:t>可行性</w:t>
                  </w:r>
                </w:p>
              </w:tc>
            </w:tr>
            <w:tr w14:paraId="21E01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58" w:type="dxa"/>
                  <w:tcBorders>
                    <w:top w:val="single" w:color="000000" w:sz="4" w:space="0"/>
                    <w:tl2br w:val="nil"/>
                    <w:tr2bl w:val="nil"/>
                  </w:tcBorders>
                  <w:vAlign w:val="center"/>
                </w:tcPr>
                <w:p w14:paraId="39876829">
                  <w:pPr>
                    <w:pStyle w:val="106"/>
                    <w:bidi w:val="0"/>
                    <w:rPr>
                      <w:rFonts w:hint="default"/>
                      <w:lang w:val="en-US" w:eastAsia="zh-CN"/>
                    </w:rPr>
                  </w:pPr>
                  <w:r>
                    <w:rPr>
                      <w:rFonts w:hint="default"/>
                      <w:lang w:val="en-US" w:eastAsia="zh-CN"/>
                    </w:rPr>
                    <w:t>供水系统</w:t>
                  </w:r>
                </w:p>
              </w:tc>
              <w:tc>
                <w:tcPr>
                  <w:tcW w:w="2346" w:type="dxa"/>
                  <w:tcBorders>
                    <w:top w:val="single" w:color="000000" w:sz="4" w:space="0"/>
                    <w:tl2br w:val="nil"/>
                    <w:tr2bl w:val="nil"/>
                  </w:tcBorders>
                  <w:vAlign w:val="center"/>
                </w:tcPr>
                <w:p w14:paraId="5CCB3E81">
                  <w:pPr>
                    <w:pStyle w:val="106"/>
                    <w:bidi w:val="0"/>
                    <w:rPr>
                      <w:rFonts w:hint="default"/>
                      <w:lang w:val="en-US" w:eastAsia="zh-CN"/>
                    </w:rPr>
                  </w:pPr>
                  <w:r>
                    <w:rPr>
                      <w:rFonts w:hint="default"/>
                      <w:lang w:val="en-US" w:eastAsia="zh-CN"/>
                    </w:rPr>
                    <w:t>接园区市政供水管网</w:t>
                  </w:r>
                </w:p>
              </w:tc>
              <w:tc>
                <w:tcPr>
                  <w:tcW w:w="4484" w:type="dxa"/>
                  <w:tcBorders>
                    <w:top w:val="single" w:color="000000" w:sz="4" w:space="0"/>
                    <w:tl2br w:val="nil"/>
                    <w:tr2bl w:val="nil"/>
                  </w:tcBorders>
                  <w:vAlign w:val="center"/>
                </w:tcPr>
                <w:p w14:paraId="2E068D8F">
                  <w:pPr>
                    <w:pStyle w:val="106"/>
                    <w:bidi w:val="0"/>
                    <w:rPr>
                      <w:rFonts w:hint="default"/>
                      <w:lang w:val="en-US" w:eastAsia="zh-CN"/>
                    </w:rPr>
                  </w:pPr>
                  <w:r>
                    <w:rPr>
                      <w:rFonts w:hint="default"/>
                      <w:lang w:val="en-US" w:eastAsia="zh-CN"/>
                    </w:rPr>
                    <w:t>厂区已建供水管网，能够满足本项目需求</w:t>
                  </w:r>
                </w:p>
              </w:tc>
              <w:tc>
                <w:tcPr>
                  <w:tcW w:w="1089" w:type="dxa"/>
                  <w:tcBorders>
                    <w:top w:val="single" w:color="000000" w:sz="4" w:space="0"/>
                    <w:tl2br w:val="nil"/>
                    <w:tr2bl w:val="nil"/>
                  </w:tcBorders>
                  <w:vAlign w:val="center"/>
                </w:tcPr>
                <w:p w14:paraId="35FBE46C">
                  <w:pPr>
                    <w:pStyle w:val="106"/>
                    <w:bidi w:val="0"/>
                    <w:rPr>
                      <w:rFonts w:hint="default"/>
                      <w:lang w:val="en-US" w:eastAsia="zh-CN"/>
                    </w:rPr>
                  </w:pPr>
                  <w:r>
                    <w:rPr>
                      <w:rFonts w:hint="default"/>
                      <w:lang w:val="en-US" w:eastAsia="zh-CN"/>
                    </w:rPr>
                    <w:t>可行</w:t>
                  </w:r>
                </w:p>
              </w:tc>
            </w:tr>
            <w:tr w14:paraId="64DAC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58" w:type="dxa"/>
                  <w:tcBorders>
                    <w:tl2br w:val="nil"/>
                    <w:tr2bl w:val="nil"/>
                  </w:tcBorders>
                  <w:vAlign w:val="center"/>
                </w:tcPr>
                <w:p w14:paraId="752D8D3A">
                  <w:pPr>
                    <w:pStyle w:val="106"/>
                    <w:bidi w:val="0"/>
                    <w:rPr>
                      <w:rFonts w:hint="default"/>
                      <w:lang w:val="en-US" w:eastAsia="zh-CN"/>
                    </w:rPr>
                  </w:pPr>
                  <w:r>
                    <w:rPr>
                      <w:rFonts w:hint="default"/>
                      <w:lang w:val="en-US" w:eastAsia="zh-CN"/>
                    </w:rPr>
                    <w:t>供电系统</w:t>
                  </w:r>
                </w:p>
              </w:tc>
              <w:tc>
                <w:tcPr>
                  <w:tcW w:w="2346" w:type="dxa"/>
                  <w:tcBorders>
                    <w:tl2br w:val="nil"/>
                    <w:tr2bl w:val="nil"/>
                  </w:tcBorders>
                  <w:vAlign w:val="center"/>
                </w:tcPr>
                <w:p w14:paraId="0E00C7F4">
                  <w:pPr>
                    <w:pStyle w:val="106"/>
                    <w:bidi w:val="0"/>
                    <w:rPr>
                      <w:rFonts w:hint="default"/>
                      <w:lang w:val="en-US" w:eastAsia="zh-CN"/>
                    </w:rPr>
                  </w:pPr>
                  <w:r>
                    <w:rPr>
                      <w:rFonts w:hint="default"/>
                      <w:lang w:val="en-US" w:eastAsia="zh-CN"/>
                    </w:rPr>
                    <w:t>接园区市政供电</w:t>
                  </w:r>
                </w:p>
              </w:tc>
              <w:tc>
                <w:tcPr>
                  <w:tcW w:w="4484" w:type="dxa"/>
                  <w:tcBorders>
                    <w:tl2br w:val="nil"/>
                    <w:tr2bl w:val="nil"/>
                  </w:tcBorders>
                  <w:vAlign w:val="center"/>
                </w:tcPr>
                <w:p w14:paraId="7FE68847">
                  <w:pPr>
                    <w:pStyle w:val="106"/>
                    <w:bidi w:val="0"/>
                    <w:rPr>
                      <w:rFonts w:hint="default"/>
                      <w:lang w:val="en-US" w:eastAsia="zh-CN"/>
                    </w:rPr>
                  </w:pPr>
                  <w:r>
                    <w:rPr>
                      <w:rFonts w:hint="default"/>
                      <w:lang w:val="en-US" w:eastAsia="zh-CN"/>
                    </w:rPr>
                    <w:t>项目设备用电经变电箱接入，能够满足本项目需求</w:t>
                  </w:r>
                </w:p>
              </w:tc>
              <w:tc>
                <w:tcPr>
                  <w:tcW w:w="1089" w:type="dxa"/>
                  <w:tcBorders>
                    <w:tl2br w:val="nil"/>
                    <w:tr2bl w:val="nil"/>
                  </w:tcBorders>
                  <w:vAlign w:val="center"/>
                </w:tcPr>
                <w:p w14:paraId="750F5C7B">
                  <w:pPr>
                    <w:pStyle w:val="106"/>
                    <w:bidi w:val="0"/>
                    <w:rPr>
                      <w:rFonts w:hint="default"/>
                      <w:lang w:val="en-US" w:eastAsia="zh-CN"/>
                    </w:rPr>
                  </w:pPr>
                  <w:r>
                    <w:rPr>
                      <w:rFonts w:hint="default"/>
                      <w:lang w:val="en-US" w:eastAsia="zh-CN"/>
                    </w:rPr>
                    <w:t>可行</w:t>
                  </w:r>
                </w:p>
              </w:tc>
            </w:tr>
            <w:tr w14:paraId="757E5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258" w:type="dxa"/>
                  <w:vMerge w:val="restart"/>
                  <w:tcBorders>
                    <w:tl2br w:val="nil"/>
                    <w:tr2bl w:val="nil"/>
                  </w:tcBorders>
                  <w:vAlign w:val="center"/>
                </w:tcPr>
                <w:p w14:paraId="26C39978">
                  <w:pPr>
                    <w:pStyle w:val="106"/>
                    <w:bidi w:val="0"/>
                    <w:rPr>
                      <w:rFonts w:hint="default"/>
                      <w:lang w:val="en-US" w:eastAsia="zh-CN"/>
                    </w:rPr>
                  </w:pPr>
                  <w:r>
                    <w:rPr>
                      <w:rFonts w:hint="default"/>
                      <w:lang w:val="en-US" w:eastAsia="zh-CN"/>
                    </w:rPr>
                    <w:t>排水系统</w:t>
                  </w:r>
                </w:p>
              </w:tc>
              <w:tc>
                <w:tcPr>
                  <w:tcW w:w="2346" w:type="dxa"/>
                  <w:tcBorders>
                    <w:tl2br w:val="nil"/>
                    <w:tr2bl w:val="nil"/>
                  </w:tcBorders>
                  <w:vAlign w:val="center"/>
                </w:tcPr>
                <w:p w14:paraId="60549763">
                  <w:pPr>
                    <w:pStyle w:val="106"/>
                    <w:bidi w:val="0"/>
                    <w:rPr>
                      <w:rFonts w:hint="default"/>
                      <w:lang w:val="en-US" w:eastAsia="zh-CN"/>
                    </w:rPr>
                  </w:pPr>
                  <w:r>
                    <w:rPr>
                      <w:rFonts w:hint="default"/>
                      <w:lang w:val="en-US" w:eastAsia="zh-CN"/>
                    </w:rPr>
                    <w:t>接园区污水管网</w:t>
                  </w:r>
                </w:p>
              </w:tc>
              <w:tc>
                <w:tcPr>
                  <w:tcW w:w="4484" w:type="dxa"/>
                  <w:tcBorders>
                    <w:tl2br w:val="nil"/>
                    <w:tr2bl w:val="nil"/>
                  </w:tcBorders>
                  <w:vAlign w:val="center"/>
                </w:tcPr>
                <w:p w14:paraId="42FB5896">
                  <w:pPr>
                    <w:pStyle w:val="106"/>
                    <w:bidi w:val="0"/>
                    <w:rPr>
                      <w:rFonts w:hint="default"/>
                      <w:lang w:val="en-US" w:eastAsia="zh-CN"/>
                    </w:rPr>
                  </w:pPr>
                  <w:r>
                    <w:rPr>
                      <w:rFonts w:hint="default"/>
                      <w:lang w:val="en-US" w:eastAsia="zh-CN"/>
                    </w:rPr>
                    <w:t>园区已建污水管网连接</w:t>
                  </w:r>
                  <w:r>
                    <w:rPr>
                      <w:rFonts w:hint="eastAsia"/>
                      <w:color w:val="auto"/>
                      <w:lang w:val="en-US" w:eastAsia="zh-CN"/>
                    </w:rPr>
                    <w:t>龙眼井污水处理厂</w:t>
                  </w:r>
                </w:p>
              </w:tc>
              <w:tc>
                <w:tcPr>
                  <w:tcW w:w="1089" w:type="dxa"/>
                  <w:tcBorders>
                    <w:tl2br w:val="nil"/>
                    <w:tr2bl w:val="nil"/>
                  </w:tcBorders>
                  <w:vAlign w:val="center"/>
                </w:tcPr>
                <w:p w14:paraId="0850FF0A">
                  <w:pPr>
                    <w:pStyle w:val="106"/>
                    <w:bidi w:val="0"/>
                    <w:rPr>
                      <w:rFonts w:hint="default"/>
                      <w:lang w:val="en-US" w:eastAsia="zh-CN"/>
                    </w:rPr>
                  </w:pPr>
                  <w:r>
                    <w:rPr>
                      <w:rFonts w:hint="default"/>
                      <w:lang w:val="en-US" w:eastAsia="zh-CN"/>
                    </w:rPr>
                    <w:t>可行</w:t>
                  </w:r>
                </w:p>
              </w:tc>
            </w:tr>
            <w:tr w14:paraId="41C57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1258" w:type="dxa"/>
                  <w:vMerge w:val="continue"/>
                  <w:tcBorders>
                    <w:tl2br w:val="nil"/>
                    <w:tr2bl w:val="nil"/>
                  </w:tcBorders>
                  <w:vAlign w:val="center"/>
                </w:tcPr>
                <w:p w14:paraId="7C2664BC">
                  <w:pPr>
                    <w:pStyle w:val="106"/>
                    <w:bidi w:val="0"/>
                    <w:rPr>
                      <w:rFonts w:hint="default"/>
                      <w:lang w:val="en-US" w:eastAsia="zh-CN"/>
                    </w:rPr>
                  </w:pPr>
                </w:p>
              </w:tc>
              <w:tc>
                <w:tcPr>
                  <w:tcW w:w="2346" w:type="dxa"/>
                  <w:tcBorders>
                    <w:tl2br w:val="nil"/>
                    <w:tr2bl w:val="nil"/>
                  </w:tcBorders>
                  <w:vAlign w:val="center"/>
                </w:tcPr>
                <w:p w14:paraId="3A417058">
                  <w:pPr>
                    <w:pStyle w:val="106"/>
                    <w:bidi w:val="0"/>
                    <w:rPr>
                      <w:rFonts w:hint="default"/>
                      <w:lang w:val="en-US" w:eastAsia="zh-CN"/>
                    </w:rPr>
                  </w:pPr>
                  <w:r>
                    <w:rPr>
                      <w:rFonts w:hint="eastAsia"/>
                      <w:color w:val="auto"/>
                      <w:lang w:val="en-US" w:eastAsia="zh-CN"/>
                    </w:rPr>
                    <w:t>龙眼井污水处理厂</w:t>
                  </w:r>
                  <w:r>
                    <w:rPr>
                      <w:rFonts w:hint="default"/>
                      <w:lang w:val="en-US" w:eastAsia="zh-CN"/>
                    </w:rPr>
                    <w:t>，处理规模为</w:t>
                  </w:r>
                  <w:r>
                    <w:rPr>
                      <w:rFonts w:hint="eastAsia"/>
                      <w:lang w:val="en-US" w:eastAsia="zh-CN"/>
                    </w:rPr>
                    <w:t>2.6</w:t>
                  </w:r>
                  <w:r>
                    <w:rPr>
                      <w:rFonts w:hint="default"/>
                      <w:lang w:val="en-US" w:eastAsia="zh-CN"/>
                    </w:rPr>
                    <w:t>万m</w:t>
                  </w:r>
                  <w:r>
                    <w:rPr>
                      <w:rFonts w:hint="default"/>
                      <w:vertAlign w:val="superscript"/>
                      <w:lang w:val="en-US" w:eastAsia="zh-CN"/>
                    </w:rPr>
                    <w:t>3</w:t>
                  </w:r>
                  <w:r>
                    <w:rPr>
                      <w:rFonts w:hint="default"/>
                      <w:lang w:val="en-US" w:eastAsia="zh-CN"/>
                    </w:rPr>
                    <w:t>/d</w:t>
                  </w:r>
                </w:p>
              </w:tc>
              <w:tc>
                <w:tcPr>
                  <w:tcW w:w="4484" w:type="dxa"/>
                  <w:tcBorders>
                    <w:tl2br w:val="nil"/>
                    <w:tr2bl w:val="nil"/>
                  </w:tcBorders>
                  <w:vAlign w:val="center"/>
                </w:tcPr>
                <w:p w14:paraId="60C48B53">
                  <w:pPr>
                    <w:pStyle w:val="106"/>
                    <w:bidi w:val="0"/>
                    <w:rPr>
                      <w:rFonts w:hint="default"/>
                      <w:lang w:val="en-US" w:eastAsia="zh-CN"/>
                    </w:rPr>
                  </w:pPr>
                  <w:r>
                    <w:rPr>
                      <w:rFonts w:hint="default"/>
                      <w:color w:val="auto"/>
                      <w:lang w:val="en-US" w:eastAsia="zh-CN"/>
                    </w:rPr>
                    <w:t>项目废水最大排放量为</w:t>
                  </w:r>
                  <w:r>
                    <w:rPr>
                      <w:rFonts w:hint="eastAsia"/>
                      <w:color w:val="auto"/>
                      <w:lang w:val="en-US" w:eastAsia="zh-CN"/>
                    </w:rPr>
                    <w:t>47.57</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w:t>
                  </w:r>
                  <w:r>
                    <w:rPr>
                      <w:rFonts w:hint="eastAsia" w:cs="Times New Roman"/>
                      <w:color w:val="auto"/>
                      <w:sz w:val="21"/>
                      <w:szCs w:val="21"/>
                      <w:lang w:val="en-US" w:eastAsia="zh-CN"/>
                    </w:rPr>
                    <w:t>龙眼井污水处理厂现阶段处理量为2.04万m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/d，剩余约4600m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/d处理量，</w:t>
                  </w:r>
                  <w:r>
                    <w:rPr>
                      <w:rFonts w:hint="default"/>
                      <w:lang w:val="en-US" w:eastAsia="zh-CN"/>
                    </w:rPr>
                    <w:t>该厂区属于</w:t>
                  </w:r>
                  <w:r>
                    <w:rPr>
                      <w:rFonts w:hint="eastAsia"/>
                      <w:color w:val="auto"/>
                      <w:lang w:val="en-US" w:eastAsia="zh-CN"/>
                    </w:rPr>
                    <w:t>龙眼井污水处理厂</w:t>
                  </w:r>
                  <w:r>
                    <w:rPr>
                      <w:rFonts w:hint="default"/>
                      <w:lang w:val="en-US" w:eastAsia="zh-CN"/>
                    </w:rPr>
                    <w:t>纳污范围内企业</w:t>
                  </w:r>
                </w:p>
              </w:tc>
              <w:tc>
                <w:tcPr>
                  <w:tcW w:w="1089" w:type="dxa"/>
                  <w:tcBorders>
                    <w:tl2br w:val="nil"/>
                    <w:tr2bl w:val="nil"/>
                  </w:tcBorders>
                  <w:vAlign w:val="center"/>
                </w:tcPr>
                <w:p w14:paraId="41DD16CC">
                  <w:pPr>
                    <w:pStyle w:val="106"/>
                    <w:bidi w:val="0"/>
                    <w:rPr>
                      <w:rFonts w:hint="default"/>
                      <w:lang w:val="en-US" w:eastAsia="zh-CN"/>
                    </w:rPr>
                  </w:pPr>
                  <w:r>
                    <w:rPr>
                      <w:rFonts w:hint="default"/>
                      <w:lang w:val="en-US" w:eastAsia="zh-CN"/>
                    </w:rPr>
                    <w:t>可行</w:t>
                  </w:r>
                </w:p>
              </w:tc>
            </w:tr>
          </w:tbl>
          <w:p w14:paraId="1B3173C0">
            <w:pPr>
              <w:keepNext w:val="0"/>
              <w:keepLines w:val="0"/>
              <w:pageBreakBefore w:val="0"/>
              <w:widowControl w:val="0"/>
              <w:kinsoku/>
              <w:wordWrap/>
              <w:overflowPunct/>
              <w:topLinePunct w:val="0"/>
              <w:autoSpaceDE w:val="0"/>
              <w:autoSpaceDN w:val="0"/>
              <w:bidi w:val="0"/>
              <w:adjustRightInd w:val="0"/>
              <w:snapToGrid w:val="0"/>
              <w:spacing w:before="157" w:beforeLines="50"/>
              <w:ind w:firstLine="482"/>
              <w:textAlignment w:val="auto"/>
              <w:rPr>
                <w:rFonts w:hint="eastAsia" w:ascii="黑体" w:hAnsi="黑体" w:eastAsia="黑体" w:cs="黑体"/>
                <w:b/>
                <w:bCs/>
                <w:color w:val="auto"/>
                <w:sz w:val="24"/>
                <w:szCs w:val="32"/>
                <w:highlight w:val="none"/>
              </w:rPr>
            </w:pPr>
            <w:r>
              <w:rPr>
                <w:rFonts w:hint="eastAsia" w:ascii="黑体" w:hAnsi="黑体" w:eastAsia="黑体" w:cs="黑体"/>
                <w:b/>
                <w:bCs/>
                <w:color w:val="auto"/>
                <w:sz w:val="24"/>
                <w:szCs w:val="32"/>
                <w:highlight w:val="none"/>
                <w:lang w:val="en-US" w:eastAsia="zh-CN"/>
              </w:rPr>
              <w:t>6、</w:t>
            </w:r>
            <w:r>
              <w:rPr>
                <w:rFonts w:hint="eastAsia" w:ascii="黑体" w:hAnsi="黑体" w:eastAsia="黑体" w:cs="黑体"/>
                <w:b/>
                <w:bCs/>
                <w:color w:val="auto"/>
                <w:sz w:val="24"/>
                <w:szCs w:val="32"/>
                <w:highlight w:val="none"/>
                <w:lang w:eastAsia="zh-CN"/>
              </w:rPr>
              <w:t>本项目</w:t>
            </w:r>
            <w:r>
              <w:rPr>
                <w:rFonts w:hint="eastAsia" w:ascii="黑体" w:hAnsi="黑体" w:eastAsia="黑体" w:cs="黑体"/>
                <w:b/>
                <w:bCs/>
                <w:color w:val="auto"/>
                <w:sz w:val="24"/>
                <w:szCs w:val="32"/>
                <w:highlight w:val="none"/>
              </w:rPr>
              <w:t>主要生产</w:t>
            </w:r>
            <w:r>
              <w:rPr>
                <w:rFonts w:hint="eastAsia" w:ascii="黑体" w:hAnsi="黑体" w:eastAsia="黑体" w:cs="黑体"/>
                <w:b/>
                <w:bCs/>
                <w:color w:val="auto"/>
                <w:sz w:val="24"/>
                <w:szCs w:val="32"/>
                <w:highlight w:val="none"/>
                <w:lang w:val="en-US" w:eastAsia="zh-CN"/>
              </w:rPr>
              <w:t>设备</w:t>
            </w:r>
            <w:r>
              <w:rPr>
                <w:rFonts w:hint="eastAsia" w:ascii="黑体" w:hAnsi="黑体" w:eastAsia="黑体" w:cs="黑体"/>
                <w:b/>
                <w:bCs/>
                <w:color w:val="auto"/>
                <w:sz w:val="24"/>
                <w:szCs w:val="32"/>
                <w:highlight w:val="none"/>
              </w:rPr>
              <w:t>及设施参数</w:t>
            </w:r>
          </w:p>
          <w:p w14:paraId="205604CA">
            <w:pPr>
              <w:ind w:firstLine="480"/>
              <w:rPr>
                <w:rFonts w:hint="eastAsia"/>
                <w:color w:val="auto"/>
                <w:sz w:val="24"/>
                <w:szCs w:val="32"/>
                <w:highlight w:val="none"/>
              </w:rPr>
            </w:pPr>
            <w:r>
              <w:rPr>
                <w:rFonts w:hint="eastAsia"/>
                <w:color w:val="auto"/>
                <w:szCs w:val="32"/>
                <w:highlight w:val="none"/>
                <w:lang w:eastAsia="zh-CN"/>
              </w:rPr>
              <w:t>本项目</w:t>
            </w:r>
            <w:r>
              <w:rPr>
                <w:rFonts w:hint="eastAsia"/>
                <w:color w:val="auto"/>
                <w:szCs w:val="32"/>
                <w:highlight w:val="none"/>
                <w:lang w:val="en-US" w:eastAsia="zh-CN"/>
              </w:rPr>
              <w:t>主要生产</w:t>
            </w:r>
            <w:r>
              <w:rPr>
                <w:rFonts w:hint="eastAsia"/>
                <w:color w:val="auto"/>
                <w:szCs w:val="32"/>
                <w:highlight w:val="none"/>
              </w:rPr>
              <w:t>设备</w:t>
            </w:r>
            <w:r>
              <w:rPr>
                <w:rFonts w:hint="eastAsia"/>
                <w:color w:val="auto"/>
                <w:szCs w:val="32"/>
                <w:highlight w:val="none"/>
                <w:lang w:val="en-US" w:eastAsia="zh-CN"/>
              </w:rPr>
              <w:t>信息</w:t>
            </w:r>
            <w:r>
              <w:rPr>
                <w:rFonts w:hint="eastAsia"/>
                <w:color w:val="auto"/>
                <w:szCs w:val="32"/>
                <w:highlight w:val="none"/>
              </w:rPr>
              <w:t>情况详见下表</w:t>
            </w:r>
            <w:r>
              <w:rPr>
                <w:rFonts w:hint="eastAsia"/>
                <w:color w:val="auto"/>
                <w:sz w:val="24"/>
                <w:szCs w:val="32"/>
                <w:highlight w:val="none"/>
              </w:rPr>
              <w:t>。</w:t>
            </w:r>
          </w:p>
          <w:p w14:paraId="3FB6FA9B">
            <w:pPr>
              <w:pStyle w:val="14"/>
              <w:bidi w:val="0"/>
              <w:rPr>
                <w:rFonts w:hint="eastAsia"/>
                <w:color w:val="auto"/>
                <w:highlight w:val="none"/>
              </w:rPr>
            </w:pPr>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10</w:t>
            </w:r>
            <w:r>
              <w:rPr>
                <w:color w:val="auto"/>
                <w:highlight w:val="none"/>
              </w:rPr>
              <w:fldChar w:fldCharType="end"/>
            </w:r>
            <w:r>
              <w:rPr>
                <w:rFonts w:hint="eastAsia"/>
                <w:color w:val="auto"/>
                <w:highlight w:val="none"/>
                <w:lang w:val="en-US" w:eastAsia="zh-CN"/>
              </w:rPr>
              <w:t xml:space="preserve">  本项目</w:t>
            </w:r>
            <w:r>
              <w:rPr>
                <w:rFonts w:hint="eastAsia"/>
                <w:color w:val="auto"/>
                <w:highlight w:val="none"/>
              </w:rPr>
              <w:t>主要</w:t>
            </w:r>
            <w:r>
              <w:rPr>
                <w:rFonts w:hint="eastAsia"/>
                <w:color w:val="auto"/>
                <w:highlight w:val="none"/>
                <w:lang w:val="en-US" w:eastAsia="zh-CN"/>
              </w:rPr>
              <w:t>生产</w:t>
            </w:r>
            <w:r>
              <w:rPr>
                <w:rFonts w:hint="eastAsia"/>
                <w:color w:val="auto"/>
                <w:highlight w:val="none"/>
              </w:rPr>
              <w:t>设备一览表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671"/>
              <w:gridCol w:w="654"/>
              <w:gridCol w:w="2241"/>
              <w:gridCol w:w="1299"/>
              <w:gridCol w:w="816"/>
              <w:gridCol w:w="649"/>
              <w:gridCol w:w="1651"/>
              <w:gridCol w:w="624"/>
            </w:tblGrid>
            <w:tr w14:paraId="1734E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bottom w:val="single" w:color="000000" w:sz="4" w:space="0"/>
                    <w:tl2br w:val="nil"/>
                    <w:tr2bl w:val="nil"/>
                  </w:tcBorders>
                  <w:noWrap/>
                  <w:vAlign w:val="center"/>
                </w:tcPr>
                <w:p w14:paraId="65756911">
                  <w:pPr>
                    <w:pStyle w:val="106"/>
                    <w:bidi w:val="0"/>
                    <w:rPr>
                      <w:rFonts w:hint="default"/>
                      <w:b/>
                      <w:bCs/>
                    </w:rPr>
                  </w:pPr>
                  <w:r>
                    <w:rPr>
                      <w:rFonts w:hint="default"/>
                      <w:b/>
                      <w:bCs/>
                    </w:rPr>
                    <w:t>序号</w:t>
                  </w:r>
                </w:p>
              </w:tc>
              <w:tc>
                <w:tcPr>
                  <w:tcW w:w="365" w:type="pct"/>
                  <w:tcBorders>
                    <w:bottom w:val="single" w:color="000000" w:sz="4" w:space="0"/>
                    <w:tl2br w:val="nil"/>
                    <w:tr2bl w:val="nil"/>
                  </w:tcBorders>
                  <w:shd w:val="clear" w:color="auto" w:fill="auto"/>
                  <w:noWrap w:val="0"/>
                  <w:vAlign w:val="center"/>
                </w:tcPr>
                <w:p w14:paraId="61193934">
                  <w:pPr>
                    <w:pStyle w:val="106"/>
                    <w:bidi w:val="0"/>
                    <w:rPr>
                      <w:rFonts w:hint="default" w:eastAsia="宋体"/>
                      <w:b/>
                      <w:bCs/>
                      <w:lang w:val="en-US" w:eastAsia="zh-CN"/>
                    </w:rPr>
                  </w:pPr>
                  <w:r>
                    <w:rPr>
                      <w:rFonts w:hint="eastAsia"/>
                      <w:b/>
                      <w:bCs/>
                      <w:lang w:val="en-US" w:eastAsia="zh-CN"/>
                    </w:rPr>
                    <w:t>产品种类</w:t>
                  </w:r>
                </w:p>
              </w:tc>
              <w:tc>
                <w:tcPr>
                  <w:tcW w:w="1575" w:type="pct"/>
                  <w:gridSpan w:val="2"/>
                  <w:tcBorders>
                    <w:bottom w:val="single" w:color="000000" w:sz="4" w:space="0"/>
                    <w:tl2br w:val="nil"/>
                    <w:tr2bl w:val="nil"/>
                  </w:tcBorders>
                  <w:shd w:val="clear" w:color="auto" w:fill="auto"/>
                  <w:noWrap w:val="0"/>
                  <w:vAlign w:val="center"/>
                </w:tcPr>
                <w:p w14:paraId="6E4300AB">
                  <w:pPr>
                    <w:pStyle w:val="106"/>
                    <w:bidi w:val="0"/>
                    <w:rPr>
                      <w:rFonts w:hint="default"/>
                      <w:b/>
                      <w:bCs/>
                      <w:lang w:val="en-US" w:eastAsia="zh-CN"/>
                    </w:rPr>
                  </w:pPr>
                  <w:r>
                    <w:rPr>
                      <w:rFonts w:hint="default"/>
                      <w:b/>
                      <w:bCs/>
                    </w:rPr>
                    <w:t>设备名称</w:t>
                  </w:r>
                </w:p>
              </w:tc>
              <w:tc>
                <w:tcPr>
                  <w:tcW w:w="707" w:type="pct"/>
                  <w:tcBorders>
                    <w:bottom w:val="single" w:color="000000" w:sz="4" w:space="0"/>
                    <w:tl2br w:val="nil"/>
                    <w:tr2bl w:val="nil"/>
                  </w:tcBorders>
                  <w:noWrap w:val="0"/>
                  <w:vAlign w:val="center"/>
                </w:tcPr>
                <w:p w14:paraId="61209980">
                  <w:pPr>
                    <w:pStyle w:val="106"/>
                    <w:bidi w:val="0"/>
                    <w:rPr>
                      <w:rFonts w:hint="default"/>
                      <w:b/>
                      <w:bCs/>
                    </w:rPr>
                  </w:pPr>
                  <w:r>
                    <w:rPr>
                      <w:rFonts w:hint="default"/>
                      <w:b/>
                      <w:bCs/>
                    </w:rPr>
                    <w:t>型号/规格</w:t>
                  </w:r>
                </w:p>
              </w:tc>
              <w:tc>
                <w:tcPr>
                  <w:tcW w:w="444" w:type="pct"/>
                  <w:tcBorders>
                    <w:bottom w:val="single" w:color="000000" w:sz="4" w:space="0"/>
                    <w:tl2br w:val="nil"/>
                    <w:tr2bl w:val="nil"/>
                  </w:tcBorders>
                  <w:noWrap w:val="0"/>
                  <w:vAlign w:val="center"/>
                </w:tcPr>
                <w:p w14:paraId="1566C001">
                  <w:pPr>
                    <w:pStyle w:val="106"/>
                    <w:bidi w:val="0"/>
                    <w:rPr>
                      <w:rFonts w:hint="eastAsia"/>
                      <w:b/>
                      <w:bCs/>
                      <w:lang w:val="en-US" w:eastAsia="zh-CN"/>
                    </w:rPr>
                  </w:pPr>
                  <w:r>
                    <w:rPr>
                      <w:rFonts w:hint="eastAsia"/>
                      <w:b/>
                      <w:bCs/>
                      <w:lang w:val="en-US" w:eastAsia="zh-CN"/>
                    </w:rPr>
                    <w:t>单位</w:t>
                  </w:r>
                </w:p>
              </w:tc>
              <w:tc>
                <w:tcPr>
                  <w:tcW w:w="353" w:type="pct"/>
                  <w:tcBorders>
                    <w:bottom w:val="single" w:color="000000" w:sz="4" w:space="0"/>
                    <w:tl2br w:val="nil"/>
                    <w:tr2bl w:val="nil"/>
                  </w:tcBorders>
                  <w:noWrap w:val="0"/>
                  <w:vAlign w:val="center"/>
                </w:tcPr>
                <w:p w14:paraId="76FF9DD4">
                  <w:pPr>
                    <w:pStyle w:val="106"/>
                    <w:bidi w:val="0"/>
                    <w:rPr>
                      <w:rFonts w:hint="default"/>
                      <w:b/>
                      <w:bCs/>
                      <w:lang w:val="en-US" w:eastAsia="zh-CN"/>
                    </w:rPr>
                  </w:pPr>
                  <w:r>
                    <w:rPr>
                      <w:rFonts w:hint="default"/>
                      <w:b/>
                      <w:bCs/>
                    </w:rPr>
                    <w:t>数量</w:t>
                  </w:r>
                </w:p>
              </w:tc>
              <w:tc>
                <w:tcPr>
                  <w:tcW w:w="898" w:type="pct"/>
                  <w:tcBorders>
                    <w:bottom w:val="single" w:color="000000" w:sz="4" w:space="0"/>
                    <w:tl2br w:val="nil"/>
                    <w:tr2bl w:val="nil"/>
                  </w:tcBorders>
                  <w:noWrap w:val="0"/>
                  <w:vAlign w:val="center"/>
                </w:tcPr>
                <w:p w14:paraId="67696686">
                  <w:pPr>
                    <w:pStyle w:val="106"/>
                    <w:bidi w:val="0"/>
                    <w:rPr>
                      <w:rFonts w:hint="default"/>
                      <w:b/>
                      <w:bCs/>
                      <w:color w:val="auto"/>
                    </w:rPr>
                  </w:pPr>
                  <w:r>
                    <w:rPr>
                      <w:rFonts w:hint="default"/>
                      <w:b/>
                      <w:bCs/>
                      <w:color w:val="auto"/>
                    </w:rPr>
                    <w:t>工序</w:t>
                  </w:r>
                </w:p>
              </w:tc>
              <w:tc>
                <w:tcPr>
                  <w:tcW w:w="339" w:type="pct"/>
                  <w:tcBorders>
                    <w:bottom w:val="single" w:color="000000" w:sz="4" w:space="0"/>
                    <w:tl2br w:val="nil"/>
                    <w:tr2bl w:val="nil"/>
                  </w:tcBorders>
                  <w:noWrap w:val="0"/>
                  <w:vAlign w:val="center"/>
                </w:tcPr>
                <w:p w14:paraId="1BC94DD6">
                  <w:pPr>
                    <w:pStyle w:val="106"/>
                    <w:bidi w:val="0"/>
                    <w:rPr>
                      <w:rFonts w:hint="eastAsia"/>
                      <w:b/>
                      <w:bCs/>
                      <w:color w:val="auto"/>
                      <w:lang w:val="en-US" w:eastAsia="zh-CN"/>
                    </w:rPr>
                  </w:pPr>
                  <w:r>
                    <w:rPr>
                      <w:rFonts w:hint="eastAsia"/>
                      <w:b/>
                      <w:bCs/>
                      <w:color w:val="auto"/>
                      <w:lang w:val="en-US" w:eastAsia="zh-CN"/>
                    </w:rPr>
                    <w:t>位置</w:t>
                  </w:r>
                </w:p>
              </w:tc>
            </w:tr>
            <w:tr w14:paraId="238B8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op w:val="single" w:color="000000" w:sz="4" w:space="0"/>
                    <w:tl2br w:val="nil"/>
                    <w:tr2bl w:val="nil"/>
                  </w:tcBorders>
                  <w:shd w:val="clear" w:color="auto" w:fill="auto"/>
                  <w:noWrap/>
                  <w:vAlign w:val="center"/>
                </w:tcPr>
                <w:p w14:paraId="3FC21542">
                  <w:pPr>
                    <w:pStyle w:val="106"/>
                    <w:numPr>
                      <w:ilvl w:val="0"/>
                      <w:numId w:val="0"/>
                    </w:numPr>
                    <w:bidi w:val="0"/>
                    <w:ind w:leftChars="0"/>
                    <w:jc w:val="center"/>
                    <w:rPr>
                      <w:rFonts w:hint="default"/>
                      <w:lang w:val="en-US" w:eastAsia="zh-CN"/>
                    </w:rPr>
                  </w:pPr>
                  <w:r>
                    <w:rPr>
                      <w:rFonts w:hint="eastAsia"/>
                      <w:lang w:val="en-US" w:eastAsia="zh-CN"/>
                    </w:rPr>
                    <w:t>1</w:t>
                  </w:r>
                </w:p>
              </w:tc>
              <w:tc>
                <w:tcPr>
                  <w:tcW w:w="365" w:type="pct"/>
                  <w:vMerge w:val="restart"/>
                  <w:tcBorders>
                    <w:top w:val="single" w:color="000000" w:sz="4" w:space="0"/>
                    <w:tl2br w:val="nil"/>
                    <w:tr2bl w:val="nil"/>
                  </w:tcBorders>
                  <w:shd w:val="clear" w:color="auto" w:fill="auto"/>
                  <w:noWrap w:val="0"/>
                  <w:vAlign w:val="center"/>
                </w:tcPr>
                <w:p w14:paraId="506D34B7">
                  <w:pPr>
                    <w:pStyle w:val="106"/>
                    <w:bidi w:val="0"/>
                    <w:rPr>
                      <w:rFonts w:hint="default"/>
                      <w:lang w:val="en-US" w:eastAsia="zh-CN"/>
                    </w:rPr>
                  </w:pPr>
                  <w:r>
                    <w:rPr>
                      <w:rFonts w:hint="eastAsia"/>
                      <w:lang w:val="en-US" w:eastAsia="zh-CN"/>
                    </w:rPr>
                    <w:t>果蔬冻干</w:t>
                  </w:r>
                </w:p>
              </w:tc>
              <w:tc>
                <w:tcPr>
                  <w:tcW w:w="1575" w:type="pct"/>
                  <w:gridSpan w:val="2"/>
                  <w:tcBorders>
                    <w:top w:val="single" w:color="000000" w:sz="4" w:space="0"/>
                    <w:tl2br w:val="nil"/>
                    <w:tr2bl w:val="nil"/>
                  </w:tcBorders>
                  <w:shd w:val="clear" w:color="auto" w:fill="auto"/>
                  <w:noWrap w:val="0"/>
                  <w:vAlign w:val="center"/>
                </w:tcPr>
                <w:p w14:paraId="0D8C6AB6">
                  <w:pPr>
                    <w:pStyle w:val="106"/>
                    <w:bidi w:val="0"/>
                    <w:rPr>
                      <w:rFonts w:hint="eastAsia"/>
                      <w:lang w:val="en-US" w:eastAsia="zh-CN"/>
                    </w:rPr>
                  </w:pPr>
                  <w:r>
                    <w:rPr>
                      <w:rFonts w:hint="eastAsia"/>
                      <w:lang w:val="en-US" w:eastAsia="zh-CN"/>
                    </w:rPr>
                    <w:t>气泡清洗机</w:t>
                  </w:r>
                </w:p>
              </w:tc>
              <w:tc>
                <w:tcPr>
                  <w:tcW w:w="707" w:type="pct"/>
                  <w:tcBorders>
                    <w:top w:val="single" w:color="000000" w:sz="4" w:space="0"/>
                    <w:tl2br w:val="nil"/>
                    <w:tr2bl w:val="nil"/>
                  </w:tcBorders>
                  <w:shd w:val="clear" w:color="auto" w:fill="auto"/>
                  <w:noWrap w:val="0"/>
                  <w:vAlign w:val="center"/>
                </w:tcPr>
                <w:p w14:paraId="7C6C77CE">
                  <w:pPr>
                    <w:pStyle w:val="106"/>
                    <w:bidi w:val="0"/>
                    <w:rPr>
                      <w:rFonts w:hint="default"/>
                      <w:lang w:val="en-US" w:eastAsia="zh-CN"/>
                    </w:rPr>
                  </w:pPr>
                  <w:r>
                    <w:rPr>
                      <w:rFonts w:hint="eastAsia"/>
                      <w:lang w:val="en-US" w:eastAsia="zh-CN"/>
                    </w:rPr>
                    <w:t>/</w:t>
                  </w:r>
                </w:p>
              </w:tc>
              <w:tc>
                <w:tcPr>
                  <w:tcW w:w="444" w:type="pct"/>
                  <w:tcBorders>
                    <w:top w:val="single" w:color="000000" w:sz="4" w:space="0"/>
                    <w:tl2br w:val="nil"/>
                    <w:tr2bl w:val="nil"/>
                  </w:tcBorders>
                  <w:shd w:val="clear" w:color="auto" w:fill="auto"/>
                  <w:noWrap w:val="0"/>
                  <w:vAlign w:val="center"/>
                </w:tcPr>
                <w:p w14:paraId="1EE99765">
                  <w:pPr>
                    <w:pStyle w:val="106"/>
                    <w:bidi w:val="0"/>
                    <w:rPr>
                      <w:rFonts w:hint="default"/>
                      <w:lang w:val="en-US" w:eastAsia="zh-CN"/>
                    </w:rPr>
                  </w:pPr>
                  <w:r>
                    <w:rPr>
                      <w:rFonts w:hint="eastAsia"/>
                      <w:lang w:val="en-US" w:eastAsia="zh-CN"/>
                    </w:rPr>
                    <w:t>台</w:t>
                  </w:r>
                </w:p>
              </w:tc>
              <w:tc>
                <w:tcPr>
                  <w:tcW w:w="353" w:type="pct"/>
                  <w:tcBorders>
                    <w:top w:val="single" w:color="000000" w:sz="4" w:space="0"/>
                    <w:tl2br w:val="nil"/>
                    <w:tr2bl w:val="nil"/>
                  </w:tcBorders>
                  <w:shd w:val="clear" w:color="auto" w:fill="auto"/>
                  <w:noWrap w:val="0"/>
                  <w:vAlign w:val="center"/>
                </w:tcPr>
                <w:p w14:paraId="510568BE">
                  <w:pPr>
                    <w:pStyle w:val="106"/>
                    <w:bidi w:val="0"/>
                    <w:rPr>
                      <w:rFonts w:hint="eastAsia"/>
                      <w:highlight w:val="none"/>
                      <w:lang w:val="en-US" w:eastAsia="zh-CN"/>
                    </w:rPr>
                  </w:pPr>
                  <w:r>
                    <w:rPr>
                      <w:rFonts w:hint="eastAsia"/>
                      <w:highlight w:val="none"/>
                      <w:lang w:val="en-US" w:eastAsia="zh-CN"/>
                    </w:rPr>
                    <w:t>4</w:t>
                  </w:r>
                </w:p>
              </w:tc>
              <w:tc>
                <w:tcPr>
                  <w:tcW w:w="898" w:type="pct"/>
                  <w:vMerge w:val="restart"/>
                  <w:tcBorders>
                    <w:top w:val="single" w:color="000000" w:sz="4" w:space="0"/>
                    <w:tl2br w:val="nil"/>
                    <w:tr2bl w:val="nil"/>
                  </w:tcBorders>
                  <w:shd w:val="clear" w:color="auto" w:fill="auto"/>
                  <w:noWrap w:val="0"/>
                  <w:vAlign w:val="center"/>
                </w:tcPr>
                <w:p w14:paraId="2F595D29">
                  <w:pPr>
                    <w:pStyle w:val="106"/>
                    <w:bidi w:val="0"/>
                    <w:rPr>
                      <w:rFonts w:hint="default"/>
                      <w:lang w:val="en-US" w:eastAsia="zh-CN"/>
                    </w:rPr>
                  </w:pPr>
                  <w:r>
                    <w:rPr>
                      <w:rFonts w:hint="eastAsia"/>
                      <w:lang w:val="en-US" w:eastAsia="zh-CN"/>
                    </w:rPr>
                    <w:t>清洗</w:t>
                  </w:r>
                </w:p>
              </w:tc>
              <w:tc>
                <w:tcPr>
                  <w:tcW w:w="339" w:type="pct"/>
                  <w:vMerge w:val="restart"/>
                  <w:tcBorders>
                    <w:top w:val="single" w:color="000000" w:sz="4" w:space="0"/>
                    <w:tl2br w:val="nil"/>
                    <w:tr2bl w:val="nil"/>
                  </w:tcBorders>
                  <w:shd w:val="clear" w:color="auto" w:fill="auto"/>
                  <w:noWrap w:val="0"/>
                  <w:vAlign w:val="center"/>
                </w:tcPr>
                <w:p w14:paraId="560D10F3">
                  <w:pPr>
                    <w:pStyle w:val="106"/>
                    <w:bidi w:val="0"/>
                    <w:rPr>
                      <w:rFonts w:hint="default"/>
                      <w:lang w:val="en-US" w:eastAsia="zh-CN"/>
                    </w:rPr>
                  </w:pPr>
                  <w:r>
                    <w:rPr>
                      <w:rFonts w:hint="eastAsia"/>
                      <w:lang w:val="en-US" w:eastAsia="zh-CN"/>
                    </w:rPr>
                    <w:t>二车间2F</w:t>
                  </w:r>
                </w:p>
              </w:tc>
            </w:tr>
            <w:tr w14:paraId="508AC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162CFFB8">
                  <w:pPr>
                    <w:pStyle w:val="106"/>
                    <w:bidi w:val="0"/>
                    <w:rPr>
                      <w:rFonts w:hint="default"/>
                      <w:lang w:val="en-US" w:eastAsia="zh-CN"/>
                    </w:rPr>
                  </w:pPr>
                  <w:r>
                    <w:t>2</w:t>
                  </w:r>
                </w:p>
              </w:tc>
              <w:tc>
                <w:tcPr>
                  <w:tcW w:w="365" w:type="pct"/>
                  <w:vMerge w:val="continue"/>
                  <w:tcBorders>
                    <w:tl2br w:val="nil"/>
                    <w:tr2bl w:val="nil"/>
                  </w:tcBorders>
                  <w:shd w:val="clear" w:color="auto" w:fill="auto"/>
                  <w:noWrap w:val="0"/>
                  <w:vAlign w:val="center"/>
                </w:tcPr>
                <w:p w14:paraId="7996383A">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1C972E1F">
                  <w:pPr>
                    <w:pStyle w:val="106"/>
                    <w:bidi w:val="0"/>
                    <w:rPr>
                      <w:rFonts w:hint="default"/>
                      <w:lang w:val="en-US" w:eastAsia="zh-CN"/>
                    </w:rPr>
                  </w:pPr>
                  <w:r>
                    <w:rPr>
                      <w:rFonts w:hint="eastAsia"/>
                      <w:lang w:val="en-US" w:eastAsia="zh-CN"/>
                    </w:rPr>
                    <w:t>高压喷淋机</w:t>
                  </w:r>
                </w:p>
              </w:tc>
              <w:tc>
                <w:tcPr>
                  <w:tcW w:w="707" w:type="pct"/>
                  <w:tcBorders>
                    <w:tl2br w:val="nil"/>
                    <w:tr2bl w:val="nil"/>
                  </w:tcBorders>
                  <w:shd w:val="clear" w:color="auto" w:fill="auto"/>
                  <w:noWrap w:val="0"/>
                  <w:vAlign w:val="center"/>
                </w:tcPr>
                <w:p w14:paraId="467723D5">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1B4ACD3E">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5C9DA07A">
                  <w:pPr>
                    <w:pStyle w:val="106"/>
                    <w:bidi w:val="0"/>
                    <w:rPr>
                      <w:rFonts w:hint="eastAsia"/>
                      <w:highlight w:val="none"/>
                      <w:lang w:val="en-US" w:eastAsia="zh-CN"/>
                    </w:rPr>
                  </w:pPr>
                  <w:r>
                    <w:rPr>
                      <w:rFonts w:hint="eastAsia"/>
                      <w:highlight w:val="none"/>
                      <w:lang w:val="en-US" w:eastAsia="zh-CN"/>
                    </w:rPr>
                    <w:t>4</w:t>
                  </w:r>
                </w:p>
              </w:tc>
              <w:tc>
                <w:tcPr>
                  <w:tcW w:w="898" w:type="pct"/>
                  <w:vMerge w:val="continue"/>
                  <w:tcBorders>
                    <w:tl2br w:val="nil"/>
                    <w:tr2bl w:val="nil"/>
                  </w:tcBorders>
                  <w:shd w:val="clear" w:color="auto" w:fill="auto"/>
                  <w:noWrap w:val="0"/>
                  <w:vAlign w:val="center"/>
                </w:tcPr>
                <w:p w14:paraId="7BF1B450">
                  <w:pPr>
                    <w:pStyle w:val="106"/>
                    <w:bidi w:val="0"/>
                    <w:rPr>
                      <w:rFonts w:hint="default"/>
                      <w:lang w:val="en-US" w:eastAsia="zh-CN"/>
                    </w:rPr>
                  </w:pPr>
                </w:p>
              </w:tc>
              <w:tc>
                <w:tcPr>
                  <w:tcW w:w="339" w:type="pct"/>
                  <w:vMerge w:val="continue"/>
                  <w:tcBorders>
                    <w:tl2br w:val="nil"/>
                    <w:tr2bl w:val="nil"/>
                  </w:tcBorders>
                  <w:shd w:val="clear" w:color="auto" w:fill="auto"/>
                  <w:noWrap w:val="0"/>
                  <w:vAlign w:val="center"/>
                </w:tcPr>
                <w:p w14:paraId="7758CF1F">
                  <w:pPr>
                    <w:pStyle w:val="106"/>
                    <w:bidi w:val="0"/>
                    <w:rPr>
                      <w:rFonts w:hint="eastAsia"/>
                      <w:lang w:val="en-US" w:eastAsia="zh-CN"/>
                    </w:rPr>
                  </w:pPr>
                </w:p>
              </w:tc>
            </w:tr>
            <w:tr w14:paraId="53FAD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17" w:type="pct"/>
                  <w:tcBorders>
                    <w:tl2br w:val="nil"/>
                    <w:tr2bl w:val="nil"/>
                  </w:tcBorders>
                  <w:shd w:val="clear" w:color="auto" w:fill="auto"/>
                  <w:noWrap/>
                  <w:vAlign w:val="center"/>
                </w:tcPr>
                <w:p w14:paraId="65589A34">
                  <w:pPr>
                    <w:pStyle w:val="106"/>
                    <w:bidi w:val="0"/>
                    <w:rPr>
                      <w:rFonts w:hint="default"/>
                      <w:lang w:val="en-US" w:eastAsia="zh-CN"/>
                    </w:rPr>
                  </w:pPr>
                  <w:r>
                    <w:t>3</w:t>
                  </w:r>
                </w:p>
              </w:tc>
              <w:tc>
                <w:tcPr>
                  <w:tcW w:w="365" w:type="pct"/>
                  <w:vMerge w:val="continue"/>
                  <w:tcBorders>
                    <w:tl2br w:val="nil"/>
                    <w:tr2bl w:val="nil"/>
                  </w:tcBorders>
                  <w:shd w:val="clear" w:color="auto" w:fill="auto"/>
                  <w:noWrap w:val="0"/>
                  <w:vAlign w:val="center"/>
                </w:tcPr>
                <w:p w14:paraId="229CF671">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705C311F">
                  <w:pPr>
                    <w:pStyle w:val="106"/>
                    <w:bidi w:val="0"/>
                    <w:rPr>
                      <w:rFonts w:hint="default"/>
                      <w:lang w:val="en-US" w:eastAsia="zh-CN"/>
                    </w:rPr>
                  </w:pPr>
                  <w:r>
                    <w:rPr>
                      <w:rFonts w:hint="eastAsia"/>
                      <w:lang w:val="en-US" w:eastAsia="zh-CN"/>
                    </w:rPr>
                    <w:t>分选机</w:t>
                  </w:r>
                </w:p>
              </w:tc>
              <w:tc>
                <w:tcPr>
                  <w:tcW w:w="707" w:type="pct"/>
                  <w:tcBorders>
                    <w:tl2br w:val="nil"/>
                    <w:tr2bl w:val="nil"/>
                  </w:tcBorders>
                  <w:shd w:val="clear" w:color="auto" w:fill="auto"/>
                  <w:noWrap w:val="0"/>
                  <w:vAlign w:val="center"/>
                </w:tcPr>
                <w:p w14:paraId="5C0F6AC0">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17F505B3">
                  <w:pPr>
                    <w:pStyle w:val="106"/>
                    <w:bidi w:val="0"/>
                    <w:rPr>
                      <w:rFonts w:hint="default"/>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3CD76F55">
                  <w:pPr>
                    <w:pStyle w:val="106"/>
                    <w:bidi w:val="0"/>
                    <w:rPr>
                      <w:rFonts w:hint="default"/>
                      <w:lang w:val="en-US" w:eastAsia="zh-CN"/>
                    </w:rPr>
                  </w:pPr>
                  <w:r>
                    <w:rPr>
                      <w:rFonts w:hint="eastAsia"/>
                      <w:lang w:val="en-US" w:eastAsia="zh-CN"/>
                    </w:rPr>
                    <w:t>1</w:t>
                  </w:r>
                </w:p>
              </w:tc>
              <w:tc>
                <w:tcPr>
                  <w:tcW w:w="898" w:type="pct"/>
                  <w:vMerge w:val="restart"/>
                  <w:tcBorders>
                    <w:tl2br w:val="nil"/>
                    <w:tr2bl w:val="nil"/>
                  </w:tcBorders>
                  <w:noWrap w:val="0"/>
                  <w:vAlign w:val="center"/>
                </w:tcPr>
                <w:p w14:paraId="67B182D0">
                  <w:pPr>
                    <w:pStyle w:val="106"/>
                    <w:bidi w:val="0"/>
                    <w:rPr>
                      <w:rFonts w:hint="default"/>
                      <w:lang w:val="en-US" w:eastAsia="zh-CN"/>
                    </w:rPr>
                  </w:pPr>
                  <w:r>
                    <w:rPr>
                      <w:rFonts w:hint="eastAsia"/>
                      <w:lang w:val="en-US" w:eastAsia="zh-CN"/>
                    </w:rPr>
                    <w:t>去皮核</w:t>
                  </w:r>
                </w:p>
              </w:tc>
              <w:tc>
                <w:tcPr>
                  <w:tcW w:w="339" w:type="pct"/>
                  <w:vMerge w:val="continue"/>
                  <w:tcBorders>
                    <w:tl2br w:val="nil"/>
                    <w:tr2bl w:val="nil"/>
                  </w:tcBorders>
                  <w:noWrap w:val="0"/>
                  <w:vAlign w:val="center"/>
                </w:tcPr>
                <w:p w14:paraId="08A8D2CC">
                  <w:pPr>
                    <w:pStyle w:val="106"/>
                    <w:bidi w:val="0"/>
                    <w:rPr>
                      <w:rFonts w:hint="eastAsia"/>
                      <w:lang w:val="en-US" w:eastAsia="zh-CN"/>
                    </w:rPr>
                  </w:pPr>
                </w:p>
              </w:tc>
            </w:tr>
            <w:tr w14:paraId="4E392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50A0B949">
                  <w:pPr>
                    <w:pStyle w:val="106"/>
                    <w:bidi w:val="0"/>
                    <w:rPr>
                      <w:rFonts w:hint="default"/>
                      <w:lang w:val="en-US" w:eastAsia="zh-CN"/>
                    </w:rPr>
                  </w:pPr>
                  <w:r>
                    <w:t>4</w:t>
                  </w:r>
                </w:p>
              </w:tc>
              <w:tc>
                <w:tcPr>
                  <w:tcW w:w="365" w:type="pct"/>
                  <w:vMerge w:val="continue"/>
                  <w:tcBorders>
                    <w:tl2br w:val="nil"/>
                    <w:tr2bl w:val="nil"/>
                  </w:tcBorders>
                  <w:shd w:val="clear" w:color="auto" w:fill="auto"/>
                  <w:noWrap w:val="0"/>
                  <w:vAlign w:val="center"/>
                </w:tcPr>
                <w:p w14:paraId="008382BF">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32D6B97D">
                  <w:pPr>
                    <w:pStyle w:val="106"/>
                    <w:bidi w:val="0"/>
                    <w:rPr>
                      <w:rFonts w:hint="eastAsia"/>
                      <w:lang w:val="en-US" w:eastAsia="zh-CN"/>
                    </w:rPr>
                  </w:pPr>
                  <w:r>
                    <w:rPr>
                      <w:rFonts w:hint="eastAsia"/>
                      <w:lang w:val="en-US" w:eastAsia="zh-CN"/>
                    </w:rPr>
                    <w:t>去皮/去核机</w:t>
                  </w:r>
                </w:p>
              </w:tc>
              <w:tc>
                <w:tcPr>
                  <w:tcW w:w="707" w:type="pct"/>
                  <w:tcBorders>
                    <w:tl2br w:val="nil"/>
                    <w:tr2bl w:val="nil"/>
                  </w:tcBorders>
                  <w:shd w:val="clear" w:color="auto" w:fill="auto"/>
                  <w:noWrap w:val="0"/>
                  <w:vAlign w:val="center"/>
                </w:tcPr>
                <w:p w14:paraId="35D90BE6">
                  <w:pPr>
                    <w:pStyle w:val="106"/>
                    <w:bidi w:val="0"/>
                    <w:rPr>
                      <w:rFonts w:hint="eastAsia"/>
                      <w:lang w:val="en-US" w:eastAsia="zh-CN"/>
                    </w:rPr>
                  </w:pPr>
                  <w:r>
                    <w:rPr>
                      <w:rFonts w:hint="eastAsia"/>
                      <w:lang w:val="en-US" w:eastAsia="zh-CN"/>
                    </w:rPr>
                    <w:t>QPZL-01</w:t>
                  </w:r>
                </w:p>
              </w:tc>
              <w:tc>
                <w:tcPr>
                  <w:tcW w:w="444" w:type="pct"/>
                  <w:tcBorders>
                    <w:tl2br w:val="nil"/>
                    <w:tr2bl w:val="nil"/>
                  </w:tcBorders>
                  <w:shd w:val="clear" w:color="auto" w:fill="auto"/>
                  <w:noWrap w:val="0"/>
                  <w:vAlign w:val="center"/>
                </w:tcPr>
                <w:p w14:paraId="20994AFF">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00C1C3E8">
                  <w:pPr>
                    <w:pStyle w:val="106"/>
                    <w:bidi w:val="0"/>
                    <w:rPr>
                      <w:rFonts w:hint="default"/>
                      <w:lang w:val="en-US" w:eastAsia="zh-CN"/>
                    </w:rPr>
                  </w:pPr>
                  <w:r>
                    <w:rPr>
                      <w:rFonts w:hint="eastAsia"/>
                      <w:lang w:val="en-US" w:eastAsia="zh-CN"/>
                    </w:rPr>
                    <w:t>2</w:t>
                  </w:r>
                </w:p>
              </w:tc>
              <w:tc>
                <w:tcPr>
                  <w:tcW w:w="898" w:type="pct"/>
                  <w:vMerge w:val="continue"/>
                  <w:tcBorders>
                    <w:tl2br w:val="nil"/>
                    <w:tr2bl w:val="nil"/>
                  </w:tcBorders>
                  <w:noWrap w:val="0"/>
                  <w:vAlign w:val="center"/>
                </w:tcPr>
                <w:p w14:paraId="49258231">
                  <w:pPr>
                    <w:pStyle w:val="106"/>
                    <w:bidi w:val="0"/>
                    <w:rPr>
                      <w:rFonts w:hint="eastAsia"/>
                      <w:lang w:val="en-US" w:eastAsia="zh-CN"/>
                    </w:rPr>
                  </w:pPr>
                </w:p>
              </w:tc>
              <w:tc>
                <w:tcPr>
                  <w:tcW w:w="339" w:type="pct"/>
                  <w:vMerge w:val="continue"/>
                  <w:tcBorders>
                    <w:tl2br w:val="nil"/>
                    <w:tr2bl w:val="nil"/>
                  </w:tcBorders>
                  <w:noWrap w:val="0"/>
                  <w:vAlign w:val="center"/>
                </w:tcPr>
                <w:p w14:paraId="1630426E">
                  <w:pPr>
                    <w:pStyle w:val="106"/>
                    <w:bidi w:val="0"/>
                    <w:rPr>
                      <w:rFonts w:hint="eastAsia"/>
                      <w:lang w:val="en-US" w:eastAsia="zh-CN"/>
                    </w:rPr>
                  </w:pPr>
                </w:p>
              </w:tc>
            </w:tr>
            <w:tr w14:paraId="03C35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34CFD5F1">
                  <w:pPr>
                    <w:pStyle w:val="106"/>
                    <w:bidi w:val="0"/>
                    <w:rPr>
                      <w:rFonts w:hint="default"/>
                      <w:lang w:val="en-US" w:eastAsia="zh-CN"/>
                    </w:rPr>
                  </w:pPr>
                  <w:r>
                    <w:t>5</w:t>
                  </w:r>
                </w:p>
              </w:tc>
              <w:tc>
                <w:tcPr>
                  <w:tcW w:w="365" w:type="pct"/>
                  <w:vMerge w:val="continue"/>
                  <w:tcBorders>
                    <w:tl2br w:val="nil"/>
                    <w:tr2bl w:val="nil"/>
                  </w:tcBorders>
                  <w:shd w:val="clear" w:color="auto" w:fill="auto"/>
                  <w:noWrap w:val="0"/>
                  <w:vAlign w:val="center"/>
                </w:tcPr>
                <w:p w14:paraId="5CD169BA">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4F3D080B">
                  <w:pPr>
                    <w:pStyle w:val="106"/>
                    <w:bidi w:val="0"/>
                    <w:rPr>
                      <w:rFonts w:hint="default"/>
                      <w:lang w:val="en-US" w:eastAsia="zh-CN"/>
                    </w:rPr>
                  </w:pPr>
                  <w:r>
                    <w:rPr>
                      <w:rFonts w:hint="eastAsia"/>
                      <w:lang w:val="en-US" w:eastAsia="zh-CN"/>
                    </w:rPr>
                    <w:t>多功能切菜机</w:t>
                  </w:r>
                </w:p>
              </w:tc>
              <w:tc>
                <w:tcPr>
                  <w:tcW w:w="707" w:type="pct"/>
                  <w:tcBorders>
                    <w:tl2br w:val="nil"/>
                    <w:tr2bl w:val="nil"/>
                  </w:tcBorders>
                  <w:shd w:val="clear" w:color="auto" w:fill="auto"/>
                  <w:noWrap w:val="0"/>
                  <w:vAlign w:val="center"/>
                </w:tcPr>
                <w:p w14:paraId="7F5B2C2B">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73A0D96D">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5DAF05D7">
                  <w:pPr>
                    <w:pStyle w:val="106"/>
                    <w:bidi w:val="0"/>
                    <w:rPr>
                      <w:rFonts w:hint="default"/>
                      <w:lang w:val="en-US" w:eastAsia="zh-CN"/>
                    </w:rPr>
                  </w:pPr>
                  <w:r>
                    <w:rPr>
                      <w:rFonts w:hint="eastAsia"/>
                      <w:lang w:val="en-US" w:eastAsia="zh-CN"/>
                    </w:rPr>
                    <w:t>3</w:t>
                  </w:r>
                </w:p>
              </w:tc>
              <w:tc>
                <w:tcPr>
                  <w:tcW w:w="898" w:type="pct"/>
                  <w:vMerge w:val="restart"/>
                  <w:tcBorders>
                    <w:tl2br w:val="nil"/>
                    <w:tr2bl w:val="nil"/>
                  </w:tcBorders>
                  <w:shd w:val="clear" w:color="auto" w:fill="auto"/>
                  <w:noWrap w:val="0"/>
                  <w:vAlign w:val="center"/>
                </w:tcPr>
                <w:p w14:paraId="0085EF58">
                  <w:pPr>
                    <w:pStyle w:val="106"/>
                    <w:bidi w:val="0"/>
                    <w:rPr>
                      <w:rFonts w:hint="default"/>
                      <w:lang w:val="en-US" w:eastAsia="zh-CN"/>
                    </w:rPr>
                  </w:pPr>
                  <w:r>
                    <w:rPr>
                      <w:rFonts w:hint="eastAsia"/>
                      <w:lang w:val="en-US" w:eastAsia="zh-CN"/>
                    </w:rPr>
                    <w:t>切割</w:t>
                  </w:r>
                </w:p>
              </w:tc>
              <w:tc>
                <w:tcPr>
                  <w:tcW w:w="339" w:type="pct"/>
                  <w:vMerge w:val="continue"/>
                  <w:tcBorders>
                    <w:tl2br w:val="nil"/>
                    <w:tr2bl w:val="nil"/>
                  </w:tcBorders>
                  <w:shd w:val="clear" w:color="auto" w:fill="auto"/>
                  <w:noWrap w:val="0"/>
                  <w:vAlign w:val="center"/>
                </w:tcPr>
                <w:p w14:paraId="059768BF">
                  <w:pPr>
                    <w:pStyle w:val="106"/>
                    <w:bidi w:val="0"/>
                    <w:rPr>
                      <w:rFonts w:hint="eastAsia"/>
                      <w:lang w:val="en-US" w:eastAsia="zh-CN"/>
                    </w:rPr>
                  </w:pPr>
                </w:p>
              </w:tc>
            </w:tr>
            <w:tr w14:paraId="7639E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010974D6">
                  <w:pPr>
                    <w:pStyle w:val="106"/>
                    <w:bidi w:val="0"/>
                    <w:rPr>
                      <w:rFonts w:hint="default"/>
                      <w:lang w:val="en-US" w:eastAsia="zh-CN"/>
                    </w:rPr>
                  </w:pPr>
                  <w:r>
                    <w:t>6</w:t>
                  </w:r>
                </w:p>
              </w:tc>
              <w:tc>
                <w:tcPr>
                  <w:tcW w:w="365" w:type="pct"/>
                  <w:vMerge w:val="continue"/>
                  <w:tcBorders>
                    <w:tl2br w:val="nil"/>
                    <w:tr2bl w:val="nil"/>
                  </w:tcBorders>
                  <w:shd w:val="clear" w:color="auto" w:fill="auto"/>
                  <w:noWrap w:val="0"/>
                  <w:vAlign w:val="center"/>
                </w:tcPr>
                <w:p w14:paraId="4CD7BA66">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22107175">
                  <w:pPr>
                    <w:pStyle w:val="106"/>
                    <w:bidi w:val="0"/>
                    <w:rPr>
                      <w:rFonts w:hint="default"/>
                      <w:lang w:val="en-US" w:eastAsia="zh-CN"/>
                    </w:rPr>
                  </w:pPr>
                  <w:r>
                    <w:rPr>
                      <w:rFonts w:hint="eastAsia"/>
                      <w:lang w:val="en-US" w:eastAsia="zh-CN"/>
                    </w:rPr>
                    <w:t>切片机</w:t>
                  </w:r>
                </w:p>
              </w:tc>
              <w:tc>
                <w:tcPr>
                  <w:tcW w:w="707" w:type="pct"/>
                  <w:tcBorders>
                    <w:tl2br w:val="nil"/>
                    <w:tr2bl w:val="nil"/>
                  </w:tcBorders>
                  <w:shd w:val="clear" w:color="auto" w:fill="auto"/>
                  <w:noWrap w:val="0"/>
                  <w:vAlign w:val="center"/>
                </w:tcPr>
                <w:p w14:paraId="3CECA9F9">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751FB947">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54B5C78B">
                  <w:pPr>
                    <w:pStyle w:val="106"/>
                    <w:bidi w:val="0"/>
                    <w:rPr>
                      <w:rFonts w:hint="default"/>
                      <w:lang w:val="en-US" w:eastAsia="zh-CN"/>
                    </w:rPr>
                  </w:pPr>
                  <w:r>
                    <w:rPr>
                      <w:rFonts w:hint="eastAsia"/>
                      <w:lang w:val="en-US" w:eastAsia="zh-CN"/>
                    </w:rPr>
                    <w:t>3</w:t>
                  </w:r>
                </w:p>
              </w:tc>
              <w:tc>
                <w:tcPr>
                  <w:tcW w:w="898" w:type="pct"/>
                  <w:vMerge w:val="continue"/>
                  <w:tcBorders>
                    <w:tl2br w:val="nil"/>
                    <w:tr2bl w:val="nil"/>
                  </w:tcBorders>
                  <w:shd w:val="clear" w:color="auto" w:fill="auto"/>
                  <w:noWrap w:val="0"/>
                  <w:vAlign w:val="center"/>
                </w:tcPr>
                <w:p w14:paraId="5CE0E098">
                  <w:pPr>
                    <w:pStyle w:val="106"/>
                    <w:bidi w:val="0"/>
                    <w:rPr>
                      <w:rFonts w:hint="default"/>
                      <w:lang w:val="en-US" w:eastAsia="zh-CN"/>
                    </w:rPr>
                  </w:pPr>
                </w:p>
              </w:tc>
              <w:tc>
                <w:tcPr>
                  <w:tcW w:w="339" w:type="pct"/>
                  <w:vMerge w:val="continue"/>
                  <w:tcBorders>
                    <w:tl2br w:val="nil"/>
                    <w:tr2bl w:val="nil"/>
                  </w:tcBorders>
                  <w:shd w:val="clear" w:color="auto" w:fill="auto"/>
                  <w:noWrap w:val="0"/>
                  <w:vAlign w:val="center"/>
                </w:tcPr>
                <w:p w14:paraId="6B7D035C">
                  <w:pPr>
                    <w:pStyle w:val="106"/>
                    <w:bidi w:val="0"/>
                    <w:rPr>
                      <w:rFonts w:hint="eastAsia"/>
                      <w:lang w:val="en-US" w:eastAsia="zh-CN"/>
                    </w:rPr>
                  </w:pPr>
                </w:p>
              </w:tc>
            </w:tr>
            <w:tr w14:paraId="6B9F7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44877356">
                  <w:pPr>
                    <w:pStyle w:val="106"/>
                    <w:bidi w:val="0"/>
                    <w:rPr>
                      <w:rFonts w:hint="default"/>
                      <w:lang w:val="en-US" w:eastAsia="zh-CN"/>
                    </w:rPr>
                  </w:pPr>
                  <w:r>
                    <w:t>7</w:t>
                  </w:r>
                </w:p>
              </w:tc>
              <w:tc>
                <w:tcPr>
                  <w:tcW w:w="365" w:type="pct"/>
                  <w:vMerge w:val="continue"/>
                  <w:tcBorders>
                    <w:tl2br w:val="nil"/>
                    <w:tr2bl w:val="nil"/>
                  </w:tcBorders>
                  <w:shd w:val="clear" w:color="auto" w:fill="auto"/>
                  <w:noWrap w:val="0"/>
                  <w:vAlign w:val="center"/>
                </w:tcPr>
                <w:p w14:paraId="31EEC852">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2B324B51">
                  <w:pPr>
                    <w:pStyle w:val="106"/>
                    <w:bidi w:val="0"/>
                    <w:rPr>
                      <w:rFonts w:hint="default"/>
                      <w:lang w:val="en-US" w:eastAsia="zh-CN"/>
                    </w:rPr>
                  </w:pPr>
                  <w:r>
                    <w:rPr>
                      <w:rFonts w:hint="eastAsia"/>
                      <w:lang w:val="en-US" w:eastAsia="zh-CN"/>
                    </w:rPr>
                    <w:t>切丁机</w:t>
                  </w:r>
                </w:p>
              </w:tc>
              <w:tc>
                <w:tcPr>
                  <w:tcW w:w="707" w:type="pct"/>
                  <w:tcBorders>
                    <w:tl2br w:val="nil"/>
                    <w:tr2bl w:val="nil"/>
                  </w:tcBorders>
                  <w:shd w:val="clear" w:color="auto" w:fill="auto"/>
                  <w:noWrap w:val="0"/>
                  <w:vAlign w:val="center"/>
                </w:tcPr>
                <w:p w14:paraId="41A936FC">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7E094122">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37B0776B">
                  <w:pPr>
                    <w:pStyle w:val="106"/>
                    <w:bidi w:val="0"/>
                    <w:rPr>
                      <w:rFonts w:hint="default"/>
                      <w:lang w:val="en-US" w:eastAsia="zh-CN"/>
                    </w:rPr>
                  </w:pPr>
                  <w:r>
                    <w:rPr>
                      <w:rFonts w:hint="eastAsia"/>
                      <w:lang w:val="en-US" w:eastAsia="zh-CN"/>
                    </w:rPr>
                    <w:t>3</w:t>
                  </w:r>
                </w:p>
              </w:tc>
              <w:tc>
                <w:tcPr>
                  <w:tcW w:w="898" w:type="pct"/>
                  <w:vMerge w:val="continue"/>
                  <w:tcBorders>
                    <w:tl2br w:val="nil"/>
                    <w:tr2bl w:val="nil"/>
                  </w:tcBorders>
                  <w:shd w:val="clear" w:color="auto" w:fill="auto"/>
                  <w:noWrap w:val="0"/>
                  <w:vAlign w:val="center"/>
                </w:tcPr>
                <w:p w14:paraId="6546C60D">
                  <w:pPr>
                    <w:pStyle w:val="106"/>
                    <w:bidi w:val="0"/>
                    <w:rPr>
                      <w:rFonts w:hint="default"/>
                      <w:lang w:val="en-US" w:eastAsia="zh-CN"/>
                    </w:rPr>
                  </w:pPr>
                </w:p>
              </w:tc>
              <w:tc>
                <w:tcPr>
                  <w:tcW w:w="339" w:type="pct"/>
                  <w:vMerge w:val="continue"/>
                  <w:tcBorders>
                    <w:tl2br w:val="nil"/>
                    <w:tr2bl w:val="nil"/>
                  </w:tcBorders>
                  <w:shd w:val="clear" w:color="auto" w:fill="auto"/>
                  <w:noWrap w:val="0"/>
                  <w:vAlign w:val="center"/>
                </w:tcPr>
                <w:p w14:paraId="20AA0B6B">
                  <w:pPr>
                    <w:pStyle w:val="106"/>
                    <w:bidi w:val="0"/>
                    <w:rPr>
                      <w:rFonts w:hint="eastAsia"/>
                      <w:lang w:val="en-US" w:eastAsia="zh-CN"/>
                    </w:rPr>
                  </w:pPr>
                </w:p>
              </w:tc>
            </w:tr>
            <w:tr w14:paraId="5CED4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152AAFA9">
                  <w:pPr>
                    <w:pStyle w:val="106"/>
                    <w:bidi w:val="0"/>
                    <w:rPr>
                      <w:rFonts w:hint="default"/>
                      <w:lang w:val="en-US" w:eastAsia="zh-CN"/>
                    </w:rPr>
                  </w:pPr>
                  <w:r>
                    <w:t>8</w:t>
                  </w:r>
                </w:p>
              </w:tc>
              <w:tc>
                <w:tcPr>
                  <w:tcW w:w="365" w:type="pct"/>
                  <w:vMerge w:val="continue"/>
                  <w:tcBorders>
                    <w:tl2br w:val="nil"/>
                    <w:tr2bl w:val="nil"/>
                  </w:tcBorders>
                  <w:shd w:val="clear" w:color="auto" w:fill="auto"/>
                  <w:noWrap w:val="0"/>
                  <w:vAlign w:val="center"/>
                </w:tcPr>
                <w:p w14:paraId="69BF07F0">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3A3B0CF8">
                  <w:pPr>
                    <w:pStyle w:val="106"/>
                    <w:bidi w:val="0"/>
                    <w:rPr>
                      <w:rFonts w:hint="eastAsia"/>
                      <w:lang w:val="en-US" w:eastAsia="zh-CN"/>
                    </w:rPr>
                  </w:pPr>
                  <w:r>
                    <w:rPr>
                      <w:rFonts w:hint="eastAsia"/>
                      <w:lang w:val="en-US" w:eastAsia="zh-CN"/>
                    </w:rPr>
                    <w:t>蒸汽发生器</w:t>
                  </w:r>
                </w:p>
              </w:tc>
              <w:tc>
                <w:tcPr>
                  <w:tcW w:w="707" w:type="pct"/>
                  <w:tcBorders>
                    <w:tl2br w:val="nil"/>
                    <w:tr2bl w:val="nil"/>
                  </w:tcBorders>
                  <w:shd w:val="clear" w:color="auto" w:fill="auto"/>
                  <w:noWrap w:val="0"/>
                  <w:vAlign w:val="center"/>
                </w:tcPr>
                <w:p w14:paraId="499A40BC">
                  <w:pPr>
                    <w:pStyle w:val="106"/>
                    <w:bidi w:val="0"/>
                    <w:rPr>
                      <w:rFonts w:hint="default"/>
                      <w:lang w:val="en-US" w:eastAsia="zh-CN"/>
                    </w:rPr>
                  </w:pPr>
                  <w:r>
                    <w:rPr>
                      <w:rFonts w:hint="eastAsia"/>
                      <w:lang w:val="en-US" w:eastAsia="zh-CN"/>
                    </w:rPr>
                    <w:t>20t/h</w:t>
                  </w:r>
                </w:p>
              </w:tc>
              <w:tc>
                <w:tcPr>
                  <w:tcW w:w="444" w:type="pct"/>
                  <w:tcBorders>
                    <w:tl2br w:val="nil"/>
                    <w:tr2bl w:val="nil"/>
                  </w:tcBorders>
                  <w:shd w:val="clear" w:color="auto" w:fill="auto"/>
                  <w:noWrap w:val="0"/>
                  <w:vAlign w:val="center"/>
                </w:tcPr>
                <w:p w14:paraId="00A2A1C8">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30DAE3E4">
                  <w:pPr>
                    <w:pStyle w:val="106"/>
                    <w:bidi w:val="0"/>
                    <w:rPr>
                      <w:rFonts w:hint="default"/>
                      <w:lang w:val="en-US" w:eastAsia="zh-CN"/>
                    </w:rPr>
                  </w:pPr>
                  <w:r>
                    <w:rPr>
                      <w:rFonts w:hint="eastAsia"/>
                      <w:lang w:val="en-US" w:eastAsia="zh-CN"/>
                    </w:rPr>
                    <w:t>1</w:t>
                  </w:r>
                </w:p>
              </w:tc>
              <w:tc>
                <w:tcPr>
                  <w:tcW w:w="898" w:type="pct"/>
                  <w:tcBorders>
                    <w:tl2br w:val="nil"/>
                    <w:tr2bl w:val="nil"/>
                  </w:tcBorders>
                  <w:shd w:val="clear" w:color="auto" w:fill="auto"/>
                  <w:noWrap w:val="0"/>
                  <w:vAlign w:val="center"/>
                </w:tcPr>
                <w:p w14:paraId="024B18DB">
                  <w:pPr>
                    <w:pStyle w:val="106"/>
                    <w:bidi w:val="0"/>
                    <w:rPr>
                      <w:rFonts w:hint="default"/>
                      <w:lang w:val="en-US" w:eastAsia="zh-CN"/>
                    </w:rPr>
                  </w:pPr>
                  <w:r>
                    <w:rPr>
                      <w:rFonts w:hint="eastAsia"/>
                      <w:lang w:val="en-US" w:eastAsia="zh-CN"/>
                    </w:rPr>
                    <w:t>蒸汽制备</w:t>
                  </w:r>
                </w:p>
              </w:tc>
              <w:tc>
                <w:tcPr>
                  <w:tcW w:w="339" w:type="pct"/>
                  <w:vMerge w:val="continue"/>
                  <w:tcBorders>
                    <w:tl2br w:val="nil"/>
                    <w:tr2bl w:val="nil"/>
                  </w:tcBorders>
                  <w:shd w:val="clear" w:color="auto" w:fill="auto"/>
                  <w:noWrap w:val="0"/>
                  <w:vAlign w:val="center"/>
                </w:tcPr>
                <w:p w14:paraId="33375F99">
                  <w:pPr>
                    <w:pStyle w:val="106"/>
                    <w:bidi w:val="0"/>
                    <w:rPr>
                      <w:rFonts w:hint="eastAsia"/>
                      <w:lang w:val="en-US" w:eastAsia="zh-CN"/>
                    </w:rPr>
                  </w:pPr>
                </w:p>
              </w:tc>
            </w:tr>
            <w:tr w14:paraId="0C82C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334E0329">
                  <w:pPr>
                    <w:pStyle w:val="106"/>
                    <w:bidi w:val="0"/>
                    <w:rPr>
                      <w:rFonts w:hint="default"/>
                      <w:lang w:val="en-US" w:eastAsia="zh-CN"/>
                    </w:rPr>
                  </w:pPr>
                  <w:r>
                    <w:t>9</w:t>
                  </w:r>
                </w:p>
              </w:tc>
              <w:tc>
                <w:tcPr>
                  <w:tcW w:w="365" w:type="pct"/>
                  <w:vMerge w:val="continue"/>
                  <w:tcBorders>
                    <w:tl2br w:val="nil"/>
                    <w:tr2bl w:val="nil"/>
                  </w:tcBorders>
                  <w:shd w:val="clear" w:color="auto" w:fill="auto"/>
                  <w:noWrap w:val="0"/>
                  <w:vAlign w:val="center"/>
                </w:tcPr>
                <w:p w14:paraId="60E1F891">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6032BCA5">
                  <w:pPr>
                    <w:pStyle w:val="106"/>
                    <w:bidi w:val="0"/>
                    <w:rPr>
                      <w:rFonts w:hint="eastAsia"/>
                      <w:lang w:val="en-US" w:eastAsia="zh-CN"/>
                    </w:rPr>
                  </w:pPr>
                  <w:r>
                    <w:rPr>
                      <w:rFonts w:hint="eastAsia"/>
                      <w:lang w:val="en-US" w:eastAsia="zh-CN"/>
                    </w:rPr>
                    <w:t>隧道式漂烫机</w:t>
                  </w:r>
                </w:p>
              </w:tc>
              <w:tc>
                <w:tcPr>
                  <w:tcW w:w="707" w:type="pct"/>
                  <w:tcBorders>
                    <w:tl2br w:val="nil"/>
                    <w:tr2bl w:val="nil"/>
                  </w:tcBorders>
                  <w:shd w:val="clear" w:color="auto" w:fill="auto"/>
                  <w:noWrap w:val="0"/>
                  <w:vAlign w:val="center"/>
                </w:tcPr>
                <w:p w14:paraId="005CD2D4">
                  <w:pPr>
                    <w:pStyle w:val="106"/>
                    <w:bidi w:val="0"/>
                    <w:rPr>
                      <w:rFonts w:hint="eastAsia"/>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0E2A47CE">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6A4037C6">
                  <w:pPr>
                    <w:pStyle w:val="106"/>
                    <w:bidi w:val="0"/>
                    <w:rPr>
                      <w:rFonts w:hint="default"/>
                      <w:lang w:val="en-US" w:eastAsia="zh-CN"/>
                    </w:rPr>
                  </w:pPr>
                  <w:r>
                    <w:rPr>
                      <w:rFonts w:hint="eastAsia"/>
                      <w:lang w:val="en-US" w:eastAsia="zh-CN"/>
                    </w:rPr>
                    <w:t>4</w:t>
                  </w:r>
                </w:p>
              </w:tc>
              <w:tc>
                <w:tcPr>
                  <w:tcW w:w="898" w:type="pct"/>
                  <w:vMerge w:val="restart"/>
                  <w:tcBorders>
                    <w:tl2br w:val="nil"/>
                    <w:tr2bl w:val="nil"/>
                  </w:tcBorders>
                  <w:shd w:val="clear" w:color="auto" w:fill="auto"/>
                  <w:noWrap w:val="0"/>
                  <w:vAlign w:val="center"/>
                </w:tcPr>
                <w:p w14:paraId="6879DEC4">
                  <w:pPr>
                    <w:pStyle w:val="106"/>
                    <w:bidi w:val="0"/>
                    <w:rPr>
                      <w:rFonts w:hint="default"/>
                      <w:lang w:val="en-US" w:eastAsia="zh-CN"/>
                    </w:rPr>
                  </w:pPr>
                  <w:r>
                    <w:rPr>
                      <w:rFonts w:hint="eastAsia"/>
                      <w:lang w:val="en-US" w:eastAsia="zh-CN"/>
                    </w:rPr>
                    <w:t>漂烫</w:t>
                  </w:r>
                </w:p>
              </w:tc>
              <w:tc>
                <w:tcPr>
                  <w:tcW w:w="339" w:type="pct"/>
                  <w:vMerge w:val="continue"/>
                  <w:tcBorders>
                    <w:tl2br w:val="nil"/>
                    <w:tr2bl w:val="nil"/>
                  </w:tcBorders>
                  <w:shd w:val="clear" w:color="auto" w:fill="auto"/>
                  <w:noWrap w:val="0"/>
                  <w:vAlign w:val="center"/>
                </w:tcPr>
                <w:p w14:paraId="377FC99D">
                  <w:pPr>
                    <w:pStyle w:val="106"/>
                    <w:bidi w:val="0"/>
                    <w:rPr>
                      <w:rFonts w:hint="eastAsia"/>
                      <w:lang w:val="en-US" w:eastAsia="zh-CN"/>
                    </w:rPr>
                  </w:pPr>
                </w:p>
              </w:tc>
            </w:tr>
            <w:tr w14:paraId="3076E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6E16165A">
                  <w:pPr>
                    <w:pStyle w:val="106"/>
                    <w:bidi w:val="0"/>
                    <w:rPr>
                      <w:rFonts w:hint="default"/>
                      <w:lang w:val="en-US" w:eastAsia="zh-CN"/>
                    </w:rPr>
                  </w:pPr>
                  <w:r>
                    <w:t>10</w:t>
                  </w:r>
                </w:p>
              </w:tc>
              <w:tc>
                <w:tcPr>
                  <w:tcW w:w="365" w:type="pct"/>
                  <w:vMerge w:val="continue"/>
                  <w:tcBorders>
                    <w:tl2br w:val="nil"/>
                    <w:tr2bl w:val="nil"/>
                  </w:tcBorders>
                  <w:shd w:val="clear" w:color="auto" w:fill="auto"/>
                  <w:noWrap w:val="0"/>
                  <w:vAlign w:val="center"/>
                </w:tcPr>
                <w:p w14:paraId="1B67F89F">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6061110E">
                  <w:pPr>
                    <w:pStyle w:val="106"/>
                    <w:bidi w:val="0"/>
                    <w:rPr>
                      <w:rFonts w:hint="default"/>
                      <w:lang w:val="en-US" w:eastAsia="zh-CN"/>
                    </w:rPr>
                  </w:pPr>
                  <w:r>
                    <w:rPr>
                      <w:rFonts w:hint="eastAsia"/>
                      <w:lang w:val="en-US" w:eastAsia="zh-CN"/>
                    </w:rPr>
                    <w:t>冷水循环冷却槽</w:t>
                  </w:r>
                </w:p>
              </w:tc>
              <w:tc>
                <w:tcPr>
                  <w:tcW w:w="707" w:type="pct"/>
                  <w:tcBorders>
                    <w:tl2br w:val="nil"/>
                    <w:tr2bl w:val="nil"/>
                  </w:tcBorders>
                  <w:shd w:val="clear" w:color="auto" w:fill="auto"/>
                  <w:noWrap w:val="0"/>
                  <w:vAlign w:val="center"/>
                </w:tcPr>
                <w:p w14:paraId="18848A5C">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4DBE7921">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12A1338B">
                  <w:pPr>
                    <w:pStyle w:val="106"/>
                    <w:bidi w:val="0"/>
                    <w:rPr>
                      <w:rFonts w:hint="default"/>
                      <w:lang w:val="en-US" w:eastAsia="zh-CN"/>
                    </w:rPr>
                  </w:pPr>
                  <w:r>
                    <w:rPr>
                      <w:rFonts w:hint="eastAsia"/>
                      <w:lang w:val="en-US" w:eastAsia="zh-CN"/>
                    </w:rPr>
                    <w:t>4</w:t>
                  </w:r>
                </w:p>
              </w:tc>
              <w:tc>
                <w:tcPr>
                  <w:tcW w:w="898" w:type="pct"/>
                  <w:vMerge w:val="continue"/>
                  <w:tcBorders>
                    <w:tl2br w:val="nil"/>
                    <w:tr2bl w:val="nil"/>
                  </w:tcBorders>
                  <w:shd w:val="clear" w:color="auto" w:fill="auto"/>
                  <w:noWrap w:val="0"/>
                  <w:vAlign w:val="center"/>
                </w:tcPr>
                <w:p w14:paraId="742F98A6">
                  <w:pPr>
                    <w:pStyle w:val="106"/>
                    <w:bidi w:val="0"/>
                    <w:rPr>
                      <w:rFonts w:hint="default"/>
                      <w:lang w:val="en-US" w:eastAsia="zh-CN"/>
                    </w:rPr>
                  </w:pPr>
                </w:p>
              </w:tc>
              <w:tc>
                <w:tcPr>
                  <w:tcW w:w="339" w:type="pct"/>
                  <w:vMerge w:val="continue"/>
                  <w:tcBorders>
                    <w:tl2br w:val="nil"/>
                    <w:tr2bl w:val="nil"/>
                  </w:tcBorders>
                  <w:shd w:val="clear" w:color="auto" w:fill="auto"/>
                  <w:noWrap w:val="0"/>
                  <w:vAlign w:val="center"/>
                </w:tcPr>
                <w:p w14:paraId="02423EC2">
                  <w:pPr>
                    <w:pStyle w:val="106"/>
                    <w:bidi w:val="0"/>
                    <w:rPr>
                      <w:rFonts w:hint="eastAsia"/>
                      <w:lang w:val="en-US" w:eastAsia="zh-CN"/>
                    </w:rPr>
                  </w:pPr>
                </w:p>
              </w:tc>
            </w:tr>
            <w:tr w14:paraId="3721D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71D35A1C">
                  <w:pPr>
                    <w:pStyle w:val="106"/>
                    <w:bidi w:val="0"/>
                    <w:rPr>
                      <w:rFonts w:hint="default"/>
                      <w:lang w:val="en-US" w:eastAsia="zh-CN"/>
                    </w:rPr>
                  </w:pPr>
                  <w:r>
                    <w:t>11</w:t>
                  </w:r>
                </w:p>
              </w:tc>
              <w:tc>
                <w:tcPr>
                  <w:tcW w:w="365" w:type="pct"/>
                  <w:vMerge w:val="continue"/>
                  <w:tcBorders>
                    <w:tl2br w:val="nil"/>
                    <w:tr2bl w:val="nil"/>
                  </w:tcBorders>
                  <w:shd w:val="clear" w:color="auto" w:fill="auto"/>
                  <w:noWrap w:val="0"/>
                  <w:vAlign w:val="center"/>
                </w:tcPr>
                <w:p w14:paraId="7BFA1B2F">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2C273CD0">
                  <w:pPr>
                    <w:pStyle w:val="106"/>
                    <w:bidi w:val="0"/>
                    <w:rPr>
                      <w:rFonts w:hint="default"/>
                      <w:lang w:val="en-US" w:eastAsia="zh-CN"/>
                    </w:rPr>
                  </w:pPr>
                  <w:r>
                    <w:rPr>
                      <w:rFonts w:hint="eastAsia"/>
                      <w:lang w:val="en-US" w:eastAsia="zh-CN"/>
                    </w:rPr>
                    <w:t>螺旋速冻机</w:t>
                  </w:r>
                </w:p>
              </w:tc>
              <w:tc>
                <w:tcPr>
                  <w:tcW w:w="707" w:type="pct"/>
                  <w:tcBorders>
                    <w:tl2br w:val="nil"/>
                    <w:tr2bl w:val="nil"/>
                  </w:tcBorders>
                  <w:shd w:val="clear" w:color="auto" w:fill="auto"/>
                  <w:noWrap w:val="0"/>
                  <w:vAlign w:val="center"/>
                </w:tcPr>
                <w:p w14:paraId="73396321">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0CBBFD75">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4F62062B">
                  <w:pPr>
                    <w:pStyle w:val="106"/>
                    <w:bidi w:val="0"/>
                    <w:rPr>
                      <w:rFonts w:hint="default"/>
                      <w:lang w:val="en-US" w:eastAsia="zh-CN"/>
                    </w:rPr>
                  </w:pPr>
                  <w:r>
                    <w:rPr>
                      <w:rFonts w:hint="eastAsia"/>
                      <w:lang w:val="en-US" w:eastAsia="zh-CN"/>
                    </w:rPr>
                    <w:t>2</w:t>
                  </w:r>
                </w:p>
              </w:tc>
              <w:tc>
                <w:tcPr>
                  <w:tcW w:w="898" w:type="pct"/>
                  <w:tcBorders>
                    <w:tl2br w:val="nil"/>
                    <w:tr2bl w:val="nil"/>
                  </w:tcBorders>
                  <w:shd w:val="clear" w:color="auto" w:fill="auto"/>
                  <w:noWrap w:val="0"/>
                  <w:vAlign w:val="center"/>
                </w:tcPr>
                <w:p w14:paraId="6CB92E54">
                  <w:pPr>
                    <w:pStyle w:val="106"/>
                    <w:bidi w:val="0"/>
                    <w:rPr>
                      <w:rFonts w:hint="default"/>
                      <w:lang w:val="en-US" w:eastAsia="zh-CN"/>
                    </w:rPr>
                  </w:pPr>
                  <w:r>
                    <w:rPr>
                      <w:rFonts w:hint="eastAsia"/>
                      <w:lang w:val="en-US" w:eastAsia="zh-CN"/>
                    </w:rPr>
                    <w:t>预冻结</w:t>
                  </w:r>
                </w:p>
              </w:tc>
              <w:tc>
                <w:tcPr>
                  <w:tcW w:w="339" w:type="pct"/>
                  <w:vMerge w:val="continue"/>
                  <w:tcBorders>
                    <w:tl2br w:val="nil"/>
                    <w:tr2bl w:val="nil"/>
                  </w:tcBorders>
                  <w:shd w:val="clear" w:color="auto" w:fill="auto"/>
                  <w:noWrap w:val="0"/>
                  <w:vAlign w:val="center"/>
                </w:tcPr>
                <w:p w14:paraId="77F1FA75">
                  <w:pPr>
                    <w:pStyle w:val="106"/>
                    <w:bidi w:val="0"/>
                    <w:rPr>
                      <w:rFonts w:hint="eastAsia"/>
                      <w:lang w:val="en-US" w:eastAsia="zh-CN"/>
                    </w:rPr>
                  </w:pPr>
                </w:p>
              </w:tc>
            </w:tr>
            <w:tr w14:paraId="51583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70AB3A87">
                  <w:pPr>
                    <w:pStyle w:val="106"/>
                    <w:bidi w:val="0"/>
                    <w:rPr>
                      <w:rFonts w:hint="default"/>
                      <w:lang w:val="en-US" w:eastAsia="zh-CN"/>
                    </w:rPr>
                  </w:pPr>
                  <w:r>
                    <w:t>12</w:t>
                  </w:r>
                </w:p>
              </w:tc>
              <w:tc>
                <w:tcPr>
                  <w:tcW w:w="365" w:type="pct"/>
                  <w:vMerge w:val="continue"/>
                  <w:tcBorders>
                    <w:tl2br w:val="nil"/>
                    <w:tr2bl w:val="nil"/>
                  </w:tcBorders>
                  <w:shd w:val="clear" w:color="auto" w:fill="auto"/>
                  <w:noWrap w:val="0"/>
                  <w:vAlign w:val="center"/>
                </w:tcPr>
                <w:p w14:paraId="42F2B862">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0A28779F">
                  <w:pPr>
                    <w:pStyle w:val="106"/>
                    <w:bidi w:val="0"/>
                    <w:rPr>
                      <w:rFonts w:hint="default"/>
                      <w:lang w:val="en-US" w:eastAsia="zh-CN"/>
                    </w:rPr>
                  </w:pPr>
                  <w:r>
                    <w:rPr>
                      <w:rFonts w:hint="eastAsia"/>
                      <w:lang w:val="en-US" w:eastAsia="zh-CN"/>
                    </w:rPr>
                    <w:t>真空冷冻干燥机</w:t>
                  </w:r>
                </w:p>
              </w:tc>
              <w:tc>
                <w:tcPr>
                  <w:tcW w:w="707" w:type="pct"/>
                  <w:tcBorders>
                    <w:tl2br w:val="nil"/>
                    <w:tr2bl w:val="nil"/>
                  </w:tcBorders>
                  <w:shd w:val="clear" w:color="auto" w:fill="auto"/>
                  <w:noWrap w:val="0"/>
                  <w:vAlign w:val="center"/>
                </w:tcPr>
                <w:p w14:paraId="58C3DC53">
                  <w:pPr>
                    <w:pStyle w:val="106"/>
                    <w:bidi w:val="0"/>
                    <w:rPr>
                      <w:rFonts w:hint="eastAsia"/>
                      <w:lang w:val="en-US" w:eastAsia="zh-CN"/>
                    </w:rPr>
                  </w:pPr>
                  <w:r>
                    <w:rPr>
                      <w:rFonts w:hint="eastAsia"/>
                      <w:lang w:val="en-US" w:eastAsia="zh-CN"/>
                    </w:rPr>
                    <w:t>DG-01</w:t>
                  </w:r>
                </w:p>
              </w:tc>
              <w:tc>
                <w:tcPr>
                  <w:tcW w:w="444" w:type="pct"/>
                  <w:tcBorders>
                    <w:tl2br w:val="nil"/>
                    <w:tr2bl w:val="nil"/>
                  </w:tcBorders>
                  <w:shd w:val="clear" w:color="auto" w:fill="auto"/>
                  <w:noWrap w:val="0"/>
                  <w:vAlign w:val="center"/>
                </w:tcPr>
                <w:p w14:paraId="6E29CE4F">
                  <w:pPr>
                    <w:pStyle w:val="106"/>
                    <w:bidi w:val="0"/>
                    <w:rPr>
                      <w:rFonts w:hint="eastAsia"/>
                      <w:lang w:val="en-US" w:eastAsia="zh-CN"/>
                    </w:rPr>
                  </w:pPr>
                  <w:r>
                    <w:rPr>
                      <w:rFonts w:hint="eastAsia"/>
                      <w:lang w:val="en-US" w:eastAsia="zh-CN"/>
                    </w:rPr>
                    <w:t>条</w:t>
                  </w:r>
                </w:p>
              </w:tc>
              <w:tc>
                <w:tcPr>
                  <w:tcW w:w="353" w:type="pct"/>
                  <w:tcBorders>
                    <w:tl2br w:val="nil"/>
                    <w:tr2bl w:val="nil"/>
                  </w:tcBorders>
                  <w:shd w:val="clear" w:color="auto" w:fill="auto"/>
                  <w:noWrap w:val="0"/>
                  <w:vAlign w:val="center"/>
                </w:tcPr>
                <w:p w14:paraId="5D0A866E">
                  <w:pPr>
                    <w:pStyle w:val="106"/>
                    <w:bidi w:val="0"/>
                    <w:rPr>
                      <w:rFonts w:hint="eastAsia"/>
                      <w:lang w:val="en-US" w:eastAsia="zh-CN"/>
                    </w:rPr>
                  </w:pPr>
                  <w:r>
                    <w:rPr>
                      <w:rFonts w:hint="eastAsia"/>
                      <w:lang w:val="en-US" w:eastAsia="zh-CN"/>
                    </w:rPr>
                    <w:t>2</w:t>
                  </w:r>
                </w:p>
              </w:tc>
              <w:tc>
                <w:tcPr>
                  <w:tcW w:w="898" w:type="pct"/>
                  <w:tcBorders>
                    <w:tl2br w:val="nil"/>
                    <w:tr2bl w:val="nil"/>
                  </w:tcBorders>
                  <w:shd w:val="clear" w:color="auto" w:fill="auto"/>
                  <w:noWrap w:val="0"/>
                  <w:vAlign w:val="center"/>
                </w:tcPr>
                <w:p w14:paraId="4F07C3E9">
                  <w:pPr>
                    <w:pStyle w:val="106"/>
                    <w:bidi w:val="0"/>
                    <w:rPr>
                      <w:rFonts w:hint="default"/>
                      <w:lang w:val="en-US" w:eastAsia="zh-CN"/>
                    </w:rPr>
                  </w:pPr>
                  <w:r>
                    <w:rPr>
                      <w:rFonts w:hint="eastAsia"/>
                      <w:lang w:val="en-US" w:eastAsia="zh-CN"/>
                    </w:rPr>
                    <w:t>升华干燥</w:t>
                  </w:r>
                </w:p>
              </w:tc>
              <w:tc>
                <w:tcPr>
                  <w:tcW w:w="339" w:type="pct"/>
                  <w:vMerge w:val="continue"/>
                  <w:tcBorders>
                    <w:tl2br w:val="nil"/>
                    <w:tr2bl w:val="nil"/>
                  </w:tcBorders>
                  <w:shd w:val="clear" w:color="auto" w:fill="auto"/>
                  <w:noWrap w:val="0"/>
                  <w:vAlign w:val="center"/>
                </w:tcPr>
                <w:p w14:paraId="79D3D945">
                  <w:pPr>
                    <w:pStyle w:val="106"/>
                    <w:bidi w:val="0"/>
                    <w:rPr>
                      <w:rFonts w:hint="eastAsia"/>
                      <w:lang w:val="en-US" w:eastAsia="zh-CN"/>
                    </w:rPr>
                  </w:pPr>
                </w:p>
              </w:tc>
            </w:tr>
            <w:tr w14:paraId="1D26F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tcBorders>
                    <w:tl2br w:val="nil"/>
                    <w:tr2bl w:val="nil"/>
                  </w:tcBorders>
                  <w:shd w:val="clear" w:color="auto" w:fill="auto"/>
                  <w:noWrap/>
                  <w:vAlign w:val="center"/>
                </w:tcPr>
                <w:p w14:paraId="25C17E2A">
                  <w:pPr>
                    <w:pStyle w:val="106"/>
                    <w:bidi w:val="0"/>
                    <w:rPr>
                      <w:rFonts w:hint="default"/>
                      <w:lang w:val="en-US" w:eastAsia="zh-CN"/>
                    </w:rPr>
                  </w:pPr>
                  <w:r>
                    <w:t>13</w:t>
                  </w:r>
                </w:p>
              </w:tc>
              <w:tc>
                <w:tcPr>
                  <w:tcW w:w="365" w:type="pct"/>
                  <w:vMerge w:val="continue"/>
                  <w:tcBorders>
                    <w:tl2br w:val="nil"/>
                    <w:tr2bl w:val="nil"/>
                  </w:tcBorders>
                  <w:shd w:val="clear" w:color="auto" w:fill="auto"/>
                  <w:noWrap w:val="0"/>
                  <w:vAlign w:val="center"/>
                </w:tcPr>
                <w:p w14:paraId="1FA67FEA">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1933AC9D">
                  <w:pPr>
                    <w:pStyle w:val="106"/>
                    <w:bidi w:val="0"/>
                    <w:rPr>
                      <w:rFonts w:hint="default"/>
                      <w:lang w:val="en-US" w:eastAsia="zh-CN"/>
                    </w:rPr>
                  </w:pPr>
                  <w:r>
                    <w:rPr>
                      <w:rFonts w:hint="eastAsia"/>
                      <w:lang w:val="en-US" w:eastAsia="zh-CN"/>
                    </w:rPr>
                    <w:t>振动筛分机</w:t>
                  </w:r>
                </w:p>
              </w:tc>
              <w:tc>
                <w:tcPr>
                  <w:tcW w:w="707" w:type="pct"/>
                  <w:tcBorders>
                    <w:tl2br w:val="nil"/>
                    <w:tr2bl w:val="nil"/>
                  </w:tcBorders>
                  <w:shd w:val="clear" w:color="auto" w:fill="auto"/>
                  <w:noWrap w:val="0"/>
                  <w:vAlign w:val="center"/>
                </w:tcPr>
                <w:p w14:paraId="7824CED8">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0F1D2F18">
                  <w:pPr>
                    <w:pStyle w:val="106"/>
                    <w:bidi w:val="0"/>
                    <w:rPr>
                      <w:rFonts w:hint="default"/>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3B4BCF83">
                  <w:pPr>
                    <w:pStyle w:val="106"/>
                    <w:bidi w:val="0"/>
                    <w:rPr>
                      <w:rFonts w:hint="default"/>
                      <w:lang w:val="en-US" w:eastAsia="zh-CN"/>
                    </w:rPr>
                  </w:pPr>
                  <w:r>
                    <w:rPr>
                      <w:rFonts w:hint="eastAsia"/>
                      <w:lang w:val="en-US" w:eastAsia="zh-CN"/>
                    </w:rPr>
                    <w:t>3</w:t>
                  </w:r>
                </w:p>
              </w:tc>
              <w:tc>
                <w:tcPr>
                  <w:tcW w:w="898" w:type="pct"/>
                  <w:tcBorders>
                    <w:tl2br w:val="nil"/>
                    <w:tr2bl w:val="nil"/>
                  </w:tcBorders>
                  <w:shd w:val="clear" w:color="auto" w:fill="auto"/>
                  <w:noWrap w:val="0"/>
                  <w:vAlign w:val="center"/>
                </w:tcPr>
                <w:p w14:paraId="0B1BD534">
                  <w:pPr>
                    <w:pStyle w:val="106"/>
                    <w:bidi w:val="0"/>
                    <w:rPr>
                      <w:rFonts w:hint="default"/>
                      <w:lang w:val="en-US" w:eastAsia="zh-CN"/>
                    </w:rPr>
                  </w:pPr>
                  <w:r>
                    <w:rPr>
                      <w:rFonts w:hint="eastAsia"/>
                      <w:lang w:val="en-US" w:eastAsia="zh-CN"/>
                    </w:rPr>
                    <w:t>分拣</w:t>
                  </w:r>
                </w:p>
              </w:tc>
              <w:tc>
                <w:tcPr>
                  <w:tcW w:w="339" w:type="pct"/>
                  <w:vMerge w:val="continue"/>
                  <w:tcBorders>
                    <w:tl2br w:val="nil"/>
                    <w:tr2bl w:val="nil"/>
                  </w:tcBorders>
                  <w:shd w:val="clear" w:color="auto" w:fill="auto"/>
                  <w:noWrap w:val="0"/>
                  <w:vAlign w:val="center"/>
                </w:tcPr>
                <w:p w14:paraId="5E5E56F7">
                  <w:pPr>
                    <w:pStyle w:val="106"/>
                    <w:bidi w:val="0"/>
                    <w:rPr>
                      <w:rFonts w:hint="eastAsia"/>
                      <w:lang w:val="en-US" w:eastAsia="zh-CN"/>
                    </w:rPr>
                  </w:pPr>
                </w:p>
              </w:tc>
            </w:tr>
            <w:tr w14:paraId="36D5C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4411CC49">
                  <w:pPr>
                    <w:pStyle w:val="106"/>
                    <w:bidi w:val="0"/>
                    <w:rPr>
                      <w:rFonts w:hint="default"/>
                      <w:lang w:val="en-US" w:eastAsia="zh-CN"/>
                    </w:rPr>
                  </w:pPr>
                  <w:r>
                    <w:t>14</w:t>
                  </w:r>
                </w:p>
              </w:tc>
              <w:tc>
                <w:tcPr>
                  <w:tcW w:w="365" w:type="pct"/>
                  <w:vMerge w:val="continue"/>
                  <w:tcBorders>
                    <w:tl2br w:val="nil"/>
                    <w:tr2bl w:val="nil"/>
                  </w:tcBorders>
                  <w:shd w:val="clear" w:color="auto" w:fill="auto"/>
                  <w:noWrap w:val="0"/>
                  <w:vAlign w:val="center"/>
                </w:tcPr>
                <w:p w14:paraId="109DF7A5">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56920A2C">
                  <w:pPr>
                    <w:pStyle w:val="106"/>
                    <w:bidi w:val="0"/>
                    <w:rPr>
                      <w:rFonts w:hint="default"/>
                      <w:lang w:val="en-US" w:eastAsia="zh-CN"/>
                    </w:rPr>
                  </w:pPr>
                  <w:r>
                    <w:rPr>
                      <w:rFonts w:hint="eastAsia"/>
                      <w:lang w:val="en-US" w:eastAsia="zh-CN"/>
                    </w:rPr>
                    <w:t>X射线检测仪</w:t>
                  </w:r>
                </w:p>
              </w:tc>
              <w:tc>
                <w:tcPr>
                  <w:tcW w:w="707" w:type="pct"/>
                  <w:tcBorders>
                    <w:tl2br w:val="nil"/>
                    <w:tr2bl w:val="nil"/>
                  </w:tcBorders>
                  <w:shd w:val="clear" w:color="auto" w:fill="auto"/>
                  <w:noWrap w:val="0"/>
                  <w:vAlign w:val="center"/>
                </w:tcPr>
                <w:p w14:paraId="4CB23E36">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2BCBD6CE">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6189029D">
                  <w:pPr>
                    <w:pStyle w:val="106"/>
                    <w:bidi w:val="0"/>
                    <w:rPr>
                      <w:rFonts w:hint="eastAsia"/>
                      <w:lang w:val="en-US" w:eastAsia="zh-CN"/>
                    </w:rPr>
                  </w:pPr>
                  <w:r>
                    <w:rPr>
                      <w:rFonts w:hint="eastAsia"/>
                      <w:lang w:val="en-US" w:eastAsia="zh-CN"/>
                    </w:rPr>
                    <w:t>3</w:t>
                  </w:r>
                </w:p>
              </w:tc>
              <w:tc>
                <w:tcPr>
                  <w:tcW w:w="898" w:type="pct"/>
                  <w:tcBorders>
                    <w:tl2br w:val="nil"/>
                    <w:tr2bl w:val="nil"/>
                  </w:tcBorders>
                  <w:shd w:val="clear" w:color="auto" w:fill="auto"/>
                  <w:noWrap w:val="0"/>
                  <w:vAlign w:val="center"/>
                </w:tcPr>
                <w:p w14:paraId="15407197">
                  <w:pPr>
                    <w:pStyle w:val="106"/>
                    <w:bidi w:val="0"/>
                    <w:rPr>
                      <w:rFonts w:hint="default"/>
                      <w:lang w:val="en-US" w:eastAsia="zh-CN"/>
                    </w:rPr>
                  </w:pPr>
                  <w:r>
                    <w:rPr>
                      <w:rFonts w:hint="eastAsia"/>
                      <w:lang w:val="en-US" w:eastAsia="zh-CN"/>
                    </w:rPr>
                    <w:t>探检</w:t>
                  </w:r>
                </w:p>
              </w:tc>
              <w:tc>
                <w:tcPr>
                  <w:tcW w:w="339" w:type="pct"/>
                  <w:vMerge w:val="continue"/>
                  <w:tcBorders>
                    <w:tl2br w:val="nil"/>
                    <w:tr2bl w:val="nil"/>
                  </w:tcBorders>
                  <w:shd w:val="clear" w:color="auto" w:fill="auto"/>
                  <w:noWrap w:val="0"/>
                  <w:vAlign w:val="center"/>
                </w:tcPr>
                <w:p w14:paraId="50675DF0">
                  <w:pPr>
                    <w:pStyle w:val="106"/>
                    <w:bidi w:val="0"/>
                    <w:rPr>
                      <w:rFonts w:hint="eastAsia"/>
                      <w:lang w:val="en-US" w:eastAsia="zh-CN"/>
                    </w:rPr>
                  </w:pPr>
                </w:p>
              </w:tc>
            </w:tr>
            <w:tr w14:paraId="0C107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2051F8DE">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15</w:t>
                  </w:r>
                </w:p>
              </w:tc>
              <w:tc>
                <w:tcPr>
                  <w:tcW w:w="365" w:type="pct"/>
                  <w:vMerge w:val="continue"/>
                  <w:tcBorders>
                    <w:tl2br w:val="nil"/>
                    <w:tr2bl w:val="nil"/>
                  </w:tcBorders>
                  <w:shd w:val="clear" w:color="auto" w:fill="auto"/>
                  <w:noWrap w:val="0"/>
                  <w:vAlign w:val="center"/>
                </w:tcPr>
                <w:p w14:paraId="4E66A84B">
                  <w:pPr>
                    <w:pStyle w:val="106"/>
                    <w:bidi w:val="0"/>
                    <w:ind w:firstLine="0" w:firstLineChars="0"/>
                    <w:rPr>
                      <w:rFonts w:hint="eastAsia"/>
                      <w:lang w:val="en-US" w:eastAsia="zh-CN"/>
                    </w:rPr>
                  </w:pPr>
                </w:p>
              </w:tc>
              <w:tc>
                <w:tcPr>
                  <w:tcW w:w="1575" w:type="pct"/>
                  <w:gridSpan w:val="2"/>
                  <w:tcBorders>
                    <w:tl2br w:val="nil"/>
                    <w:tr2bl w:val="nil"/>
                  </w:tcBorders>
                  <w:shd w:val="clear" w:color="auto" w:fill="auto"/>
                  <w:noWrap w:val="0"/>
                  <w:vAlign w:val="center"/>
                </w:tcPr>
                <w:p w14:paraId="5E1C0857">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激光喷码机</w:t>
                  </w:r>
                </w:p>
              </w:tc>
              <w:tc>
                <w:tcPr>
                  <w:tcW w:w="707" w:type="pct"/>
                  <w:tcBorders>
                    <w:tl2br w:val="nil"/>
                    <w:tr2bl w:val="nil"/>
                  </w:tcBorders>
                  <w:shd w:val="clear" w:color="auto" w:fill="auto"/>
                  <w:noWrap w:val="0"/>
                  <w:vAlign w:val="center"/>
                </w:tcPr>
                <w:p w14:paraId="637352D2">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7EA62981">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台</w:t>
                  </w:r>
                </w:p>
              </w:tc>
              <w:tc>
                <w:tcPr>
                  <w:tcW w:w="353" w:type="pct"/>
                  <w:tcBorders>
                    <w:tl2br w:val="nil"/>
                    <w:tr2bl w:val="nil"/>
                  </w:tcBorders>
                  <w:shd w:val="clear" w:color="auto" w:fill="auto"/>
                  <w:noWrap w:val="0"/>
                  <w:vAlign w:val="center"/>
                </w:tcPr>
                <w:p w14:paraId="3D45A823">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3</w:t>
                  </w:r>
                </w:p>
              </w:tc>
              <w:tc>
                <w:tcPr>
                  <w:tcW w:w="898" w:type="pct"/>
                  <w:tcBorders>
                    <w:tl2br w:val="nil"/>
                    <w:tr2bl w:val="nil"/>
                  </w:tcBorders>
                  <w:shd w:val="clear" w:color="auto" w:fill="auto"/>
                  <w:noWrap w:val="0"/>
                  <w:vAlign w:val="center"/>
                </w:tcPr>
                <w:p w14:paraId="659C6289">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喷码</w:t>
                  </w:r>
                </w:p>
              </w:tc>
              <w:tc>
                <w:tcPr>
                  <w:tcW w:w="339" w:type="pct"/>
                  <w:vMerge w:val="continue"/>
                  <w:tcBorders>
                    <w:tl2br w:val="nil"/>
                    <w:tr2bl w:val="nil"/>
                  </w:tcBorders>
                  <w:noWrap w:val="0"/>
                  <w:vAlign w:val="center"/>
                </w:tcPr>
                <w:p w14:paraId="25846890">
                  <w:pPr>
                    <w:pStyle w:val="106"/>
                    <w:bidi w:val="0"/>
                    <w:rPr>
                      <w:rFonts w:hint="eastAsia"/>
                      <w:lang w:val="en-US" w:eastAsia="zh-CN"/>
                    </w:rPr>
                  </w:pPr>
                </w:p>
              </w:tc>
            </w:tr>
            <w:tr w14:paraId="6B5A4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50BDEED7">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16</w:t>
                  </w:r>
                </w:p>
              </w:tc>
              <w:tc>
                <w:tcPr>
                  <w:tcW w:w="365" w:type="pct"/>
                  <w:vMerge w:val="continue"/>
                  <w:tcBorders>
                    <w:tl2br w:val="nil"/>
                    <w:tr2bl w:val="nil"/>
                  </w:tcBorders>
                  <w:shd w:val="clear" w:color="auto" w:fill="auto"/>
                  <w:noWrap w:val="0"/>
                  <w:vAlign w:val="center"/>
                </w:tcPr>
                <w:p w14:paraId="4F15F560">
                  <w:pPr>
                    <w:pStyle w:val="106"/>
                    <w:bidi w:val="0"/>
                    <w:ind w:firstLine="0" w:firstLineChars="0"/>
                    <w:rPr>
                      <w:rFonts w:hint="eastAsia"/>
                      <w:lang w:val="en-US" w:eastAsia="zh-CN"/>
                    </w:rPr>
                  </w:pPr>
                </w:p>
              </w:tc>
              <w:tc>
                <w:tcPr>
                  <w:tcW w:w="1575" w:type="pct"/>
                  <w:gridSpan w:val="2"/>
                  <w:tcBorders>
                    <w:tl2br w:val="nil"/>
                    <w:tr2bl w:val="nil"/>
                  </w:tcBorders>
                  <w:shd w:val="clear" w:color="auto" w:fill="auto"/>
                  <w:noWrap w:val="0"/>
                  <w:vAlign w:val="center"/>
                </w:tcPr>
                <w:p w14:paraId="01F1628E">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臭氧机</w:t>
                  </w:r>
                </w:p>
              </w:tc>
              <w:tc>
                <w:tcPr>
                  <w:tcW w:w="707" w:type="pct"/>
                  <w:tcBorders>
                    <w:tl2br w:val="nil"/>
                    <w:tr2bl w:val="nil"/>
                  </w:tcBorders>
                  <w:shd w:val="clear" w:color="auto" w:fill="auto"/>
                  <w:noWrap w:val="0"/>
                  <w:vAlign w:val="center"/>
                </w:tcPr>
                <w:p w14:paraId="4D8114E5">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69AF5E6D">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台</w:t>
                  </w:r>
                </w:p>
              </w:tc>
              <w:tc>
                <w:tcPr>
                  <w:tcW w:w="353" w:type="pct"/>
                  <w:tcBorders>
                    <w:tl2br w:val="nil"/>
                    <w:tr2bl w:val="nil"/>
                  </w:tcBorders>
                  <w:shd w:val="clear" w:color="auto" w:fill="auto"/>
                  <w:noWrap w:val="0"/>
                  <w:vAlign w:val="center"/>
                </w:tcPr>
                <w:p w14:paraId="07ADD0DD">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898" w:type="pct"/>
                  <w:tcBorders>
                    <w:tl2br w:val="nil"/>
                    <w:tr2bl w:val="nil"/>
                  </w:tcBorders>
                  <w:shd w:val="clear" w:color="auto" w:fill="auto"/>
                  <w:noWrap w:val="0"/>
                  <w:vAlign w:val="center"/>
                </w:tcPr>
                <w:p w14:paraId="2D3191B7">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杀菌</w:t>
                  </w:r>
                </w:p>
              </w:tc>
              <w:tc>
                <w:tcPr>
                  <w:tcW w:w="339" w:type="pct"/>
                  <w:vMerge w:val="continue"/>
                  <w:tcBorders>
                    <w:tl2br w:val="nil"/>
                    <w:tr2bl w:val="nil"/>
                  </w:tcBorders>
                  <w:noWrap w:val="0"/>
                  <w:vAlign w:val="center"/>
                </w:tcPr>
                <w:p w14:paraId="00CB469B">
                  <w:pPr>
                    <w:pStyle w:val="106"/>
                    <w:bidi w:val="0"/>
                    <w:rPr>
                      <w:rFonts w:hint="eastAsia"/>
                      <w:lang w:val="en-US" w:eastAsia="zh-CN"/>
                    </w:rPr>
                  </w:pPr>
                </w:p>
              </w:tc>
            </w:tr>
            <w:tr w14:paraId="68F10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16D000B9">
                  <w:pPr>
                    <w:pStyle w:val="106"/>
                    <w:bidi w:val="0"/>
                    <w:rPr>
                      <w:rFonts w:hint="default"/>
                      <w:lang w:val="en-US" w:eastAsia="zh-CN"/>
                    </w:rPr>
                  </w:pPr>
                  <w:r>
                    <w:rPr>
                      <w:rFonts w:hint="eastAsia"/>
                      <w:lang w:val="en-US" w:eastAsia="zh-CN"/>
                    </w:rPr>
                    <w:t>17</w:t>
                  </w:r>
                </w:p>
              </w:tc>
              <w:tc>
                <w:tcPr>
                  <w:tcW w:w="365" w:type="pct"/>
                  <w:vMerge w:val="continue"/>
                  <w:tcBorders>
                    <w:tl2br w:val="nil"/>
                    <w:tr2bl w:val="nil"/>
                  </w:tcBorders>
                  <w:shd w:val="clear" w:color="auto" w:fill="auto"/>
                  <w:noWrap w:val="0"/>
                  <w:vAlign w:val="center"/>
                </w:tcPr>
                <w:p w14:paraId="27CEA30C">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59540920">
                  <w:pPr>
                    <w:pStyle w:val="106"/>
                    <w:bidi w:val="0"/>
                    <w:rPr>
                      <w:rFonts w:hint="default"/>
                      <w:lang w:val="en-US" w:eastAsia="zh-CN"/>
                    </w:rPr>
                  </w:pPr>
                  <w:r>
                    <w:rPr>
                      <w:rFonts w:hint="eastAsia"/>
                      <w:lang w:val="en-US" w:eastAsia="zh-CN"/>
                    </w:rPr>
                    <w:t>真空充氮包装机</w:t>
                  </w:r>
                </w:p>
              </w:tc>
              <w:tc>
                <w:tcPr>
                  <w:tcW w:w="707" w:type="pct"/>
                  <w:tcBorders>
                    <w:tl2br w:val="nil"/>
                    <w:tr2bl w:val="nil"/>
                  </w:tcBorders>
                  <w:noWrap w:val="0"/>
                  <w:vAlign w:val="center"/>
                </w:tcPr>
                <w:p w14:paraId="034C70BA">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67D5100E">
                  <w:pPr>
                    <w:pStyle w:val="106"/>
                    <w:bidi w:val="0"/>
                    <w:rPr>
                      <w:rFonts w:hint="eastAsia"/>
                      <w:lang w:val="en-US" w:eastAsia="zh-CN"/>
                    </w:rPr>
                  </w:pPr>
                  <w:r>
                    <w:rPr>
                      <w:rFonts w:hint="eastAsia"/>
                      <w:lang w:val="en-US" w:eastAsia="zh-CN"/>
                    </w:rPr>
                    <w:t>台</w:t>
                  </w:r>
                </w:p>
              </w:tc>
              <w:tc>
                <w:tcPr>
                  <w:tcW w:w="353" w:type="pct"/>
                  <w:tcBorders>
                    <w:tl2br w:val="nil"/>
                    <w:tr2bl w:val="nil"/>
                  </w:tcBorders>
                  <w:noWrap w:val="0"/>
                  <w:vAlign w:val="center"/>
                </w:tcPr>
                <w:p w14:paraId="1BE00612">
                  <w:pPr>
                    <w:pStyle w:val="106"/>
                    <w:bidi w:val="0"/>
                    <w:rPr>
                      <w:rFonts w:hint="default"/>
                      <w:lang w:val="en-US" w:eastAsia="zh-CN"/>
                    </w:rPr>
                  </w:pPr>
                  <w:r>
                    <w:rPr>
                      <w:rFonts w:hint="eastAsia"/>
                      <w:lang w:val="en-US" w:eastAsia="zh-CN"/>
                    </w:rPr>
                    <w:t>3</w:t>
                  </w:r>
                </w:p>
              </w:tc>
              <w:tc>
                <w:tcPr>
                  <w:tcW w:w="898" w:type="pct"/>
                  <w:vMerge w:val="restart"/>
                  <w:tcBorders>
                    <w:tl2br w:val="nil"/>
                    <w:tr2bl w:val="nil"/>
                  </w:tcBorders>
                  <w:noWrap w:val="0"/>
                  <w:vAlign w:val="center"/>
                </w:tcPr>
                <w:p w14:paraId="7AC8F52B">
                  <w:pPr>
                    <w:pStyle w:val="106"/>
                    <w:bidi w:val="0"/>
                    <w:rPr>
                      <w:rFonts w:hint="default"/>
                      <w:lang w:val="en-US" w:eastAsia="zh-CN"/>
                    </w:rPr>
                  </w:pPr>
                  <w:r>
                    <w:rPr>
                      <w:rFonts w:hint="eastAsia"/>
                      <w:lang w:val="en-US" w:eastAsia="zh-CN"/>
                    </w:rPr>
                    <w:t>包装</w:t>
                  </w:r>
                </w:p>
              </w:tc>
              <w:tc>
                <w:tcPr>
                  <w:tcW w:w="339" w:type="pct"/>
                  <w:vMerge w:val="continue"/>
                  <w:tcBorders>
                    <w:tl2br w:val="nil"/>
                    <w:tr2bl w:val="nil"/>
                  </w:tcBorders>
                  <w:noWrap w:val="0"/>
                  <w:vAlign w:val="center"/>
                </w:tcPr>
                <w:p w14:paraId="20C7AB7D">
                  <w:pPr>
                    <w:pStyle w:val="106"/>
                    <w:bidi w:val="0"/>
                    <w:rPr>
                      <w:rFonts w:hint="eastAsia"/>
                      <w:lang w:val="en-US" w:eastAsia="zh-CN"/>
                    </w:rPr>
                  </w:pPr>
                </w:p>
              </w:tc>
            </w:tr>
            <w:tr w14:paraId="7930B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3BBE2700">
                  <w:pPr>
                    <w:pStyle w:val="106"/>
                    <w:bidi w:val="0"/>
                    <w:rPr>
                      <w:rFonts w:hint="default"/>
                      <w:lang w:val="en-US" w:eastAsia="zh-CN"/>
                    </w:rPr>
                  </w:pPr>
                  <w:r>
                    <w:rPr>
                      <w:rFonts w:hint="eastAsia"/>
                      <w:lang w:val="en-US" w:eastAsia="zh-CN"/>
                    </w:rPr>
                    <w:t>18</w:t>
                  </w:r>
                </w:p>
              </w:tc>
              <w:tc>
                <w:tcPr>
                  <w:tcW w:w="365" w:type="pct"/>
                  <w:vMerge w:val="continue"/>
                  <w:tcBorders>
                    <w:tl2br w:val="nil"/>
                    <w:tr2bl w:val="nil"/>
                  </w:tcBorders>
                  <w:shd w:val="clear" w:color="auto" w:fill="auto"/>
                  <w:noWrap w:val="0"/>
                  <w:vAlign w:val="center"/>
                </w:tcPr>
                <w:p w14:paraId="6E7A7F13">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3AAACA6A">
                  <w:pPr>
                    <w:pStyle w:val="106"/>
                    <w:bidi w:val="0"/>
                    <w:rPr>
                      <w:rFonts w:hint="default"/>
                      <w:lang w:val="en-US" w:eastAsia="zh-CN"/>
                    </w:rPr>
                  </w:pPr>
                  <w:r>
                    <w:rPr>
                      <w:rFonts w:hint="eastAsia"/>
                      <w:lang w:val="en-US" w:eastAsia="zh-CN"/>
                    </w:rPr>
                    <w:t>真空封口机</w:t>
                  </w:r>
                </w:p>
              </w:tc>
              <w:tc>
                <w:tcPr>
                  <w:tcW w:w="707" w:type="pct"/>
                  <w:tcBorders>
                    <w:tl2br w:val="nil"/>
                    <w:tr2bl w:val="nil"/>
                  </w:tcBorders>
                  <w:shd w:val="clear" w:color="auto" w:fill="auto"/>
                  <w:noWrap w:val="0"/>
                  <w:vAlign w:val="center"/>
                </w:tcPr>
                <w:p w14:paraId="0773274C">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6435FB42">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2B4D126B">
                  <w:pPr>
                    <w:pStyle w:val="106"/>
                    <w:bidi w:val="0"/>
                    <w:rPr>
                      <w:rFonts w:hint="default"/>
                      <w:lang w:val="en-US" w:eastAsia="zh-CN"/>
                    </w:rPr>
                  </w:pPr>
                  <w:r>
                    <w:rPr>
                      <w:rFonts w:hint="eastAsia"/>
                      <w:lang w:val="en-US" w:eastAsia="zh-CN"/>
                    </w:rPr>
                    <w:t>3</w:t>
                  </w:r>
                </w:p>
              </w:tc>
              <w:tc>
                <w:tcPr>
                  <w:tcW w:w="898" w:type="pct"/>
                  <w:vMerge w:val="continue"/>
                  <w:tcBorders>
                    <w:tl2br w:val="nil"/>
                    <w:tr2bl w:val="nil"/>
                  </w:tcBorders>
                  <w:shd w:val="clear" w:color="auto" w:fill="auto"/>
                  <w:noWrap w:val="0"/>
                  <w:vAlign w:val="center"/>
                </w:tcPr>
                <w:p w14:paraId="5C2A54F3">
                  <w:pPr>
                    <w:pStyle w:val="106"/>
                    <w:bidi w:val="0"/>
                    <w:rPr>
                      <w:rFonts w:hint="default"/>
                      <w:lang w:val="en-US" w:eastAsia="zh-CN"/>
                    </w:rPr>
                  </w:pPr>
                </w:p>
              </w:tc>
              <w:tc>
                <w:tcPr>
                  <w:tcW w:w="339" w:type="pct"/>
                  <w:vMerge w:val="continue"/>
                  <w:tcBorders>
                    <w:tl2br w:val="nil"/>
                    <w:tr2bl w:val="nil"/>
                  </w:tcBorders>
                  <w:shd w:val="clear" w:color="auto" w:fill="auto"/>
                  <w:noWrap w:val="0"/>
                  <w:vAlign w:val="center"/>
                </w:tcPr>
                <w:p w14:paraId="22863838">
                  <w:pPr>
                    <w:pStyle w:val="106"/>
                    <w:bidi w:val="0"/>
                    <w:rPr>
                      <w:rFonts w:hint="eastAsia"/>
                      <w:lang w:val="en-US" w:eastAsia="zh-CN"/>
                    </w:rPr>
                  </w:pPr>
                </w:p>
              </w:tc>
            </w:tr>
            <w:tr w14:paraId="5E47F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50B50DB7">
                  <w:pPr>
                    <w:pStyle w:val="106"/>
                    <w:bidi w:val="0"/>
                    <w:rPr>
                      <w:rFonts w:hint="default"/>
                      <w:lang w:val="en-US" w:eastAsia="zh-CN"/>
                    </w:rPr>
                  </w:pPr>
                  <w:r>
                    <w:rPr>
                      <w:rFonts w:hint="eastAsia"/>
                      <w:lang w:val="en-US" w:eastAsia="zh-CN"/>
                    </w:rPr>
                    <w:t>19</w:t>
                  </w:r>
                </w:p>
              </w:tc>
              <w:tc>
                <w:tcPr>
                  <w:tcW w:w="365" w:type="pct"/>
                  <w:vMerge w:val="continue"/>
                  <w:tcBorders>
                    <w:tl2br w:val="nil"/>
                    <w:tr2bl w:val="nil"/>
                  </w:tcBorders>
                  <w:shd w:val="clear" w:color="auto" w:fill="auto"/>
                  <w:noWrap w:val="0"/>
                  <w:vAlign w:val="center"/>
                </w:tcPr>
                <w:p w14:paraId="1AE39274">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74355FF3">
                  <w:pPr>
                    <w:pStyle w:val="106"/>
                    <w:bidi w:val="0"/>
                    <w:rPr>
                      <w:rFonts w:hint="default"/>
                      <w:lang w:val="en-US" w:eastAsia="zh-CN"/>
                    </w:rPr>
                  </w:pPr>
                  <w:r>
                    <w:rPr>
                      <w:rFonts w:hint="eastAsia"/>
                      <w:lang w:val="en-US" w:eastAsia="zh-CN"/>
                    </w:rPr>
                    <w:t>贴标机</w:t>
                  </w:r>
                </w:p>
              </w:tc>
              <w:tc>
                <w:tcPr>
                  <w:tcW w:w="707" w:type="pct"/>
                  <w:tcBorders>
                    <w:tl2br w:val="nil"/>
                    <w:tr2bl w:val="nil"/>
                  </w:tcBorders>
                  <w:shd w:val="clear" w:color="auto" w:fill="auto"/>
                  <w:noWrap w:val="0"/>
                  <w:vAlign w:val="center"/>
                </w:tcPr>
                <w:p w14:paraId="33B3F4C0">
                  <w:pPr>
                    <w:pStyle w:val="106"/>
                    <w:bidi w:val="0"/>
                    <w:rPr>
                      <w:rFonts w:hint="default"/>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5AD47542">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04E2D05D">
                  <w:pPr>
                    <w:pStyle w:val="106"/>
                    <w:bidi w:val="0"/>
                    <w:rPr>
                      <w:rFonts w:hint="default"/>
                      <w:lang w:val="en-US" w:eastAsia="zh-CN"/>
                    </w:rPr>
                  </w:pPr>
                  <w:r>
                    <w:rPr>
                      <w:rFonts w:hint="eastAsia"/>
                      <w:lang w:val="en-US" w:eastAsia="zh-CN"/>
                    </w:rPr>
                    <w:t>3</w:t>
                  </w:r>
                </w:p>
              </w:tc>
              <w:tc>
                <w:tcPr>
                  <w:tcW w:w="898" w:type="pct"/>
                  <w:vMerge w:val="continue"/>
                  <w:tcBorders>
                    <w:tl2br w:val="nil"/>
                    <w:tr2bl w:val="nil"/>
                  </w:tcBorders>
                  <w:shd w:val="clear" w:color="auto" w:fill="auto"/>
                  <w:noWrap w:val="0"/>
                  <w:vAlign w:val="center"/>
                </w:tcPr>
                <w:p w14:paraId="60A867CD">
                  <w:pPr>
                    <w:pStyle w:val="106"/>
                    <w:bidi w:val="0"/>
                    <w:rPr>
                      <w:rFonts w:hint="default"/>
                      <w:lang w:val="en-US" w:eastAsia="zh-CN"/>
                    </w:rPr>
                  </w:pPr>
                </w:p>
              </w:tc>
              <w:tc>
                <w:tcPr>
                  <w:tcW w:w="339" w:type="pct"/>
                  <w:vMerge w:val="continue"/>
                  <w:tcBorders>
                    <w:tl2br w:val="nil"/>
                    <w:tr2bl w:val="nil"/>
                  </w:tcBorders>
                  <w:shd w:val="clear" w:color="auto" w:fill="auto"/>
                  <w:noWrap w:val="0"/>
                  <w:vAlign w:val="center"/>
                </w:tcPr>
                <w:p w14:paraId="24933200">
                  <w:pPr>
                    <w:pStyle w:val="106"/>
                    <w:bidi w:val="0"/>
                    <w:rPr>
                      <w:rFonts w:hint="eastAsia"/>
                      <w:lang w:val="en-US" w:eastAsia="zh-CN"/>
                    </w:rPr>
                  </w:pPr>
                </w:p>
              </w:tc>
            </w:tr>
            <w:tr w14:paraId="3F8EA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7" w:type="pct"/>
                  <w:tcBorders>
                    <w:tl2br w:val="nil"/>
                    <w:tr2bl w:val="nil"/>
                  </w:tcBorders>
                  <w:shd w:val="clear" w:color="auto" w:fill="auto"/>
                  <w:noWrap/>
                  <w:vAlign w:val="center"/>
                </w:tcPr>
                <w:p w14:paraId="7D0F303B">
                  <w:pPr>
                    <w:pStyle w:val="106"/>
                    <w:bidi w:val="0"/>
                    <w:rPr>
                      <w:rFonts w:hint="default"/>
                      <w:lang w:val="en-US" w:eastAsia="zh-CN"/>
                    </w:rPr>
                  </w:pPr>
                  <w:r>
                    <w:rPr>
                      <w:rFonts w:hint="eastAsia"/>
                      <w:lang w:val="en-US" w:eastAsia="zh-CN"/>
                    </w:rPr>
                    <w:t>20</w:t>
                  </w:r>
                </w:p>
              </w:tc>
              <w:tc>
                <w:tcPr>
                  <w:tcW w:w="365" w:type="pct"/>
                  <w:vMerge w:val="continue"/>
                  <w:tcBorders>
                    <w:tl2br w:val="nil"/>
                    <w:tr2bl w:val="nil"/>
                  </w:tcBorders>
                  <w:shd w:val="clear" w:color="auto" w:fill="auto"/>
                  <w:noWrap w:val="0"/>
                  <w:vAlign w:val="center"/>
                </w:tcPr>
                <w:p w14:paraId="627E2970">
                  <w:pPr>
                    <w:pStyle w:val="106"/>
                    <w:bidi w:val="0"/>
                    <w:rPr>
                      <w:rFonts w:hint="eastAsia"/>
                      <w:lang w:val="en-US" w:eastAsia="zh-CN"/>
                    </w:rPr>
                  </w:pPr>
                </w:p>
              </w:tc>
              <w:tc>
                <w:tcPr>
                  <w:tcW w:w="1575" w:type="pct"/>
                  <w:gridSpan w:val="2"/>
                  <w:tcBorders>
                    <w:tl2br w:val="nil"/>
                    <w:tr2bl w:val="nil"/>
                  </w:tcBorders>
                  <w:shd w:val="clear" w:color="auto" w:fill="auto"/>
                  <w:noWrap w:val="0"/>
                  <w:vAlign w:val="center"/>
                </w:tcPr>
                <w:p w14:paraId="7796BE1B">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低氮燃烧处理器</w:t>
                  </w:r>
                </w:p>
              </w:tc>
              <w:tc>
                <w:tcPr>
                  <w:tcW w:w="707" w:type="pct"/>
                  <w:tcBorders>
                    <w:tl2br w:val="nil"/>
                    <w:tr2bl w:val="nil"/>
                  </w:tcBorders>
                  <w:shd w:val="clear" w:color="auto" w:fill="auto"/>
                  <w:noWrap w:val="0"/>
                  <w:vAlign w:val="center"/>
                </w:tcPr>
                <w:p w14:paraId="41EDF215">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444" w:type="pct"/>
                  <w:tcBorders>
                    <w:tl2br w:val="nil"/>
                    <w:tr2bl w:val="nil"/>
                  </w:tcBorders>
                  <w:shd w:val="clear" w:color="auto" w:fill="auto"/>
                  <w:noWrap w:val="0"/>
                  <w:vAlign w:val="center"/>
                </w:tcPr>
                <w:p w14:paraId="4AF6C5D4">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台</w:t>
                  </w:r>
                </w:p>
              </w:tc>
              <w:tc>
                <w:tcPr>
                  <w:tcW w:w="353" w:type="pct"/>
                  <w:tcBorders>
                    <w:tl2br w:val="nil"/>
                    <w:tr2bl w:val="nil"/>
                  </w:tcBorders>
                  <w:shd w:val="clear" w:color="auto" w:fill="auto"/>
                  <w:noWrap w:val="0"/>
                  <w:vAlign w:val="center"/>
                </w:tcPr>
                <w:p w14:paraId="3F36717E">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898" w:type="pct"/>
                  <w:tcBorders>
                    <w:tl2br w:val="nil"/>
                    <w:tr2bl w:val="nil"/>
                  </w:tcBorders>
                  <w:shd w:val="clear" w:color="auto" w:fill="auto"/>
                  <w:noWrap w:val="0"/>
                  <w:vAlign w:val="center"/>
                </w:tcPr>
                <w:p w14:paraId="0D18CB05">
                  <w:pPr>
                    <w:pStyle w:val="106"/>
                    <w:bidi w:val="0"/>
                    <w:rPr>
                      <w:rFonts w:hint="default"/>
                      <w:lang w:val="en-US" w:eastAsia="zh-CN"/>
                    </w:rPr>
                  </w:pPr>
                  <w:r>
                    <w:rPr>
                      <w:rFonts w:hint="eastAsia"/>
                      <w:lang w:val="en-US" w:eastAsia="zh-CN"/>
                    </w:rPr>
                    <w:t>废气治理</w:t>
                  </w:r>
                </w:p>
              </w:tc>
              <w:tc>
                <w:tcPr>
                  <w:tcW w:w="339" w:type="pct"/>
                  <w:vMerge w:val="continue"/>
                  <w:tcBorders>
                    <w:tl2br w:val="nil"/>
                    <w:tr2bl w:val="nil"/>
                  </w:tcBorders>
                  <w:shd w:val="clear" w:color="auto" w:fill="auto"/>
                  <w:noWrap w:val="0"/>
                  <w:vAlign w:val="center"/>
                </w:tcPr>
                <w:p w14:paraId="511A5457">
                  <w:pPr>
                    <w:pStyle w:val="106"/>
                    <w:bidi w:val="0"/>
                    <w:rPr>
                      <w:rFonts w:hint="eastAsia"/>
                      <w:lang w:val="en-US" w:eastAsia="zh-CN"/>
                    </w:rPr>
                  </w:pPr>
                </w:p>
              </w:tc>
            </w:tr>
            <w:tr w14:paraId="2CEA8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0E1D6BD7">
                  <w:pPr>
                    <w:pStyle w:val="106"/>
                    <w:bidi w:val="0"/>
                    <w:rPr>
                      <w:rFonts w:hint="default"/>
                      <w:lang w:val="en-US" w:eastAsia="zh-CN"/>
                    </w:rPr>
                  </w:pPr>
                  <w:r>
                    <w:rPr>
                      <w:rFonts w:hint="eastAsia"/>
                      <w:lang w:val="en-US" w:eastAsia="zh-CN"/>
                    </w:rPr>
                    <w:t>21</w:t>
                  </w:r>
                </w:p>
              </w:tc>
              <w:tc>
                <w:tcPr>
                  <w:tcW w:w="365" w:type="pct"/>
                  <w:vMerge w:val="restart"/>
                  <w:tcBorders>
                    <w:tl2br w:val="nil"/>
                    <w:tr2bl w:val="nil"/>
                  </w:tcBorders>
                  <w:shd w:val="clear" w:color="auto" w:fill="auto"/>
                  <w:noWrap w:val="0"/>
                  <w:vAlign w:val="center"/>
                </w:tcPr>
                <w:p w14:paraId="0524FC00">
                  <w:pPr>
                    <w:pStyle w:val="106"/>
                    <w:bidi w:val="0"/>
                    <w:rPr>
                      <w:rFonts w:hint="default" w:eastAsia="宋体"/>
                      <w:lang w:val="en-US" w:eastAsia="zh-CN"/>
                    </w:rPr>
                  </w:pPr>
                  <w:r>
                    <w:rPr>
                      <w:rFonts w:hint="eastAsia"/>
                      <w:lang w:val="en-US" w:eastAsia="zh-CN"/>
                    </w:rPr>
                    <w:t>午餐肉罐头</w:t>
                  </w:r>
                </w:p>
              </w:tc>
              <w:tc>
                <w:tcPr>
                  <w:tcW w:w="1575" w:type="pct"/>
                  <w:gridSpan w:val="2"/>
                  <w:tcBorders>
                    <w:tl2br w:val="nil"/>
                    <w:tr2bl w:val="nil"/>
                  </w:tcBorders>
                  <w:shd w:val="clear" w:color="auto" w:fill="auto"/>
                  <w:noWrap w:val="0"/>
                  <w:vAlign w:val="center"/>
                </w:tcPr>
                <w:p w14:paraId="7B6148F6">
                  <w:pPr>
                    <w:pStyle w:val="106"/>
                    <w:bidi w:val="0"/>
                    <w:rPr>
                      <w:rFonts w:hint="eastAsia"/>
                      <w:lang w:val="en-US" w:eastAsia="zh-CN"/>
                    </w:rPr>
                  </w:pPr>
                  <w:r>
                    <w:rPr>
                      <w:rFonts w:hint="eastAsia"/>
                    </w:rPr>
                    <w:t>气泡解冻池</w:t>
                  </w:r>
                </w:p>
              </w:tc>
              <w:tc>
                <w:tcPr>
                  <w:tcW w:w="707" w:type="pct"/>
                  <w:tcBorders>
                    <w:tl2br w:val="nil"/>
                    <w:tr2bl w:val="nil"/>
                  </w:tcBorders>
                  <w:shd w:val="clear" w:color="auto" w:fill="auto"/>
                  <w:noWrap w:val="0"/>
                  <w:vAlign w:val="center"/>
                </w:tcPr>
                <w:p w14:paraId="55C5FBC8">
                  <w:pPr>
                    <w:pStyle w:val="106"/>
                    <w:bidi w:val="0"/>
                    <w:rPr>
                      <w:rFonts w:hint="eastAsia"/>
                      <w:lang w:val="en-US" w:eastAsia="zh-CN"/>
                    </w:rPr>
                  </w:pPr>
                  <w:r>
                    <w:rPr>
                      <w:rFonts w:hint="eastAsia"/>
                    </w:rPr>
                    <w:t>JD-1500</w:t>
                  </w:r>
                </w:p>
              </w:tc>
              <w:tc>
                <w:tcPr>
                  <w:tcW w:w="444" w:type="pct"/>
                  <w:tcBorders>
                    <w:tl2br w:val="nil"/>
                    <w:tr2bl w:val="nil"/>
                  </w:tcBorders>
                  <w:shd w:val="clear" w:color="auto" w:fill="auto"/>
                  <w:noWrap w:val="0"/>
                  <w:vAlign w:val="center"/>
                </w:tcPr>
                <w:p w14:paraId="3D34C716">
                  <w:pPr>
                    <w:pStyle w:val="106"/>
                    <w:bidi w:val="0"/>
                    <w:rPr>
                      <w:rFonts w:hint="eastAsia"/>
                      <w:lang w:val="en-US" w:eastAsia="zh-CN"/>
                    </w:rPr>
                  </w:pPr>
                  <w:r>
                    <w:rPr>
                      <w:rFonts w:hint="eastAsia"/>
                    </w:rPr>
                    <w:t>台</w:t>
                  </w:r>
                </w:p>
              </w:tc>
              <w:tc>
                <w:tcPr>
                  <w:tcW w:w="353" w:type="pct"/>
                  <w:tcBorders>
                    <w:tl2br w:val="nil"/>
                    <w:tr2bl w:val="nil"/>
                  </w:tcBorders>
                  <w:shd w:val="clear" w:color="auto" w:fill="auto"/>
                  <w:noWrap w:val="0"/>
                  <w:vAlign w:val="center"/>
                </w:tcPr>
                <w:p w14:paraId="127AC498">
                  <w:pPr>
                    <w:pStyle w:val="106"/>
                    <w:bidi w:val="0"/>
                    <w:rPr>
                      <w:rFonts w:hint="eastAsia"/>
                      <w:lang w:val="en-US" w:eastAsia="zh-CN"/>
                    </w:rPr>
                  </w:pPr>
                  <w:r>
                    <w:rPr>
                      <w:rFonts w:hint="eastAsia"/>
                    </w:rPr>
                    <w:t>1</w:t>
                  </w:r>
                </w:p>
              </w:tc>
              <w:tc>
                <w:tcPr>
                  <w:tcW w:w="898" w:type="pct"/>
                  <w:tcBorders>
                    <w:tl2br w:val="nil"/>
                    <w:tr2bl w:val="nil"/>
                  </w:tcBorders>
                  <w:shd w:val="clear" w:color="auto" w:fill="auto"/>
                  <w:noWrap w:val="0"/>
                  <w:vAlign w:val="center"/>
                </w:tcPr>
                <w:p w14:paraId="1C7DCB23">
                  <w:pPr>
                    <w:pStyle w:val="106"/>
                    <w:bidi w:val="0"/>
                    <w:rPr>
                      <w:rFonts w:hint="default"/>
                      <w:lang w:val="en-US" w:eastAsia="zh-CN"/>
                    </w:rPr>
                  </w:pPr>
                  <w:r>
                    <w:rPr>
                      <w:rFonts w:hint="eastAsia"/>
                      <w:lang w:val="en-US" w:eastAsia="zh-CN"/>
                    </w:rPr>
                    <w:t>解冻</w:t>
                  </w:r>
                </w:p>
              </w:tc>
              <w:tc>
                <w:tcPr>
                  <w:tcW w:w="339" w:type="pct"/>
                  <w:vMerge w:val="restart"/>
                  <w:tcBorders>
                    <w:tl2br w:val="nil"/>
                    <w:tr2bl w:val="nil"/>
                  </w:tcBorders>
                  <w:shd w:val="clear" w:color="auto" w:fill="auto"/>
                  <w:noWrap w:val="0"/>
                  <w:vAlign w:val="center"/>
                </w:tcPr>
                <w:p w14:paraId="2C1E2975">
                  <w:pPr>
                    <w:pStyle w:val="106"/>
                    <w:bidi w:val="0"/>
                    <w:rPr>
                      <w:rFonts w:hint="default"/>
                      <w:lang w:val="en-US" w:eastAsia="zh-CN"/>
                    </w:rPr>
                  </w:pPr>
                  <w:r>
                    <w:rPr>
                      <w:rFonts w:hint="eastAsia"/>
                      <w:lang w:val="en-US" w:eastAsia="zh-CN"/>
                    </w:rPr>
                    <w:t>二车间1F</w:t>
                  </w:r>
                </w:p>
              </w:tc>
            </w:tr>
            <w:tr w14:paraId="0F4FB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13ADF230">
                  <w:pPr>
                    <w:pStyle w:val="106"/>
                    <w:bidi w:val="0"/>
                    <w:rPr>
                      <w:rFonts w:hint="default"/>
                      <w:lang w:val="en-US" w:eastAsia="zh-CN"/>
                    </w:rPr>
                  </w:pPr>
                  <w:r>
                    <w:rPr>
                      <w:rFonts w:hint="eastAsia"/>
                      <w:lang w:val="en-US" w:eastAsia="zh-CN"/>
                    </w:rPr>
                    <w:t>22</w:t>
                  </w:r>
                </w:p>
              </w:tc>
              <w:tc>
                <w:tcPr>
                  <w:tcW w:w="365" w:type="pct"/>
                  <w:vMerge w:val="continue"/>
                  <w:tcBorders>
                    <w:tl2br w:val="nil"/>
                    <w:tr2bl w:val="nil"/>
                  </w:tcBorders>
                  <w:shd w:val="clear" w:color="auto" w:fill="auto"/>
                  <w:noWrap w:val="0"/>
                  <w:vAlign w:val="center"/>
                </w:tcPr>
                <w:p w14:paraId="06B6DA8F">
                  <w:pPr>
                    <w:pStyle w:val="106"/>
                    <w:bidi w:val="0"/>
                    <w:rPr>
                      <w:rFonts w:hint="eastAsia"/>
                    </w:rPr>
                  </w:pPr>
                </w:p>
              </w:tc>
              <w:tc>
                <w:tcPr>
                  <w:tcW w:w="1575" w:type="pct"/>
                  <w:gridSpan w:val="2"/>
                  <w:tcBorders>
                    <w:tl2br w:val="nil"/>
                    <w:tr2bl w:val="nil"/>
                  </w:tcBorders>
                  <w:shd w:val="clear" w:color="auto" w:fill="auto"/>
                  <w:noWrap w:val="0"/>
                  <w:vAlign w:val="center"/>
                </w:tcPr>
                <w:p w14:paraId="684C8378">
                  <w:pPr>
                    <w:pStyle w:val="106"/>
                    <w:bidi w:val="0"/>
                    <w:rPr>
                      <w:rFonts w:hint="eastAsia"/>
                      <w:lang w:val="en-US" w:eastAsia="zh-CN"/>
                    </w:rPr>
                  </w:pPr>
                  <w:r>
                    <w:rPr>
                      <w:rFonts w:hint="eastAsia"/>
                    </w:rPr>
                    <w:t>绞肉机</w:t>
                  </w:r>
                </w:p>
              </w:tc>
              <w:tc>
                <w:tcPr>
                  <w:tcW w:w="707" w:type="pct"/>
                  <w:tcBorders>
                    <w:tl2br w:val="nil"/>
                    <w:tr2bl w:val="nil"/>
                  </w:tcBorders>
                  <w:shd w:val="clear" w:color="auto" w:fill="auto"/>
                  <w:noWrap w:val="0"/>
                  <w:vAlign w:val="center"/>
                </w:tcPr>
                <w:p w14:paraId="4857F2D8">
                  <w:pPr>
                    <w:pStyle w:val="106"/>
                    <w:bidi w:val="0"/>
                    <w:rPr>
                      <w:rFonts w:hint="eastAsia"/>
                      <w:lang w:val="en-US" w:eastAsia="zh-CN"/>
                    </w:rPr>
                  </w:pPr>
                  <w:r>
                    <w:rPr>
                      <w:rFonts w:hint="eastAsia"/>
                    </w:rPr>
                    <w:t>JR-130</w:t>
                  </w:r>
                </w:p>
              </w:tc>
              <w:tc>
                <w:tcPr>
                  <w:tcW w:w="444" w:type="pct"/>
                  <w:tcBorders>
                    <w:tl2br w:val="nil"/>
                    <w:tr2bl w:val="nil"/>
                  </w:tcBorders>
                  <w:shd w:val="clear" w:color="auto" w:fill="auto"/>
                  <w:noWrap w:val="0"/>
                  <w:vAlign w:val="center"/>
                </w:tcPr>
                <w:p w14:paraId="1D726555">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台</w:t>
                  </w:r>
                </w:p>
              </w:tc>
              <w:tc>
                <w:tcPr>
                  <w:tcW w:w="353" w:type="pct"/>
                  <w:tcBorders>
                    <w:tl2br w:val="nil"/>
                    <w:tr2bl w:val="nil"/>
                  </w:tcBorders>
                  <w:shd w:val="clear" w:color="auto" w:fill="auto"/>
                  <w:noWrap w:val="0"/>
                  <w:vAlign w:val="center"/>
                </w:tcPr>
                <w:p w14:paraId="2A2D3303">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1</w:t>
                  </w:r>
                </w:p>
              </w:tc>
              <w:tc>
                <w:tcPr>
                  <w:tcW w:w="898" w:type="pct"/>
                  <w:tcBorders>
                    <w:tl2br w:val="nil"/>
                    <w:tr2bl w:val="nil"/>
                  </w:tcBorders>
                  <w:shd w:val="clear" w:color="auto" w:fill="auto"/>
                  <w:noWrap w:val="0"/>
                  <w:vAlign w:val="center"/>
                </w:tcPr>
                <w:p w14:paraId="7625EC45">
                  <w:pPr>
                    <w:pStyle w:val="106"/>
                    <w:bidi w:val="0"/>
                    <w:rPr>
                      <w:rFonts w:hint="default"/>
                      <w:lang w:val="en-US" w:eastAsia="zh-CN"/>
                    </w:rPr>
                  </w:pPr>
                  <w:r>
                    <w:rPr>
                      <w:rFonts w:hint="eastAsia"/>
                      <w:lang w:val="en-US" w:eastAsia="zh-CN"/>
                    </w:rPr>
                    <w:t>预处理</w:t>
                  </w:r>
                </w:p>
              </w:tc>
              <w:tc>
                <w:tcPr>
                  <w:tcW w:w="339" w:type="pct"/>
                  <w:vMerge w:val="continue"/>
                  <w:tcBorders>
                    <w:tl2br w:val="nil"/>
                    <w:tr2bl w:val="nil"/>
                  </w:tcBorders>
                  <w:shd w:val="clear" w:color="auto" w:fill="auto"/>
                  <w:noWrap w:val="0"/>
                  <w:vAlign w:val="center"/>
                </w:tcPr>
                <w:p w14:paraId="6A400D03">
                  <w:pPr>
                    <w:pStyle w:val="106"/>
                    <w:bidi w:val="0"/>
                    <w:rPr>
                      <w:rFonts w:hint="eastAsia"/>
                      <w:lang w:val="en-US" w:eastAsia="zh-CN"/>
                    </w:rPr>
                  </w:pPr>
                </w:p>
              </w:tc>
            </w:tr>
            <w:tr w14:paraId="650A4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2452E0E2">
                  <w:pPr>
                    <w:pStyle w:val="106"/>
                    <w:bidi w:val="0"/>
                    <w:rPr>
                      <w:rFonts w:hint="default"/>
                      <w:lang w:val="en-US" w:eastAsia="zh-CN"/>
                    </w:rPr>
                  </w:pPr>
                  <w:r>
                    <w:rPr>
                      <w:rFonts w:hint="eastAsia"/>
                      <w:lang w:val="en-US" w:eastAsia="zh-CN"/>
                    </w:rPr>
                    <w:t>23</w:t>
                  </w:r>
                </w:p>
              </w:tc>
              <w:tc>
                <w:tcPr>
                  <w:tcW w:w="365" w:type="pct"/>
                  <w:vMerge w:val="continue"/>
                  <w:tcBorders>
                    <w:tl2br w:val="nil"/>
                    <w:tr2bl w:val="nil"/>
                  </w:tcBorders>
                  <w:shd w:val="clear" w:color="auto" w:fill="auto"/>
                  <w:noWrap w:val="0"/>
                  <w:vAlign w:val="center"/>
                </w:tcPr>
                <w:p w14:paraId="28964CAF">
                  <w:pPr>
                    <w:pStyle w:val="106"/>
                    <w:bidi w:val="0"/>
                    <w:rPr>
                      <w:rFonts w:hint="eastAsia"/>
                    </w:rPr>
                  </w:pPr>
                </w:p>
              </w:tc>
              <w:tc>
                <w:tcPr>
                  <w:tcW w:w="1575" w:type="pct"/>
                  <w:gridSpan w:val="2"/>
                  <w:tcBorders>
                    <w:tl2br w:val="nil"/>
                    <w:tr2bl w:val="nil"/>
                  </w:tcBorders>
                  <w:shd w:val="clear" w:color="auto" w:fill="auto"/>
                  <w:noWrap w:val="0"/>
                  <w:vAlign w:val="center"/>
                </w:tcPr>
                <w:p w14:paraId="28B61953">
                  <w:pPr>
                    <w:pStyle w:val="106"/>
                    <w:bidi w:val="0"/>
                    <w:rPr>
                      <w:rFonts w:hint="eastAsia"/>
                      <w:lang w:val="en-US" w:eastAsia="zh-CN"/>
                    </w:rPr>
                  </w:pPr>
                  <w:r>
                    <w:rPr>
                      <w:rFonts w:hint="eastAsia"/>
                    </w:rPr>
                    <w:t>宰拌机</w:t>
                  </w:r>
                </w:p>
              </w:tc>
              <w:tc>
                <w:tcPr>
                  <w:tcW w:w="707" w:type="pct"/>
                  <w:tcBorders>
                    <w:tl2br w:val="nil"/>
                    <w:tr2bl w:val="nil"/>
                  </w:tcBorders>
                  <w:shd w:val="clear" w:color="auto" w:fill="auto"/>
                  <w:noWrap w:val="0"/>
                  <w:vAlign w:val="center"/>
                </w:tcPr>
                <w:p w14:paraId="4BF466CB">
                  <w:pPr>
                    <w:pStyle w:val="106"/>
                    <w:bidi w:val="0"/>
                    <w:rPr>
                      <w:rFonts w:hint="eastAsia"/>
                      <w:lang w:val="en-US" w:eastAsia="zh-CN"/>
                    </w:rPr>
                  </w:pPr>
                  <w:r>
                    <w:rPr>
                      <w:rFonts w:hint="eastAsia"/>
                    </w:rPr>
                    <w:t>ZB-330</w:t>
                  </w:r>
                </w:p>
              </w:tc>
              <w:tc>
                <w:tcPr>
                  <w:tcW w:w="444" w:type="pct"/>
                  <w:tcBorders>
                    <w:tl2br w:val="nil"/>
                    <w:tr2bl w:val="nil"/>
                  </w:tcBorders>
                  <w:shd w:val="clear" w:color="auto" w:fill="auto"/>
                  <w:noWrap w:val="0"/>
                  <w:vAlign w:val="center"/>
                </w:tcPr>
                <w:p w14:paraId="78331D56">
                  <w:pPr>
                    <w:pStyle w:val="106"/>
                    <w:bidi w:val="0"/>
                    <w:rPr>
                      <w:rFonts w:hint="eastAsia"/>
                      <w:lang w:val="en-US" w:eastAsia="zh-CN"/>
                    </w:rPr>
                  </w:pPr>
                  <w:r>
                    <w:rPr>
                      <w:rFonts w:hint="eastAsia"/>
                    </w:rPr>
                    <w:t>台</w:t>
                  </w:r>
                </w:p>
              </w:tc>
              <w:tc>
                <w:tcPr>
                  <w:tcW w:w="353" w:type="pct"/>
                  <w:tcBorders>
                    <w:tl2br w:val="nil"/>
                    <w:tr2bl w:val="nil"/>
                  </w:tcBorders>
                  <w:shd w:val="clear" w:color="auto" w:fill="auto"/>
                  <w:noWrap w:val="0"/>
                  <w:vAlign w:val="center"/>
                </w:tcPr>
                <w:p w14:paraId="66C21406">
                  <w:pPr>
                    <w:pStyle w:val="106"/>
                    <w:bidi w:val="0"/>
                    <w:rPr>
                      <w:rFonts w:hint="eastAsia"/>
                      <w:lang w:val="en-US" w:eastAsia="zh-CN"/>
                    </w:rPr>
                  </w:pPr>
                  <w:r>
                    <w:rPr>
                      <w:rFonts w:hint="eastAsia"/>
                    </w:rPr>
                    <w:t>1</w:t>
                  </w:r>
                </w:p>
              </w:tc>
              <w:tc>
                <w:tcPr>
                  <w:tcW w:w="898" w:type="pct"/>
                  <w:tcBorders>
                    <w:tl2br w:val="nil"/>
                    <w:tr2bl w:val="nil"/>
                  </w:tcBorders>
                  <w:shd w:val="clear" w:color="auto" w:fill="auto"/>
                  <w:noWrap w:val="0"/>
                  <w:vAlign w:val="center"/>
                </w:tcPr>
                <w:p w14:paraId="2D665348">
                  <w:pPr>
                    <w:pStyle w:val="106"/>
                    <w:bidi w:val="0"/>
                    <w:rPr>
                      <w:rFonts w:hint="default"/>
                      <w:lang w:val="en-US" w:eastAsia="zh-CN"/>
                    </w:rPr>
                  </w:pPr>
                  <w:r>
                    <w:rPr>
                      <w:rFonts w:hint="eastAsia"/>
                      <w:lang w:val="en-US" w:eastAsia="zh-CN"/>
                    </w:rPr>
                    <w:t>宰拌</w:t>
                  </w:r>
                </w:p>
              </w:tc>
              <w:tc>
                <w:tcPr>
                  <w:tcW w:w="339" w:type="pct"/>
                  <w:vMerge w:val="continue"/>
                  <w:tcBorders>
                    <w:tl2br w:val="nil"/>
                    <w:tr2bl w:val="nil"/>
                  </w:tcBorders>
                  <w:shd w:val="clear" w:color="auto" w:fill="auto"/>
                  <w:noWrap w:val="0"/>
                  <w:vAlign w:val="center"/>
                </w:tcPr>
                <w:p w14:paraId="615C0C2D">
                  <w:pPr>
                    <w:pStyle w:val="106"/>
                    <w:bidi w:val="0"/>
                    <w:rPr>
                      <w:rFonts w:hint="eastAsia"/>
                      <w:lang w:val="en-US" w:eastAsia="zh-CN"/>
                    </w:rPr>
                  </w:pPr>
                </w:p>
              </w:tc>
            </w:tr>
            <w:tr w14:paraId="103A6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7513E139">
                  <w:pPr>
                    <w:pStyle w:val="106"/>
                    <w:bidi w:val="0"/>
                    <w:rPr>
                      <w:rFonts w:hint="default"/>
                      <w:lang w:val="en-US" w:eastAsia="zh-CN"/>
                    </w:rPr>
                  </w:pPr>
                  <w:r>
                    <w:rPr>
                      <w:rFonts w:hint="eastAsia"/>
                      <w:lang w:val="en-US" w:eastAsia="zh-CN"/>
                    </w:rPr>
                    <w:t>24</w:t>
                  </w:r>
                </w:p>
              </w:tc>
              <w:tc>
                <w:tcPr>
                  <w:tcW w:w="365" w:type="pct"/>
                  <w:vMerge w:val="continue"/>
                  <w:tcBorders>
                    <w:tl2br w:val="nil"/>
                    <w:tr2bl w:val="nil"/>
                  </w:tcBorders>
                  <w:shd w:val="clear" w:color="auto" w:fill="auto"/>
                  <w:noWrap w:val="0"/>
                  <w:vAlign w:val="center"/>
                </w:tcPr>
                <w:p w14:paraId="3D05C7BB">
                  <w:pPr>
                    <w:pStyle w:val="106"/>
                    <w:bidi w:val="0"/>
                    <w:rPr>
                      <w:rFonts w:hint="eastAsia"/>
                    </w:rPr>
                  </w:pPr>
                </w:p>
              </w:tc>
              <w:tc>
                <w:tcPr>
                  <w:tcW w:w="1575" w:type="pct"/>
                  <w:gridSpan w:val="2"/>
                  <w:tcBorders>
                    <w:tl2br w:val="nil"/>
                    <w:tr2bl w:val="nil"/>
                  </w:tcBorders>
                  <w:shd w:val="clear" w:color="auto" w:fill="auto"/>
                  <w:noWrap w:val="0"/>
                  <w:vAlign w:val="center"/>
                </w:tcPr>
                <w:p w14:paraId="14A46926">
                  <w:pPr>
                    <w:pStyle w:val="106"/>
                    <w:bidi w:val="0"/>
                    <w:rPr>
                      <w:rFonts w:hint="eastAsia"/>
                      <w:lang w:val="en-US" w:eastAsia="zh-CN"/>
                    </w:rPr>
                  </w:pPr>
                  <w:r>
                    <w:rPr>
                      <w:rFonts w:hint="eastAsia"/>
                      <w:lang w:val="en-US" w:eastAsia="zh-CN"/>
                    </w:rPr>
                    <w:t>真空</w:t>
                  </w:r>
                  <w:r>
                    <w:rPr>
                      <w:rFonts w:hint="eastAsia"/>
                    </w:rPr>
                    <w:t>拌料机</w:t>
                  </w:r>
                </w:p>
              </w:tc>
              <w:tc>
                <w:tcPr>
                  <w:tcW w:w="707" w:type="pct"/>
                  <w:tcBorders>
                    <w:tl2br w:val="nil"/>
                    <w:tr2bl w:val="nil"/>
                  </w:tcBorders>
                  <w:shd w:val="clear" w:color="auto" w:fill="auto"/>
                  <w:noWrap w:val="0"/>
                  <w:vAlign w:val="center"/>
                </w:tcPr>
                <w:p w14:paraId="43346C41">
                  <w:pPr>
                    <w:pStyle w:val="106"/>
                    <w:bidi w:val="0"/>
                    <w:rPr>
                      <w:rFonts w:hint="eastAsia"/>
                      <w:lang w:val="en-US" w:eastAsia="zh-CN"/>
                    </w:rPr>
                  </w:pPr>
                  <w:r>
                    <w:rPr>
                      <w:rFonts w:hint="eastAsia"/>
                    </w:rPr>
                    <w:t>BX-1100</w:t>
                  </w:r>
                </w:p>
              </w:tc>
              <w:tc>
                <w:tcPr>
                  <w:tcW w:w="444" w:type="pct"/>
                  <w:tcBorders>
                    <w:tl2br w:val="nil"/>
                    <w:tr2bl w:val="nil"/>
                  </w:tcBorders>
                  <w:shd w:val="clear" w:color="auto" w:fill="auto"/>
                  <w:noWrap w:val="0"/>
                  <w:vAlign w:val="center"/>
                </w:tcPr>
                <w:p w14:paraId="47070F3C">
                  <w:pPr>
                    <w:pStyle w:val="106"/>
                    <w:bidi w:val="0"/>
                    <w:rPr>
                      <w:rFonts w:hint="eastAsia"/>
                      <w:lang w:val="en-US" w:eastAsia="zh-CN"/>
                    </w:rPr>
                  </w:pPr>
                  <w:r>
                    <w:rPr>
                      <w:rFonts w:hint="eastAsia"/>
                    </w:rPr>
                    <w:t>台</w:t>
                  </w:r>
                </w:p>
              </w:tc>
              <w:tc>
                <w:tcPr>
                  <w:tcW w:w="353" w:type="pct"/>
                  <w:tcBorders>
                    <w:tl2br w:val="nil"/>
                    <w:tr2bl w:val="nil"/>
                  </w:tcBorders>
                  <w:shd w:val="clear" w:color="auto" w:fill="auto"/>
                  <w:noWrap w:val="0"/>
                  <w:vAlign w:val="center"/>
                </w:tcPr>
                <w:p w14:paraId="2204964D">
                  <w:pPr>
                    <w:pStyle w:val="106"/>
                    <w:bidi w:val="0"/>
                    <w:rPr>
                      <w:rFonts w:hint="eastAsia"/>
                      <w:lang w:val="en-US" w:eastAsia="zh-CN"/>
                    </w:rPr>
                  </w:pPr>
                  <w:r>
                    <w:rPr>
                      <w:rFonts w:hint="eastAsia"/>
                    </w:rPr>
                    <w:t>1</w:t>
                  </w:r>
                </w:p>
              </w:tc>
              <w:tc>
                <w:tcPr>
                  <w:tcW w:w="898" w:type="pct"/>
                  <w:tcBorders>
                    <w:tl2br w:val="nil"/>
                    <w:tr2bl w:val="nil"/>
                  </w:tcBorders>
                  <w:shd w:val="clear" w:color="auto" w:fill="auto"/>
                  <w:noWrap w:val="0"/>
                  <w:vAlign w:val="center"/>
                </w:tcPr>
                <w:p w14:paraId="15E93E09">
                  <w:pPr>
                    <w:pStyle w:val="106"/>
                    <w:bidi w:val="0"/>
                    <w:rPr>
                      <w:rFonts w:hint="default"/>
                      <w:lang w:val="en-US" w:eastAsia="zh-CN"/>
                    </w:rPr>
                  </w:pPr>
                  <w:r>
                    <w:rPr>
                      <w:rFonts w:hint="eastAsia"/>
                      <w:lang w:val="en-US" w:eastAsia="zh-CN"/>
                    </w:rPr>
                    <w:t>真空拌料</w:t>
                  </w:r>
                </w:p>
              </w:tc>
              <w:tc>
                <w:tcPr>
                  <w:tcW w:w="339" w:type="pct"/>
                  <w:vMerge w:val="continue"/>
                  <w:tcBorders>
                    <w:tl2br w:val="nil"/>
                    <w:tr2bl w:val="nil"/>
                  </w:tcBorders>
                  <w:shd w:val="clear" w:color="auto" w:fill="auto"/>
                  <w:noWrap w:val="0"/>
                  <w:vAlign w:val="center"/>
                </w:tcPr>
                <w:p w14:paraId="2604F5CE">
                  <w:pPr>
                    <w:pStyle w:val="106"/>
                    <w:bidi w:val="0"/>
                    <w:rPr>
                      <w:rFonts w:hint="eastAsia"/>
                      <w:lang w:val="en-US" w:eastAsia="zh-CN"/>
                    </w:rPr>
                  </w:pPr>
                </w:p>
              </w:tc>
            </w:tr>
            <w:tr w14:paraId="02B29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18DE09F4">
                  <w:pPr>
                    <w:pStyle w:val="106"/>
                    <w:bidi w:val="0"/>
                    <w:rPr>
                      <w:rFonts w:hint="default"/>
                      <w:lang w:val="en-US" w:eastAsia="zh-CN"/>
                    </w:rPr>
                  </w:pPr>
                  <w:r>
                    <w:rPr>
                      <w:rFonts w:hint="eastAsia"/>
                      <w:lang w:val="en-US" w:eastAsia="zh-CN"/>
                    </w:rPr>
                    <w:t>25</w:t>
                  </w:r>
                </w:p>
              </w:tc>
              <w:tc>
                <w:tcPr>
                  <w:tcW w:w="365" w:type="pct"/>
                  <w:vMerge w:val="continue"/>
                  <w:tcBorders>
                    <w:tl2br w:val="nil"/>
                    <w:tr2bl w:val="nil"/>
                  </w:tcBorders>
                  <w:shd w:val="clear" w:color="auto" w:fill="auto"/>
                  <w:noWrap w:val="0"/>
                  <w:vAlign w:val="center"/>
                </w:tcPr>
                <w:p w14:paraId="412836C7">
                  <w:pPr>
                    <w:pStyle w:val="106"/>
                    <w:bidi w:val="0"/>
                    <w:rPr>
                      <w:rFonts w:hint="eastAsia"/>
                    </w:rPr>
                  </w:pPr>
                </w:p>
              </w:tc>
              <w:tc>
                <w:tcPr>
                  <w:tcW w:w="1575" w:type="pct"/>
                  <w:gridSpan w:val="2"/>
                  <w:tcBorders>
                    <w:tl2br w:val="nil"/>
                    <w:tr2bl w:val="nil"/>
                  </w:tcBorders>
                  <w:shd w:val="clear" w:color="auto" w:fill="auto"/>
                  <w:noWrap w:val="0"/>
                  <w:vAlign w:val="center"/>
                </w:tcPr>
                <w:p w14:paraId="6F0475FC">
                  <w:pPr>
                    <w:pStyle w:val="106"/>
                    <w:bidi w:val="0"/>
                    <w:rPr>
                      <w:rFonts w:hint="eastAsia"/>
                      <w:lang w:val="en-US" w:eastAsia="zh-CN"/>
                    </w:rPr>
                  </w:pPr>
                  <w:r>
                    <w:rPr>
                      <w:rFonts w:hint="eastAsia"/>
                    </w:rPr>
                    <w:t>磁力洗罐机</w:t>
                  </w:r>
                </w:p>
              </w:tc>
              <w:tc>
                <w:tcPr>
                  <w:tcW w:w="707" w:type="pct"/>
                  <w:tcBorders>
                    <w:tl2br w:val="nil"/>
                    <w:tr2bl w:val="nil"/>
                  </w:tcBorders>
                  <w:shd w:val="clear" w:color="auto" w:fill="auto"/>
                  <w:noWrap w:val="0"/>
                  <w:vAlign w:val="center"/>
                </w:tcPr>
                <w:p w14:paraId="3129F109">
                  <w:pPr>
                    <w:pStyle w:val="106"/>
                    <w:bidi w:val="0"/>
                    <w:rPr>
                      <w:rFonts w:hint="eastAsia"/>
                      <w:lang w:val="en-US" w:eastAsia="zh-CN"/>
                    </w:rPr>
                  </w:pPr>
                  <w:r>
                    <w:rPr>
                      <w:rFonts w:hint="eastAsia"/>
                    </w:rPr>
                    <w:t>CX-X60</w:t>
                  </w:r>
                </w:p>
              </w:tc>
              <w:tc>
                <w:tcPr>
                  <w:tcW w:w="444" w:type="pct"/>
                  <w:tcBorders>
                    <w:tl2br w:val="nil"/>
                    <w:tr2bl w:val="nil"/>
                  </w:tcBorders>
                  <w:shd w:val="clear" w:color="auto" w:fill="auto"/>
                  <w:noWrap w:val="0"/>
                  <w:vAlign w:val="center"/>
                </w:tcPr>
                <w:p w14:paraId="3A3AAFFF">
                  <w:pPr>
                    <w:pStyle w:val="106"/>
                    <w:bidi w:val="0"/>
                    <w:rPr>
                      <w:rFonts w:hint="eastAsia"/>
                      <w:lang w:val="en-US" w:eastAsia="zh-CN"/>
                    </w:rPr>
                  </w:pPr>
                  <w:r>
                    <w:rPr>
                      <w:rFonts w:hint="eastAsia"/>
                    </w:rPr>
                    <w:t>台</w:t>
                  </w:r>
                </w:p>
              </w:tc>
              <w:tc>
                <w:tcPr>
                  <w:tcW w:w="353" w:type="pct"/>
                  <w:tcBorders>
                    <w:tl2br w:val="nil"/>
                    <w:tr2bl w:val="nil"/>
                  </w:tcBorders>
                  <w:shd w:val="clear" w:color="auto" w:fill="auto"/>
                  <w:noWrap w:val="0"/>
                  <w:vAlign w:val="center"/>
                </w:tcPr>
                <w:p w14:paraId="57DC369C">
                  <w:pPr>
                    <w:pStyle w:val="106"/>
                    <w:bidi w:val="0"/>
                    <w:rPr>
                      <w:rFonts w:hint="eastAsia"/>
                      <w:lang w:val="en-US" w:eastAsia="zh-CN"/>
                    </w:rPr>
                  </w:pPr>
                  <w:r>
                    <w:rPr>
                      <w:rFonts w:hint="eastAsia"/>
                    </w:rPr>
                    <w:t>1</w:t>
                  </w:r>
                </w:p>
              </w:tc>
              <w:tc>
                <w:tcPr>
                  <w:tcW w:w="898" w:type="pct"/>
                  <w:vMerge w:val="restart"/>
                  <w:tcBorders>
                    <w:tl2br w:val="nil"/>
                    <w:tr2bl w:val="nil"/>
                  </w:tcBorders>
                  <w:shd w:val="clear" w:color="auto" w:fill="auto"/>
                  <w:noWrap w:val="0"/>
                  <w:vAlign w:val="center"/>
                </w:tcPr>
                <w:p w14:paraId="34942D0E">
                  <w:pPr>
                    <w:pStyle w:val="106"/>
                    <w:bidi w:val="0"/>
                    <w:rPr>
                      <w:rFonts w:hint="default"/>
                      <w:lang w:val="en-US" w:eastAsia="zh-CN"/>
                    </w:rPr>
                  </w:pPr>
                  <w:r>
                    <w:rPr>
                      <w:rFonts w:hint="eastAsia"/>
                      <w:lang w:val="en-US" w:eastAsia="zh-CN"/>
                    </w:rPr>
                    <w:t>空罐清洗</w:t>
                  </w:r>
                </w:p>
              </w:tc>
              <w:tc>
                <w:tcPr>
                  <w:tcW w:w="339" w:type="pct"/>
                  <w:vMerge w:val="continue"/>
                  <w:tcBorders>
                    <w:tl2br w:val="nil"/>
                    <w:tr2bl w:val="nil"/>
                  </w:tcBorders>
                  <w:shd w:val="clear" w:color="auto" w:fill="auto"/>
                  <w:noWrap w:val="0"/>
                  <w:vAlign w:val="center"/>
                </w:tcPr>
                <w:p w14:paraId="691C5AFD">
                  <w:pPr>
                    <w:pStyle w:val="106"/>
                    <w:bidi w:val="0"/>
                    <w:rPr>
                      <w:rFonts w:hint="eastAsia"/>
                      <w:lang w:val="en-US" w:eastAsia="zh-CN"/>
                    </w:rPr>
                  </w:pPr>
                </w:p>
              </w:tc>
            </w:tr>
            <w:tr w14:paraId="4EF27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79EA1CD6">
                  <w:pPr>
                    <w:pStyle w:val="106"/>
                    <w:bidi w:val="0"/>
                    <w:rPr>
                      <w:rFonts w:hint="default"/>
                      <w:lang w:val="en-US" w:eastAsia="zh-CN"/>
                    </w:rPr>
                  </w:pPr>
                  <w:r>
                    <w:rPr>
                      <w:rFonts w:hint="eastAsia"/>
                      <w:lang w:val="en-US" w:eastAsia="zh-CN"/>
                    </w:rPr>
                    <w:t>26</w:t>
                  </w:r>
                </w:p>
              </w:tc>
              <w:tc>
                <w:tcPr>
                  <w:tcW w:w="365" w:type="pct"/>
                  <w:vMerge w:val="continue"/>
                  <w:tcBorders>
                    <w:tl2br w:val="nil"/>
                    <w:tr2bl w:val="nil"/>
                  </w:tcBorders>
                  <w:shd w:val="clear" w:color="auto" w:fill="auto"/>
                  <w:noWrap w:val="0"/>
                  <w:vAlign w:val="center"/>
                </w:tcPr>
                <w:p w14:paraId="24B21EB3">
                  <w:pPr>
                    <w:pStyle w:val="106"/>
                    <w:bidi w:val="0"/>
                    <w:rPr>
                      <w:rFonts w:hint="eastAsia"/>
                    </w:rPr>
                  </w:pPr>
                </w:p>
              </w:tc>
              <w:tc>
                <w:tcPr>
                  <w:tcW w:w="1575" w:type="pct"/>
                  <w:gridSpan w:val="2"/>
                  <w:tcBorders>
                    <w:tl2br w:val="nil"/>
                    <w:tr2bl w:val="nil"/>
                  </w:tcBorders>
                  <w:shd w:val="clear" w:color="auto" w:fill="auto"/>
                  <w:noWrap w:val="0"/>
                  <w:vAlign w:val="center"/>
                </w:tcPr>
                <w:p w14:paraId="0961F3F3">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沥水吹干机</w:t>
                  </w:r>
                </w:p>
              </w:tc>
              <w:tc>
                <w:tcPr>
                  <w:tcW w:w="707" w:type="pct"/>
                  <w:tcBorders>
                    <w:tl2br w:val="nil"/>
                    <w:tr2bl w:val="nil"/>
                  </w:tcBorders>
                  <w:shd w:val="clear" w:color="auto" w:fill="auto"/>
                  <w:noWrap w:val="0"/>
                  <w:vAlign w:val="center"/>
                </w:tcPr>
                <w:p w14:paraId="064EAE78">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LS-550</w:t>
                  </w:r>
                </w:p>
              </w:tc>
              <w:tc>
                <w:tcPr>
                  <w:tcW w:w="444" w:type="pct"/>
                  <w:tcBorders>
                    <w:tl2br w:val="nil"/>
                    <w:tr2bl w:val="nil"/>
                  </w:tcBorders>
                  <w:shd w:val="clear" w:color="auto" w:fill="auto"/>
                  <w:noWrap w:val="0"/>
                  <w:vAlign w:val="center"/>
                </w:tcPr>
                <w:p w14:paraId="5E97E996">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台</w:t>
                  </w:r>
                </w:p>
              </w:tc>
              <w:tc>
                <w:tcPr>
                  <w:tcW w:w="353" w:type="pct"/>
                  <w:tcBorders>
                    <w:tl2br w:val="nil"/>
                    <w:tr2bl w:val="nil"/>
                  </w:tcBorders>
                  <w:shd w:val="clear" w:color="auto" w:fill="auto"/>
                  <w:noWrap w:val="0"/>
                  <w:vAlign w:val="center"/>
                </w:tcPr>
                <w:p w14:paraId="1B1C89BD">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1</w:t>
                  </w:r>
                </w:p>
              </w:tc>
              <w:tc>
                <w:tcPr>
                  <w:tcW w:w="898" w:type="pct"/>
                  <w:vMerge w:val="continue"/>
                  <w:tcBorders>
                    <w:tl2br w:val="nil"/>
                    <w:tr2bl w:val="nil"/>
                  </w:tcBorders>
                  <w:shd w:val="clear" w:color="auto" w:fill="auto"/>
                  <w:noWrap w:val="0"/>
                  <w:vAlign w:val="center"/>
                </w:tcPr>
                <w:p w14:paraId="11061D45">
                  <w:pPr>
                    <w:pStyle w:val="106"/>
                    <w:bidi w:val="0"/>
                    <w:rPr>
                      <w:rFonts w:hint="default"/>
                      <w:lang w:val="en-US" w:eastAsia="zh-CN"/>
                    </w:rPr>
                  </w:pPr>
                </w:p>
              </w:tc>
              <w:tc>
                <w:tcPr>
                  <w:tcW w:w="339" w:type="pct"/>
                  <w:vMerge w:val="continue"/>
                  <w:tcBorders>
                    <w:tl2br w:val="nil"/>
                    <w:tr2bl w:val="nil"/>
                  </w:tcBorders>
                  <w:shd w:val="clear" w:color="auto" w:fill="auto"/>
                  <w:noWrap w:val="0"/>
                  <w:vAlign w:val="center"/>
                </w:tcPr>
                <w:p w14:paraId="425A7D8D">
                  <w:pPr>
                    <w:pStyle w:val="106"/>
                    <w:bidi w:val="0"/>
                    <w:rPr>
                      <w:rFonts w:hint="eastAsia"/>
                      <w:lang w:val="en-US" w:eastAsia="zh-CN"/>
                    </w:rPr>
                  </w:pPr>
                </w:p>
              </w:tc>
            </w:tr>
            <w:tr w14:paraId="75643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0E3B383C">
                  <w:pPr>
                    <w:pStyle w:val="106"/>
                    <w:bidi w:val="0"/>
                    <w:rPr>
                      <w:rFonts w:hint="default"/>
                      <w:lang w:val="en-US" w:eastAsia="zh-CN"/>
                    </w:rPr>
                  </w:pPr>
                  <w:r>
                    <w:rPr>
                      <w:rFonts w:hint="eastAsia"/>
                      <w:lang w:val="en-US" w:eastAsia="zh-CN"/>
                    </w:rPr>
                    <w:t>27</w:t>
                  </w:r>
                </w:p>
              </w:tc>
              <w:tc>
                <w:tcPr>
                  <w:tcW w:w="365" w:type="pct"/>
                  <w:vMerge w:val="continue"/>
                  <w:tcBorders>
                    <w:tl2br w:val="nil"/>
                    <w:tr2bl w:val="nil"/>
                  </w:tcBorders>
                  <w:shd w:val="clear" w:color="auto" w:fill="auto"/>
                  <w:noWrap w:val="0"/>
                  <w:vAlign w:val="center"/>
                </w:tcPr>
                <w:p w14:paraId="0DF601A9">
                  <w:pPr>
                    <w:pStyle w:val="106"/>
                    <w:bidi w:val="0"/>
                    <w:rPr>
                      <w:rFonts w:hint="eastAsia"/>
                    </w:rPr>
                  </w:pPr>
                </w:p>
              </w:tc>
              <w:tc>
                <w:tcPr>
                  <w:tcW w:w="1575" w:type="pct"/>
                  <w:gridSpan w:val="2"/>
                  <w:tcBorders>
                    <w:tl2br w:val="nil"/>
                    <w:tr2bl w:val="nil"/>
                  </w:tcBorders>
                  <w:shd w:val="clear" w:color="auto" w:fill="auto"/>
                  <w:noWrap w:val="0"/>
                  <w:vAlign w:val="center"/>
                </w:tcPr>
                <w:p w14:paraId="181FD5CD">
                  <w:pPr>
                    <w:pStyle w:val="106"/>
                    <w:bidi w:val="0"/>
                    <w:rPr>
                      <w:rFonts w:hint="eastAsia"/>
                      <w:lang w:val="en-US" w:eastAsia="zh-CN"/>
                    </w:rPr>
                  </w:pPr>
                  <w:r>
                    <w:rPr>
                      <w:rFonts w:hint="eastAsia"/>
                    </w:rPr>
                    <w:t>提升定量灌装机</w:t>
                  </w:r>
                </w:p>
              </w:tc>
              <w:tc>
                <w:tcPr>
                  <w:tcW w:w="707" w:type="pct"/>
                  <w:tcBorders>
                    <w:tl2br w:val="nil"/>
                    <w:tr2bl w:val="nil"/>
                  </w:tcBorders>
                  <w:shd w:val="clear" w:color="auto" w:fill="auto"/>
                  <w:noWrap w:val="0"/>
                  <w:vAlign w:val="center"/>
                </w:tcPr>
                <w:p w14:paraId="15573BB6">
                  <w:pPr>
                    <w:pStyle w:val="106"/>
                    <w:bidi w:val="0"/>
                    <w:rPr>
                      <w:rFonts w:hint="eastAsia"/>
                      <w:lang w:val="en-US" w:eastAsia="zh-CN"/>
                    </w:rPr>
                  </w:pPr>
                  <w:r>
                    <w:rPr>
                      <w:rFonts w:hint="eastAsia"/>
                    </w:rPr>
                    <w:t>DL-G200</w:t>
                  </w:r>
                </w:p>
              </w:tc>
              <w:tc>
                <w:tcPr>
                  <w:tcW w:w="444" w:type="pct"/>
                  <w:tcBorders>
                    <w:tl2br w:val="nil"/>
                    <w:tr2bl w:val="nil"/>
                  </w:tcBorders>
                  <w:shd w:val="clear" w:color="auto" w:fill="auto"/>
                  <w:noWrap w:val="0"/>
                  <w:vAlign w:val="center"/>
                </w:tcPr>
                <w:p w14:paraId="032FBCF7">
                  <w:pPr>
                    <w:pStyle w:val="106"/>
                    <w:bidi w:val="0"/>
                    <w:rPr>
                      <w:rFonts w:hint="eastAsia"/>
                      <w:lang w:val="en-US" w:eastAsia="zh-CN"/>
                    </w:rPr>
                  </w:pPr>
                  <w:r>
                    <w:rPr>
                      <w:rFonts w:hint="eastAsia"/>
                    </w:rPr>
                    <w:t>套</w:t>
                  </w:r>
                </w:p>
              </w:tc>
              <w:tc>
                <w:tcPr>
                  <w:tcW w:w="353" w:type="pct"/>
                  <w:tcBorders>
                    <w:tl2br w:val="nil"/>
                    <w:tr2bl w:val="nil"/>
                  </w:tcBorders>
                  <w:shd w:val="clear" w:color="auto" w:fill="auto"/>
                  <w:noWrap w:val="0"/>
                  <w:vAlign w:val="center"/>
                </w:tcPr>
                <w:p w14:paraId="109D3E91">
                  <w:pPr>
                    <w:pStyle w:val="106"/>
                    <w:bidi w:val="0"/>
                    <w:rPr>
                      <w:rFonts w:hint="eastAsia"/>
                      <w:lang w:val="en-US" w:eastAsia="zh-CN"/>
                    </w:rPr>
                  </w:pPr>
                  <w:r>
                    <w:rPr>
                      <w:rFonts w:hint="eastAsia"/>
                    </w:rPr>
                    <w:t>1</w:t>
                  </w:r>
                </w:p>
              </w:tc>
              <w:tc>
                <w:tcPr>
                  <w:tcW w:w="898" w:type="pct"/>
                  <w:tcBorders>
                    <w:tl2br w:val="nil"/>
                    <w:tr2bl w:val="nil"/>
                  </w:tcBorders>
                  <w:shd w:val="clear" w:color="auto" w:fill="auto"/>
                  <w:noWrap w:val="0"/>
                  <w:vAlign w:val="center"/>
                </w:tcPr>
                <w:p w14:paraId="4B4E774C">
                  <w:pPr>
                    <w:pStyle w:val="106"/>
                    <w:bidi w:val="0"/>
                    <w:rPr>
                      <w:rFonts w:hint="default"/>
                      <w:lang w:val="en-US" w:eastAsia="zh-CN"/>
                    </w:rPr>
                  </w:pPr>
                  <w:r>
                    <w:rPr>
                      <w:rFonts w:hint="eastAsia"/>
                      <w:lang w:val="en-US" w:eastAsia="zh-CN"/>
                    </w:rPr>
                    <w:t>定量灌装</w:t>
                  </w:r>
                </w:p>
              </w:tc>
              <w:tc>
                <w:tcPr>
                  <w:tcW w:w="339" w:type="pct"/>
                  <w:vMerge w:val="continue"/>
                  <w:tcBorders>
                    <w:tl2br w:val="nil"/>
                    <w:tr2bl w:val="nil"/>
                  </w:tcBorders>
                  <w:shd w:val="clear" w:color="auto" w:fill="auto"/>
                  <w:noWrap w:val="0"/>
                  <w:vAlign w:val="center"/>
                </w:tcPr>
                <w:p w14:paraId="396CEE3E">
                  <w:pPr>
                    <w:pStyle w:val="106"/>
                    <w:bidi w:val="0"/>
                    <w:rPr>
                      <w:rFonts w:hint="eastAsia"/>
                      <w:lang w:val="en-US" w:eastAsia="zh-CN"/>
                    </w:rPr>
                  </w:pPr>
                </w:p>
              </w:tc>
            </w:tr>
            <w:tr w14:paraId="26244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69791858">
                  <w:pPr>
                    <w:pStyle w:val="106"/>
                    <w:bidi w:val="0"/>
                    <w:rPr>
                      <w:rFonts w:hint="default"/>
                      <w:lang w:val="en-US" w:eastAsia="zh-CN"/>
                    </w:rPr>
                  </w:pPr>
                  <w:r>
                    <w:rPr>
                      <w:rFonts w:hint="eastAsia"/>
                      <w:lang w:val="en-US" w:eastAsia="zh-CN"/>
                    </w:rPr>
                    <w:t>28</w:t>
                  </w:r>
                </w:p>
              </w:tc>
              <w:tc>
                <w:tcPr>
                  <w:tcW w:w="365" w:type="pct"/>
                  <w:vMerge w:val="continue"/>
                  <w:tcBorders>
                    <w:tl2br w:val="nil"/>
                    <w:tr2bl w:val="nil"/>
                  </w:tcBorders>
                  <w:shd w:val="clear" w:color="auto" w:fill="auto"/>
                  <w:noWrap w:val="0"/>
                  <w:vAlign w:val="center"/>
                </w:tcPr>
                <w:p w14:paraId="6C672661">
                  <w:pPr>
                    <w:pStyle w:val="106"/>
                    <w:bidi w:val="0"/>
                    <w:rPr>
                      <w:rFonts w:hint="eastAsia"/>
                    </w:rPr>
                  </w:pPr>
                </w:p>
              </w:tc>
              <w:tc>
                <w:tcPr>
                  <w:tcW w:w="1575" w:type="pct"/>
                  <w:gridSpan w:val="2"/>
                  <w:tcBorders>
                    <w:tl2br w:val="nil"/>
                    <w:tr2bl w:val="nil"/>
                  </w:tcBorders>
                  <w:shd w:val="clear" w:color="auto" w:fill="auto"/>
                  <w:noWrap w:val="0"/>
                  <w:vAlign w:val="center"/>
                </w:tcPr>
                <w:p w14:paraId="4314DA8A">
                  <w:pPr>
                    <w:pStyle w:val="106"/>
                    <w:bidi w:val="0"/>
                    <w:rPr>
                      <w:rFonts w:hint="eastAsia"/>
                      <w:lang w:val="en-US" w:eastAsia="zh-CN"/>
                    </w:rPr>
                  </w:pPr>
                  <w:r>
                    <w:rPr>
                      <w:rFonts w:hint="eastAsia"/>
                    </w:rPr>
                    <w:t>封罐机</w:t>
                  </w:r>
                </w:p>
              </w:tc>
              <w:tc>
                <w:tcPr>
                  <w:tcW w:w="707" w:type="pct"/>
                  <w:tcBorders>
                    <w:tl2br w:val="nil"/>
                    <w:tr2bl w:val="nil"/>
                  </w:tcBorders>
                  <w:shd w:val="clear" w:color="auto" w:fill="auto"/>
                  <w:noWrap w:val="0"/>
                  <w:vAlign w:val="center"/>
                </w:tcPr>
                <w:p w14:paraId="192FCCEC">
                  <w:pPr>
                    <w:pStyle w:val="106"/>
                    <w:bidi w:val="0"/>
                    <w:rPr>
                      <w:rFonts w:hint="eastAsia"/>
                      <w:lang w:val="en-US" w:eastAsia="zh-CN"/>
                    </w:rPr>
                  </w:pPr>
                  <w:r>
                    <w:rPr>
                      <w:rFonts w:hint="eastAsia"/>
                    </w:rPr>
                    <w:t>FG-C50</w:t>
                  </w:r>
                </w:p>
              </w:tc>
              <w:tc>
                <w:tcPr>
                  <w:tcW w:w="444" w:type="pct"/>
                  <w:tcBorders>
                    <w:tl2br w:val="nil"/>
                    <w:tr2bl w:val="nil"/>
                  </w:tcBorders>
                  <w:shd w:val="clear" w:color="auto" w:fill="auto"/>
                  <w:noWrap w:val="0"/>
                  <w:vAlign w:val="center"/>
                </w:tcPr>
                <w:p w14:paraId="7822A9BB">
                  <w:pPr>
                    <w:pStyle w:val="106"/>
                    <w:bidi w:val="0"/>
                    <w:rPr>
                      <w:rFonts w:hint="eastAsia"/>
                      <w:lang w:val="en-US" w:eastAsia="zh-CN"/>
                    </w:rPr>
                  </w:pPr>
                  <w:r>
                    <w:rPr>
                      <w:rFonts w:hint="eastAsia"/>
                    </w:rPr>
                    <w:t>台</w:t>
                  </w:r>
                </w:p>
              </w:tc>
              <w:tc>
                <w:tcPr>
                  <w:tcW w:w="353" w:type="pct"/>
                  <w:tcBorders>
                    <w:tl2br w:val="nil"/>
                    <w:tr2bl w:val="nil"/>
                  </w:tcBorders>
                  <w:shd w:val="clear" w:color="auto" w:fill="auto"/>
                  <w:noWrap w:val="0"/>
                  <w:vAlign w:val="center"/>
                </w:tcPr>
                <w:p w14:paraId="500F6615">
                  <w:pPr>
                    <w:pStyle w:val="106"/>
                    <w:bidi w:val="0"/>
                    <w:rPr>
                      <w:rFonts w:hint="eastAsia"/>
                      <w:lang w:val="en-US" w:eastAsia="zh-CN"/>
                    </w:rPr>
                  </w:pPr>
                  <w:r>
                    <w:rPr>
                      <w:rFonts w:hint="eastAsia"/>
                    </w:rPr>
                    <w:t>1</w:t>
                  </w:r>
                </w:p>
              </w:tc>
              <w:tc>
                <w:tcPr>
                  <w:tcW w:w="898" w:type="pct"/>
                  <w:tcBorders>
                    <w:tl2br w:val="nil"/>
                    <w:tr2bl w:val="nil"/>
                  </w:tcBorders>
                  <w:shd w:val="clear" w:color="auto" w:fill="auto"/>
                  <w:noWrap w:val="0"/>
                  <w:vAlign w:val="center"/>
                </w:tcPr>
                <w:p w14:paraId="1B14B37E">
                  <w:pPr>
                    <w:pStyle w:val="106"/>
                    <w:bidi w:val="0"/>
                    <w:rPr>
                      <w:rFonts w:hint="default"/>
                      <w:lang w:val="en-US" w:eastAsia="zh-CN"/>
                    </w:rPr>
                  </w:pPr>
                  <w:r>
                    <w:rPr>
                      <w:rFonts w:hint="eastAsia"/>
                      <w:lang w:val="en-US" w:eastAsia="zh-CN"/>
                    </w:rPr>
                    <w:t>封口</w:t>
                  </w:r>
                </w:p>
              </w:tc>
              <w:tc>
                <w:tcPr>
                  <w:tcW w:w="339" w:type="pct"/>
                  <w:vMerge w:val="continue"/>
                  <w:tcBorders>
                    <w:tl2br w:val="nil"/>
                    <w:tr2bl w:val="nil"/>
                  </w:tcBorders>
                  <w:shd w:val="clear" w:color="auto" w:fill="auto"/>
                  <w:noWrap w:val="0"/>
                  <w:vAlign w:val="center"/>
                </w:tcPr>
                <w:p w14:paraId="4ADBF1EB">
                  <w:pPr>
                    <w:pStyle w:val="106"/>
                    <w:bidi w:val="0"/>
                    <w:rPr>
                      <w:rFonts w:hint="eastAsia"/>
                      <w:lang w:val="en-US" w:eastAsia="zh-CN"/>
                    </w:rPr>
                  </w:pPr>
                </w:p>
              </w:tc>
            </w:tr>
            <w:tr w14:paraId="5BBD1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5ED504B6">
                  <w:pPr>
                    <w:pStyle w:val="106"/>
                    <w:bidi w:val="0"/>
                    <w:rPr>
                      <w:rFonts w:hint="default"/>
                      <w:lang w:val="en-US" w:eastAsia="zh-CN"/>
                    </w:rPr>
                  </w:pPr>
                  <w:r>
                    <w:rPr>
                      <w:rFonts w:hint="eastAsia"/>
                      <w:lang w:val="en-US" w:eastAsia="zh-CN"/>
                    </w:rPr>
                    <w:t>29</w:t>
                  </w:r>
                </w:p>
              </w:tc>
              <w:tc>
                <w:tcPr>
                  <w:tcW w:w="365" w:type="pct"/>
                  <w:vMerge w:val="continue"/>
                  <w:tcBorders>
                    <w:tl2br w:val="nil"/>
                    <w:tr2bl w:val="nil"/>
                  </w:tcBorders>
                  <w:shd w:val="clear" w:color="auto" w:fill="auto"/>
                  <w:noWrap w:val="0"/>
                  <w:vAlign w:val="center"/>
                </w:tcPr>
                <w:p w14:paraId="5C68B135">
                  <w:pPr>
                    <w:pStyle w:val="106"/>
                    <w:bidi w:val="0"/>
                    <w:rPr>
                      <w:rFonts w:hint="eastAsia"/>
                    </w:rPr>
                  </w:pPr>
                </w:p>
              </w:tc>
              <w:tc>
                <w:tcPr>
                  <w:tcW w:w="1575" w:type="pct"/>
                  <w:gridSpan w:val="2"/>
                  <w:tcBorders>
                    <w:tl2br w:val="nil"/>
                    <w:tr2bl w:val="nil"/>
                  </w:tcBorders>
                  <w:shd w:val="clear" w:color="auto" w:fill="auto"/>
                  <w:noWrap w:val="0"/>
                  <w:vAlign w:val="center"/>
                </w:tcPr>
                <w:p w14:paraId="5BB85350">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实罐清洗机</w:t>
                  </w:r>
                </w:p>
              </w:tc>
              <w:tc>
                <w:tcPr>
                  <w:tcW w:w="707" w:type="pct"/>
                  <w:tcBorders>
                    <w:tl2br w:val="nil"/>
                    <w:tr2bl w:val="nil"/>
                  </w:tcBorders>
                  <w:shd w:val="clear" w:color="auto" w:fill="auto"/>
                  <w:noWrap w:val="0"/>
                  <w:vAlign w:val="center"/>
                </w:tcPr>
                <w:p w14:paraId="7EBAE31C">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SG-X80</w:t>
                  </w:r>
                </w:p>
              </w:tc>
              <w:tc>
                <w:tcPr>
                  <w:tcW w:w="444" w:type="pct"/>
                  <w:tcBorders>
                    <w:tl2br w:val="nil"/>
                    <w:tr2bl w:val="nil"/>
                  </w:tcBorders>
                  <w:shd w:val="clear" w:color="auto" w:fill="auto"/>
                  <w:noWrap w:val="0"/>
                  <w:vAlign w:val="center"/>
                </w:tcPr>
                <w:p w14:paraId="341F69D6">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台</w:t>
                  </w:r>
                </w:p>
              </w:tc>
              <w:tc>
                <w:tcPr>
                  <w:tcW w:w="353" w:type="pct"/>
                  <w:tcBorders>
                    <w:tl2br w:val="nil"/>
                    <w:tr2bl w:val="nil"/>
                  </w:tcBorders>
                  <w:shd w:val="clear" w:color="auto" w:fill="auto"/>
                  <w:noWrap w:val="0"/>
                  <w:vAlign w:val="center"/>
                </w:tcPr>
                <w:p w14:paraId="26EC354D">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1</w:t>
                  </w:r>
                </w:p>
              </w:tc>
              <w:tc>
                <w:tcPr>
                  <w:tcW w:w="898" w:type="pct"/>
                  <w:tcBorders>
                    <w:tl2br w:val="nil"/>
                    <w:tr2bl w:val="nil"/>
                  </w:tcBorders>
                  <w:shd w:val="clear" w:color="auto" w:fill="auto"/>
                  <w:noWrap w:val="0"/>
                  <w:vAlign w:val="center"/>
                </w:tcPr>
                <w:p w14:paraId="6B0B2909">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实罐清洗</w:t>
                  </w:r>
                </w:p>
              </w:tc>
              <w:tc>
                <w:tcPr>
                  <w:tcW w:w="339" w:type="pct"/>
                  <w:vMerge w:val="continue"/>
                  <w:tcBorders>
                    <w:tl2br w:val="nil"/>
                    <w:tr2bl w:val="nil"/>
                  </w:tcBorders>
                  <w:shd w:val="clear" w:color="auto" w:fill="auto"/>
                  <w:noWrap w:val="0"/>
                  <w:vAlign w:val="center"/>
                </w:tcPr>
                <w:p w14:paraId="06F96897">
                  <w:pPr>
                    <w:pStyle w:val="106"/>
                    <w:bidi w:val="0"/>
                    <w:rPr>
                      <w:rFonts w:hint="eastAsia"/>
                      <w:lang w:val="en-US" w:eastAsia="zh-CN"/>
                    </w:rPr>
                  </w:pPr>
                </w:p>
              </w:tc>
            </w:tr>
            <w:tr w14:paraId="67015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288249A8">
                  <w:pPr>
                    <w:pStyle w:val="106"/>
                    <w:bidi w:val="0"/>
                    <w:rPr>
                      <w:rFonts w:hint="default"/>
                      <w:lang w:val="en-US" w:eastAsia="zh-CN"/>
                    </w:rPr>
                  </w:pPr>
                  <w:r>
                    <w:rPr>
                      <w:rFonts w:hint="eastAsia"/>
                      <w:lang w:val="en-US" w:eastAsia="zh-CN"/>
                    </w:rPr>
                    <w:t>30</w:t>
                  </w:r>
                </w:p>
              </w:tc>
              <w:tc>
                <w:tcPr>
                  <w:tcW w:w="365" w:type="pct"/>
                  <w:vMerge w:val="continue"/>
                  <w:tcBorders>
                    <w:tl2br w:val="nil"/>
                    <w:tr2bl w:val="nil"/>
                  </w:tcBorders>
                  <w:shd w:val="clear" w:color="auto" w:fill="auto"/>
                  <w:noWrap w:val="0"/>
                  <w:vAlign w:val="center"/>
                </w:tcPr>
                <w:p w14:paraId="609A18DF">
                  <w:pPr>
                    <w:pStyle w:val="106"/>
                    <w:bidi w:val="0"/>
                    <w:rPr>
                      <w:rFonts w:hint="eastAsia"/>
                    </w:rPr>
                  </w:pPr>
                </w:p>
              </w:tc>
              <w:tc>
                <w:tcPr>
                  <w:tcW w:w="1575" w:type="pct"/>
                  <w:gridSpan w:val="2"/>
                  <w:tcBorders>
                    <w:tl2br w:val="nil"/>
                    <w:tr2bl w:val="nil"/>
                  </w:tcBorders>
                  <w:shd w:val="clear" w:color="auto" w:fill="auto"/>
                  <w:noWrap w:val="0"/>
                  <w:vAlign w:val="center"/>
                </w:tcPr>
                <w:p w14:paraId="2245AF7C">
                  <w:pPr>
                    <w:pStyle w:val="106"/>
                    <w:bidi w:val="0"/>
                    <w:rPr>
                      <w:rFonts w:hint="eastAsia"/>
                      <w:lang w:val="en-US" w:eastAsia="zh-CN"/>
                    </w:rPr>
                  </w:pPr>
                  <w:r>
                    <w:rPr>
                      <w:rFonts w:hint="eastAsia"/>
                    </w:rPr>
                    <w:t>半自动装卸笼机</w:t>
                  </w:r>
                </w:p>
              </w:tc>
              <w:tc>
                <w:tcPr>
                  <w:tcW w:w="707" w:type="pct"/>
                  <w:tcBorders>
                    <w:tl2br w:val="nil"/>
                    <w:tr2bl w:val="nil"/>
                  </w:tcBorders>
                  <w:shd w:val="clear" w:color="auto" w:fill="auto"/>
                  <w:noWrap w:val="0"/>
                  <w:vAlign w:val="center"/>
                </w:tcPr>
                <w:p w14:paraId="6CA0204F">
                  <w:pPr>
                    <w:pStyle w:val="106"/>
                    <w:bidi w:val="0"/>
                    <w:rPr>
                      <w:rFonts w:hint="eastAsia"/>
                      <w:lang w:val="en-US" w:eastAsia="zh-CN"/>
                    </w:rPr>
                  </w:pPr>
                  <w:r>
                    <w:rPr>
                      <w:rFonts w:hint="eastAsia"/>
                    </w:rPr>
                    <w:t>ZX-ZD80</w:t>
                  </w:r>
                </w:p>
              </w:tc>
              <w:tc>
                <w:tcPr>
                  <w:tcW w:w="444" w:type="pct"/>
                  <w:tcBorders>
                    <w:tl2br w:val="nil"/>
                    <w:tr2bl w:val="nil"/>
                  </w:tcBorders>
                  <w:shd w:val="clear" w:color="auto" w:fill="auto"/>
                  <w:noWrap w:val="0"/>
                  <w:vAlign w:val="center"/>
                </w:tcPr>
                <w:p w14:paraId="38A00404">
                  <w:pPr>
                    <w:pStyle w:val="106"/>
                    <w:bidi w:val="0"/>
                    <w:rPr>
                      <w:rFonts w:hint="eastAsia"/>
                      <w:lang w:val="en-US" w:eastAsia="zh-CN"/>
                    </w:rPr>
                  </w:pPr>
                  <w:r>
                    <w:rPr>
                      <w:rFonts w:hint="eastAsia"/>
                    </w:rPr>
                    <w:t>套</w:t>
                  </w:r>
                </w:p>
              </w:tc>
              <w:tc>
                <w:tcPr>
                  <w:tcW w:w="353" w:type="pct"/>
                  <w:tcBorders>
                    <w:tl2br w:val="nil"/>
                    <w:tr2bl w:val="nil"/>
                  </w:tcBorders>
                  <w:shd w:val="clear" w:color="auto" w:fill="auto"/>
                  <w:noWrap w:val="0"/>
                  <w:vAlign w:val="center"/>
                </w:tcPr>
                <w:p w14:paraId="78728BF0">
                  <w:pPr>
                    <w:pStyle w:val="106"/>
                    <w:bidi w:val="0"/>
                    <w:rPr>
                      <w:rFonts w:hint="eastAsia"/>
                      <w:lang w:val="en-US" w:eastAsia="zh-CN"/>
                    </w:rPr>
                  </w:pPr>
                  <w:r>
                    <w:rPr>
                      <w:rFonts w:hint="eastAsia"/>
                    </w:rPr>
                    <w:t>1</w:t>
                  </w:r>
                </w:p>
              </w:tc>
              <w:tc>
                <w:tcPr>
                  <w:tcW w:w="898" w:type="pct"/>
                  <w:vMerge w:val="restart"/>
                  <w:tcBorders>
                    <w:tl2br w:val="nil"/>
                    <w:tr2bl w:val="nil"/>
                  </w:tcBorders>
                  <w:shd w:val="clear" w:color="auto" w:fill="auto"/>
                  <w:noWrap w:val="0"/>
                  <w:vAlign w:val="center"/>
                </w:tcPr>
                <w:p w14:paraId="766B16C3">
                  <w:pPr>
                    <w:pStyle w:val="106"/>
                    <w:bidi w:val="0"/>
                    <w:rPr>
                      <w:rFonts w:hint="default"/>
                      <w:lang w:val="en-US" w:eastAsia="zh-CN"/>
                    </w:rPr>
                  </w:pPr>
                  <w:r>
                    <w:rPr>
                      <w:rFonts w:hint="eastAsia"/>
                      <w:lang w:val="en-US" w:eastAsia="zh-CN"/>
                    </w:rPr>
                    <w:t>杀菌熟化</w:t>
                  </w:r>
                </w:p>
              </w:tc>
              <w:tc>
                <w:tcPr>
                  <w:tcW w:w="339" w:type="pct"/>
                  <w:vMerge w:val="continue"/>
                  <w:tcBorders>
                    <w:tl2br w:val="nil"/>
                    <w:tr2bl w:val="nil"/>
                  </w:tcBorders>
                  <w:shd w:val="clear" w:color="auto" w:fill="auto"/>
                  <w:noWrap w:val="0"/>
                  <w:vAlign w:val="center"/>
                </w:tcPr>
                <w:p w14:paraId="7AF902E0">
                  <w:pPr>
                    <w:pStyle w:val="106"/>
                    <w:bidi w:val="0"/>
                    <w:rPr>
                      <w:rFonts w:hint="eastAsia"/>
                      <w:lang w:val="en-US" w:eastAsia="zh-CN"/>
                    </w:rPr>
                  </w:pPr>
                </w:p>
              </w:tc>
            </w:tr>
            <w:tr w14:paraId="32DE4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3155B998">
                  <w:pPr>
                    <w:pStyle w:val="106"/>
                    <w:bidi w:val="0"/>
                    <w:rPr>
                      <w:rFonts w:hint="default"/>
                      <w:lang w:val="en-US" w:eastAsia="zh-CN"/>
                    </w:rPr>
                  </w:pPr>
                  <w:r>
                    <w:rPr>
                      <w:rFonts w:hint="eastAsia"/>
                      <w:lang w:val="en-US" w:eastAsia="zh-CN"/>
                    </w:rPr>
                    <w:t>31</w:t>
                  </w:r>
                </w:p>
              </w:tc>
              <w:tc>
                <w:tcPr>
                  <w:tcW w:w="365" w:type="pct"/>
                  <w:vMerge w:val="continue"/>
                  <w:tcBorders>
                    <w:tl2br w:val="nil"/>
                    <w:tr2bl w:val="nil"/>
                  </w:tcBorders>
                  <w:shd w:val="clear" w:color="auto" w:fill="auto"/>
                  <w:noWrap w:val="0"/>
                  <w:vAlign w:val="center"/>
                </w:tcPr>
                <w:p w14:paraId="205FA4C2">
                  <w:pPr>
                    <w:pStyle w:val="106"/>
                    <w:bidi w:val="0"/>
                    <w:rPr>
                      <w:rFonts w:hint="eastAsia"/>
                    </w:rPr>
                  </w:pPr>
                </w:p>
              </w:tc>
              <w:tc>
                <w:tcPr>
                  <w:tcW w:w="1575" w:type="pct"/>
                  <w:gridSpan w:val="2"/>
                  <w:tcBorders>
                    <w:tl2br w:val="nil"/>
                    <w:tr2bl w:val="nil"/>
                  </w:tcBorders>
                  <w:shd w:val="clear" w:color="auto" w:fill="auto"/>
                  <w:noWrap w:val="0"/>
                  <w:vAlign w:val="center"/>
                </w:tcPr>
                <w:p w14:paraId="54D24665">
                  <w:pPr>
                    <w:pStyle w:val="106"/>
                    <w:bidi w:val="0"/>
                    <w:rPr>
                      <w:rFonts w:hint="eastAsia"/>
                      <w:lang w:val="en-US" w:eastAsia="zh-CN"/>
                    </w:rPr>
                  </w:pPr>
                  <w:r>
                    <w:rPr>
                      <w:rFonts w:hint="eastAsia"/>
                    </w:rPr>
                    <w:t>杀菌锅</w:t>
                  </w:r>
                </w:p>
              </w:tc>
              <w:tc>
                <w:tcPr>
                  <w:tcW w:w="707" w:type="pct"/>
                  <w:tcBorders>
                    <w:tl2br w:val="nil"/>
                    <w:tr2bl w:val="nil"/>
                  </w:tcBorders>
                  <w:shd w:val="clear" w:color="auto" w:fill="auto"/>
                  <w:noWrap w:val="0"/>
                  <w:vAlign w:val="center"/>
                </w:tcPr>
                <w:p w14:paraId="5BEE83A5">
                  <w:pPr>
                    <w:pStyle w:val="106"/>
                    <w:bidi w:val="0"/>
                    <w:rPr>
                      <w:rFonts w:hint="eastAsia"/>
                      <w:lang w:val="en-US" w:eastAsia="zh-CN"/>
                    </w:rPr>
                  </w:pPr>
                  <w:r>
                    <w:rPr>
                      <w:rFonts w:hint="eastAsia"/>
                    </w:rPr>
                    <w:t>SJ-1200</w:t>
                  </w:r>
                </w:p>
              </w:tc>
              <w:tc>
                <w:tcPr>
                  <w:tcW w:w="444" w:type="pct"/>
                  <w:tcBorders>
                    <w:tl2br w:val="nil"/>
                    <w:tr2bl w:val="nil"/>
                  </w:tcBorders>
                  <w:shd w:val="clear" w:color="auto" w:fill="auto"/>
                  <w:noWrap w:val="0"/>
                  <w:vAlign w:val="center"/>
                </w:tcPr>
                <w:p w14:paraId="44C96B51">
                  <w:pPr>
                    <w:pStyle w:val="106"/>
                    <w:bidi w:val="0"/>
                    <w:rPr>
                      <w:rFonts w:hint="eastAsia"/>
                      <w:lang w:val="en-US" w:eastAsia="zh-CN"/>
                    </w:rPr>
                  </w:pPr>
                  <w:r>
                    <w:rPr>
                      <w:rFonts w:hint="eastAsia"/>
                    </w:rPr>
                    <w:t>套</w:t>
                  </w:r>
                </w:p>
              </w:tc>
              <w:tc>
                <w:tcPr>
                  <w:tcW w:w="353" w:type="pct"/>
                  <w:tcBorders>
                    <w:tl2br w:val="nil"/>
                    <w:tr2bl w:val="nil"/>
                  </w:tcBorders>
                  <w:shd w:val="clear" w:color="auto" w:fill="auto"/>
                  <w:noWrap w:val="0"/>
                  <w:vAlign w:val="center"/>
                </w:tcPr>
                <w:p w14:paraId="54C5AD18">
                  <w:pPr>
                    <w:pStyle w:val="106"/>
                    <w:bidi w:val="0"/>
                    <w:rPr>
                      <w:rFonts w:hint="eastAsia" w:eastAsia="宋体"/>
                      <w:lang w:val="en-US" w:eastAsia="zh-CN"/>
                    </w:rPr>
                  </w:pPr>
                  <w:r>
                    <w:rPr>
                      <w:rFonts w:hint="eastAsia"/>
                      <w:lang w:val="en-US" w:eastAsia="zh-CN"/>
                    </w:rPr>
                    <w:t>3</w:t>
                  </w:r>
                </w:p>
              </w:tc>
              <w:tc>
                <w:tcPr>
                  <w:tcW w:w="898" w:type="pct"/>
                  <w:vMerge w:val="continue"/>
                  <w:tcBorders>
                    <w:tl2br w:val="nil"/>
                    <w:tr2bl w:val="nil"/>
                  </w:tcBorders>
                  <w:shd w:val="clear" w:color="auto" w:fill="auto"/>
                  <w:noWrap w:val="0"/>
                  <w:vAlign w:val="center"/>
                </w:tcPr>
                <w:p w14:paraId="241E77BB">
                  <w:pPr>
                    <w:pStyle w:val="106"/>
                    <w:bidi w:val="0"/>
                    <w:rPr>
                      <w:rFonts w:hint="eastAsia"/>
                      <w:lang w:val="en-US" w:eastAsia="zh-CN"/>
                    </w:rPr>
                  </w:pPr>
                </w:p>
              </w:tc>
              <w:tc>
                <w:tcPr>
                  <w:tcW w:w="339" w:type="pct"/>
                  <w:vMerge w:val="continue"/>
                  <w:tcBorders>
                    <w:tl2br w:val="nil"/>
                    <w:tr2bl w:val="nil"/>
                  </w:tcBorders>
                  <w:shd w:val="clear" w:color="auto" w:fill="auto"/>
                  <w:noWrap w:val="0"/>
                  <w:vAlign w:val="center"/>
                </w:tcPr>
                <w:p w14:paraId="5F0311E9">
                  <w:pPr>
                    <w:pStyle w:val="106"/>
                    <w:bidi w:val="0"/>
                    <w:rPr>
                      <w:rFonts w:hint="eastAsia"/>
                      <w:lang w:val="en-US" w:eastAsia="zh-CN"/>
                    </w:rPr>
                  </w:pPr>
                </w:p>
              </w:tc>
            </w:tr>
            <w:tr w14:paraId="72438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2C472DDA">
                  <w:pPr>
                    <w:pStyle w:val="106"/>
                    <w:bidi w:val="0"/>
                    <w:rPr>
                      <w:rFonts w:hint="default"/>
                      <w:lang w:val="en-US" w:eastAsia="zh-CN"/>
                    </w:rPr>
                  </w:pPr>
                  <w:r>
                    <w:rPr>
                      <w:rFonts w:hint="eastAsia"/>
                      <w:lang w:val="en-US" w:eastAsia="zh-CN"/>
                    </w:rPr>
                    <w:t>32</w:t>
                  </w:r>
                </w:p>
              </w:tc>
              <w:tc>
                <w:tcPr>
                  <w:tcW w:w="365" w:type="pct"/>
                  <w:vMerge w:val="continue"/>
                  <w:tcBorders>
                    <w:tl2br w:val="nil"/>
                    <w:tr2bl w:val="nil"/>
                  </w:tcBorders>
                  <w:shd w:val="clear" w:color="auto" w:fill="auto"/>
                  <w:noWrap w:val="0"/>
                  <w:vAlign w:val="center"/>
                </w:tcPr>
                <w:p w14:paraId="546554CD">
                  <w:pPr>
                    <w:pStyle w:val="106"/>
                    <w:bidi w:val="0"/>
                    <w:rPr>
                      <w:rFonts w:hint="eastAsia"/>
                    </w:rPr>
                  </w:pPr>
                </w:p>
              </w:tc>
              <w:tc>
                <w:tcPr>
                  <w:tcW w:w="1575" w:type="pct"/>
                  <w:gridSpan w:val="2"/>
                  <w:tcBorders>
                    <w:tl2br w:val="nil"/>
                    <w:tr2bl w:val="nil"/>
                  </w:tcBorders>
                  <w:shd w:val="clear" w:color="auto" w:fill="auto"/>
                  <w:noWrap w:val="0"/>
                  <w:vAlign w:val="center"/>
                </w:tcPr>
                <w:p w14:paraId="0ADB1F23">
                  <w:pPr>
                    <w:pStyle w:val="106"/>
                    <w:bidi w:val="0"/>
                    <w:rPr>
                      <w:rFonts w:hint="eastAsia"/>
                      <w:lang w:val="en-US" w:eastAsia="zh-CN"/>
                    </w:rPr>
                  </w:pPr>
                  <w:r>
                    <w:rPr>
                      <w:rFonts w:hint="eastAsia"/>
                    </w:rPr>
                    <w:t>吹干机</w:t>
                  </w:r>
                </w:p>
              </w:tc>
              <w:tc>
                <w:tcPr>
                  <w:tcW w:w="707" w:type="pct"/>
                  <w:tcBorders>
                    <w:tl2br w:val="nil"/>
                    <w:tr2bl w:val="nil"/>
                  </w:tcBorders>
                  <w:shd w:val="clear" w:color="auto" w:fill="auto"/>
                  <w:noWrap w:val="0"/>
                  <w:vAlign w:val="center"/>
                </w:tcPr>
                <w:p w14:paraId="1B32D08C">
                  <w:pPr>
                    <w:pStyle w:val="106"/>
                    <w:bidi w:val="0"/>
                    <w:rPr>
                      <w:rFonts w:hint="eastAsia"/>
                      <w:lang w:val="en-US" w:eastAsia="zh-CN"/>
                    </w:rPr>
                  </w:pPr>
                  <w:r>
                    <w:rPr>
                      <w:rFonts w:hint="eastAsia"/>
                    </w:rPr>
                    <w:t>F-500</w:t>
                  </w:r>
                </w:p>
              </w:tc>
              <w:tc>
                <w:tcPr>
                  <w:tcW w:w="444" w:type="pct"/>
                  <w:tcBorders>
                    <w:tl2br w:val="nil"/>
                    <w:tr2bl w:val="nil"/>
                  </w:tcBorders>
                  <w:shd w:val="clear" w:color="auto" w:fill="auto"/>
                  <w:noWrap w:val="0"/>
                  <w:vAlign w:val="center"/>
                </w:tcPr>
                <w:p w14:paraId="52A24BC5">
                  <w:pPr>
                    <w:pStyle w:val="106"/>
                    <w:bidi w:val="0"/>
                    <w:rPr>
                      <w:rFonts w:hint="eastAsia"/>
                      <w:lang w:val="en-US" w:eastAsia="zh-CN"/>
                    </w:rPr>
                  </w:pPr>
                  <w:r>
                    <w:rPr>
                      <w:rFonts w:hint="eastAsia"/>
                    </w:rPr>
                    <w:t>台</w:t>
                  </w:r>
                </w:p>
              </w:tc>
              <w:tc>
                <w:tcPr>
                  <w:tcW w:w="353" w:type="pct"/>
                  <w:tcBorders>
                    <w:tl2br w:val="nil"/>
                    <w:tr2bl w:val="nil"/>
                  </w:tcBorders>
                  <w:shd w:val="clear" w:color="auto" w:fill="auto"/>
                  <w:noWrap w:val="0"/>
                  <w:vAlign w:val="center"/>
                </w:tcPr>
                <w:p w14:paraId="30477A31">
                  <w:pPr>
                    <w:pStyle w:val="106"/>
                    <w:bidi w:val="0"/>
                    <w:rPr>
                      <w:rFonts w:hint="eastAsia"/>
                      <w:lang w:val="en-US" w:eastAsia="zh-CN"/>
                    </w:rPr>
                  </w:pPr>
                  <w:r>
                    <w:rPr>
                      <w:rFonts w:hint="eastAsia"/>
                    </w:rPr>
                    <w:t>1</w:t>
                  </w:r>
                </w:p>
              </w:tc>
              <w:tc>
                <w:tcPr>
                  <w:tcW w:w="898" w:type="pct"/>
                  <w:tcBorders>
                    <w:tl2br w:val="nil"/>
                    <w:tr2bl w:val="nil"/>
                  </w:tcBorders>
                  <w:shd w:val="clear" w:color="auto" w:fill="auto"/>
                  <w:noWrap w:val="0"/>
                  <w:vAlign w:val="center"/>
                </w:tcPr>
                <w:p w14:paraId="26A5DD52">
                  <w:pPr>
                    <w:pStyle w:val="106"/>
                    <w:bidi w:val="0"/>
                    <w:rPr>
                      <w:rFonts w:hint="default"/>
                      <w:lang w:val="en-US" w:eastAsia="zh-CN"/>
                    </w:rPr>
                  </w:pPr>
                  <w:r>
                    <w:rPr>
                      <w:rFonts w:hint="eastAsia"/>
                      <w:lang w:val="en-US" w:eastAsia="zh-CN"/>
                    </w:rPr>
                    <w:t>自然冷却</w:t>
                  </w:r>
                </w:p>
              </w:tc>
              <w:tc>
                <w:tcPr>
                  <w:tcW w:w="339" w:type="pct"/>
                  <w:vMerge w:val="continue"/>
                  <w:tcBorders>
                    <w:tl2br w:val="nil"/>
                    <w:tr2bl w:val="nil"/>
                  </w:tcBorders>
                  <w:shd w:val="clear" w:color="auto" w:fill="auto"/>
                  <w:noWrap w:val="0"/>
                  <w:vAlign w:val="center"/>
                </w:tcPr>
                <w:p w14:paraId="1A69A3D6">
                  <w:pPr>
                    <w:pStyle w:val="106"/>
                    <w:bidi w:val="0"/>
                    <w:rPr>
                      <w:rFonts w:hint="eastAsia"/>
                      <w:lang w:val="en-US" w:eastAsia="zh-CN"/>
                    </w:rPr>
                  </w:pPr>
                </w:p>
              </w:tc>
            </w:tr>
            <w:tr w14:paraId="6051E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5043F482">
                  <w:pPr>
                    <w:pStyle w:val="106"/>
                    <w:bidi w:val="0"/>
                    <w:rPr>
                      <w:rFonts w:hint="default"/>
                      <w:lang w:val="en-US" w:eastAsia="zh-CN"/>
                    </w:rPr>
                  </w:pPr>
                  <w:r>
                    <w:rPr>
                      <w:rFonts w:hint="eastAsia"/>
                      <w:lang w:val="en-US" w:eastAsia="zh-CN"/>
                    </w:rPr>
                    <w:t>33</w:t>
                  </w:r>
                </w:p>
              </w:tc>
              <w:tc>
                <w:tcPr>
                  <w:tcW w:w="365" w:type="pct"/>
                  <w:vMerge w:val="continue"/>
                  <w:tcBorders>
                    <w:tl2br w:val="nil"/>
                    <w:tr2bl w:val="nil"/>
                  </w:tcBorders>
                  <w:shd w:val="clear" w:color="auto" w:fill="auto"/>
                  <w:noWrap w:val="0"/>
                  <w:vAlign w:val="center"/>
                </w:tcPr>
                <w:p w14:paraId="2578CF31">
                  <w:pPr>
                    <w:pStyle w:val="106"/>
                    <w:bidi w:val="0"/>
                    <w:rPr>
                      <w:rFonts w:hint="eastAsia"/>
                    </w:rPr>
                  </w:pPr>
                </w:p>
              </w:tc>
              <w:tc>
                <w:tcPr>
                  <w:tcW w:w="1575" w:type="pct"/>
                  <w:gridSpan w:val="2"/>
                  <w:tcBorders>
                    <w:tl2br w:val="nil"/>
                    <w:tr2bl w:val="nil"/>
                  </w:tcBorders>
                  <w:shd w:val="clear" w:color="auto" w:fill="auto"/>
                  <w:noWrap w:val="0"/>
                  <w:vAlign w:val="center"/>
                </w:tcPr>
                <w:p w14:paraId="59C353CB">
                  <w:pPr>
                    <w:pStyle w:val="106"/>
                    <w:bidi w:val="0"/>
                    <w:rPr>
                      <w:rFonts w:hint="eastAsia"/>
                      <w:lang w:val="en-US" w:eastAsia="zh-CN"/>
                    </w:rPr>
                  </w:pPr>
                  <w:r>
                    <w:rPr>
                      <w:rFonts w:hint="eastAsia"/>
                    </w:rPr>
                    <w:t>贴标喷码机</w:t>
                  </w:r>
                </w:p>
              </w:tc>
              <w:tc>
                <w:tcPr>
                  <w:tcW w:w="707" w:type="pct"/>
                  <w:tcBorders>
                    <w:tl2br w:val="nil"/>
                    <w:tr2bl w:val="nil"/>
                  </w:tcBorders>
                  <w:shd w:val="clear" w:color="auto" w:fill="auto"/>
                  <w:noWrap w:val="0"/>
                  <w:vAlign w:val="center"/>
                </w:tcPr>
                <w:p w14:paraId="121090B0">
                  <w:pPr>
                    <w:pStyle w:val="106"/>
                    <w:bidi w:val="0"/>
                    <w:rPr>
                      <w:rFonts w:hint="eastAsia"/>
                      <w:lang w:val="en-US" w:eastAsia="zh-CN"/>
                    </w:rPr>
                  </w:pPr>
                  <w:r>
                    <w:rPr>
                      <w:rFonts w:hint="eastAsia"/>
                    </w:rPr>
                    <w:t>TB-P200</w:t>
                  </w:r>
                </w:p>
              </w:tc>
              <w:tc>
                <w:tcPr>
                  <w:tcW w:w="444" w:type="pct"/>
                  <w:tcBorders>
                    <w:tl2br w:val="nil"/>
                    <w:tr2bl w:val="nil"/>
                  </w:tcBorders>
                  <w:shd w:val="clear" w:color="auto" w:fill="auto"/>
                  <w:noWrap w:val="0"/>
                  <w:vAlign w:val="center"/>
                </w:tcPr>
                <w:p w14:paraId="20C91C8D">
                  <w:pPr>
                    <w:pStyle w:val="106"/>
                    <w:bidi w:val="0"/>
                    <w:rPr>
                      <w:rFonts w:hint="eastAsia"/>
                      <w:lang w:val="en-US" w:eastAsia="zh-CN"/>
                    </w:rPr>
                  </w:pPr>
                  <w:r>
                    <w:rPr>
                      <w:rFonts w:hint="eastAsia"/>
                    </w:rPr>
                    <w:t>套</w:t>
                  </w:r>
                </w:p>
              </w:tc>
              <w:tc>
                <w:tcPr>
                  <w:tcW w:w="353" w:type="pct"/>
                  <w:tcBorders>
                    <w:tl2br w:val="nil"/>
                    <w:tr2bl w:val="nil"/>
                  </w:tcBorders>
                  <w:shd w:val="clear" w:color="auto" w:fill="auto"/>
                  <w:noWrap w:val="0"/>
                  <w:vAlign w:val="center"/>
                </w:tcPr>
                <w:p w14:paraId="1DF3A8CC">
                  <w:pPr>
                    <w:pStyle w:val="106"/>
                    <w:bidi w:val="0"/>
                    <w:rPr>
                      <w:rFonts w:hint="eastAsia"/>
                      <w:lang w:val="en-US" w:eastAsia="zh-CN"/>
                    </w:rPr>
                  </w:pPr>
                  <w:r>
                    <w:rPr>
                      <w:rFonts w:hint="eastAsia"/>
                    </w:rPr>
                    <w:t>1</w:t>
                  </w:r>
                </w:p>
              </w:tc>
              <w:tc>
                <w:tcPr>
                  <w:tcW w:w="898" w:type="pct"/>
                  <w:tcBorders>
                    <w:tl2br w:val="nil"/>
                    <w:tr2bl w:val="nil"/>
                  </w:tcBorders>
                  <w:shd w:val="clear" w:color="auto" w:fill="auto"/>
                  <w:noWrap w:val="0"/>
                  <w:vAlign w:val="center"/>
                </w:tcPr>
                <w:p w14:paraId="688C98C0">
                  <w:pPr>
                    <w:pStyle w:val="106"/>
                    <w:bidi w:val="0"/>
                    <w:rPr>
                      <w:rFonts w:hint="default"/>
                      <w:lang w:val="en-US" w:eastAsia="zh-CN"/>
                    </w:rPr>
                  </w:pPr>
                  <w:r>
                    <w:rPr>
                      <w:rFonts w:hint="eastAsia"/>
                      <w:lang w:val="en-US" w:eastAsia="zh-CN"/>
                    </w:rPr>
                    <w:t>贴标喷码</w:t>
                  </w:r>
                </w:p>
              </w:tc>
              <w:tc>
                <w:tcPr>
                  <w:tcW w:w="339" w:type="pct"/>
                  <w:vMerge w:val="continue"/>
                  <w:tcBorders>
                    <w:tl2br w:val="nil"/>
                    <w:tr2bl w:val="nil"/>
                  </w:tcBorders>
                  <w:shd w:val="clear" w:color="auto" w:fill="auto"/>
                  <w:noWrap w:val="0"/>
                  <w:vAlign w:val="center"/>
                </w:tcPr>
                <w:p w14:paraId="2DDBA9CC">
                  <w:pPr>
                    <w:pStyle w:val="106"/>
                    <w:bidi w:val="0"/>
                    <w:rPr>
                      <w:rFonts w:hint="eastAsia"/>
                      <w:lang w:val="en-US" w:eastAsia="zh-CN"/>
                    </w:rPr>
                  </w:pPr>
                </w:p>
              </w:tc>
            </w:tr>
            <w:tr w14:paraId="6EF6D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4A226894">
                  <w:pPr>
                    <w:pStyle w:val="106"/>
                    <w:bidi w:val="0"/>
                    <w:rPr>
                      <w:rFonts w:hint="default"/>
                      <w:lang w:val="en-US" w:eastAsia="zh-CN"/>
                    </w:rPr>
                  </w:pPr>
                  <w:r>
                    <w:rPr>
                      <w:rFonts w:hint="eastAsia"/>
                      <w:lang w:val="en-US" w:eastAsia="zh-CN"/>
                    </w:rPr>
                    <w:t>34</w:t>
                  </w:r>
                </w:p>
              </w:tc>
              <w:tc>
                <w:tcPr>
                  <w:tcW w:w="365" w:type="pct"/>
                  <w:vMerge w:val="continue"/>
                  <w:tcBorders>
                    <w:tl2br w:val="nil"/>
                    <w:tr2bl w:val="nil"/>
                  </w:tcBorders>
                  <w:shd w:val="clear" w:color="auto" w:fill="auto"/>
                  <w:noWrap w:val="0"/>
                  <w:vAlign w:val="center"/>
                </w:tcPr>
                <w:p w14:paraId="2373F345">
                  <w:pPr>
                    <w:pStyle w:val="106"/>
                    <w:bidi w:val="0"/>
                    <w:rPr>
                      <w:rFonts w:hint="eastAsia"/>
                    </w:rPr>
                  </w:pPr>
                </w:p>
              </w:tc>
              <w:tc>
                <w:tcPr>
                  <w:tcW w:w="1575" w:type="pct"/>
                  <w:gridSpan w:val="2"/>
                  <w:tcBorders>
                    <w:tl2br w:val="nil"/>
                    <w:tr2bl w:val="nil"/>
                  </w:tcBorders>
                  <w:shd w:val="clear" w:color="auto" w:fill="auto"/>
                  <w:noWrap w:val="0"/>
                  <w:vAlign w:val="center"/>
                </w:tcPr>
                <w:p w14:paraId="137190E7">
                  <w:pPr>
                    <w:pStyle w:val="106"/>
                    <w:bidi w:val="0"/>
                    <w:rPr>
                      <w:rFonts w:hint="eastAsia"/>
                      <w:lang w:val="en-US" w:eastAsia="zh-CN"/>
                    </w:rPr>
                  </w:pPr>
                  <w:r>
                    <w:rPr>
                      <w:rFonts w:hint="eastAsia"/>
                    </w:rPr>
                    <w:t>装箱机</w:t>
                  </w:r>
                </w:p>
              </w:tc>
              <w:tc>
                <w:tcPr>
                  <w:tcW w:w="707" w:type="pct"/>
                  <w:tcBorders>
                    <w:tl2br w:val="nil"/>
                    <w:tr2bl w:val="nil"/>
                  </w:tcBorders>
                  <w:shd w:val="clear" w:color="auto" w:fill="auto"/>
                  <w:noWrap w:val="0"/>
                  <w:vAlign w:val="center"/>
                </w:tcPr>
                <w:p w14:paraId="0A3E66F2">
                  <w:pPr>
                    <w:pStyle w:val="106"/>
                    <w:bidi w:val="0"/>
                    <w:rPr>
                      <w:rFonts w:hint="eastAsia"/>
                      <w:lang w:val="en-US" w:eastAsia="zh-CN"/>
                    </w:rPr>
                  </w:pPr>
                  <w:r>
                    <w:rPr>
                      <w:rFonts w:hint="eastAsia"/>
                    </w:rPr>
                    <w:t>ZX-20K</w:t>
                  </w:r>
                </w:p>
              </w:tc>
              <w:tc>
                <w:tcPr>
                  <w:tcW w:w="444" w:type="pct"/>
                  <w:tcBorders>
                    <w:tl2br w:val="nil"/>
                    <w:tr2bl w:val="nil"/>
                  </w:tcBorders>
                  <w:shd w:val="clear" w:color="auto" w:fill="auto"/>
                  <w:noWrap w:val="0"/>
                  <w:vAlign w:val="center"/>
                </w:tcPr>
                <w:p w14:paraId="2504DFD6">
                  <w:pPr>
                    <w:pStyle w:val="106"/>
                    <w:bidi w:val="0"/>
                    <w:rPr>
                      <w:rFonts w:hint="eastAsia"/>
                      <w:lang w:val="en-US" w:eastAsia="zh-CN"/>
                    </w:rPr>
                  </w:pPr>
                  <w:r>
                    <w:rPr>
                      <w:rFonts w:hint="eastAsia"/>
                    </w:rPr>
                    <w:t>套</w:t>
                  </w:r>
                </w:p>
              </w:tc>
              <w:tc>
                <w:tcPr>
                  <w:tcW w:w="353" w:type="pct"/>
                  <w:tcBorders>
                    <w:tl2br w:val="nil"/>
                    <w:tr2bl w:val="nil"/>
                  </w:tcBorders>
                  <w:shd w:val="clear" w:color="auto" w:fill="auto"/>
                  <w:noWrap w:val="0"/>
                  <w:vAlign w:val="center"/>
                </w:tcPr>
                <w:p w14:paraId="4091D3BB">
                  <w:pPr>
                    <w:pStyle w:val="106"/>
                    <w:bidi w:val="0"/>
                    <w:rPr>
                      <w:rFonts w:hint="eastAsia"/>
                      <w:lang w:val="en-US" w:eastAsia="zh-CN"/>
                    </w:rPr>
                  </w:pPr>
                  <w:r>
                    <w:rPr>
                      <w:rFonts w:hint="eastAsia"/>
                    </w:rPr>
                    <w:t>1</w:t>
                  </w:r>
                </w:p>
              </w:tc>
              <w:tc>
                <w:tcPr>
                  <w:tcW w:w="898" w:type="pct"/>
                  <w:vMerge w:val="restart"/>
                  <w:tcBorders>
                    <w:tl2br w:val="nil"/>
                    <w:tr2bl w:val="nil"/>
                  </w:tcBorders>
                  <w:shd w:val="clear" w:color="auto" w:fill="auto"/>
                  <w:noWrap w:val="0"/>
                  <w:vAlign w:val="center"/>
                </w:tcPr>
                <w:p w14:paraId="1FD8E461">
                  <w:pPr>
                    <w:pStyle w:val="106"/>
                    <w:bidi w:val="0"/>
                    <w:rPr>
                      <w:rFonts w:hint="default"/>
                      <w:lang w:val="en-US" w:eastAsia="zh-CN"/>
                    </w:rPr>
                  </w:pPr>
                  <w:r>
                    <w:rPr>
                      <w:rFonts w:hint="eastAsia"/>
                      <w:lang w:val="en-US" w:eastAsia="zh-CN"/>
                    </w:rPr>
                    <w:t>包装</w:t>
                  </w:r>
                </w:p>
              </w:tc>
              <w:tc>
                <w:tcPr>
                  <w:tcW w:w="339" w:type="pct"/>
                  <w:vMerge w:val="continue"/>
                  <w:tcBorders>
                    <w:tl2br w:val="nil"/>
                    <w:tr2bl w:val="nil"/>
                  </w:tcBorders>
                  <w:shd w:val="clear" w:color="auto" w:fill="auto"/>
                  <w:noWrap w:val="0"/>
                  <w:vAlign w:val="center"/>
                </w:tcPr>
                <w:p w14:paraId="158F18C5">
                  <w:pPr>
                    <w:pStyle w:val="106"/>
                    <w:bidi w:val="0"/>
                    <w:rPr>
                      <w:rFonts w:hint="eastAsia"/>
                      <w:lang w:val="en-US" w:eastAsia="zh-CN"/>
                    </w:rPr>
                  </w:pPr>
                </w:p>
              </w:tc>
            </w:tr>
            <w:tr w14:paraId="1735D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5DD62372">
                  <w:pPr>
                    <w:pStyle w:val="106"/>
                    <w:bidi w:val="0"/>
                    <w:rPr>
                      <w:rFonts w:hint="default"/>
                      <w:lang w:val="en-US" w:eastAsia="zh-CN"/>
                    </w:rPr>
                  </w:pPr>
                  <w:r>
                    <w:rPr>
                      <w:rFonts w:hint="eastAsia"/>
                      <w:lang w:val="en-US" w:eastAsia="zh-CN"/>
                    </w:rPr>
                    <w:t>35</w:t>
                  </w:r>
                </w:p>
              </w:tc>
              <w:tc>
                <w:tcPr>
                  <w:tcW w:w="365" w:type="pct"/>
                  <w:vMerge w:val="continue"/>
                  <w:tcBorders>
                    <w:tl2br w:val="nil"/>
                    <w:tr2bl w:val="nil"/>
                  </w:tcBorders>
                  <w:shd w:val="clear" w:color="auto" w:fill="auto"/>
                  <w:noWrap w:val="0"/>
                  <w:vAlign w:val="center"/>
                </w:tcPr>
                <w:p w14:paraId="40006CF2">
                  <w:pPr>
                    <w:pStyle w:val="106"/>
                    <w:bidi w:val="0"/>
                    <w:rPr>
                      <w:rFonts w:hint="eastAsia"/>
                    </w:rPr>
                  </w:pPr>
                </w:p>
              </w:tc>
              <w:tc>
                <w:tcPr>
                  <w:tcW w:w="1575" w:type="pct"/>
                  <w:gridSpan w:val="2"/>
                  <w:tcBorders>
                    <w:tl2br w:val="nil"/>
                    <w:tr2bl w:val="nil"/>
                  </w:tcBorders>
                  <w:shd w:val="clear" w:color="auto" w:fill="auto"/>
                  <w:noWrap w:val="0"/>
                  <w:vAlign w:val="center"/>
                </w:tcPr>
                <w:p w14:paraId="28857055">
                  <w:pPr>
                    <w:pStyle w:val="106"/>
                    <w:bidi w:val="0"/>
                    <w:rPr>
                      <w:rFonts w:hint="eastAsia"/>
                      <w:lang w:val="en-US" w:eastAsia="zh-CN"/>
                    </w:rPr>
                  </w:pPr>
                  <w:r>
                    <w:rPr>
                      <w:rFonts w:hint="eastAsia"/>
                    </w:rPr>
                    <w:t>码垛机</w:t>
                  </w:r>
                </w:p>
              </w:tc>
              <w:tc>
                <w:tcPr>
                  <w:tcW w:w="707" w:type="pct"/>
                  <w:tcBorders>
                    <w:tl2br w:val="nil"/>
                    <w:tr2bl w:val="nil"/>
                  </w:tcBorders>
                  <w:shd w:val="clear" w:color="auto" w:fill="auto"/>
                  <w:noWrap w:val="0"/>
                  <w:vAlign w:val="center"/>
                </w:tcPr>
                <w:p w14:paraId="18538037">
                  <w:pPr>
                    <w:pStyle w:val="106"/>
                    <w:bidi w:val="0"/>
                    <w:rPr>
                      <w:rFonts w:hint="eastAsia"/>
                      <w:lang w:val="en-US" w:eastAsia="zh-CN"/>
                    </w:rPr>
                  </w:pPr>
                  <w:r>
                    <w:rPr>
                      <w:rFonts w:hint="eastAsia"/>
                    </w:rPr>
                    <w:t>MD-20L</w:t>
                  </w:r>
                </w:p>
              </w:tc>
              <w:tc>
                <w:tcPr>
                  <w:tcW w:w="444" w:type="pct"/>
                  <w:tcBorders>
                    <w:tl2br w:val="nil"/>
                    <w:tr2bl w:val="nil"/>
                  </w:tcBorders>
                  <w:shd w:val="clear" w:color="auto" w:fill="auto"/>
                  <w:noWrap w:val="0"/>
                  <w:vAlign w:val="center"/>
                </w:tcPr>
                <w:p w14:paraId="13608A92">
                  <w:pPr>
                    <w:pStyle w:val="106"/>
                    <w:bidi w:val="0"/>
                    <w:rPr>
                      <w:rFonts w:hint="eastAsia"/>
                      <w:lang w:val="en-US" w:eastAsia="zh-CN"/>
                    </w:rPr>
                  </w:pPr>
                  <w:r>
                    <w:rPr>
                      <w:rFonts w:hint="eastAsia"/>
                    </w:rPr>
                    <w:t>套</w:t>
                  </w:r>
                </w:p>
              </w:tc>
              <w:tc>
                <w:tcPr>
                  <w:tcW w:w="353" w:type="pct"/>
                  <w:tcBorders>
                    <w:tl2br w:val="nil"/>
                    <w:tr2bl w:val="nil"/>
                  </w:tcBorders>
                  <w:shd w:val="clear" w:color="auto" w:fill="auto"/>
                  <w:noWrap w:val="0"/>
                  <w:vAlign w:val="center"/>
                </w:tcPr>
                <w:p w14:paraId="0BA87B43">
                  <w:pPr>
                    <w:pStyle w:val="106"/>
                    <w:bidi w:val="0"/>
                    <w:rPr>
                      <w:rFonts w:hint="eastAsia"/>
                      <w:lang w:val="en-US" w:eastAsia="zh-CN"/>
                    </w:rPr>
                  </w:pPr>
                  <w:r>
                    <w:rPr>
                      <w:rFonts w:hint="eastAsia"/>
                    </w:rPr>
                    <w:t>1</w:t>
                  </w:r>
                </w:p>
              </w:tc>
              <w:tc>
                <w:tcPr>
                  <w:tcW w:w="898" w:type="pct"/>
                  <w:vMerge w:val="continue"/>
                  <w:tcBorders>
                    <w:tl2br w:val="nil"/>
                    <w:tr2bl w:val="nil"/>
                  </w:tcBorders>
                  <w:shd w:val="clear" w:color="auto" w:fill="auto"/>
                  <w:noWrap w:val="0"/>
                  <w:vAlign w:val="center"/>
                </w:tcPr>
                <w:p w14:paraId="4C31E374">
                  <w:pPr>
                    <w:pStyle w:val="106"/>
                    <w:bidi w:val="0"/>
                    <w:rPr>
                      <w:rFonts w:hint="eastAsia"/>
                      <w:lang w:val="en-US" w:eastAsia="zh-CN"/>
                    </w:rPr>
                  </w:pPr>
                </w:p>
              </w:tc>
              <w:tc>
                <w:tcPr>
                  <w:tcW w:w="339" w:type="pct"/>
                  <w:vMerge w:val="continue"/>
                  <w:tcBorders>
                    <w:tl2br w:val="nil"/>
                    <w:tr2bl w:val="nil"/>
                  </w:tcBorders>
                  <w:shd w:val="clear" w:color="auto" w:fill="auto"/>
                  <w:noWrap w:val="0"/>
                  <w:vAlign w:val="center"/>
                </w:tcPr>
                <w:p w14:paraId="3B7037D7">
                  <w:pPr>
                    <w:pStyle w:val="106"/>
                    <w:bidi w:val="0"/>
                    <w:rPr>
                      <w:rFonts w:hint="eastAsia"/>
                      <w:lang w:val="en-US" w:eastAsia="zh-CN"/>
                    </w:rPr>
                  </w:pPr>
                </w:p>
              </w:tc>
            </w:tr>
            <w:tr w14:paraId="3E966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07E34FF4">
                  <w:pPr>
                    <w:pStyle w:val="106"/>
                    <w:bidi w:val="0"/>
                    <w:rPr>
                      <w:rFonts w:hint="default"/>
                      <w:lang w:val="en-US" w:eastAsia="zh-CN"/>
                    </w:rPr>
                  </w:pPr>
                  <w:r>
                    <w:rPr>
                      <w:rFonts w:hint="eastAsia"/>
                      <w:lang w:val="en-US" w:eastAsia="zh-CN"/>
                    </w:rPr>
                    <w:t>36</w:t>
                  </w:r>
                </w:p>
              </w:tc>
              <w:tc>
                <w:tcPr>
                  <w:tcW w:w="365" w:type="pct"/>
                  <w:vMerge w:val="continue"/>
                  <w:tcBorders>
                    <w:tl2br w:val="nil"/>
                    <w:tr2bl w:val="nil"/>
                  </w:tcBorders>
                  <w:shd w:val="clear" w:color="auto" w:fill="auto"/>
                  <w:noWrap w:val="0"/>
                  <w:vAlign w:val="center"/>
                </w:tcPr>
                <w:p w14:paraId="68A900FC">
                  <w:pPr>
                    <w:pStyle w:val="106"/>
                    <w:bidi w:val="0"/>
                    <w:rPr>
                      <w:rFonts w:hint="eastAsia"/>
                    </w:rPr>
                  </w:pPr>
                </w:p>
              </w:tc>
              <w:tc>
                <w:tcPr>
                  <w:tcW w:w="1575" w:type="pct"/>
                  <w:gridSpan w:val="2"/>
                  <w:tcBorders>
                    <w:tl2br w:val="nil"/>
                    <w:tr2bl w:val="nil"/>
                  </w:tcBorders>
                  <w:shd w:val="clear" w:color="auto" w:fill="auto"/>
                  <w:noWrap w:val="0"/>
                  <w:vAlign w:val="center"/>
                </w:tcPr>
                <w:p w14:paraId="56268633">
                  <w:pPr>
                    <w:pStyle w:val="106"/>
                    <w:bidi w:val="0"/>
                    <w:rPr>
                      <w:rFonts w:hint="eastAsia"/>
                      <w:lang w:val="en-US" w:eastAsia="zh-CN"/>
                    </w:rPr>
                  </w:pPr>
                  <w:r>
                    <w:rPr>
                      <w:rFonts w:hint="eastAsia"/>
                    </w:rPr>
                    <w:t>输送线</w:t>
                  </w:r>
                </w:p>
              </w:tc>
              <w:tc>
                <w:tcPr>
                  <w:tcW w:w="707" w:type="pct"/>
                  <w:tcBorders>
                    <w:tl2br w:val="nil"/>
                    <w:tr2bl w:val="nil"/>
                  </w:tcBorders>
                  <w:shd w:val="clear" w:color="auto" w:fill="auto"/>
                  <w:noWrap w:val="0"/>
                  <w:vAlign w:val="center"/>
                </w:tcPr>
                <w:p w14:paraId="5F453FAB">
                  <w:pPr>
                    <w:pStyle w:val="106"/>
                    <w:bidi w:val="0"/>
                    <w:rPr>
                      <w:rFonts w:hint="eastAsia"/>
                      <w:lang w:val="en-US" w:eastAsia="zh-CN"/>
                    </w:rPr>
                  </w:pPr>
                  <w:r>
                    <w:rPr>
                      <w:rFonts w:hint="eastAsia"/>
                    </w:rPr>
                    <w:t>SS-200</w:t>
                  </w:r>
                </w:p>
              </w:tc>
              <w:tc>
                <w:tcPr>
                  <w:tcW w:w="444" w:type="pct"/>
                  <w:tcBorders>
                    <w:tl2br w:val="nil"/>
                    <w:tr2bl w:val="nil"/>
                  </w:tcBorders>
                  <w:shd w:val="clear" w:color="auto" w:fill="auto"/>
                  <w:noWrap w:val="0"/>
                  <w:vAlign w:val="center"/>
                </w:tcPr>
                <w:p w14:paraId="4C476B4A">
                  <w:pPr>
                    <w:pStyle w:val="106"/>
                    <w:bidi w:val="0"/>
                    <w:rPr>
                      <w:rFonts w:hint="eastAsia"/>
                      <w:lang w:val="en-US" w:eastAsia="zh-CN"/>
                    </w:rPr>
                  </w:pPr>
                  <w:r>
                    <w:rPr>
                      <w:rFonts w:hint="eastAsia"/>
                    </w:rPr>
                    <w:t>套</w:t>
                  </w:r>
                </w:p>
              </w:tc>
              <w:tc>
                <w:tcPr>
                  <w:tcW w:w="353" w:type="pct"/>
                  <w:tcBorders>
                    <w:tl2br w:val="nil"/>
                    <w:tr2bl w:val="nil"/>
                  </w:tcBorders>
                  <w:shd w:val="clear" w:color="auto" w:fill="auto"/>
                  <w:noWrap w:val="0"/>
                  <w:vAlign w:val="center"/>
                </w:tcPr>
                <w:p w14:paraId="68837F56">
                  <w:pPr>
                    <w:pStyle w:val="106"/>
                    <w:bidi w:val="0"/>
                    <w:rPr>
                      <w:rFonts w:hint="eastAsia"/>
                      <w:lang w:val="en-US" w:eastAsia="zh-CN"/>
                    </w:rPr>
                  </w:pPr>
                  <w:r>
                    <w:rPr>
                      <w:rFonts w:hint="eastAsia"/>
                    </w:rPr>
                    <w:t>1</w:t>
                  </w:r>
                </w:p>
              </w:tc>
              <w:tc>
                <w:tcPr>
                  <w:tcW w:w="898" w:type="pct"/>
                  <w:tcBorders>
                    <w:tl2br w:val="nil"/>
                    <w:tr2bl w:val="nil"/>
                  </w:tcBorders>
                  <w:shd w:val="clear" w:color="auto" w:fill="auto"/>
                  <w:noWrap w:val="0"/>
                  <w:vAlign w:val="center"/>
                </w:tcPr>
                <w:p w14:paraId="5853C0C9">
                  <w:pPr>
                    <w:pStyle w:val="106"/>
                    <w:bidi w:val="0"/>
                    <w:rPr>
                      <w:rFonts w:hint="default"/>
                      <w:lang w:val="en-US" w:eastAsia="zh-CN"/>
                    </w:rPr>
                  </w:pPr>
                  <w:r>
                    <w:rPr>
                      <w:rFonts w:hint="eastAsia"/>
                      <w:lang w:val="en-US" w:eastAsia="zh-CN"/>
                    </w:rPr>
                    <w:t>传输</w:t>
                  </w:r>
                </w:p>
              </w:tc>
              <w:tc>
                <w:tcPr>
                  <w:tcW w:w="339" w:type="pct"/>
                  <w:vMerge w:val="continue"/>
                  <w:tcBorders>
                    <w:tl2br w:val="nil"/>
                    <w:tr2bl w:val="nil"/>
                  </w:tcBorders>
                  <w:shd w:val="clear" w:color="auto" w:fill="auto"/>
                  <w:noWrap w:val="0"/>
                  <w:vAlign w:val="center"/>
                </w:tcPr>
                <w:p w14:paraId="2C0E6CB0">
                  <w:pPr>
                    <w:pStyle w:val="106"/>
                    <w:bidi w:val="0"/>
                    <w:rPr>
                      <w:rFonts w:hint="eastAsia"/>
                      <w:lang w:val="en-US" w:eastAsia="zh-CN"/>
                    </w:rPr>
                  </w:pPr>
                </w:p>
              </w:tc>
            </w:tr>
            <w:tr w14:paraId="039EA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373ABB1E">
                  <w:pPr>
                    <w:pStyle w:val="106"/>
                    <w:bidi w:val="0"/>
                    <w:rPr>
                      <w:rFonts w:hint="default"/>
                      <w:lang w:val="en-US" w:eastAsia="zh-CN"/>
                    </w:rPr>
                  </w:pPr>
                  <w:r>
                    <w:rPr>
                      <w:rFonts w:hint="eastAsia"/>
                      <w:lang w:val="en-US" w:eastAsia="zh-CN"/>
                    </w:rPr>
                    <w:t>37</w:t>
                  </w:r>
                </w:p>
              </w:tc>
              <w:tc>
                <w:tcPr>
                  <w:tcW w:w="365" w:type="pct"/>
                  <w:vMerge w:val="continue"/>
                  <w:tcBorders>
                    <w:tl2br w:val="nil"/>
                    <w:tr2bl w:val="nil"/>
                  </w:tcBorders>
                  <w:shd w:val="clear" w:color="auto" w:fill="auto"/>
                  <w:noWrap w:val="0"/>
                  <w:vAlign w:val="center"/>
                </w:tcPr>
                <w:p w14:paraId="691E9276">
                  <w:pPr>
                    <w:pStyle w:val="106"/>
                    <w:bidi w:val="0"/>
                    <w:rPr>
                      <w:rFonts w:hint="eastAsia"/>
                    </w:rPr>
                  </w:pPr>
                </w:p>
              </w:tc>
              <w:tc>
                <w:tcPr>
                  <w:tcW w:w="1575" w:type="pct"/>
                  <w:gridSpan w:val="2"/>
                  <w:tcBorders>
                    <w:tl2br w:val="nil"/>
                    <w:tr2bl w:val="nil"/>
                  </w:tcBorders>
                  <w:shd w:val="clear" w:color="auto" w:fill="auto"/>
                  <w:noWrap w:val="0"/>
                  <w:vAlign w:val="center"/>
                </w:tcPr>
                <w:p w14:paraId="7F7144A9">
                  <w:pPr>
                    <w:pStyle w:val="106"/>
                    <w:bidi w:val="0"/>
                    <w:rPr>
                      <w:rFonts w:hint="eastAsia"/>
                      <w:lang w:val="en-US" w:eastAsia="zh-CN"/>
                    </w:rPr>
                  </w:pPr>
                  <w:r>
                    <w:rPr>
                      <w:rFonts w:hint="eastAsia"/>
                    </w:rPr>
                    <w:t>蒸汽发生器</w:t>
                  </w:r>
                </w:p>
              </w:tc>
              <w:tc>
                <w:tcPr>
                  <w:tcW w:w="707" w:type="pct"/>
                  <w:tcBorders>
                    <w:tl2br w:val="nil"/>
                    <w:tr2bl w:val="nil"/>
                  </w:tcBorders>
                  <w:shd w:val="clear" w:color="auto" w:fill="auto"/>
                  <w:noWrap w:val="0"/>
                  <w:vAlign w:val="center"/>
                </w:tcPr>
                <w:p w14:paraId="61414985">
                  <w:pPr>
                    <w:pStyle w:val="106"/>
                    <w:bidi w:val="0"/>
                    <w:rPr>
                      <w:rFonts w:hint="eastAsia"/>
                      <w:lang w:val="en-US" w:eastAsia="zh-CN"/>
                    </w:rPr>
                  </w:pPr>
                  <w:r>
                    <w:rPr>
                      <w:rFonts w:hint="eastAsia"/>
                    </w:rPr>
                    <w:t>C-1.0t</w:t>
                  </w:r>
                </w:p>
              </w:tc>
              <w:tc>
                <w:tcPr>
                  <w:tcW w:w="444" w:type="pct"/>
                  <w:tcBorders>
                    <w:tl2br w:val="nil"/>
                    <w:tr2bl w:val="nil"/>
                  </w:tcBorders>
                  <w:shd w:val="clear" w:color="auto" w:fill="auto"/>
                  <w:noWrap w:val="0"/>
                  <w:vAlign w:val="center"/>
                </w:tcPr>
                <w:p w14:paraId="668C345C">
                  <w:pPr>
                    <w:pStyle w:val="106"/>
                    <w:bidi w:val="0"/>
                    <w:rPr>
                      <w:rFonts w:hint="eastAsia"/>
                      <w:lang w:val="en-US" w:eastAsia="zh-CN"/>
                    </w:rPr>
                  </w:pPr>
                  <w:r>
                    <w:rPr>
                      <w:rFonts w:hint="eastAsia"/>
                    </w:rPr>
                    <w:t>套</w:t>
                  </w:r>
                </w:p>
              </w:tc>
              <w:tc>
                <w:tcPr>
                  <w:tcW w:w="353" w:type="pct"/>
                  <w:tcBorders>
                    <w:tl2br w:val="nil"/>
                    <w:tr2bl w:val="nil"/>
                  </w:tcBorders>
                  <w:shd w:val="clear" w:color="auto" w:fill="auto"/>
                  <w:noWrap w:val="0"/>
                  <w:vAlign w:val="center"/>
                </w:tcPr>
                <w:p w14:paraId="795933AD">
                  <w:pPr>
                    <w:pStyle w:val="106"/>
                    <w:bidi w:val="0"/>
                    <w:rPr>
                      <w:rFonts w:hint="eastAsia"/>
                      <w:lang w:val="en-US" w:eastAsia="zh-CN"/>
                    </w:rPr>
                  </w:pPr>
                  <w:r>
                    <w:rPr>
                      <w:rFonts w:hint="eastAsia"/>
                    </w:rPr>
                    <w:t>1</w:t>
                  </w:r>
                </w:p>
              </w:tc>
              <w:tc>
                <w:tcPr>
                  <w:tcW w:w="898" w:type="pct"/>
                  <w:tcBorders>
                    <w:tl2br w:val="nil"/>
                    <w:tr2bl w:val="nil"/>
                  </w:tcBorders>
                  <w:shd w:val="clear" w:color="auto" w:fill="auto"/>
                  <w:noWrap w:val="0"/>
                  <w:vAlign w:val="center"/>
                </w:tcPr>
                <w:p w14:paraId="4BFCBE2E">
                  <w:pPr>
                    <w:pStyle w:val="106"/>
                    <w:bidi w:val="0"/>
                    <w:rPr>
                      <w:rFonts w:hint="default"/>
                      <w:lang w:val="en-US" w:eastAsia="zh-CN"/>
                    </w:rPr>
                  </w:pPr>
                  <w:r>
                    <w:rPr>
                      <w:rFonts w:hint="eastAsia"/>
                      <w:lang w:val="en-US" w:eastAsia="zh-CN"/>
                    </w:rPr>
                    <w:t>蒸汽制备</w:t>
                  </w:r>
                </w:p>
              </w:tc>
              <w:tc>
                <w:tcPr>
                  <w:tcW w:w="339" w:type="pct"/>
                  <w:vMerge w:val="continue"/>
                  <w:tcBorders>
                    <w:tl2br w:val="nil"/>
                    <w:tr2bl w:val="nil"/>
                  </w:tcBorders>
                  <w:shd w:val="clear" w:color="auto" w:fill="auto"/>
                  <w:noWrap w:val="0"/>
                  <w:vAlign w:val="center"/>
                </w:tcPr>
                <w:p w14:paraId="67AF0917">
                  <w:pPr>
                    <w:pStyle w:val="106"/>
                    <w:bidi w:val="0"/>
                    <w:rPr>
                      <w:rFonts w:hint="eastAsia"/>
                      <w:lang w:val="en-US" w:eastAsia="zh-CN"/>
                    </w:rPr>
                  </w:pPr>
                </w:p>
              </w:tc>
            </w:tr>
            <w:tr w14:paraId="62F65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07995D19">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38</w:t>
                  </w:r>
                </w:p>
              </w:tc>
              <w:tc>
                <w:tcPr>
                  <w:tcW w:w="365" w:type="pct"/>
                  <w:vMerge w:val="continue"/>
                  <w:tcBorders>
                    <w:tl2br w:val="nil"/>
                    <w:tr2bl w:val="nil"/>
                  </w:tcBorders>
                  <w:shd w:val="clear" w:color="auto" w:fill="auto"/>
                  <w:noWrap w:val="0"/>
                  <w:vAlign w:val="center"/>
                </w:tcPr>
                <w:p w14:paraId="0F62EA36">
                  <w:pPr>
                    <w:pStyle w:val="106"/>
                    <w:bidi w:val="0"/>
                    <w:rPr>
                      <w:rFonts w:hint="eastAsia"/>
                    </w:rPr>
                  </w:pPr>
                </w:p>
              </w:tc>
              <w:tc>
                <w:tcPr>
                  <w:tcW w:w="1575" w:type="pct"/>
                  <w:gridSpan w:val="2"/>
                  <w:tcBorders>
                    <w:tl2br w:val="nil"/>
                    <w:tr2bl w:val="nil"/>
                  </w:tcBorders>
                  <w:shd w:val="clear" w:color="auto" w:fill="auto"/>
                  <w:noWrap w:val="0"/>
                  <w:vAlign w:val="center"/>
                </w:tcPr>
                <w:p w14:paraId="0903B54C">
                  <w:pPr>
                    <w:pStyle w:val="106"/>
                    <w:bidi w:val="0"/>
                    <w:rPr>
                      <w:rFonts w:hint="default" w:eastAsia="宋体"/>
                      <w:lang w:val="en-US" w:eastAsia="zh-CN"/>
                    </w:rPr>
                  </w:pPr>
                  <w:r>
                    <w:rPr>
                      <w:rFonts w:hint="eastAsia"/>
                      <w:lang w:val="en-US" w:eastAsia="zh-CN"/>
                    </w:rPr>
                    <w:t>低氮燃烧处理器</w:t>
                  </w:r>
                </w:p>
              </w:tc>
              <w:tc>
                <w:tcPr>
                  <w:tcW w:w="707" w:type="pct"/>
                  <w:tcBorders>
                    <w:tl2br w:val="nil"/>
                    <w:tr2bl w:val="nil"/>
                  </w:tcBorders>
                  <w:shd w:val="clear" w:color="auto" w:fill="auto"/>
                  <w:noWrap w:val="0"/>
                  <w:vAlign w:val="center"/>
                </w:tcPr>
                <w:p w14:paraId="5CB6263E">
                  <w:pPr>
                    <w:pStyle w:val="106"/>
                    <w:bidi w:val="0"/>
                    <w:rPr>
                      <w:rFonts w:hint="eastAsia" w:eastAsia="宋体"/>
                      <w:lang w:val="en-US" w:eastAsia="zh-CN"/>
                    </w:rPr>
                  </w:pPr>
                  <w:r>
                    <w:rPr>
                      <w:rFonts w:hint="eastAsia"/>
                      <w:lang w:val="en-US" w:eastAsia="zh-CN"/>
                    </w:rPr>
                    <w:t>/</w:t>
                  </w:r>
                </w:p>
              </w:tc>
              <w:tc>
                <w:tcPr>
                  <w:tcW w:w="444" w:type="pct"/>
                  <w:tcBorders>
                    <w:tl2br w:val="nil"/>
                    <w:tr2bl w:val="nil"/>
                  </w:tcBorders>
                  <w:shd w:val="clear" w:color="auto" w:fill="auto"/>
                  <w:noWrap w:val="0"/>
                  <w:vAlign w:val="center"/>
                </w:tcPr>
                <w:p w14:paraId="2463C427">
                  <w:pPr>
                    <w:pStyle w:val="106"/>
                    <w:bidi w:val="0"/>
                    <w:rPr>
                      <w:rFonts w:hint="eastAsia" w:eastAsia="宋体"/>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30603801">
                  <w:pPr>
                    <w:pStyle w:val="106"/>
                    <w:bidi w:val="0"/>
                    <w:rPr>
                      <w:rFonts w:hint="eastAsia" w:eastAsia="宋体"/>
                      <w:lang w:val="en-US" w:eastAsia="zh-CN"/>
                    </w:rPr>
                  </w:pPr>
                  <w:r>
                    <w:rPr>
                      <w:rFonts w:hint="eastAsia"/>
                      <w:lang w:val="en-US" w:eastAsia="zh-CN"/>
                    </w:rPr>
                    <w:t>1</w:t>
                  </w:r>
                </w:p>
              </w:tc>
              <w:tc>
                <w:tcPr>
                  <w:tcW w:w="898" w:type="pct"/>
                  <w:tcBorders>
                    <w:tl2br w:val="nil"/>
                    <w:tr2bl w:val="nil"/>
                  </w:tcBorders>
                  <w:shd w:val="clear" w:color="auto" w:fill="auto"/>
                  <w:noWrap w:val="0"/>
                  <w:vAlign w:val="center"/>
                </w:tcPr>
                <w:p w14:paraId="6DF59238">
                  <w:pPr>
                    <w:pStyle w:val="106"/>
                    <w:bidi w:val="0"/>
                    <w:rPr>
                      <w:rFonts w:hint="default"/>
                      <w:lang w:val="en-US" w:eastAsia="zh-CN"/>
                    </w:rPr>
                  </w:pPr>
                  <w:r>
                    <w:rPr>
                      <w:rFonts w:hint="eastAsia"/>
                      <w:lang w:val="en-US" w:eastAsia="zh-CN"/>
                    </w:rPr>
                    <w:t>废气治理</w:t>
                  </w:r>
                </w:p>
              </w:tc>
              <w:tc>
                <w:tcPr>
                  <w:tcW w:w="339" w:type="pct"/>
                  <w:vMerge w:val="continue"/>
                  <w:tcBorders>
                    <w:tl2br w:val="nil"/>
                    <w:tr2bl w:val="nil"/>
                  </w:tcBorders>
                  <w:shd w:val="clear" w:color="auto" w:fill="auto"/>
                  <w:noWrap w:val="0"/>
                  <w:vAlign w:val="center"/>
                </w:tcPr>
                <w:p w14:paraId="44266E3A">
                  <w:pPr>
                    <w:pStyle w:val="106"/>
                    <w:bidi w:val="0"/>
                    <w:rPr>
                      <w:rFonts w:hint="eastAsia"/>
                      <w:lang w:val="en-US" w:eastAsia="zh-CN"/>
                    </w:rPr>
                  </w:pPr>
                </w:p>
              </w:tc>
            </w:tr>
            <w:tr w14:paraId="4C929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43F98728">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39</w:t>
                  </w:r>
                </w:p>
              </w:tc>
              <w:tc>
                <w:tcPr>
                  <w:tcW w:w="365" w:type="pct"/>
                  <w:vMerge w:val="restart"/>
                  <w:tcBorders>
                    <w:tl2br w:val="nil"/>
                    <w:tr2bl w:val="nil"/>
                  </w:tcBorders>
                  <w:shd w:val="clear" w:color="auto" w:fill="auto"/>
                  <w:noWrap w:val="0"/>
                  <w:vAlign w:val="center"/>
                </w:tcPr>
                <w:p w14:paraId="00D819ED">
                  <w:pPr>
                    <w:pStyle w:val="106"/>
                    <w:bidi w:val="0"/>
                    <w:rPr>
                      <w:rFonts w:hint="default" w:eastAsia="宋体"/>
                      <w:lang w:val="en-US" w:eastAsia="zh-CN"/>
                    </w:rPr>
                  </w:pPr>
                  <w:r>
                    <w:rPr>
                      <w:rFonts w:hint="eastAsia"/>
                      <w:lang w:val="en-US" w:eastAsia="zh-CN"/>
                    </w:rPr>
                    <w:t>面巾纸、卫生纸</w:t>
                  </w:r>
                </w:p>
              </w:tc>
              <w:tc>
                <w:tcPr>
                  <w:tcW w:w="355" w:type="pct"/>
                  <w:vMerge w:val="restart"/>
                  <w:tcBorders>
                    <w:tl2br w:val="nil"/>
                    <w:tr2bl w:val="nil"/>
                  </w:tcBorders>
                  <w:shd w:val="clear" w:color="auto" w:fill="auto"/>
                  <w:noWrap w:val="0"/>
                  <w:vAlign w:val="center"/>
                </w:tcPr>
                <w:p w14:paraId="2747AF71">
                  <w:pPr>
                    <w:pStyle w:val="106"/>
                    <w:bidi w:val="0"/>
                    <w:rPr>
                      <w:rFonts w:hint="eastAsia"/>
                      <w:lang w:val="en-US" w:eastAsia="zh-CN"/>
                    </w:rPr>
                  </w:pPr>
                  <w:r>
                    <w:rPr>
                      <w:rFonts w:hint="eastAsia"/>
                      <w:lang w:val="en-US" w:eastAsia="zh-CN"/>
                    </w:rPr>
                    <w:t>卫生纸生产线</w:t>
                  </w:r>
                </w:p>
              </w:tc>
              <w:tc>
                <w:tcPr>
                  <w:tcW w:w="1219" w:type="pct"/>
                  <w:tcBorders>
                    <w:tl2br w:val="nil"/>
                    <w:tr2bl w:val="nil"/>
                  </w:tcBorders>
                  <w:shd w:val="clear" w:color="auto" w:fill="auto"/>
                  <w:noWrap w:val="0"/>
                  <w:vAlign w:val="center"/>
                </w:tcPr>
                <w:p w14:paraId="1125DBFB">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无芯复卷</w:t>
                  </w:r>
                  <w:r>
                    <w:rPr>
                      <w:rFonts w:hint="eastAsia"/>
                      <w:lang w:val="en-US" w:eastAsia="zh-CN"/>
                    </w:rPr>
                    <w:t>机</w:t>
                  </w:r>
                  <w:r>
                    <w:rPr>
                      <w:rFonts w:hint="eastAsia"/>
                    </w:rPr>
                    <w:t>（圆卷）</w:t>
                  </w:r>
                </w:p>
              </w:tc>
              <w:tc>
                <w:tcPr>
                  <w:tcW w:w="707" w:type="pct"/>
                  <w:tcBorders>
                    <w:tl2br w:val="nil"/>
                    <w:tr2bl w:val="nil"/>
                  </w:tcBorders>
                  <w:shd w:val="clear" w:color="auto" w:fill="auto"/>
                  <w:noWrap w:val="0"/>
                  <w:vAlign w:val="center"/>
                </w:tcPr>
                <w:p w14:paraId="1A42CD03">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PL350C</w:t>
                  </w:r>
                </w:p>
              </w:tc>
              <w:tc>
                <w:tcPr>
                  <w:tcW w:w="444" w:type="pct"/>
                  <w:vMerge w:val="restart"/>
                  <w:tcBorders>
                    <w:tl2br w:val="nil"/>
                    <w:tr2bl w:val="nil"/>
                  </w:tcBorders>
                  <w:shd w:val="clear" w:color="auto" w:fill="auto"/>
                  <w:noWrap w:val="0"/>
                  <w:vAlign w:val="center"/>
                </w:tcPr>
                <w:p w14:paraId="6B2C7049">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套</w:t>
                  </w:r>
                </w:p>
              </w:tc>
              <w:tc>
                <w:tcPr>
                  <w:tcW w:w="353" w:type="pct"/>
                  <w:vMerge w:val="restart"/>
                  <w:tcBorders>
                    <w:tl2br w:val="nil"/>
                    <w:tr2bl w:val="nil"/>
                  </w:tcBorders>
                  <w:shd w:val="clear" w:color="auto" w:fill="auto"/>
                  <w:noWrap w:val="0"/>
                  <w:vAlign w:val="center"/>
                </w:tcPr>
                <w:p w14:paraId="21E6BA7B">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898" w:type="pct"/>
                  <w:vMerge w:val="restart"/>
                  <w:tcBorders>
                    <w:tl2br w:val="nil"/>
                    <w:tr2bl w:val="nil"/>
                  </w:tcBorders>
                  <w:shd w:val="clear" w:color="auto" w:fill="auto"/>
                  <w:noWrap w:val="0"/>
                  <w:vAlign w:val="center"/>
                </w:tcPr>
                <w:p w14:paraId="0C5FC4A4">
                  <w:pPr>
                    <w:pStyle w:val="106"/>
                    <w:bidi w:val="0"/>
                    <w:rPr>
                      <w:rFonts w:hint="default"/>
                      <w:lang w:val="en-US" w:eastAsia="zh-CN"/>
                    </w:rPr>
                  </w:pPr>
                  <w:r>
                    <w:rPr>
                      <w:rFonts w:hint="eastAsia"/>
                      <w:lang w:val="en-US" w:eastAsia="zh-CN"/>
                    </w:rPr>
                    <w:t>复卷</w:t>
                  </w:r>
                </w:p>
              </w:tc>
              <w:tc>
                <w:tcPr>
                  <w:tcW w:w="339" w:type="pct"/>
                  <w:vMerge w:val="restart"/>
                  <w:tcBorders>
                    <w:tl2br w:val="nil"/>
                    <w:tr2bl w:val="nil"/>
                  </w:tcBorders>
                  <w:shd w:val="clear" w:color="auto" w:fill="auto"/>
                  <w:noWrap w:val="0"/>
                  <w:vAlign w:val="center"/>
                </w:tcPr>
                <w:p w14:paraId="2FF0E110">
                  <w:pPr>
                    <w:pStyle w:val="106"/>
                    <w:bidi w:val="0"/>
                    <w:rPr>
                      <w:rFonts w:hint="default"/>
                      <w:lang w:val="en-US" w:eastAsia="zh-CN"/>
                    </w:rPr>
                  </w:pPr>
                  <w:r>
                    <w:rPr>
                      <w:rFonts w:hint="eastAsia"/>
                      <w:lang w:val="en-US" w:eastAsia="zh-CN"/>
                    </w:rPr>
                    <w:t>一车间1F</w:t>
                  </w:r>
                </w:p>
              </w:tc>
            </w:tr>
            <w:tr w14:paraId="4EC6E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49AEF08C">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40</w:t>
                  </w:r>
                </w:p>
              </w:tc>
              <w:tc>
                <w:tcPr>
                  <w:tcW w:w="365" w:type="pct"/>
                  <w:vMerge w:val="continue"/>
                  <w:tcBorders>
                    <w:tl2br w:val="nil"/>
                    <w:tr2bl w:val="nil"/>
                  </w:tcBorders>
                  <w:shd w:val="clear" w:color="auto" w:fill="auto"/>
                  <w:noWrap w:val="0"/>
                  <w:vAlign w:val="center"/>
                </w:tcPr>
                <w:p w14:paraId="08241C94">
                  <w:pPr>
                    <w:pStyle w:val="106"/>
                    <w:bidi w:val="0"/>
                    <w:rPr>
                      <w:rFonts w:hint="eastAsia"/>
                    </w:rPr>
                  </w:pPr>
                </w:p>
              </w:tc>
              <w:tc>
                <w:tcPr>
                  <w:tcW w:w="355" w:type="pct"/>
                  <w:vMerge w:val="continue"/>
                  <w:tcBorders>
                    <w:tl2br w:val="nil"/>
                    <w:tr2bl w:val="nil"/>
                  </w:tcBorders>
                  <w:shd w:val="clear" w:color="auto" w:fill="auto"/>
                  <w:noWrap w:val="0"/>
                  <w:vAlign w:val="center"/>
                </w:tcPr>
                <w:p w14:paraId="1ADE0565">
                  <w:pPr>
                    <w:pStyle w:val="106"/>
                    <w:bidi w:val="0"/>
                    <w:rPr>
                      <w:rFonts w:hint="eastAsia"/>
                      <w:lang w:val="en-US" w:eastAsia="zh-CN"/>
                    </w:rPr>
                  </w:pPr>
                </w:p>
              </w:tc>
              <w:tc>
                <w:tcPr>
                  <w:tcW w:w="1219" w:type="pct"/>
                  <w:tcBorders>
                    <w:tl2br w:val="nil"/>
                    <w:tr2bl w:val="nil"/>
                  </w:tcBorders>
                  <w:shd w:val="clear" w:color="auto" w:fill="auto"/>
                  <w:noWrap w:val="0"/>
                  <w:vAlign w:val="center"/>
                </w:tcPr>
                <w:p w14:paraId="347C95D2">
                  <w:pPr>
                    <w:pStyle w:val="106"/>
                    <w:bidi w:val="0"/>
                    <w:ind w:firstLine="0" w:firstLineChars="0"/>
                    <w:rPr>
                      <w:rFonts w:hint="eastAsia"/>
                    </w:rPr>
                  </w:pPr>
                  <w:r>
                    <w:rPr>
                      <w:rFonts w:hint="eastAsia"/>
                    </w:rPr>
                    <w:t>无芯复卷</w:t>
                  </w:r>
                  <w:r>
                    <w:rPr>
                      <w:rFonts w:hint="eastAsia"/>
                      <w:lang w:val="en-US" w:eastAsia="zh-CN"/>
                    </w:rPr>
                    <w:t>机</w:t>
                  </w:r>
                  <w:r>
                    <w:rPr>
                      <w:rFonts w:hint="eastAsia"/>
                    </w:rPr>
                    <w:t>（扁卷）</w:t>
                  </w:r>
                </w:p>
              </w:tc>
              <w:tc>
                <w:tcPr>
                  <w:tcW w:w="707" w:type="pct"/>
                  <w:tcBorders>
                    <w:tl2br w:val="nil"/>
                    <w:tr2bl w:val="nil"/>
                  </w:tcBorders>
                  <w:shd w:val="clear" w:color="auto" w:fill="auto"/>
                  <w:noWrap w:val="0"/>
                  <w:vAlign w:val="center"/>
                </w:tcPr>
                <w:p w14:paraId="0A879284">
                  <w:pPr>
                    <w:pStyle w:val="106"/>
                    <w:bidi w:val="0"/>
                    <w:rPr>
                      <w:rFonts w:hint="eastAsia"/>
                      <w:lang w:val="en-US" w:eastAsia="zh-CN"/>
                    </w:rPr>
                  </w:pPr>
                  <w:r>
                    <w:rPr>
                      <w:rFonts w:hint="eastAsia"/>
                    </w:rPr>
                    <w:t>PL200C</w:t>
                  </w:r>
                </w:p>
              </w:tc>
              <w:tc>
                <w:tcPr>
                  <w:tcW w:w="444" w:type="pct"/>
                  <w:vMerge w:val="continue"/>
                  <w:tcBorders>
                    <w:tl2br w:val="nil"/>
                    <w:tr2bl w:val="nil"/>
                  </w:tcBorders>
                  <w:shd w:val="clear" w:color="auto" w:fill="auto"/>
                  <w:noWrap w:val="0"/>
                  <w:vAlign w:val="center"/>
                </w:tcPr>
                <w:p w14:paraId="4982B106">
                  <w:pPr>
                    <w:pStyle w:val="106"/>
                    <w:bidi w:val="0"/>
                    <w:rPr>
                      <w:rFonts w:hint="eastAsia"/>
                      <w:lang w:val="en-US" w:eastAsia="zh-CN"/>
                    </w:rPr>
                  </w:pPr>
                </w:p>
              </w:tc>
              <w:tc>
                <w:tcPr>
                  <w:tcW w:w="353" w:type="pct"/>
                  <w:vMerge w:val="continue"/>
                  <w:tcBorders>
                    <w:tl2br w:val="nil"/>
                    <w:tr2bl w:val="nil"/>
                  </w:tcBorders>
                  <w:shd w:val="clear" w:color="auto" w:fill="auto"/>
                  <w:noWrap w:val="0"/>
                  <w:vAlign w:val="center"/>
                </w:tcPr>
                <w:p w14:paraId="36B2AF09">
                  <w:pPr>
                    <w:pStyle w:val="106"/>
                    <w:bidi w:val="0"/>
                    <w:rPr>
                      <w:rFonts w:hint="eastAsia"/>
                      <w:lang w:val="en-US" w:eastAsia="zh-CN"/>
                    </w:rPr>
                  </w:pPr>
                </w:p>
              </w:tc>
              <w:tc>
                <w:tcPr>
                  <w:tcW w:w="898" w:type="pct"/>
                  <w:vMerge w:val="continue"/>
                  <w:tcBorders>
                    <w:tl2br w:val="nil"/>
                    <w:tr2bl w:val="nil"/>
                  </w:tcBorders>
                  <w:shd w:val="clear" w:color="auto" w:fill="auto"/>
                  <w:noWrap w:val="0"/>
                  <w:vAlign w:val="center"/>
                </w:tcPr>
                <w:p w14:paraId="66215069">
                  <w:pPr>
                    <w:pStyle w:val="106"/>
                    <w:bidi w:val="0"/>
                    <w:rPr>
                      <w:rFonts w:hint="eastAsia"/>
                      <w:lang w:val="en-US" w:eastAsia="zh-CN"/>
                    </w:rPr>
                  </w:pPr>
                </w:p>
              </w:tc>
              <w:tc>
                <w:tcPr>
                  <w:tcW w:w="339" w:type="pct"/>
                  <w:vMerge w:val="continue"/>
                  <w:tcBorders>
                    <w:tl2br w:val="nil"/>
                    <w:tr2bl w:val="nil"/>
                  </w:tcBorders>
                  <w:shd w:val="clear" w:color="auto" w:fill="auto"/>
                  <w:noWrap w:val="0"/>
                  <w:vAlign w:val="center"/>
                </w:tcPr>
                <w:p w14:paraId="4087C673">
                  <w:pPr>
                    <w:pStyle w:val="106"/>
                    <w:bidi w:val="0"/>
                    <w:rPr>
                      <w:rFonts w:hint="eastAsia"/>
                      <w:lang w:val="en-US" w:eastAsia="zh-CN"/>
                    </w:rPr>
                  </w:pPr>
                </w:p>
              </w:tc>
            </w:tr>
            <w:tr w14:paraId="7ECFD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0F8DAD5F">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41</w:t>
                  </w:r>
                </w:p>
              </w:tc>
              <w:tc>
                <w:tcPr>
                  <w:tcW w:w="365" w:type="pct"/>
                  <w:vMerge w:val="continue"/>
                  <w:tcBorders>
                    <w:tl2br w:val="nil"/>
                    <w:tr2bl w:val="nil"/>
                  </w:tcBorders>
                  <w:shd w:val="clear" w:color="auto" w:fill="auto"/>
                  <w:noWrap w:val="0"/>
                  <w:vAlign w:val="center"/>
                </w:tcPr>
                <w:p w14:paraId="1B4C915C">
                  <w:pPr>
                    <w:pStyle w:val="106"/>
                    <w:bidi w:val="0"/>
                    <w:rPr>
                      <w:rFonts w:hint="eastAsia"/>
                    </w:rPr>
                  </w:pPr>
                </w:p>
              </w:tc>
              <w:tc>
                <w:tcPr>
                  <w:tcW w:w="355" w:type="pct"/>
                  <w:vMerge w:val="continue"/>
                  <w:tcBorders>
                    <w:tl2br w:val="nil"/>
                    <w:tr2bl w:val="nil"/>
                  </w:tcBorders>
                  <w:shd w:val="clear" w:color="auto" w:fill="auto"/>
                  <w:noWrap w:val="0"/>
                  <w:vAlign w:val="center"/>
                </w:tcPr>
                <w:p w14:paraId="72775BCF">
                  <w:pPr>
                    <w:pStyle w:val="106"/>
                    <w:bidi w:val="0"/>
                    <w:rPr>
                      <w:rFonts w:hint="eastAsia" w:eastAsia="宋体"/>
                      <w:lang w:val="en-US" w:eastAsia="zh-CN"/>
                    </w:rPr>
                  </w:pPr>
                </w:p>
              </w:tc>
              <w:tc>
                <w:tcPr>
                  <w:tcW w:w="1219" w:type="pct"/>
                  <w:tcBorders>
                    <w:tl2br w:val="nil"/>
                    <w:tr2bl w:val="nil"/>
                  </w:tcBorders>
                  <w:shd w:val="clear" w:color="auto" w:fill="auto"/>
                  <w:noWrap w:val="0"/>
                  <w:vAlign w:val="center"/>
                </w:tcPr>
                <w:p w14:paraId="6F5AD5A8">
                  <w:pPr>
                    <w:pStyle w:val="106"/>
                    <w:bidi w:val="0"/>
                    <w:ind w:firstLine="0" w:firstLineChars="0"/>
                    <w:rPr>
                      <w:rFonts w:hint="eastAsia"/>
                      <w:lang w:val="en-US" w:eastAsia="zh-CN"/>
                    </w:rPr>
                  </w:pPr>
                  <w:r>
                    <w:rPr>
                      <w:rFonts w:hint="eastAsia"/>
                      <w:lang w:val="en-US" w:eastAsia="zh-CN"/>
                    </w:rPr>
                    <w:t>切纸机</w:t>
                  </w:r>
                </w:p>
              </w:tc>
              <w:tc>
                <w:tcPr>
                  <w:tcW w:w="707" w:type="pct"/>
                  <w:tcBorders>
                    <w:tl2br w:val="nil"/>
                    <w:tr2bl w:val="nil"/>
                  </w:tcBorders>
                  <w:shd w:val="clear" w:color="auto" w:fill="auto"/>
                  <w:noWrap w:val="0"/>
                  <w:vAlign w:val="center"/>
                </w:tcPr>
                <w:p w14:paraId="6107858F">
                  <w:pPr>
                    <w:pStyle w:val="106"/>
                    <w:bidi w:val="0"/>
                    <w:rPr>
                      <w:rFonts w:hint="eastAsia" w:eastAsia="宋体"/>
                      <w:lang w:val="en-US" w:eastAsia="zh-CN"/>
                    </w:rPr>
                  </w:pPr>
                  <w:r>
                    <w:rPr>
                      <w:rFonts w:hint="eastAsia"/>
                      <w:lang w:val="en-US" w:eastAsia="zh-CN"/>
                    </w:rPr>
                    <w:t>/</w:t>
                  </w:r>
                </w:p>
              </w:tc>
              <w:tc>
                <w:tcPr>
                  <w:tcW w:w="444" w:type="pct"/>
                  <w:vMerge w:val="continue"/>
                  <w:tcBorders>
                    <w:tl2br w:val="nil"/>
                    <w:tr2bl w:val="nil"/>
                  </w:tcBorders>
                  <w:shd w:val="clear" w:color="auto" w:fill="auto"/>
                  <w:noWrap w:val="0"/>
                  <w:vAlign w:val="center"/>
                </w:tcPr>
                <w:p w14:paraId="6E940DF8">
                  <w:pPr>
                    <w:pStyle w:val="106"/>
                    <w:bidi w:val="0"/>
                    <w:rPr>
                      <w:rFonts w:hint="eastAsia"/>
                      <w:lang w:val="en-US" w:eastAsia="zh-CN"/>
                    </w:rPr>
                  </w:pPr>
                </w:p>
              </w:tc>
              <w:tc>
                <w:tcPr>
                  <w:tcW w:w="353" w:type="pct"/>
                  <w:vMerge w:val="continue"/>
                  <w:tcBorders>
                    <w:tl2br w:val="nil"/>
                    <w:tr2bl w:val="nil"/>
                  </w:tcBorders>
                  <w:shd w:val="clear" w:color="auto" w:fill="auto"/>
                  <w:noWrap w:val="0"/>
                  <w:vAlign w:val="center"/>
                </w:tcPr>
                <w:p w14:paraId="1AD75B5C">
                  <w:pPr>
                    <w:pStyle w:val="106"/>
                    <w:bidi w:val="0"/>
                    <w:rPr>
                      <w:rFonts w:hint="default"/>
                      <w:lang w:val="en-US" w:eastAsia="zh-CN"/>
                    </w:rPr>
                  </w:pPr>
                </w:p>
              </w:tc>
              <w:tc>
                <w:tcPr>
                  <w:tcW w:w="898" w:type="pct"/>
                  <w:tcBorders>
                    <w:tl2br w:val="nil"/>
                    <w:tr2bl w:val="nil"/>
                  </w:tcBorders>
                  <w:shd w:val="clear" w:color="auto" w:fill="auto"/>
                  <w:noWrap w:val="0"/>
                  <w:vAlign w:val="center"/>
                </w:tcPr>
                <w:p w14:paraId="63AB3506">
                  <w:pPr>
                    <w:pStyle w:val="106"/>
                    <w:bidi w:val="0"/>
                    <w:rPr>
                      <w:rFonts w:hint="default"/>
                      <w:lang w:val="en-US" w:eastAsia="zh-CN"/>
                    </w:rPr>
                  </w:pPr>
                  <w:r>
                    <w:rPr>
                      <w:rFonts w:hint="eastAsia"/>
                      <w:lang w:val="en-US" w:eastAsia="zh-CN"/>
                    </w:rPr>
                    <w:t>切纸</w:t>
                  </w:r>
                </w:p>
              </w:tc>
              <w:tc>
                <w:tcPr>
                  <w:tcW w:w="339" w:type="pct"/>
                  <w:vMerge w:val="continue"/>
                  <w:tcBorders>
                    <w:tl2br w:val="nil"/>
                    <w:tr2bl w:val="nil"/>
                  </w:tcBorders>
                  <w:shd w:val="clear" w:color="auto" w:fill="auto"/>
                  <w:noWrap w:val="0"/>
                  <w:vAlign w:val="center"/>
                </w:tcPr>
                <w:p w14:paraId="3A7E4C37">
                  <w:pPr>
                    <w:pStyle w:val="106"/>
                    <w:bidi w:val="0"/>
                    <w:rPr>
                      <w:rFonts w:hint="eastAsia"/>
                      <w:lang w:val="en-US" w:eastAsia="zh-CN"/>
                    </w:rPr>
                  </w:pPr>
                </w:p>
              </w:tc>
            </w:tr>
            <w:tr w14:paraId="1E213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0D135B21">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42</w:t>
                  </w:r>
                </w:p>
              </w:tc>
              <w:tc>
                <w:tcPr>
                  <w:tcW w:w="365" w:type="pct"/>
                  <w:vMerge w:val="continue"/>
                  <w:tcBorders>
                    <w:tl2br w:val="nil"/>
                    <w:tr2bl w:val="nil"/>
                  </w:tcBorders>
                  <w:shd w:val="clear" w:color="auto" w:fill="auto"/>
                  <w:noWrap w:val="0"/>
                  <w:vAlign w:val="center"/>
                </w:tcPr>
                <w:p w14:paraId="1550BBB5">
                  <w:pPr>
                    <w:pStyle w:val="106"/>
                    <w:bidi w:val="0"/>
                    <w:rPr>
                      <w:rFonts w:hint="eastAsia"/>
                    </w:rPr>
                  </w:pPr>
                </w:p>
              </w:tc>
              <w:tc>
                <w:tcPr>
                  <w:tcW w:w="355" w:type="pct"/>
                  <w:vMerge w:val="continue"/>
                  <w:tcBorders>
                    <w:tl2br w:val="nil"/>
                    <w:tr2bl w:val="nil"/>
                  </w:tcBorders>
                  <w:shd w:val="clear" w:color="auto" w:fill="auto"/>
                  <w:noWrap w:val="0"/>
                  <w:vAlign w:val="center"/>
                </w:tcPr>
                <w:p w14:paraId="69B38AED">
                  <w:pPr>
                    <w:pStyle w:val="106"/>
                    <w:bidi w:val="0"/>
                    <w:rPr>
                      <w:rFonts w:hint="eastAsia" w:eastAsia="宋体"/>
                      <w:lang w:val="en-US" w:eastAsia="zh-CN"/>
                    </w:rPr>
                  </w:pPr>
                </w:p>
              </w:tc>
              <w:tc>
                <w:tcPr>
                  <w:tcW w:w="1219" w:type="pct"/>
                  <w:tcBorders>
                    <w:tl2br w:val="nil"/>
                    <w:tr2bl w:val="nil"/>
                  </w:tcBorders>
                  <w:shd w:val="clear" w:color="auto" w:fill="auto"/>
                  <w:noWrap w:val="0"/>
                  <w:vAlign w:val="center"/>
                </w:tcPr>
                <w:p w14:paraId="189C4113">
                  <w:pPr>
                    <w:pStyle w:val="106"/>
                    <w:bidi w:val="0"/>
                    <w:ind w:firstLine="0" w:firstLineChars="0"/>
                    <w:rPr>
                      <w:rFonts w:hint="eastAsia"/>
                      <w:lang w:val="en-US" w:eastAsia="zh-CN"/>
                    </w:rPr>
                  </w:pPr>
                  <w:r>
                    <w:rPr>
                      <w:rFonts w:hint="eastAsia"/>
                      <w:lang w:val="en-US" w:eastAsia="zh-CN"/>
                    </w:rPr>
                    <w:t>包装机</w:t>
                  </w:r>
                </w:p>
              </w:tc>
              <w:tc>
                <w:tcPr>
                  <w:tcW w:w="707" w:type="pct"/>
                  <w:tcBorders>
                    <w:tl2br w:val="nil"/>
                    <w:tr2bl w:val="nil"/>
                  </w:tcBorders>
                  <w:shd w:val="clear" w:color="auto" w:fill="auto"/>
                  <w:noWrap w:val="0"/>
                  <w:vAlign w:val="center"/>
                </w:tcPr>
                <w:p w14:paraId="7F97DD11">
                  <w:pPr>
                    <w:pStyle w:val="106"/>
                    <w:bidi w:val="0"/>
                    <w:rPr>
                      <w:rFonts w:hint="eastAsia" w:eastAsia="宋体"/>
                      <w:lang w:val="en-US" w:eastAsia="zh-CN"/>
                    </w:rPr>
                  </w:pPr>
                  <w:r>
                    <w:rPr>
                      <w:rFonts w:hint="eastAsia"/>
                      <w:lang w:val="en-US" w:eastAsia="zh-CN"/>
                    </w:rPr>
                    <w:t>/</w:t>
                  </w:r>
                </w:p>
              </w:tc>
              <w:tc>
                <w:tcPr>
                  <w:tcW w:w="444" w:type="pct"/>
                  <w:vMerge w:val="continue"/>
                  <w:tcBorders>
                    <w:tl2br w:val="nil"/>
                    <w:tr2bl w:val="nil"/>
                  </w:tcBorders>
                  <w:shd w:val="clear" w:color="auto" w:fill="auto"/>
                  <w:noWrap w:val="0"/>
                  <w:vAlign w:val="center"/>
                </w:tcPr>
                <w:p w14:paraId="386E41E4">
                  <w:pPr>
                    <w:pStyle w:val="106"/>
                    <w:bidi w:val="0"/>
                    <w:rPr>
                      <w:rFonts w:hint="eastAsia"/>
                      <w:lang w:val="en-US" w:eastAsia="zh-CN"/>
                    </w:rPr>
                  </w:pPr>
                </w:p>
              </w:tc>
              <w:tc>
                <w:tcPr>
                  <w:tcW w:w="353" w:type="pct"/>
                  <w:vMerge w:val="continue"/>
                  <w:tcBorders>
                    <w:tl2br w:val="nil"/>
                    <w:tr2bl w:val="nil"/>
                  </w:tcBorders>
                  <w:shd w:val="clear" w:color="auto" w:fill="auto"/>
                  <w:noWrap w:val="0"/>
                  <w:vAlign w:val="center"/>
                </w:tcPr>
                <w:p w14:paraId="1E10A681">
                  <w:pPr>
                    <w:pStyle w:val="106"/>
                    <w:bidi w:val="0"/>
                    <w:rPr>
                      <w:rFonts w:hint="default"/>
                      <w:lang w:val="en-US" w:eastAsia="zh-CN"/>
                    </w:rPr>
                  </w:pPr>
                </w:p>
              </w:tc>
              <w:tc>
                <w:tcPr>
                  <w:tcW w:w="898" w:type="pct"/>
                  <w:vMerge w:val="restart"/>
                  <w:tcBorders>
                    <w:tl2br w:val="nil"/>
                    <w:tr2bl w:val="nil"/>
                  </w:tcBorders>
                  <w:shd w:val="clear" w:color="auto" w:fill="auto"/>
                  <w:noWrap w:val="0"/>
                  <w:vAlign w:val="center"/>
                </w:tcPr>
                <w:p w14:paraId="3DB94BEE">
                  <w:pPr>
                    <w:pStyle w:val="106"/>
                    <w:bidi w:val="0"/>
                    <w:rPr>
                      <w:rFonts w:hint="default"/>
                      <w:lang w:val="en-US" w:eastAsia="zh-CN"/>
                    </w:rPr>
                  </w:pPr>
                  <w:r>
                    <w:rPr>
                      <w:rFonts w:hint="eastAsia"/>
                      <w:lang w:val="en-US" w:eastAsia="zh-CN"/>
                    </w:rPr>
                    <w:t>包装喷码</w:t>
                  </w:r>
                </w:p>
              </w:tc>
              <w:tc>
                <w:tcPr>
                  <w:tcW w:w="339" w:type="pct"/>
                  <w:vMerge w:val="continue"/>
                  <w:tcBorders>
                    <w:tl2br w:val="nil"/>
                    <w:tr2bl w:val="nil"/>
                  </w:tcBorders>
                  <w:shd w:val="clear" w:color="auto" w:fill="auto"/>
                  <w:noWrap w:val="0"/>
                  <w:vAlign w:val="center"/>
                </w:tcPr>
                <w:p w14:paraId="1EA3FF93">
                  <w:pPr>
                    <w:pStyle w:val="106"/>
                    <w:bidi w:val="0"/>
                    <w:rPr>
                      <w:rFonts w:hint="eastAsia"/>
                      <w:lang w:val="en-US" w:eastAsia="zh-CN"/>
                    </w:rPr>
                  </w:pPr>
                </w:p>
              </w:tc>
            </w:tr>
            <w:tr w14:paraId="7D39A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593BAD07">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43</w:t>
                  </w:r>
                </w:p>
              </w:tc>
              <w:tc>
                <w:tcPr>
                  <w:tcW w:w="365" w:type="pct"/>
                  <w:vMerge w:val="continue"/>
                  <w:tcBorders>
                    <w:tl2br w:val="nil"/>
                    <w:tr2bl w:val="nil"/>
                  </w:tcBorders>
                  <w:shd w:val="clear" w:color="auto" w:fill="auto"/>
                  <w:noWrap w:val="0"/>
                  <w:vAlign w:val="center"/>
                </w:tcPr>
                <w:p w14:paraId="0F40B3E8">
                  <w:pPr>
                    <w:pStyle w:val="106"/>
                    <w:bidi w:val="0"/>
                    <w:rPr>
                      <w:rFonts w:hint="eastAsia"/>
                    </w:rPr>
                  </w:pPr>
                </w:p>
              </w:tc>
              <w:tc>
                <w:tcPr>
                  <w:tcW w:w="355" w:type="pct"/>
                  <w:vMerge w:val="continue"/>
                  <w:tcBorders>
                    <w:tl2br w:val="nil"/>
                    <w:tr2bl w:val="nil"/>
                  </w:tcBorders>
                  <w:shd w:val="clear" w:color="auto" w:fill="auto"/>
                  <w:noWrap w:val="0"/>
                  <w:vAlign w:val="center"/>
                </w:tcPr>
                <w:p w14:paraId="1A554493">
                  <w:pPr>
                    <w:pStyle w:val="106"/>
                    <w:bidi w:val="0"/>
                    <w:rPr>
                      <w:rFonts w:hint="default" w:eastAsia="宋体"/>
                      <w:lang w:val="en-US" w:eastAsia="zh-CN"/>
                    </w:rPr>
                  </w:pPr>
                </w:p>
              </w:tc>
              <w:tc>
                <w:tcPr>
                  <w:tcW w:w="1219" w:type="pct"/>
                  <w:tcBorders>
                    <w:tl2br w:val="nil"/>
                    <w:tr2bl w:val="nil"/>
                  </w:tcBorders>
                  <w:shd w:val="clear" w:color="auto" w:fill="auto"/>
                  <w:noWrap w:val="0"/>
                  <w:vAlign w:val="center"/>
                </w:tcPr>
                <w:p w14:paraId="035C509C">
                  <w:pPr>
                    <w:pStyle w:val="106"/>
                    <w:bidi w:val="0"/>
                    <w:ind w:firstLine="0" w:firstLineChars="0"/>
                    <w:rPr>
                      <w:rFonts w:hint="eastAsia"/>
                      <w:lang w:val="en-US" w:eastAsia="zh-CN"/>
                    </w:rPr>
                  </w:pPr>
                  <w:r>
                    <w:rPr>
                      <w:rFonts w:hint="eastAsia"/>
                      <w:lang w:val="en-US" w:eastAsia="zh-CN"/>
                    </w:rPr>
                    <w:t>激光喷码机</w:t>
                  </w:r>
                </w:p>
              </w:tc>
              <w:tc>
                <w:tcPr>
                  <w:tcW w:w="707" w:type="pct"/>
                  <w:tcBorders>
                    <w:tl2br w:val="nil"/>
                    <w:tr2bl w:val="nil"/>
                  </w:tcBorders>
                  <w:shd w:val="clear" w:color="auto" w:fill="auto"/>
                  <w:noWrap w:val="0"/>
                  <w:vAlign w:val="center"/>
                </w:tcPr>
                <w:p w14:paraId="64E2C4D0">
                  <w:pPr>
                    <w:pStyle w:val="106"/>
                    <w:bidi w:val="0"/>
                    <w:rPr>
                      <w:rFonts w:hint="eastAsia" w:eastAsia="宋体"/>
                      <w:lang w:val="en-US" w:eastAsia="zh-CN"/>
                    </w:rPr>
                  </w:pPr>
                  <w:r>
                    <w:rPr>
                      <w:rFonts w:hint="eastAsia"/>
                      <w:lang w:val="en-US" w:eastAsia="zh-CN"/>
                    </w:rPr>
                    <w:t>/</w:t>
                  </w:r>
                </w:p>
              </w:tc>
              <w:tc>
                <w:tcPr>
                  <w:tcW w:w="444" w:type="pct"/>
                  <w:vMerge w:val="continue"/>
                  <w:tcBorders>
                    <w:tl2br w:val="nil"/>
                    <w:tr2bl w:val="nil"/>
                  </w:tcBorders>
                  <w:shd w:val="clear" w:color="auto" w:fill="auto"/>
                  <w:noWrap w:val="0"/>
                  <w:vAlign w:val="center"/>
                </w:tcPr>
                <w:p w14:paraId="6E664178">
                  <w:pPr>
                    <w:pStyle w:val="106"/>
                    <w:bidi w:val="0"/>
                    <w:rPr>
                      <w:rFonts w:hint="eastAsia"/>
                      <w:lang w:val="en-US" w:eastAsia="zh-CN"/>
                    </w:rPr>
                  </w:pPr>
                </w:p>
              </w:tc>
              <w:tc>
                <w:tcPr>
                  <w:tcW w:w="353" w:type="pct"/>
                  <w:vMerge w:val="continue"/>
                  <w:tcBorders>
                    <w:tl2br w:val="nil"/>
                    <w:tr2bl w:val="nil"/>
                  </w:tcBorders>
                  <w:shd w:val="clear" w:color="auto" w:fill="auto"/>
                  <w:noWrap w:val="0"/>
                  <w:vAlign w:val="center"/>
                </w:tcPr>
                <w:p w14:paraId="2B854593">
                  <w:pPr>
                    <w:pStyle w:val="106"/>
                    <w:bidi w:val="0"/>
                    <w:rPr>
                      <w:rFonts w:hint="default"/>
                      <w:lang w:val="en-US" w:eastAsia="zh-CN"/>
                    </w:rPr>
                  </w:pPr>
                </w:p>
              </w:tc>
              <w:tc>
                <w:tcPr>
                  <w:tcW w:w="898" w:type="pct"/>
                  <w:vMerge w:val="continue"/>
                  <w:tcBorders>
                    <w:tl2br w:val="nil"/>
                    <w:tr2bl w:val="nil"/>
                  </w:tcBorders>
                  <w:shd w:val="clear" w:color="auto" w:fill="auto"/>
                  <w:noWrap w:val="0"/>
                  <w:vAlign w:val="center"/>
                </w:tcPr>
                <w:p w14:paraId="670B891E">
                  <w:pPr>
                    <w:pStyle w:val="106"/>
                    <w:bidi w:val="0"/>
                    <w:rPr>
                      <w:rFonts w:hint="eastAsia"/>
                      <w:lang w:val="en-US" w:eastAsia="zh-CN"/>
                    </w:rPr>
                  </w:pPr>
                </w:p>
              </w:tc>
              <w:tc>
                <w:tcPr>
                  <w:tcW w:w="339" w:type="pct"/>
                  <w:vMerge w:val="continue"/>
                  <w:tcBorders>
                    <w:tl2br w:val="nil"/>
                    <w:tr2bl w:val="nil"/>
                  </w:tcBorders>
                  <w:shd w:val="clear" w:color="auto" w:fill="auto"/>
                  <w:noWrap w:val="0"/>
                  <w:vAlign w:val="center"/>
                </w:tcPr>
                <w:p w14:paraId="26526195">
                  <w:pPr>
                    <w:pStyle w:val="106"/>
                    <w:bidi w:val="0"/>
                    <w:rPr>
                      <w:rFonts w:hint="eastAsia"/>
                      <w:lang w:val="en-US" w:eastAsia="zh-CN"/>
                    </w:rPr>
                  </w:pPr>
                </w:p>
              </w:tc>
            </w:tr>
            <w:tr w14:paraId="43A13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3F4C2C4B">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44</w:t>
                  </w:r>
                </w:p>
              </w:tc>
              <w:tc>
                <w:tcPr>
                  <w:tcW w:w="365" w:type="pct"/>
                  <w:vMerge w:val="continue"/>
                  <w:tcBorders>
                    <w:tl2br w:val="nil"/>
                    <w:tr2bl w:val="nil"/>
                  </w:tcBorders>
                  <w:shd w:val="clear" w:color="auto" w:fill="auto"/>
                  <w:noWrap w:val="0"/>
                  <w:vAlign w:val="center"/>
                </w:tcPr>
                <w:p w14:paraId="6A052E6A">
                  <w:pPr>
                    <w:pStyle w:val="106"/>
                    <w:bidi w:val="0"/>
                    <w:rPr>
                      <w:rFonts w:hint="eastAsia"/>
                    </w:rPr>
                  </w:pPr>
                </w:p>
              </w:tc>
              <w:tc>
                <w:tcPr>
                  <w:tcW w:w="355" w:type="pct"/>
                  <w:vMerge w:val="continue"/>
                  <w:tcBorders>
                    <w:tl2br w:val="nil"/>
                    <w:tr2bl w:val="nil"/>
                  </w:tcBorders>
                  <w:shd w:val="clear" w:color="auto" w:fill="auto"/>
                  <w:noWrap w:val="0"/>
                  <w:vAlign w:val="center"/>
                </w:tcPr>
                <w:p w14:paraId="336FE270">
                  <w:pPr>
                    <w:pStyle w:val="106"/>
                    <w:bidi w:val="0"/>
                    <w:rPr>
                      <w:rFonts w:hint="default" w:eastAsia="宋体"/>
                      <w:lang w:val="en-US" w:eastAsia="zh-CN"/>
                    </w:rPr>
                  </w:pPr>
                </w:p>
              </w:tc>
              <w:tc>
                <w:tcPr>
                  <w:tcW w:w="1219" w:type="pct"/>
                  <w:tcBorders>
                    <w:tl2br w:val="nil"/>
                    <w:tr2bl w:val="nil"/>
                  </w:tcBorders>
                  <w:shd w:val="clear" w:color="auto" w:fill="auto"/>
                  <w:noWrap w:val="0"/>
                  <w:vAlign w:val="center"/>
                </w:tcPr>
                <w:p w14:paraId="3AE2054A">
                  <w:pPr>
                    <w:pStyle w:val="106"/>
                    <w:bidi w:val="0"/>
                    <w:ind w:firstLine="0" w:firstLineChars="0"/>
                    <w:rPr>
                      <w:rFonts w:hint="default"/>
                      <w:lang w:val="en-US" w:eastAsia="zh-CN"/>
                    </w:rPr>
                  </w:pPr>
                  <w:r>
                    <w:rPr>
                      <w:rFonts w:hint="eastAsia"/>
                      <w:lang w:val="en-US" w:eastAsia="zh-CN"/>
                    </w:rPr>
                    <w:t>装箱装袋机</w:t>
                  </w:r>
                </w:p>
              </w:tc>
              <w:tc>
                <w:tcPr>
                  <w:tcW w:w="707" w:type="pct"/>
                  <w:tcBorders>
                    <w:tl2br w:val="nil"/>
                    <w:tr2bl w:val="nil"/>
                  </w:tcBorders>
                  <w:shd w:val="clear" w:color="auto" w:fill="auto"/>
                  <w:noWrap w:val="0"/>
                  <w:vAlign w:val="center"/>
                </w:tcPr>
                <w:p w14:paraId="15C929D6">
                  <w:pPr>
                    <w:pStyle w:val="106"/>
                    <w:bidi w:val="0"/>
                    <w:rPr>
                      <w:rFonts w:hint="default"/>
                      <w:lang w:val="en-US" w:eastAsia="zh-CN"/>
                    </w:rPr>
                  </w:pPr>
                  <w:r>
                    <w:rPr>
                      <w:rFonts w:hint="eastAsia"/>
                      <w:lang w:val="en-US" w:eastAsia="zh-CN"/>
                    </w:rPr>
                    <w:t>/</w:t>
                  </w:r>
                </w:p>
              </w:tc>
              <w:tc>
                <w:tcPr>
                  <w:tcW w:w="444" w:type="pct"/>
                  <w:vMerge w:val="continue"/>
                  <w:tcBorders>
                    <w:tl2br w:val="nil"/>
                    <w:tr2bl w:val="nil"/>
                  </w:tcBorders>
                  <w:shd w:val="clear" w:color="auto" w:fill="auto"/>
                  <w:noWrap w:val="0"/>
                  <w:vAlign w:val="center"/>
                </w:tcPr>
                <w:p w14:paraId="366C24ED">
                  <w:pPr>
                    <w:pStyle w:val="106"/>
                    <w:bidi w:val="0"/>
                    <w:rPr>
                      <w:rFonts w:hint="default"/>
                      <w:lang w:val="en-US" w:eastAsia="zh-CN"/>
                    </w:rPr>
                  </w:pPr>
                </w:p>
              </w:tc>
              <w:tc>
                <w:tcPr>
                  <w:tcW w:w="353" w:type="pct"/>
                  <w:vMerge w:val="continue"/>
                  <w:tcBorders>
                    <w:tl2br w:val="nil"/>
                    <w:tr2bl w:val="nil"/>
                  </w:tcBorders>
                  <w:shd w:val="clear" w:color="auto" w:fill="auto"/>
                  <w:noWrap w:val="0"/>
                  <w:vAlign w:val="center"/>
                </w:tcPr>
                <w:p w14:paraId="22A3134C">
                  <w:pPr>
                    <w:pStyle w:val="106"/>
                    <w:bidi w:val="0"/>
                    <w:rPr>
                      <w:rFonts w:hint="default"/>
                      <w:lang w:val="en-US" w:eastAsia="zh-CN"/>
                    </w:rPr>
                  </w:pPr>
                </w:p>
              </w:tc>
              <w:tc>
                <w:tcPr>
                  <w:tcW w:w="898" w:type="pct"/>
                  <w:tcBorders>
                    <w:tl2br w:val="nil"/>
                    <w:tr2bl w:val="nil"/>
                  </w:tcBorders>
                  <w:shd w:val="clear" w:color="auto" w:fill="auto"/>
                  <w:noWrap w:val="0"/>
                  <w:vAlign w:val="center"/>
                </w:tcPr>
                <w:p w14:paraId="02D3C144">
                  <w:pPr>
                    <w:pStyle w:val="106"/>
                    <w:bidi w:val="0"/>
                    <w:rPr>
                      <w:rFonts w:hint="default"/>
                      <w:lang w:val="en-US" w:eastAsia="zh-CN"/>
                    </w:rPr>
                  </w:pPr>
                  <w:r>
                    <w:rPr>
                      <w:rFonts w:hint="eastAsia"/>
                      <w:lang w:val="en-US" w:eastAsia="zh-CN"/>
                    </w:rPr>
                    <w:t>装箱/装袋</w:t>
                  </w:r>
                </w:p>
              </w:tc>
              <w:tc>
                <w:tcPr>
                  <w:tcW w:w="339" w:type="pct"/>
                  <w:vMerge w:val="continue"/>
                  <w:tcBorders>
                    <w:tl2br w:val="nil"/>
                    <w:tr2bl w:val="nil"/>
                  </w:tcBorders>
                  <w:shd w:val="clear" w:color="auto" w:fill="auto"/>
                  <w:noWrap w:val="0"/>
                  <w:vAlign w:val="center"/>
                </w:tcPr>
                <w:p w14:paraId="3101ED12">
                  <w:pPr>
                    <w:pStyle w:val="106"/>
                    <w:bidi w:val="0"/>
                    <w:rPr>
                      <w:rFonts w:hint="eastAsia"/>
                      <w:lang w:val="en-US" w:eastAsia="zh-CN"/>
                    </w:rPr>
                  </w:pPr>
                </w:p>
              </w:tc>
            </w:tr>
            <w:tr w14:paraId="5BC97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58DF6EA9">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45</w:t>
                  </w:r>
                </w:p>
              </w:tc>
              <w:tc>
                <w:tcPr>
                  <w:tcW w:w="365" w:type="pct"/>
                  <w:vMerge w:val="continue"/>
                  <w:tcBorders>
                    <w:tl2br w:val="nil"/>
                    <w:tr2bl w:val="nil"/>
                  </w:tcBorders>
                  <w:shd w:val="clear" w:color="auto" w:fill="auto"/>
                  <w:noWrap w:val="0"/>
                  <w:vAlign w:val="center"/>
                </w:tcPr>
                <w:p w14:paraId="52497648">
                  <w:pPr>
                    <w:pStyle w:val="106"/>
                    <w:bidi w:val="0"/>
                    <w:rPr>
                      <w:rFonts w:hint="eastAsia"/>
                    </w:rPr>
                  </w:pPr>
                </w:p>
              </w:tc>
              <w:tc>
                <w:tcPr>
                  <w:tcW w:w="355" w:type="pct"/>
                  <w:vMerge w:val="restart"/>
                  <w:tcBorders>
                    <w:tl2br w:val="nil"/>
                    <w:tr2bl w:val="nil"/>
                  </w:tcBorders>
                  <w:shd w:val="clear" w:color="auto" w:fill="auto"/>
                  <w:noWrap w:val="0"/>
                  <w:vAlign w:val="center"/>
                </w:tcPr>
                <w:p w14:paraId="362EEB41">
                  <w:pPr>
                    <w:pStyle w:val="106"/>
                    <w:bidi w:val="0"/>
                    <w:rPr>
                      <w:rFonts w:hint="eastAsia"/>
                      <w:color w:val="auto"/>
                      <w:lang w:val="en-US" w:eastAsia="zh-CN"/>
                    </w:rPr>
                  </w:pPr>
                  <w:r>
                    <w:rPr>
                      <w:rFonts w:hint="eastAsia"/>
                      <w:color w:val="auto"/>
                    </w:rPr>
                    <w:t>面巾纸</w:t>
                  </w:r>
                  <w:r>
                    <w:rPr>
                      <w:rFonts w:hint="eastAsia"/>
                      <w:color w:val="auto"/>
                      <w:lang w:val="en-US" w:eastAsia="zh-CN"/>
                    </w:rPr>
                    <w:t>生产线</w:t>
                  </w:r>
                </w:p>
              </w:tc>
              <w:tc>
                <w:tcPr>
                  <w:tcW w:w="1219" w:type="pct"/>
                  <w:tcBorders>
                    <w:tl2br w:val="nil"/>
                    <w:tr2bl w:val="nil"/>
                  </w:tcBorders>
                  <w:shd w:val="clear" w:color="auto" w:fill="auto"/>
                  <w:noWrap w:val="0"/>
                  <w:vAlign w:val="center"/>
                </w:tcPr>
                <w:p w14:paraId="6BFBBD9E">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高速盘纸分切复卷机</w:t>
                  </w:r>
                </w:p>
              </w:tc>
              <w:tc>
                <w:tcPr>
                  <w:tcW w:w="707" w:type="pct"/>
                  <w:tcBorders>
                    <w:tl2br w:val="nil"/>
                    <w:tr2bl w:val="nil"/>
                  </w:tcBorders>
                  <w:shd w:val="clear" w:color="auto" w:fill="auto"/>
                  <w:noWrap w:val="0"/>
                  <w:vAlign w:val="center"/>
                </w:tcPr>
                <w:p w14:paraId="24412505">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PF-EA-3000</w:t>
                  </w:r>
                </w:p>
              </w:tc>
              <w:tc>
                <w:tcPr>
                  <w:tcW w:w="444" w:type="pct"/>
                  <w:tcBorders>
                    <w:tl2br w:val="nil"/>
                    <w:tr2bl w:val="nil"/>
                  </w:tcBorders>
                  <w:shd w:val="clear" w:color="auto" w:fill="auto"/>
                  <w:noWrap w:val="0"/>
                  <w:vAlign w:val="center"/>
                </w:tcPr>
                <w:p w14:paraId="08969439">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台</w:t>
                  </w:r>
                </w:p>
              </w:tc>
              <w:tc>
                <w:tcPr>
                  <w:tcW w:w="353" w:type="pct"/>
                  <w:tcBorders>
                    <w:tl2br w:val="nil"/>
                    <w:tr2bl w:val="nil"/>
                  </w:tcBorders>
                  <w:shd w:val="clear" w:color="auto" w:fill="auto"/>
                  <w:noWrap w:val="0"/>
                  <w:vAlign w:val="center"/>
                </w:tcPr>
                <w:p w14:paraId="63711501">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898" w:type="pct"/>
                  <w:tcBorders>
                    <w:tl2br w:val="nil"/>
                    <w:tr2bl w:val="nil"/>
                  </w:tcBorders>
                  <w:shd w:val="clear" w:color="auto" w:fill="auto"/>
                  <w:noWrap w:val="0"/>
                  <w:vAlign w:val="center"/>
                </w:tcPr>
                <w:p w14:paraId="4B4BB247">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初步分切</w:t>
                  </w:r>
                </w:p>
              </w:tc>
              <w:tc>
                <w:tcPr>
                  <w:tcW w:w="339" w:type="pct"/>
                  <w:vMerge w:val="continue"/>
                  <w:tcBorders>
                    <w:tl2br w:val="nil"/>
                    <w:tr2bl w:val="nil"/>
                  </w:tcBorders>
                  <w:shd w:val="clear" w:color="auto" w:fill="auto"/>
                  <w:noWrap w:val="0"/>
                  <w:vAlign w:val="center"/>
                </w:tcPr>
                <w:p w14:paraId="78966D2B">
                  <w:pPr>
                    <w:pStyle w:val="106"/>
                    <w:bidi w:val="0"/>
                    <w:rPr>
                      <w:rFonts w:hint="eastAsia"/>
                      <w:lang w:val="en-US" w:eastAsia="zh-CN"/>
                    </w:rPr>
                  </w:pPr>
                </w:p>
              </w:tc>
            </w:tr>
            <w:tr w14:paraId="1611B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68E3D4E8">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46</w:t>
                  </w:r>
                </w:p>
              </w:tc>
              <w:tc>
                <w:tcPr>
                  <w:tcW w:w="365" w:type="pct"/>
                  <w:vMerge w:val="continue"/>
                  <w:tcBorders>
                    <w:tl2br w:val="nil"/>
                    <w:tr2bl w:val="nil"/>
                  </w:tcBorders>
                  <w:shd w:val="clear" w:color="auto" w:fill="auto"/>
                  <w:noWrap w:val="0"/>
                  <w:vAlign w:val="center"/>
                </w:tcPr>
                <w:p w14:paraId="291685EF">
                  <w:pPr>
                    <w:pStyle w:val="106"/>
                    <w:bidi w:val="0"/>
                    <w:rPr>
                      <w:rFonts w:hint="eastAsia"/>
                    </w:rPr>
                  </w:pPr>
                </w:p>
              </w:tc>
              <w:tc>
                <w:tcPr>
                  <w:tcW w:w="355" w:type="pct"/>
                  <w:vMerge w:val="continue"/>
                  <w:tcBorders>
                    <w:tl2br w:val="nil"/>
                    <w:tr2bl w:val="nil"/>
                  </w:tcBorders>
                  <w:shd w:val="clear" w:color="auto" w:fill="auto"/>
                  <w:noWrap w:val="0"/>
                  <w:vAlign w:val="center"/>
                </w:tcPr>
                <w:p w14:paraId="6527A439">
                  <w:pPr>
                    <w:pStyle w:val="106"/>
                    <w:bidi w:val="0"/>
                    <w:rPr>
                      <w:rFonts w:hint="eastAsia"/>
                      <w:color w:val="auto"/>
                      <w:lang w:val="en-US" w:eastAsia="zh-CN"/>
                    </w:rPr>
                  </w:pPr>
                </w:p>
              </w:tc>
              <w:tc>
                <w:tcPr>
                  <w:tcW w:w="1219" w:type="pct"/>
                  <w:tcBorders>
                    <w:tl2br w:val="nil"/>
                    <w:tr2bl w:val="nil"/>
                  </w:tcBorders>
                  <w:shd w:val="clear" w:color="auto" w:fill="auto"/>
                  <w:noWrap w:val="0"/>
                  <w:vAlign w:val="center"/>
                </w:tcPr>
                <w:p w14:paraId="23A971E5">
                  <w:pPr>
                    <w:pStyle w:val="106"/>
                    <w:bidi w:val="0"/>
                    <w:rPr>
                      <w:rFonts w:hint="default" w:eastAsia="宋体"/>
                      <w:color w:val="auto"/>
                      <w:lang w:val="en-US" w:eastAsia="zh-CN"/>
                    </w:rPr>
                  </w:pPr>
                  <w:r>
                    <w:rPr>
                      <w:rFonts w:hint="eastAsia"/>
                      <w:color w:val="auto"/>
                      <w:lang w:val="en-US" w:eastAsia="zh-CN"/>
                    </w:rPr>
                    <w:t>打纸机</w:t>
                  </w:r>
                </w:p>
              </w:tc>
              <w:tc>
                <w:tcPr>
                  <w:tcW w:w="707" w:type="pct"/>
                  <w:tcBorders>
                    <w:tl2br w:val="nil"/>
                    <w:tr2bl w:val="nil"/>
                  </w:tcBorders>
                  <w:shd w:val="clear" w:color="auto" w:fill="auto"/>
                  <w:noWrap w:val="0"/>
                  <w:vAlign w:val="center"/>
                </w:tcPr>
                <w:p w14:paraId="19C06ABC">
                  <w:pPr>
                    <w:pStyle w:val="106"/>
                    <w:bidi w:val="0"/>
                    <w:rPr>
                      <w:rFonts w:hint="eastAsia"/>
                      <w:color w:val="auto"/>
                      <w:lang w:val="en-US" w:eastAsia="zh-CN"/>
                    </w:rPr>
                  </w:pPr>
                  <w:r>
                    <w:rPr>
                      <w:rFonts w:hint="eastAsia"/>
                      <w:color w:val="auto"/>
                    </w:rPr>
                    <w:t>YH170</w:t>
                  </w:r>
                  <w:r>
                    <w:rPr>
                      <w:rFonts w:hint="eastAsia"/>
                      <w:color w:val="auto"/>
                      <w:lang w:val="en-US" w:eastAsia="zh-CN"/>
                    </w:rPr>
                    <w:t>/185</w:t>
                  </w:r>
                </w:p>
              </w:tc>
              <w:tc>
                <w:tcPr>
                  <w:tcW w:w="444" w:type="pct"/>
                  <w:vMerge w:val="restart"/>
                  <w:tcBorders>
                    <w:tl2br w:val="nil"/>
                    <w:tr2bl w:val="nil"/>
                  </w:tcBorders>
                  <w:shd w:val="clear" w:color="auto" w:fill="auto"/>
                  <w:noWrap w:val="0"/>
                  <w:vAlign w:val="center"/>
                </w:tcPr>
                <w:p w14:paraId="290F27DE">
                  <w:pPr>
                    <w:pStyle w:val="106"/>
                    <w:bidi w:val="0"/>
                    <w:rPr>
                      <w:rFonts w:hint="eastAsia"/>
                      <w:color w:val="auto"/>
                      <w:lang w:val="en-US" w:eastAsia="zh-CN"/>
                    </w:rPr>
                  </w:pPr>
                  <w:r>
                    <w:rPr>
                      <w:rFonts w:hint="eastAsia"/>
                      <w:color w:val="auto"/>
                      <w:lang w:val="en-US" w:eastAsia="zh-CN"/>
                    </w:rPr>
                    <w:t>套</w:t>
                  </w:r>
                </w:p>
              </w:tc>
              <w:tc>
                <w:tcPr>
                  <w:tcW w:w="353" w:type="pct"/>
                  <w:vMerge w:val="restart"/>
                  <w:tcBorders>
                    <w:tl2br w:val="nil"/>
                    <w:tr2bl w:val="nil"/>
                  </w:tcBorders>
                  <w:shd w:val="clear" w:color="auto" w:fill="auto"/>
                  <w:noWrap w:val="0"/>
                  <w:vAlign w:val="center"/>
                </w:tcPr>
                <w:p w14:paraId="22E92CA4">
                  <w:pPr>
                    <w:pStyle w:val="106"/>
                    <w:bidi w:val="0"/>
                    <w:rPr>
                      <w:rFonts w:hint="eastAsia"/>
                      <w:color w:val="auto"/>
                      <w:lang w:val="en-US" w:eastAsia="zh-CN"/>
                    </w:rPr>
                  </w:pPr>
                  <w:r>
                    <w:rPr>
                      <w:rFonts w:hint="eastAsia"/>
                      <w:color w:val="auto"/>
                      <w:lang w:val="en-US" w:eastAsia="zh-CN"/>
                    </w:rPr>
                    <w:t>5</w:t>
                  </w:r>
                </w:p>
              </w:tc>
              <w:tc>
                <w:tcPr>
                  <w:tcW w:w="898" w:type="pct"/>
                  <w:tcBorders>
                    <w:tl2br w:val="nil"/>
                    <w:tr2bl w:val="nil"/>
                  </w:tcBorders>
                  <w:shd w:val="clear" w:color="auto" w:fill="auto"/>
                  <w:noWrap w:val="0"/>
                  <w:vAlign w:val="center"/>
                </w:tcPr>
                <w:p w14:paraId="07974450">
                  <w:pPr>
                    <w:pStyle w:val="106"/>
                    <w:bidi w:val="0"/>
                    <w:rPr>
                      <w:rFonts w:hint="default"/>
                      <w:lang w:val="en-US" w:eastAsia="zh-CN"/>
                    </w:rPr>
                  </w:pPr>
                  <w:r>
                    <w:rPr>
                      <w:rFonts w:hint="eastAsia"/>
                      <w:lang w:val="en-US" w:eastAsia="zh-CN"/>
                    </w:rPr>
                    <w:t>打纸</w:t>
                  </w:r>
                </w:p>
              </w:tc>
              <w:tc>
                <w:tcPr>
                  <w:tcW w:w="339" w:type="pct"/>
                  <w:vMerge w:val="continue"/>
                  <w:tcBorders>
                    <w:tl2br w:val="nil"/>
                    <w:tr2bl w:val="nil"/>
                  </w:tcBorders>
                  <w:shd w:val="clear" w:color="auto" w:fill="auto"/>
                  <w:noWrap w:val="0"/>
                  <w:vAlign w:val="center"/>
                </w:tcPr>
                <w:p w14:paraId="13877997">
                  <w:pPr>
                    <w:pStyle w:val="106"/>
                    <w:bidi w:val="0"/>
                    <w:rPr>
                      <w:rFonts w:hint="eastAsia"/>
                      <w:lang w:val="en-US" w:eastAsia="zh-CN"/>
                    </w:rPr>
                  </w:pPr>
                </w:p>
              </w:tc>
            </w:tr>
            <w:tr w14:paraId="6909D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1C073954">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47</w:t>
                  </w:r>
                </w:p>
              </w:tc>
              <w:tc>
                <w:tcPr>
                  <w:tcW w:w="365" w:type="pct"/>
                  <w:vMerge w:val="continue"/>
                  <w:tcBorders>
                    <w:tl2br w:val="nil"/>
                    <w:tr2bl w:val="nil"/>
                  </w:tcBorders>
                  <w:shd w:val="clear" w:color="auto" w:fill="auto"/>
                  <w:noWrap w:val="0"/>
                  <w:vAlign w:val="center"/>
                </w:tcPr>
                <w:p w14:paraId="408090A3">
                  <w:pPr>
                    <w:pStyle w:val="106"/>
                    <w:bidi w:val="0"/>
                    <w:rPr>
                      <w:rFonts w:hint="eastAsia"/>
                    </w:rPr>
                  </w:pPr>
                </w:p>
              </w:tc>
              <w:tc>
                <w:tcPr>
                  <w:tcW w:w="355" w:type="pct"/>
                  <w:vMerge w:val="continue"/>
                  <w:tcBorders>
                    <w:tl2br w:val="nil"/>
                    <w:tr2bl w:val="nil"/>
                  </w:tcBorders>
                  <w:shd w:val="clear" w:color="auto" w:fill="auto"/>
                  <w:noWrap w:val="0"/>
                  <w:vAlign w:val="center"/>
                </w:tcPr>
                <w:p w14:paraId="25B5ABA9">
                  <w:pPr>
                    <w:pStyle w:val="106"/>
                    <w:bidi w:val="0"/>
                    <w:rPr>
                      <w:rFonts w:hint="eastAsia"/>
                      <w:color w:val="FF0000"/>
                    </w:rPr>
                  </w:pPr>
                </w:p>
              </w:tc>
              <w:tc>
                <w:tcPr>
                  <w:tcW w:w="1219" w:type="pct"/>
                  <w:tcBorders>
                    <w:tl2br w:val="nil"/>
                    <w:tr2bl w:val="nil"/>
                  </w:tcBorders>
                  <w:shd w:val="clear" w:color="auto" w:fill="auto"/>
                  <w:noWrap w:val="0"/>
                  <w:vAlign w:val="center"/>
                </w:tcPr>
                <w:p w14:paraId="7C8B8A7B">
                  <w:pPr>
                    <w:pStyle w:val="106"/>
                    <w:bidi w:val="0"/>
                    <w:rPr>
                      <w:rFonts w:hint="default" w:eastAsia="宋体"/>
                      <w:color w:val="auto"/>
                      <w:lang w:val="en-US" w:eastAsia="zh-CN"/>
                    </w:rPr>
                  </w:pPr>
                  <w:r>
                    <w:rPr>
                      <w:rFonts w:hint="eastAsia"/>
                      <w:color w:val="auto"/>
                      <w:lang w:val="en-US" w:eastAsia="zh-CN"/>
                    </w:rPr>
                    <w:t>切纸机</w:t>
                  </w:r>
                </w:p>
              </w:tc>
              <w:tc>
                <w:tcPr>
                  <w:tcW w:w="707" w:type="pct"/>
                  <w:tcBorders>
                    <w:tl2br w:val="nil"/>
                    <w:tr2bl w:val="nil"/>
                  </w:tcBorders>
                  <w:shd w:val="clear" w:color="auto" w:fill="auto"/>
                  <w:noWrap w:val="0"/>
                  <w:vAlign w:val="center"/>
                </w:tcPr>
                <w:p w14:paraId="102EC856">
                  <w:pPr>
                    <w:pStyle w:val="106"/>
                    <w:bidi w:val="0"/>
                    <w:rPr>
                      <w:rFonts w:hint="eastAsia" w:eastAsia="宋体"/>
                      <w:color w:val="auto"/>
                      <w:lang w:val="en-US" w:eastAsia="zh-CN"/>
                    </w:rPr>
                  </w:pPr>
                  <w:r>
                    <w:rPr>
                      <w:rFonts w:hint="eastAsia"/>
                      <w:color w:val="auto"/>
                      <w:lang w:val="en-US" w:eastAsia="zh-CN"/>
                    </w:rPr>
                    <w:t>/</w:t>
                  </w:r>
                </w:p>
              </w:tc>
              <w:tc>
                <w:tcPr>
                  <w:tcW w:w="444" w:type="pct"/>
                  <w:vMerge w:val="continue"/>
                  <w:tcBorders>
                    <w:tl2br w:val="nil"/>
                    <w:tr2bl w:val="nil"/>
                  </w:tcBorders>
                  <w:shd w:val="clear" w:color="auto" w:fill="auto"/>
                  <w:noWrap w:val="0"/>
                  <w:vAlign w:val="center"/>
                </w:tcPr>
                <w:p w14:paraId="674876EC">
                  <w:pPr>
                    <w:pStyle w:val="106"/>
                    <w:bidi w:val="0"/>
                    <w:rPr>
                      <w:rFonts w:hint="eastAsia"/>
                      <w:color w:val="FF0000"/>
                      <w:lang w:val="en-US" w:eastAsia="zh-CN"/>
                    </w:rPr>
                  </w:pPr>
                </w:p>
              </w:tc>
              <w:tc>
                <w:tcPr>
                  <w:tcW w:w="353" w:type="pct"/>
                  <w:vMerge w:val="continue"/>
                  <w:tcBorders>
                    <w:tl2br w:val="nil"/>
                    <w:tr2bl w:val="nil"/>
                  </w:tcBorders>
                  <w:shd w:val="clear" w:color="auto" w:fill="auto"/>
                  <w:noWrap w:val="0"/>
                  <w:vAlign w:val="center"/>
                </w:tcPr>
                <w:p w14:paraId="4612508D">
                  <w:pPr>
                    <w:pStyle w:val="106"/>
                    <w:bidi w:val="0"/>
                    <w:rPr>
                      <w:rFonts w:hint="eastAsia"/>
                      <w:color w:val="FF0000"/>
                      <w:lang w:val="en-US" w:eastAsia="zh-CN"/>
                    </w:rPr>
                  </w:pPr>
                </w:p>
              </w:tc>
              <w:tc>
                <w:tcPr>
                  <w:tcW w:w="898" w:type="pct"/>
                  <w:tcBorders>
                    <w:tl2br w:val="nil"/>
                    <w:tr2bl w:val="nil"/>
                  </w:tcBorders>
                  <w:shd w:val="clear" w:color="auto" w:fill="auto"/>
                  <w:noWrap w:val="0"/>
                  <w:vAlign w:val="center"/>
                </w:tcPr>
                <w:p w14:paraId="598ECA7E">
                  <w:pPr>
                    <w:pStyle w:val="106"/>
                    <w:bidi w:val="0"/>
                    <w:rPr>
                      <w:rFonts w:hint="default"/>
                      <w:lang w:val="en-US" w:eastAsia="zh-CN"/>
                    </w:rPr>
                  </w:pPr>
                  <w:r>
                    <w:rPr>
                      <w:rFonts w:hint="eastAsia"/>
                      <w:lang w:val="en-US" w:eastAsia="zh-CN"/>
                    </w:rPr>
                    <w:t>切纸</w:t>
                  </w:r>
                </w:p>
              </w:tc>
              <w:tc>
                <w:tcPr>
                  <w:tcW w:w="339" w:type="pct"/>
                  <w:vMerge w:val="continue"/>
                  <w:tcBorders>
                    <w:tl2br w:val="nil"/>
                    <w:tr2bl w:val="nil"/>
                  </w:tcBorders>
                  <w:shd w:val="clear" w:color="auto" w:fill="auto"/>
                  <w:noWrap w:val="0"/>
                  <w:vAlign w:val="center"/>
                </w:tcPr>
                <w:p w14:paraId="737D26B4">
                  <w:pPr>
                    <w:pStyle w:val="106"/>
                    <w:bidi w:val="0"/>
                    <w:rPr>
                      <w:rFonts w:hint="eastAsia"/>
                      <w:lang w:val="en-US" w:eastAsia="zh-CN"/>
                    </w:rPr>
                  </w:pPr>
                </w:p>
              </w:tc>
            </w:tr>
            <w:tr w14:paraId="7DF11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1C8020D4">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48</w:t>
                  </w:r>
                </w:p>
              </w:tc>
              <w:tc>
                <w:tcPr>
                  <w:tcW w:w="365" w:type="pct"/>
                  <w:vMerge w:val="continue"/>
                  <w:tcBorders>
                    <w:tl2br w:val="nil"/>
                    <w:tr2bl w:val="nil"/>
                  </w:tcBorders>
                  <w:shd w:val="clear" w:color="auto" w:fill="auto"/>
                  <w:noWrap w:val="0"/>
                  <w:vAlign w:val="center"/>
                </w:tcPr>
                <w:p w14:paraId="1EBC1970">
                  <w:pPr>
                    <w:pStyle w:val="106"/>
                    <w:bidi w:val="0"/>
                    <w:rPr>
                      <w:rFonts w:hint="eastAsia"/>
                    </w:rPr>
                  </w:pPr>
                </w:p>
              </w:tc>
              <w:tc>
                <w:tcPr>
                  <w:tcW w:w="355" w:type="pct"/>
                  <w:vMerge w:val="continue"/>
                  <w:tcBorders>
                    <w:tl2br w:val="nil"/>
                    <w:tr2bl w:val="nil"/>
                  </w:tcBorders>
                  <w:shd w:val="clear" w:color="auto" w:fill="auto"/>
                  <w:noWrap w:val="0"/>
                  <w:vAlign w:val="center"/>
                </w:tcPr>
                <w:p w14:paraId="6F4C24EF">
                  <w:pPr>
                    <w:pStyle w:val="106"/>
                    <w:bidi w:val="0"/>
                    <w:rPr>
                      <w:rFonts w:hint="eastAsia"/>
                      <w:color w:val="FF0000"/>
                    </w:rPr>
                  </w:pPr>
                </w:p>
              </w:tc>
              <w:tc>
                <w:tcPr>
                  <w:tcW w:w="1219" w:type="pct"/>
                  <w:tcBorders>
                    <w:tl2br w:val="nil"/>
                    <w:tr2bl w:val="nil"/>
                  </w:tcBorders>
                  <w:shd w:val="clear" w:color="auto" w:fill="auto"/>
                  <w:noWrap w:val="0"/>
                  <w:vAlign w:val="center"/>
                </w:tcPr>
                <w:p w14:paraId="24334DF7">
                  <w:pPr>
                    <w:pStyle w:val="106"/>
                    <w:bidi w:val="0"/>
                    <w:rPr>
                      <w:rFonts w:hint="default"/>
                      <w:color w:val="auto"/>
                      <w:lang w:val="en-US" w:eastAsia="zh-CN"/>
                    </w:rPr>
                  </w:pPr>
                  <w:r>
                    <w:rPr>
                      <w:rFonts w:hint="eastAsia"/>
                      <w:color w:val="auto"/>
                      <w:lang w:val="en-US" w:eastAsia="zh-CN"/>
                    </w:rPr>
                    <w:t>折叠机</w:t>
                  </w:r>
                </w:p>
              </w:tc>
              <w:tc>
                <w:tcPr>
                  <w:tcW w:w="707" w:type="pct"/>
                  <w:tcBorders>
                    <w:tl2br w:val="nil"/>
                    <w:tr2bl w:val="nil"/>
                  </w:tcBorders>
                  <w:shd w:val="clear" w:color="auto" w:fill="auto"/>
                  <w:noWrap w:val="0"/>
                  <w:vAlign w:val="center"/>
                </w:tcPr>
                <w:p w14:paraId="4660D6EA">
                  <w:pPr>
                    <w:pStyle w:val="106"/>
                    <w:bidi w:val="0"/>
                    <w:rPr>
                      <w:rFonts w:hint="eastAsia" w:eastAsia="宋体"/>
                      <w:color w:val="auto"/>
                      <w:lang w:val="en-US" w:eastAsia="zh-CN"/>
                    </w:rPr>
                  </w:pPr>
                  <w:r>
                    <w:rPr>
                      <w:rFonts w:hint="eastAsia"/>
                      <w:color w:val="auto"/>
                      <w:lang w:val="en-US" w:eastAsia="zh-CN"/>
                    </w:rPr>
                    <w:t>/</w:t>
                  </w:r>
                </w:p>
              </w:tc>
              <w:tc>
                <w:tcPr>
                  <w:tcW w:w="444" w:type="pct"/>
                  <w:vMerge w:val="continue"/>
                  <w:tcBorders>
                    <w:tl2br w:val="nil"/>
                    <w:tr2bl w:val="nil"/>
                  </w:tcBorders>
                  <w:shd w:val="clear" w:color="auto" w:fill="auto"/>
                  <w:noWrap w:val="0"/>
                  <w:vAlign w:val="center"/>
                </w:tcPr>
                <w:p w14:paraId="70F7E442">
                  <w:pPr>
                    <w:pStyle w:val="106"/>
                    <w:bidi w:val="0"/>
                    <w:rPr>
                      <w:rFonts w:hint="eastAsia"/>
                      <w:color w:val="FF0000"/>
                      <w:lang w:val="en-US" w:eastAsia="zh-CN"/>
                    </w:rPr>
                  </w:pPr>
                </w:p>
              </w:tc>
              <w:tc>
                <w:tcPr>
                  <w:tcW w:w="353" w:type="pct"/>
                  <w:vMerge w:val="continue"/>
                  <w:tcBorders>
                    <w:tl2br w:val="nil"/>
                    <w:tr2bl w:val="nil"/>
                  </w:tcBorders>
                  <w:shd w:val="clear" w:color="auto" w:fill="auto"/>
                  <w:noWrap w:val="0"/>
                  <w:vAlign w:val="center"/>
                </w:tcPr>
                <w:p w14:paraId="044A2413">
                  <w:pPr>
                    <w:pStyle w:val="106"/>
                    <w:bidi w:val="0"/>
                    <w:rPr>
                      <w:rFonts w:hint="eastAsia"/>
                      <w:color w:val="FF0000"/>
                      <w:lang w:val="en-US" w:eastAsia="zh-CN"/>
                    </w:rPr>
                  </w:pPr>
                </w:p>
              </w:tc>
              <w:tc>
                <w:tcPr>
                  <w:tcW w:w="898" w:type="pct"/>
                  <w:tcBorders>
                    <w:tl2br w:val="nil"/>
                    <w:tr2bl w:val="nil"/>
                  </w:tcBorders>
                  <w:shd w:val="clear" w:color="auto" w:fill="auto"/>
                  <w:noWrap w:val="0"/>
                  <w:vAlign w:val="center"/>
                </w:tcPr>
                <w:p w14:paraId="09D0BDAC">
                  <w:pPr>
                    <w:pStyle w:val="106"/>
                    <w:bidi w:val="0"/>
                    <w:rPr>
                      <w:rFonts w:hint="default"/>
                      <w:lang w:val="en-US" w:eastAsia="zh-CN"/>
                    </w:rPr>
                  </w:pPr>
                  <w:r>
                    <w:rPr>
                      <w:rFonts w:hint="eastAsia"/>
                      <w:lang w:val="en-US" w:eastAsia="zh-CN"/>
                    </w:rPr>
                    <w:t>折叠</w:t>
                  </w:r>
                </w:p>
              </w:tc>
              <w:tc>
                <w:tcPr>
                  <w:tcW w:w="339" w:type="pct"/>
                  <w:vMerge w:val="continue"/>
                  <w:tcBorders>
                    <w:tl2br w:val="nil"/>
                    <w:tr2bl w:val="nil"/>
                  </w:tcBorders>
                  <w:shd w:val="clear" w:color="auto" w:fill="auto"/>
                  <w:noWrap w:val="0"/>
                  <w:vAlign w:val="center"/>
                </w:tcPr>
                <w:p w14:paraId="2D306C58">
                  <w:pPr>
                    <w:pStyle w:val="106"/>
                    <w:bidi w:val="0"/>
                    <w:rPr>
                      <w:rFonts w:hint="eastAsia"/>
                      <w:lang w:val="en-US" w:eastAsia="zh-CN"/>
                    </w:rPr>
                  </w:pPr>
                </w:p>
              </w:tc>
            </w:tr>
            <w:tr w14:paraId="4F596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2955FD13">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49</w:t>
                  </w:r>
                </w:p>
              </w:tc>
              <w:tc>
                <w:tcPr>
                  <w:tcW w:w="365" w:type="pct"/>
                  <w:vMerge w:val="continue"/>
                  <w:tcBorders>
                    <w:tl2br w:val="nil"/>
                    <w:tr2bl w:val="nil"/>
                  </w:tcBorders>
                  <w:shd w:val="clear" w:color="auto" w:fill="auto"/>
                  <w:noWrap w:val="0"/>
                  <w:vAlign w:val="center"/>
                </w:tcPr>
                <w:p w14:paraId="1B7F01D5">
                  <w:pPr>
                    <w:pStyle w:val="106"/>
                    <w:bidi w:val="0"/>
                    <w:rPr>
                      <w:rFonts w:hint="eastAsia"/>
                    </w:rPr>
                  </w:pPr>
                </w:p>
              </w:tc>
              <w:tc>
                <w:tcPr>
                  <w:tcW w:w="355" w:type="pct"/>
                  <w:vMerge w:val="continue"/>
                  <w:tcBorders>
                    <w:tl2br w:val="nil"/>
                    <w:tr2bl w:val="nil"/>
                  </w:tcBorders>
                  <w:shd w:val="clear" w:color="auto" w:fill="auto"/>
                  <w:noWrap w:val="0"/>
                  <w:vAlign w:val="center"/>
                </w:tcPr>
                <w:p w14:paraId="417D83FC">
                  <w:pPr>
                    <w:pStyle w:val="106"/>
                    <w:bidi w:val="0"/>
                    <w:rPr>
                      <w:rFonts w:hint="eastAsia"/>
                      <w:color w:val="FF0000"/>
                    </w:rPr>
                  </w:pPr>
                </w:p>
              </w:tc>
              <w:tc>
                <w:tcPr>
                  <w:tcW w:w="1219" w:type="pct"/>
                  <w:tcBorders>
                    <w:tl2br w:val="nil"/>
                    <w:tr2bl w:val="nil"/>
                  </w:tcBorders>
                  <w:shd w:val="clear" w:color="auto" w:fill="auto"/>
                  <w:noWrap w:val="0"/>
                  <w:vAlign w:val="center"/>
                </w:tcPr>
                <w:p w14:paraId="37C0066F">
                  <w:pPr>
                    <w:pStyle w:val="106"/>
                    <w:bidi w:val="0"/>
                    <w:rPr>
                      <w:rFonts w:hint="default"/>
                      <w:color w:val="auto"/>
                      <w:lang w:val="en-US" w:eastAsia="zh-CN"/>
                    </w:rPr>
                  </w:pPr>
                  <w:r>
                    <w:rPr>
                      <w:rFonts w:hint="eastAsia"/>
                      <w:color w:val="auto"/>
                      <w:lang w:val="en-US" w:eastAsia="zh-CN"/>
                    </w:rPr>
                    <w:t>包装机</w:t>
                  </w:r>
                </w:p>
              </w:tc>
              <w:tc>
                <w:tcPr>
                  <w:tcW w:w="707" w:type="pct"/>
                  <w:tcBorders>
                    <w:tl2br w:val="nil"/>
                    <w:tr2bl w:val="nil"/>
                  </w:tcBorders>
                  <w:shd w:val="clear" w:color="auto" w:fill="auto"/>
                  <w:noWrap w:val="0"/>
                  <w:vAlign w:val="center"/>
                </w:tcPr>
                <w:p w14:paraId="49CD9911">
                  <w:pPr>
                    <w:pStyle w:val="106"/>
                    <w:bidi w:val="0"/>
                    <w:rPr>
                      <w:rFonts w:hint="eastAsia" w:eastAsia="宋体"/>
                      <w:color w:val="auto"/>
                      <w:lang w:val="en-US" w:eastAsia="zh-CN"/>
                    </w:rPr>
                  </w:pPr>
                  <w:r>
                    <w:rPr>
                      <w:rFonts w:hint="eastAsia"/>
                      <w:color w:val="auto"/>
                      <w:lang w:val="en-US" w:eastAsia="zh-CN"/>
                    </w:rPr>
                    <w:t>/</w:t>
                  </w:r>
                </w:p>
              </w:tc>
              <w:tc>
                <w:tcPr>
                  <w:tcW w:w="444" w:type="pct"/>
                  <w:vMerge w:val="continue"/>
                  <w:tcBorders>
                    <w:tl2br w:val="nil"/>
                    <w:tr2bl w:val="nil"/>
                  </w:tcBorders>
                  <w:shd w:val="clear" w:color="auto" w:fill="auto"/>
                  <w:noWrap w:val="0"/>
                  <w:vAlign w:val="center"/>
                </w:tcPr>
                <w:p w14:paraId="13AFB444">
                  <w:pPr>
                    <w:pStyle w:val="106"/>
                    <w:bidi w:val="0"/>
                    <w:rPr>
                      <w:rFonts w:hint="eastAsia"/>
                      <w:color w:val="FF0000"/>
                      <w:lang w:val="en-US" w:eastAsia="zh-CN"/>
                    </w:rPr>
                  </w:pPr>
                </w:p>
              </w:tc>
              <w:tc>
                <w:tcPr>
                  <w:tcW w:w="353" w:type="pct"/>
                  <w:vMerge w:val="continue"/>
                  <w:tcBorders>
                    <w:tl2br w:val="nil"/>
                    <w:tr2bl w:val="nil"/>
                  </w:tcBorders>
                  <w:shd w:val="clear" w:color="auto" w:fill="auto"/>
                  <w:noWrap w:val="0"/>
                  <w:vAlign w:val="center"/>
                </w:tcPr>
                <w:p w14:paraId="7ADA2A3D">
                  <w:pPr>
                    <w:pStyle w:val="106"/>
                    <w:bidi w:val="0"/>
                    <w:rPr>
                      <w:rFonts w:hint="eastAsia"/>
                      <w:color w:val="FF0000"/>
                      <w:lang w:val="en-US" w:eastAsia="zh-CN"/>
                    </w:rPr>
                  </w:pPr>
                </w:p>
              </w:tc>
              <w:tc>
                <w:tcPr>
                  <w:tcW w:w="898" w:type="pct"/>
                  <w:tcBorders>
                    <w:tl2br w:val="nil"/>
                    <w:tr2bl w:val="nil"/>
                  </w:tcBorders>
                  <w:shd w:val="clear" w:color="auto" w:fill="auto"/>
                  <w:noWrap w:val="0"/>
                  <w:vAlign w:val="center"/>
                </w:tcPr>
                <w:p w14:paraId="7EECC9DF">
                  <w:pPr>
                    <w:pStyle w:val="106"/>
                    <w:bidi w:val="0"/>
                    <w:rPr>
                      <w:rFonts w:hint="default"/>
                      <w:lang w:val="en-US" w:eastAsia="zh-CN"/>
                    </w:rPr>
                  </w:pPr>
                  <w:r>
                    <w:rPr>
                      <w:rFonts w:hint="eastAsia"/>
                      <w:lang w:val="en-US" w:eastAsia="zh-CN"/>
                    </w:rPr>
                    <w:t>包装</w:t>
                  </w:r>
                </w:p>
              </w:tc>
              <w:tc>
                <w:tcPr>
                  <w:tcW w:w="339" w:type="pct"/>
                  <w:vMerge w:val="continue"/>
                  <w:tcBorders>
                    <w:tl2br w:val="nil"/>
                    <w:tr2bl w:val="nil"/>
                  </w:tcBorders>
                  <w:shd w:val="clear" w:color="auto" w:fill="auto"/>
                  <w:noWrap w:val="0"/>
                  <w:vAlign w:val="center"/>
                </w:tcPr>
                <w:p w14:paraId="14EF43D8">
                  <w:pPr>
                    <w:pStyle w:val="106"/>
                    <w:bidi w:val="0"/>
                    <w:rPr>
                      <w:rFonts w:hint="eastAsia"/>
                      <w:lang w:val="en-US" w:eastAsia="zh-CN"/>
                    </w:rPr>
                  </w:pPr>
                </w:p>
              </w:tc>
            </w:tr>
            <w:tr w14:paraId="4D59D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2B2C0289">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50</w:t>
                  </w:r>
                </w:p>
              </w:tc>
              <w:tc>
                <w:tcPr>
                  <w:tcW w:w="365" w:type="pct"/>
                  <w:vMerge w:val="continue"/>
                  <w:tcBorders>
                    <w:tl2br w:val="nil"/>
                    <w:tr2bl w:val="nil"/>
                  </w:tcBorders>
                  <w:shd w:val="clear" w:color="auto" w:fill="auto"/>
                  <w:noWrap w:val="0"/>
                  <w:vAlign w:val="center"/>
                </w:tcPr>
                <w:p w14:paraId="129550DB">
                  <w:pPr>
                    <w:pStyle w:val="106"/>
                    <w:bidi w:val="0"/>
                    <w:rPr>
                      <w:rFonts w:hint="eastAsia"/>
                    </w:rPr>
                  </w:pPr>
                </w:p>
              </w:tc>
              <w:tc>
                <w:tcPr>
                  <w:tcW w:w="355" w:type="pct"/>
                  <w:vMerge w:val="continue"/>
                  <w:tcBorders>
                    <w:tl2br w:val="nil"/>
                    <w:tr2bl w:val="nil"/>
                  </w:tcBorders>
                  <w:shd w:val="clear" w:color="auto" w:fill="auto"/>
                  <w:noWrap w:val="0"/>
                  <w:vAlign w:val="center"/>
                </w:tcPr>
                <w:p w14:paraId="4C53FD2A">
                  <w:pPr>
                    <w:pStyle w:val="106"/>
                    <w:bidi w:val="0"/>
                    <w:rPr>
                      <w:rFonts w:hint="eastAsia"/>
                      <w:color w:val="FF0000"/>
                    </w:rPr>
                  </w:pPr>
                </w:p>
              </w:tc>
              <w:tc>
                <w:tcPr>
                  <w:tcW w:w="1219" w:type="pct"/>
                  <w:tcBorders>
                    <w:tl2br w:val="nil"/>
                    <w:tr2bl w:val="nil"/>
                  </w:tcBorders>
                  <w:shd w:val="clear" w:color="auto" w:fill="auto"/>
                  <w:noWrap w:val="0"/>
                  <w:vAlign w:val="center"/>
                </w:tcPr>
                <w:p w14:paraId="114F219E">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装箱装袋机</w:t>
                  </w:r>
                </w:p>
              </w:tc>
              <w:tc>
                <w:tcPr>
                  <w:tcW w:w="707" w:type="pct"/>
                  <w:tcBorders>
                    <w:tl2br w:val="nil"/>
                    <w:tr2bl w:val="nil"/>
                  </w:tcBorders>
                  <w:shd w:val="clear" w:color="auto" w:fill="auto"/>
                  <w:noWrap w:val="0"/>
                  <w:vAlign w:val="center"/>
                </w:tcPr>
                <w:p w14:paraId="2A54EF66">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444" w:type="pct"/>
                  <w:tcBorders>
                    <w:tl2br w:val="nil"/>
                    <w:tr2bl w:val="nil"/>
                  </w:tcBorders>
                  <w:shd w:val="clear" w:color="auto" w:fill="auto"/>
                  <w:noWrap w:val="0"/>
                  <w:vAlign w:val="center"/>
                </w:tcPr>
                <w:p w14:paraId="53FC7FC7">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台</w:t>
                  </w:r>
                </w:p>
              </w:tc>
              <w:tc>
                <w:tcPr>
                  <w:tcW w:w="353" w:type="pct"/>
                  <w:tcBorders>
                    <w:tl2br w:val="nil"/>
                    <w:tr2bl w:val="nil"/>
                  </w:tcBorders>
                  <w:shd w:val="clear" w:color="auto" w:fill="auto"/>
                  <w:noWrap w:val="0"/>
                  <w:vAlign w:val="center"/>
                </w:tcPr>
                <w:p w14:paraId="49B68034">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898" w:type="pct"/>
                  <w:tcBorders>
                    <w:tl2br w:val="nil"/>
                    <w:tr2bl w:val="nil"/>
                  </w:tcBorders>
                  <w:shd w:val="clear" w:color="auto" w:fill="auto"/>
                  <w:noWrap w:val="0"/>
                  <w:vAlign w:val="center"/>
                </w:tcPr>
                <w:p w14:paraId="24EBE38B">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装箱/装袋</w:t>
                  </w:r>
                </w:p>
              </w:tc>
              <w:tc>
                <w:tcPr>
                  <w:tcW w:w="339" w:type="pct"/>
                  <w:vMerge w:val="continue"/>
                  <w:tcBorders>
                    <w:tl2br w:val="nil"/>
                    <w:tr2bl w:val="nil"/>
                  </w:tcBorders>
                  <w:shd w:val="clear" w:color="auto" w:fill="auto"/>
                  <w:noWrap w:val="0"/>
                  <w:vAlign w:val="center"/>
                </w:tcPr>
                <w:p w14:paraId="62787F02">
                  <w:pPr>
                    <w:pStyle w:val="106"/>
                    <w:bidi w:val="0"/>
                    <w:rPr>
                      <w:rFonts w:hint="eastAsia"/>
                      <w:lang w:val="en-US" w:eastAsia="zh-CN"/>
                    </w:rPr>
                  </w:pPr>
                </w:p>
              </w:tc>
            </w:tr>
            <w:tr w14:paraId="57E00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317" w:type="pct"/>
                  <w:tcBorders>
                    <w:tl2br w:val="nil"/>
                    <w:tr2bl w:val="nil"/>
                  </w:tcBorders>
                  <w:shd w:val="clear" w:color="auto" w:fill="auto"/>
                  <w:noWrap/>
                  <w:vAlign w:val="center"/>
                </w:tcPr>
                <w:p w14:paraId="08680B67">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51</w:t>
                  </w:r>
                </w:p>
              </w:tc>
              <w:tc>
                <w:tcPr>
                  <w:tcW w:w="365" w:type="pct"/>
                  <w:vMerge w:val="continue"/>
                  <w:tcBorders>
                    <w:tl2br w:val="nil"/>
                    <w:tr2bl w:val="nil"/>
                  </w:tcBorders>
                  <w:shd w:val="clear" w:color="auto" w:fill="auto"/>
                  <w:noWrap w:val="0"/>
                  <w:vAlign w:val="center"/>
                </w:tcPr>
                <w:p w14:paraId="1BEBC986">
                  <w:pPr>
                    <w:pStyle w:val="106"/>
                    <w:bidi w:val="0"/>
                    <w:rPr>
                      <w:rFonts w:hint="eastAsia"/>
                    </w:rPr>
                  </w:pPr>
                </w:p>
              </w:tc>
              <w:tc>
                <w:tcPr>
                  <w:tcW w:w="1575" w:type="pct"/>
                  <w:gridSpan w:val="2"/>
                  <w:tcBorders>
                    <w:tl2br w:val="nil"/>
                    <w:tr2bl w:val="nil"/>
                  </w:tcBorders>
                  <w:shd w:val="clear" w:color="auto" w:fill="auto"/>
                  <w:noWrap w:val="0"/>
                  <w:vAlign w:val="center"/>
                </w:tcPr>
                <w:p w14:paraId="702990AD">
                  <w:pPr>
                    <w:pStyle w:val="106"/>
                    <w:bidi w:val="0"/>
                    <w:rPr>
                      <w:rFonts w:hint="eastAsia"/>
                      <w:lang w:val="en-US" w:eastAsia="zh-CN"/>
                    </w:rPr>
                  </w:pPr>
                  <w:r>
                    <w:rPr>
                      <w:rFonts w:hint="eastAsia"/>
                      <w:lang w:val="en-US" w:eastAsia="zh-CN"/>
                    </w:rPr>
                    <w:t>空压机</w:t>
                  </w:r>
                </w:p>
              </w:tc>
              <w:tc>
                <w:tcPr>
                  <w:tcW w:w="707" w:type="pct"/>
                  <w:tcBorders>
                    <w:tl2br w:val="nil"/>
                    <w:tr2bl w:val="nil"/>
                  </w:tcBorders>
                  <w:shd w:val="clear" w:color="auto" w:fill="auto"/>
                  <w:noWrap w:val="0"/>
                  <w:vAlign w:val="center"/>
                </w:tcPr>
                <w:p w14:paraId="7E64973D">
                  <w:pPr>
                    <w:pStyle w:val="106"/>
                    <w:bidi w:val="0"/>
                    <w:rPr>
                      <w:rFonts w:hint="eastAsia"/>
                      <w:lang w:val="en-US" w:eastAsia="zh-CN"/>
                    </w:rPr>
                  </w:pPr>
                  <w:r>
                    <w:rPr>
                      <w:rFonts w:hint="eastAsia"/>
                      <w:lang w:val="en-US" w:eastAsia="zh-CN"/>
                    </w:rPr>
                    <w:t>Q50PMA</w:t>
                  </w:r>
                </w:p>
              </w:tc>
              <w:tc>
                <w:tcPr>
                  <w:tcW w:w="444" w:type="pct"/>
                  <w:tcBorders>
                    <w:tl2br w:val="nil"/>
                    <w:tr2bl w:val="nil"/>
                  </w:tcBorders>
                  <w:shd w:val="clear" w:color="auto" w:fill="auto"/>
                  <w:noWrap w:val="0"/>
                  <w:vAlign w:val="center"/>
                </w:tcPr>
                <w:p w14:paraId="48454220">
                  <w:pPr>
                    <w:pStyle w:val="106"/>
                    <w:bidi w:val="0"/>
                    <w:rPr>
                      <w:rFonts w:hint="eastAsia"/>
                      <w:lang w:val="en-US" w:eastAsia="zh-CN"/>
                    </w:rPr>
                  </w:pPr>
                  <w:r>
                    <w:rPr>
                      <w:rFonts w:hint="eastAsia"/>
                      <w:lang w:val="en-US" w:eastAsia="zh-CN"/>
                    </w:rPr>
                    <w:t>台</w:t>
                  </w:r>
                </w:p>
              </w:tc>
              <w:tc>
                <w:tcPr>
                  <w:tcW w:w="353" w:type="pct"/>
                  <w:tcBorders>
                    <w:tl2br w:val="nil"/>
                    <w:tr2bl w:val="nil"/>
                  </w:tcBorders>
                  <w:shd w:val="clear" w:color="auto" w:fill="auto"/>
                  <w:noWrap w:val="0"/>
                  <w:vAlign w:val="center"/>
                </w:tcPr>
                <w:p w14:paraId="5E8ABC8A">
                  <w:pPr>
                    <w:pStyle w:val="106"/>
                    <w:bidi w:val="0"/>
                    <w:rPr>
                      <w:rFonts w:hint="eastAsia"/>
                      <w:lang w:val="en-US" w:eastAsia="zh-CN"/>
                    </w:rPr>
                  </w:pPr>
                  <w:r>
                    <w:rPr>
                      <w:rFonts w:hint="eastAsia"/>
                      <w:lang w:val="en-US" w:eastAsia="zh-CN"/>
                    </w:rPr>
                    <w:t>2</w:t>
                  </w:r>
                </w:p>
              </w:tc>
              <w:tc>
                <w:tcPr>
                  <w:tcW w:w="898" w:type="pct"/>
                  <w:tcBorders>
                    <w:tl2br w:val="nil"/>
                    <w:tr2bl w:val="nil"/>
                  </w:tcBorders>
                  <w:shd w:val="clear" w:color="auto" w:fill="auto"/>
                  <w:noWrap w:val="0"/>
                  <w:vAlign w:val="center"/>
                </w:tcPr>
                <w:p w14:paraId="348F223C">
                  <w:pPr>
                    <w:pStyle w:val="106"/>
                    <w:bidi w:val="0"/>
                    <w:rPr>
                      <w:rFonts w:hint="default"/>
                      <w:lang w:val="en-US" w:eastAsia="zh-CN"/>
                    </w:rPr>
                  </w:pPr>
                  <w:r>
                    <w:rPr>
                      <w:rFonts w:hint="eastAsia"/>
                      <w:lang w:val="en-US" w:eastAsia="zh-CN"/>
                    </w:rPr>
                    <w:t>空气压缩</w:t>
                  </w:r>
                </w:p>
              </w:tc>
              <w:tc>
                <w:tcPr>
                  <w:tcW w:w="339" w:type="pct"/>
                  <w:vMerge w:val="restart"/>
                  <w:tcBorders>
                    <w:tl2br w:val="nil"/>
                    <w:tr2bl w:val="nil"/>
                  </w:tcBorders>
                  <w:shd w:val="clear" w:color="auto" w:fill="auto"/>
                  <w:noWrap w:val="0"/>
                  <w:vAlign w:val="center"/>
                </w:tcPr>
                <w:p w14:paraId="0256E2FE">
                  <w:pPr>
                    <w:pStyle w:val="106"/>
                    <w:bidi w:val="0"/>
                    <w:rPr>
                      <w:rFonts w:hint="default"/>
                      <w:lang w:val="en-US" w:eastAsia="zh-CN"/>
                    </w:rPr>
                  </w:pPr>
                  <w:r>
                    <w:rPr>
                      <w:rFonts w:hint="eastAsia"/>
                      <w:lang w:val="en-US" w:eastAsia="zh-CN"/>
                    </w:rPr>
                    <w:t>一车间外</w:t>
                  </w:r>
                </w:p>
              </w:tc>
            </w:tr>
            <w:tr w14:paraId="79E84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shd w:val="clear" w:color="auto" w:fill="auto"/>
                  <w:noWrap/>
                  <w:vAlign w:val="center"/>
                </w:tcPr>
                <w:p w14:paraId="1A372DDC">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52</w:t>
                  </w:r>
                </w:p>
              </w:tc>
              <w:tc>
                <w:tcPr>
                  <w:tcW w:w="365" w:type="pct"/>
                  <w:vMerge w:val="continue"/>
                  <w:tcBorders>
                    <w:tl2br w:val="nil"/>
                    <w:tr2bl w:val="nil"/>
                  </w:tcBorders>
                  <w:shd w:val="clear" w:color="auto" w:fill="auto"/>
                  <w:noWrap w:val="0"/>
                  <w:vAlign w:val="center"/>
                </w:tcPr>
                <w:p w14:paraId="4D53C3C0">
                  <w:pPr>
                    <w:pStyle w:val="106"/>
                    <w:bidi w:val="0"/>
                    <w:rPr>
                      <w:rFonts w:hint="eastAsia"/>
                    </w:rPr>
                  </w:pPr>
                </w:p>
              </w:tc>
              <w:tc>
                <w:tcPr>
                  <w:tcW w:w="1575" w:type="pct"/>
                  <w:gridSpan w:val="2"/>
                  <w:tcBorders>
                    <w:tl2br w:val="nil"/>
                    <w:tr2bl w:val="nil"/>
                  </w:tcBorders>
                  <w:shd w:val="clear" w:color="auto" w:fill="auto"/>
                  <w:noWrap w:val="0"/>
                  <w:vAlign w:val="center"/>
                </w:tcPr>
                <w:p w14:paraId="375F72EF">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储气罐</w:t>
                  </w:r>
                </w:p>
              </w:tc>
              <w:tc>
                <w:tcPr>
                  <w:tcW w:w="707" w:type="pct"/>
                  <w:tcBorders>
                    <w:tl2br w:val="nil"/>
                    <w:tr2bl w:val="nil"/>
                  </w:tcBorders>
                  <w:shd w:val="clear" w:color="auto" w:fill="auto"/>
                  <w:noWrap w:val="0"/>
                  <w:vAlign w:val="center"/>
                </w:tcPr>
                <w:p w14:paraId="5923B7A3">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444" w:type="pct"/>
                  <w:tcBorders>
                    <w:tl2br w:val="nil"/>
                    <w:tr2bl w:val="nil"/>
                  </w:tcBorders>
                  <w:shd w:val="clear" w:color="auto" w:fill="auto"/>
                  <w:noWrap w:val="0"/>
                  <w:vAlign w:val="center"/>
                </w:tcPr>
                <w:p w14:paraId="0047ADC8">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台</w:t>
                  </w:r>
                </w:p>
              </w:tc>
              <w:tc>
                <w:tcPr>
                  <w:tcW w:w="353" w:type="pct"/>
                  <w:tcBorders>
                    <w:tl2br w:val="nil"/>
                    <w:tr2bl w:val="nil"/>
                  </w:tcBorders>
                  <w:shd w:val="clear" w:color="auto" w:fill="auto"/>
                  <w:noWrap w:val="0"/>
                  <w:vAlign w:val="center"/>
                </w:tcPr>
                <w:p w14:paraId="09FB7BA8">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2</w:t>
                  </w:r>
                </w:p>
              </w:tc>
              <w:tc>
                <w:tcPr>
                  <w:tcW w:w="898" w:type="pct"/>
                  <w:tcBorders>
                    <w:tl2br w:val="nil"/>
                    <w:tr2bl w:val="nil"/>
                  </w:tcBorders>
                  <w:shd w:val="clear" w:color="auto" w:fill="auto"/>
                  <w:noWrap w:val="0"/>
                  <w:vAlign w:val="center"/>
                </w:tcPr>
                <w:p w14:paraId="7FD20863">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空气储罐</w:t>
                  </w:r>
                </w:p>
              </w:tc>
              <w:tc>
                <w:tcPr>
                  <w:tcW w:w="339" w:type="pct"/>
                  <w:vMerge w:val="continue"/>
                  <w:tcBorders>
                    <w:tl2br w:val="nil"/>
                    <w:tr2bl w:val="nil"/>
                  </w:tcBorders>
                  <w:shd w:val="clear" w:color="auto" w:fill="auto"/>
                  <w:noWrap w:val="0"/>
                  <w:vAlign w:val="center"/>
                </w:tcPr>
                <w:p w14:paraId="551E3339">
                  <w:pPr>
                    <w:pStyle w:val="106"/>
                    <w:bidi w:val="0"/>
                    <w:ind w:firstLine="0" w:firstLineChars="0"/>
                    <w:rPr>
                      <w:rFonts w:hint="eastAsia" w:ascii="Times New Roman" w:hAnsi="Times New Roman" w:eastAsia="宋体" w:cs="Times New Roman"/>
                      <w:kern w:val="2"/>
                      <w:sz w:val="21"/>
                      <w:szCs w:val="21"/>
                      <w:lang w:val="en-US" w:eastAsia="zh-CN" w:bidi="ar-SA"/>
                    </w:rPr>
                  </w:pPr>
                </w:p>
              </w:tc>
            </w:tr>
          </w:tbl>
          <w:p w14:paraId="6C791A85">
            <w:pPr>
              <w:adjustRightInd w:val="0"/>
              <w:snapToGrid w:val="0"/>
              <w:spacing w:line="360" w:lineRule="auto"/>
              <w:ind w:left="0" w:leftChars="0" w:firstLine="0" w:firstLineChars="0"/>
              <w:rPr>
                <w:b/>
                <w:color w:val="auto"/>
                <w:sz w:val="21"/>
                <w:szCs w:val="21"/>
                <w:highlight w:val="none"/>
              </w:rPr>
            </w:pPr>
            <w:r>
              <w:rPr>
                <w:rFonts w:hint="eastAsia"/>
                <w:bCs/>
                <w:color w:val="auto"/>
                <w:sz w:val="21"/>
                <w:szCs w:val="21"/>
                <w:highlight w:val="none"/>
              </w:rPr>
              <w:t>备注：X</w:t>
            </w:r>
            <w:r>
              <w:rPr>
                <w:rFonts w:hint="eastAsia"/>
                <w:bCs/>
                <w:color w:val="auto"/>
                <w:sz w:val="21"/>
                <w:szCs w:val="21"/>
                <w:highlight w:val="none"/>
                <w:lang w:val="en-US" w:eastAsia="zh-CN"/>
              </w:rPr>
              <w:t>射线检测仪</w:t>
            </w:r>
            <w:r>
              <w:rPr>
                <w:rFonts w:hint="eastAsia"/>
                <w:bCs/>
                <w:color w:val="auto"/>
                <w:sz w:val="21"/>
                <w:szCs w:val="21"/>
                <w:highlight w:val="none"/>
              </w:rPr>
              <w:t>的辐射环评需单独另行办理。</w:t>
            </w:r>
          </w:p>
          <w:p w14:paraId="7626FDCE">
            <w:pPr>
              <w:bidi w:val="0"/>
              <w:rPr>
                <w:rFonts w:hint="default"/>
                <w:lang w:val="en-US" w:eastAsia="zh-CN"/>
              </w:rPr>
            </w:pPr>
            <w:r>
              <w:rPr>
                <w:rFonts w:hint="eastAsia"/>
                <w:lang w:val="en-US" w:eastAsia="zh-CN"/>
              </w:rPr>
              <w:t>本项目拟主要进行产品的色泽、滋味、气味和口感、组织形态等感官方面的检验，以及水分等理化指标的检验。其他微生物（菌落总数、大肠菌群）、重金属等理化指标及微生物指标均外委检验。主要质检设备信息见下表。</w:t>
            </w:r>
          </w:p>
          <w:p w14:paraId="74EC1F1F">
            <w:pPr>
              <w:pStyle w:val="14"/>
              <w:rPr>
                <w:rFonts w:hint="default" w:eastAsia="宋体"/>
                <w:lang w:val="en-US" w:eastAsia="zh-CN"/>
              </w:rPr>
            </w:pPr>
            <w:r>
              <w:t xml:space="preserve">表2- </w:t>
            </w:r>
            <w:r>
              <w:fldChar w:fldCharType="begin"/>
            </w:r>
            <w:r>
              <w:instrText xml:space="preserve"> SEQ 表2- \* ARABIC </w:instrText>
            </w:r>
            <w:r>
              <w:fldChar w:fldCharType="separate"/>
            </w:r>
            <w:r>
              <w:t>11</w:t>
            </w:r>
            <w:r>
              <w:fldChar w:fldCharType="end"/>
            </w:r>
            <w:r>
              <w:rPr>
                <w:rFonts w:hint="eastAsia"/>
                <w:lang w:val="en-US" w:eastAsia="zh-CN"/>
              </w:rPr>
              <w:t xml:space="preserve">  本项目主要质检设备一览表</w:t>
            </w:r>
          </w:p>
          <w:tbl>
            <w:tblPr>
              <w:tblStyle w:val="28"/>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398"/>
              <w:gridCol w:w="966"/>
              <w:gridCol w:w="639"/>
              <w:gridCol w:w="688"/>
              <w:gridCol w:w="1075"/>
              <w:gridCol w:w="2321"/>
              <w:gridCol w:w="1423"/>
            </w:tblGrid>
            <w:tr w14:paraId="3892C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 w:type="pct"/>
                  <w:tcBorders>
                    <w:bottom w:val="single" w:color="000000" w:sz="4" w:space="0"/>
                    <w:tl2br w:val="nil"/>
                    <w:tr2bl w:val="nil"/>
                  </w:tcBorders>
                  <w:vAlign w:val="center"/>
                </w:tcPr>
                <w:p w14:paraId="169CD1E4">
                  <w:pPr>
                    <w:pStyle w:val="106"/>
                    <w:bidi w:val="0"/>
                    <w:rPr>
                      <w:b/>
                      <w:bCs/>
                      <w:color w:val="auto"/>
                      <w:highlight w:val="none"/>
                    </w:rPr>
                  </w:pPr>
                  <w:r>
                    <w:rPr>
                      <w:rFonts w:hint="eastAsia"/>
                      <w:b/>
                      <w:bCs/>
                      <w:color w:val="auto"/>
                      <w:highlight w:val="none"/>
                    </w:rPr>
                    <w:t>序号</w:t>
                  </w:r>
                </w:p>
              </w:tc>
              <w:tc>
                <w:tcPr>
                  <w:tcW w:w="761" w:type="pct"/>
                  <w:tcBorders>
                    <w:bottom w:val="single" w:color="000000" w:sz="4" w:space="0"/>
                    <w:tl2br w:val="nil"/>
                    <w:tr2bl w:val="nil"/>
                  </w:tcBorders>
                  <w:vAlign w:val="center"/>
                </w:tcPr>
                <w:p w14:paraId="79CD8284">
                  <w:pPr>
                    <w:pStyle w:val="106"/>
                    <w:bidi w:val="0"/>
                    <w:rPr>
                      <w:b/>
                      <w:bCs/>
                      <w:color w:val="auto"/>
                      <w:highlight w:val="none"/>
                    </w:rPr>
                  </w:pPr>
                  <w:r>
                    <w:rPr>
                      <w:rFonts w:hint="eastAsia"/>
                      <w:b/>
                      <w:bCs/>
                      <w:color w:val="auto"/>
                      <w:highlight w:val="none"/>
                    </w:rPr>
                    <w:t>设备名称</w:t>
                  </w:r>
                </w:p>
              </w:tc>
              <w:tc>
                <w:tcPr>
                  <w:tcW w:w="526" w:type="pct"/>
                  <w:tcBorders>
                    <w:bottom w:val="single" w:color="000000" w:sz="4" w:space="0"/>
                    <w:tl2br w:val="nil"/>
                    <w:tr2bl w:val="nil"/>
                  </w:tcBorders>
                  <w:vAlign w:val="center"/>
                </w:tcPr>
                <w:p w14:paraId="0013A859">
                  <w:pPr>
                    <w:pStyle w:val="106"/>
                    <w:bidi w:val="0"/>
                    <w:rPr>
                      <w:b/>
                      <w:bCs/>
                      <w:color w:val="auto"/>
                      <w:highlight w:val="none"/>
                    </w:rPr>
                  </w:pPr>
                  <w:r>
                    <w:rPr>
                      <w:rFonts w:hint="eastAsia"/>
                      <w:b/>
                      <w:bCs/>
                      <w:color w:val="auto"/>
                      <w:highlight w:val="none"/>
                    </w:rPr>
                    <w:t>型号</w:t>
                  </w:r>
                </w:p>
              </w:tc>
              <w:tc>
                <w:tcPr>
                  <w:tcW w:w="347" w:type="pct"/>
                  <w:tcBorders>
                    <w:bottom w:val="single" w:color="000000" w:sz="4" w:space="0"/>
                    <w:tl2br w:val="nil"/>
                    <w:tr2bl w:val="nil"/>
                  </w:tcBorders>
                  <w:vAlign w:val="center"/>
                </w:tcPr>
                <w:p w14:paraId="6B36C5CA">
                  <w:pPr>
                    <w:pStyle w:val="106"/>
                    <w:bidi w:val="0"/>
                    <w:rPr>
                      <w:b/>
                      <w:bCs/>
                      <w:color w:val="auto"/>
                      <w:highlight w:val="none"/>
                    </w:rPr>
                  </w:pPr>
                  <w:r>
                    <w:rPr>
                      <w:rFonts w:hint="eastAsia"/>
                      <w:b/>
                      <w:bCs/>
                      <w:color w:val="auto"/>
                      <w:highlight w:val="none"/>
                    </w:rPr>
                    <w:t>单位</w:t>
                  </w:r>
                </w:p>
              </w:tc>
              <w:tc>
                <w:tcPr>
                  <w:tcW w:w="374" w:type="pct"/>
                  <w:tcBorders>
                    <w:bottom w:val="single" w:color="000000" w:sz="4" w:space="0"/>
                    <w:tl2br w:val="nil"/>
                    <w:tr2bl w:val="nil"/>
                  </w:tcBorders>
                  <w:vAlign w:val="center"/>
                </w:tcPr>
                <w:p w14:paraId="7EF57226">
                  <w:pPr>
                    <w:pStyle w:val="106"/>
                    <w:bidi w:val="0"/>
                    <w:rPr>
                      <w:b/>
                      <w:bCs/>
                      <w:color w:val="auto"/>
                      <w:highlight w:val="none"/>
                    </w:rPr>
                  </w:pPr>
                  <w:r>
                    <w:rPr>
                      <w:rFonts w:hint="eastAsia"/>
                      <w:b/>
                      <w:bCs/>
                      <w:color w:val="auto"/>
                      <w:highlight w:val="none"/>
                    </w:rPr>
                    <w:t>数量</w:t>
                  </w:r>
                </w:p>
              </w:tc>
              <w:tc>
                <w:tcPr>
                  <w:tcW w:w="585" w:type="pct"/>
                  <w:tcBorders>
                    <w:bottom w:val="single" w:color="000000" w:sz="4" w:space="0"/>
                    <w:tl2br w:val="nil"/>
                    <w:tr2bl w:val="nil"/>
                  </w:tcBorders>
                  <w:vAlign w:val="center"/>
                </w:tcPr>
                <w:p w14:paraId="0BB8E0FE">
                  <w:pPr>
                    <w:pStyle w:val="106"/>
                    <w:bidi w:val="0"/>
                    <w:rPr>
                      <w:rFonts w:hint="eastAsia" w:eastAsia="宋体"/>
                      <w:b/>
                      <w:bCs/>
                      <w:color w:val="auto"/>
                      <w:highlight w:val="none"/>
                      <w:lang w:val="en-US" w:eastAsia="zh-CN"/>
                    </w:rPr>
                  </w:pPr>
                  <w:r>
                    <w:rPr>
                      <w:rFonts w:hint="eastAsia"/>
                      <w:b/>
                      <w:bCs/>
                      <w:color w:val="auto"/>
                      <w:highlight w:val="none"/>
                      <w:lang w:val="en-US" w:eastAsia="zh-CN"/>
                    </w:rPr>
                    <w:t>位置</w:t>
                  </w:r>
                </w:p>
              </w:tc>
              <w:tc>
                <w:tcPr>
                  <w:tcW w:w="1264" w:type="pct"/>
                  <w:tcBorders>
                    <w:bottom w:val="single" w:color="000000" w:sz="4" w:space="0"/>
                    <w:tl2br w:val="nil"/>
                    <w:tr2bl w:val="nil"/>
                  </w:tcBorders>
                  <w:vAlign w:val="center"/>
                </w:tcPr>
                <w:p w14:paraId="5F828490">
                  <w:pPr>
                    <w:pStyle w:val="106"/>
                    <w:bidi w:val="0"/>
                    <w:rPr>
                      <w:rFonts w:hint="default"/>
                      <w:b/>
                      <w:bCs/>
                      <w:color w:val="auto"/>
                      <w:highlight w:val="none"/>
                      <w:lang w:val="en-US" w:eastAsia="zh-CN"/>
                    </w:rPr>
                  </w:pPr>
                  <w:r>
                    <w:rPr>
                      <w:rFonts w:hint="eastAsia"/>
                      <w:b/>
                      <w:bCs/>
                      <w:color w:val="auto"/>
                      <w:highlight w:val="none"/>
                      <w:lang w:val="en-US" w:eastAsia="zh-CN"/>
                    </w:rPr>
                    <w:t>检验项目</w:t>
                  </w:r>
                </w:p>
              </w:tc>
              <w:tc>
                <w:tcPr>
                  <w:tcW w:w="775" w:type="pct"/>
                  <w:tcBorders>
                    <w:bottom w:val="single" w:color="000000" w:sz="4" w:space="0"/>
                    <w:tl2br w:val="nil"/>
                    <w:tr2bl w:val="nil"/>
                  </w:tcBorders>
                  <w:vAlign w:val="center"/>
                </w:tcPr>
                <w:p w14:paraId="0FB6D193">
                  <w:pPr>
                    <w:pStyle w:val="106"/>
                    <w:bidi w:val="0"/>
                    <w:rPr>
                      <w:b/>
                      <w:bCs/>
                      <w:color w:val="auto"/>
                      <w:highlight w:val="none"/>
                    </w:rPr>
                  </w:pPr>
                  <w:r>
                    <w:rPr>
                      <w:rFonts w:hint="eastAsia"/>
                      <w:b/>
                      <w:bCs/>
                      <w:color w:val="auto"/>
                      <w:highlight w:val="none"/>
                    </w:rPr>
                    <w:t>备注</w:t>
                  </w:r>
                </w:p>
              </w:tc>
            </w:tr>
            <w:tr w14:paraId="50BF5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 w:type="pct"/>
                  <w:tcBorders>
                    <w:top w:val="single" w:color="000000" w:sz="4" w:space="0"/>
                    <w:tl2br w:val="nil"/>
                    <w:tr2bl w:val="nil"/>
                  </w:tcBorders>
                  <w:vAlign w:val="center"/>
                </w:tcPr>
                <w:p w14:paraId="00E6629E">
                  <w:pPr>
                    <w:pStyle w:val="106"/>
                    <w:bidi w:val="0"/>
                    <w:rPr>
                      <w:rFonts w:hint="eastAsia" w:eastAsia="宋体"/>
                      <w:color w:val="auto"/>
                      <w:highlight w:val="none"/>
                      <w:lang w:val="en-US" w:eastAsia="zh-CN"/>
                    </w:rPr>
                  </w:pPr>
                  <w:r>
                    <w:rPr>
                      <w:rFonts w:hint="eastAsia"/>
                      <w:color w:val="auto"/>
                      <w:highlight w:val="none"/>
                      <w:lang w:val="en-US" w:eastAsia="zh-CN"/>
                    </w:rPr>
                    <w:t>1</w:t>
                  </w:r>
                </w:p>
              </w:tc>
              <w:tc>
                <w:tcPr>
                  <w:tcW w:w="761" w:type="pct"/>
                  <w:tcBorders>
                    <w:top w:val="single" w:color="000000" w:sz="4" w:space="0"/>
                    <w:tl2br w:val="nil"/>
                    <w:tr2bl w:val="nil"/>
                  </w:tcBorders>
                  <w:vAlign w:val="center"/>
                </w:tcPr>
                <w:p w14:paraId="4A55A3B8">
                  <w:pPr>
                    <w:pStyle w:val="106"/>
                    <w:bidi w:val="0"/>
                    <w:rPr>
                      <w:rFonts w:hint="default"/>
                      <w:color w:val="auto"/>
                      <w:highlight w:val="none"/>
                      <w:lang w:val="en-US"/>
                    </w:rPr>
                  </w:pPr>
                  <w:r>
                    <w:rPr>
                      <w:rFonts w:hint="eastAsia"/>
                      <w:color w:val="auto"/>
                      <w:highlight w:val="none"/>
                      <w:vertAlign w:val="baseline"/>
                      <w:lang w:val="en-US" w:eastAsia="zh-CN"/>
                    </w:rPr>
                    <w:t>干燥机</w:t>
                  </w:r>
                </w:p>
              </w:tc>
              <w:tc>
                <w:tcPr>
                  <w:tcW w:w="526" w:type="pct"/>
                  <w:tcBorders>
                    <w:top w:val="single" w:color="000000" w:sz="4" w:space="0"/>
                    <w:tl2br w:val="nil"/>
                    <w:tr2bl w:val="nil"/>
                  </w:tcBorders>
                  <w:vAlign w:val="center"/>
                </w:tcPr>
                <w:p w14:paraId="16D23CDB">
                  <w:pPr>
                    <w:pStyle w:val="106"/>
                    <w:bidi w:val="0"/>
                    <w:rPr>
                      <w:rFonts w:hint="eastAsia" w:eastAsia="宋体"/>
                      <w:color w:val="auto"/>
                      <w:highlight w:val="none"/>
                      <w:lang w:val="en-US" w:eastAsia="zh-CN"/>
                    </w:rPr>
                  </w:pPr>
                  <w:r>
                    <w:rPr>
                      <w:rFonts w:hint="eastAsia" w:ascii="Times New Roman" w:hAnsi="Times New Roman" w:eastAsia="宋体" w:cs="Times New Roman"/>
                      <w:sz w:val="21"/>
                      <w:szCs w:val="21"/>
                      <w:lang w:val="en-US" w:eastAsia="zh-CN"/>
                    </w:rPr>
                    <w:t>GZJ</w:t>
                  </w:r>
                </w:p>
              </w:tc>
              <w:tc>
                <w:tcPr>
                  <w:tcW w:w="347" w:type="pct"/>
                  <w:tcBorders>
                    <w:top w:val="single" w:color="000000" w:sz="4" w:space="0"/>
                    <w:tl2br w:val="nil"/>
                    <w:tr2bl w:val="nil"/>
                  </w:tcBorders>
                  <w:shd w:val="clear" w:color="auto" w:fill="auto"/>
                  <w:vAlign w:val="center"/>
                </w:tcPr>
                <w:p w14:paraId="2164BA99">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台</w:t>
                  </w:r>
                </w:p>
              </w:tc>
              <w:tc>
                <w:tcPr>
                  <w:tcW w:w="374" w:type="pct"/>
                  <w:tcBorders>
                    <w:top w:val="single" w:color="000000" w:sz="4" w:space="0"/>
                    <w:tl2br w:val="nil"/>
                    <w:tr2bl w:val="nil"/>
                  </w:tcBorders>
                  <w:shd w:val="clear" w:color="auto" w:fill="auto"/>
                  <w:vAlign w:val="center"/>
                </w:tcPr>
                <w:p w14:paraId="7A7E97EB">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1</w:t>
                  </w:r>
                </w:p>
              </w:tc>
              <w:tc>
                <w:tcPr>
                  <w:tcW w:w="585" w:type="pct"/>
                  <w:tcBorders>
                    <w:top w:val="single" w:color="000000" w:sz="4" w:space="0"/>
                    <w:tl2br w:val="nil"/>
                    <w:tr2bl w:val="nil"/>
                  </w:tcBorders>
                  <w:shd w:val="clear" w:color="auto" w:fill="auto"/>
                  <w:vAlign w:val="center"/>
                </w:tcPr>
                <w:p w14:paraId="625C5D14">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理化室</w:t>
                  </w:r>
                </w:p>
              </w:tc>
              <w:tc>
                <w:tcPr>
                  <w:tcW w:w="1264" w:type="pct"/>
                  <w:vMerge w:val="restart"/>
                  <w:tcBorders>
                    <w:top w:val="single" w:color="000000" w:sz="4" w:space="0"/>
                    <w:tl2br w:val="nil"/>
                    <w:tr2bl w:val="nil"/>
                  </w:tcBorders>
                  <w:vAlign w:val="center"/>
                </w:tcPr>
                <w:p w14:paraId="370EBBBD">
                  <w:pPr>
                    <w:pStyle w:val="106"/>
                    <w:bidi w:val="0"/>
                    <w:rPr>
                      <w:rFonts w:hint="default"/>
                      <w:color w:val="auto"/>
                      <w:highlight w:val="none"/>
                      <w:lang w:val="en-US" w:eastAsia="zh-CN"/>
                    </w:rPr>
                  </w:pPr>
                  <w:r>
                    <w:rPr>
                      <w:rFonts w:hint="eastAsia"/>
                      <w:color w:val="auto"/>
                      <w:highlight w:val="none"/>
                      <w:lang w:val="en-US" w:eastAsia="zh-CN"/>
                    </w:rPr>
                    <w:t>感官、水分</w:t>
                  </w:r>
                </w:p>
              </w:tc>
              <w:tc>
                <w:tcPr>
                  <w:tcW w:w="775" w:type="pct"/>
                  <w:tcBorders>
                    <w:top w:val="single" w:color="000000" w:sz="4" w:space="0"/>
                    <w:tl2br w:val="nil"/>
                    <w:tr2bl w:val="nil"/>
                  </w:tcBorders>
                  <w:vAlign w:val="center"/>
                </w:tcPr>
                <w:p w14:paraId="124270E6">
                  <w:pPr>
                    <w:pStyle w:val="106"/>
                    <w:bidi w:val="0"/>
                    <w:rPr>
                      <w:rFonts w:hint="eastAsia"/>
                      <w:color w:val="auto"/>
                      <w:highlight w:val="none"/>
                    </w:rPr>
                  </w:pPr>
                  <w:r>
                    <w:rPr>
                      <w:rFonts w:hint="eastAsia"/>
                      <w:color w:val="auto"/>
                      <w:highlight w:val="none"/>
                    </w:rPr>
                    <w:t>需校准合格</w:t>
                  </w:r>
                </w:p>
              </w:tc>
            </w:tr>
            <w:tr w14:paraId="594D7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64" w:type="pct"/>
                  <w:tcBorders>
                    <w:tl2br w:val="nil"/>
                    <w:tr2bl w:val="nil"/>
                  </w:tcBorders>
                  <w:vAlign w:val="center"/>
                </w:tcPr>
                <w:p w14:paraId="21871733">
                  <w:pPr>
                    <w:pStyle w:val="106"/>
                    <w:bidi w:val="0"/>
                    <w:rPr>
                      <w:rFonts w:hint="eastAsia" w:eastAsia="宋体"/>
                      <w:color w:val="auto"/>
                      <w:highlight w:val="none"/>
                      <w:lang w:val="en-US" w:eastAsia="zh-CN"/>
                    </w:rPr>
                  </w:pPr>
                  <w:r>
                    <w:rPr>
                      <w:rFonts w:hint="eastAsia"/>
                      <w:color w:val="auto"/>
                      <w:highlight w:val="none"/>
                      <w:lang w:val="en-US" w:eastAsia="zh-CN"/>
                    </w:rPr>
                    <w:t>2</w:t>
                  </w:r>
                </w:p>
              </w:tc>
              <w:tc>
                <w:tcPr>
                  <w:tcW w:w="761" w:type="pct"/>
                  <w:tcBorders>
                    <w:tl2br w:val="nil"/>
                    <w:tr2bl w:val="nil"/>
                  </w:tcBorders>
                  <w:shd w:val="clear" w:color="auto" w:fill="auto"/>
                  <w:vAlign w:val="center"/>
                </w:tcPr>
                <w:p w14:paraId="1DF2D84C">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天平</w:t>
                  </w:r>
                </w:p>
              </w:tc>
              <w:tc>
                <w:tcPr>
                  <w:tcW w:w="526" w:type="pct"/>
                  <w:tcBorders>
                    <w:tl2br w:val="nil"/>
                    <w:tr2bl w:val="nil"/>
                  </w:tcBorders>
                  <w:shd w:val="clear" w:color="auto" w:fill="auto"/>
                  <w:vAlign w:val="center"/>
                </w:tcPr>
                <w:p w14:paraId="17ABEA62">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color w:val="auto"/>
                      <w:highlight w:val="none"/>
                    </w:rPr>
                    <w:t>/</w:t>
                  </w:r>
                </w:p>
              </w:tc>
              <w:tc>
                <w:tcPr>
                  <w:tcW w:w="347" w:type="pct"/>
                  <w:tcBorders>
                    <w:tl2br w:val="nil"/>
                    <w:tr2bl w:val="nil"/>
                  </w:tcBorders>
                  <w:shd w:val="clear" w:color="auto" w:fill="auto"/>
                  <w:vAlign w:val="center"/>
                </w:tcPr>
                <w:p w14:paraId="6E945826">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台</w:t>
                  </w:r>
                </w:p>
              </w:tc>
              <w:tc>
                <w:tcPr>
                  <w:tcW w:w="374" w:type="pct"/>
                  <w:tcBorders>
                    <w:tl2br w:val="nil"/>
                    <w:tr2bl w:val="nil"/>
                  </w:tcBorders>
                  <w:shd w:val="clear" w:color="auto" w:fill="auto"/>
                  <w:vAlign w:val="center"/>
                </w:tcPr>
                <w:p w14:paraId="4B945210">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1</w:t>
                  </w:r>
                </w:p>
              </w:tc>
              <w:tc>
                <w:tcPr>
                  <w:tcW w:w="585" w:type="pct"/>
                  <w:tcBorders>
                    <w:tl2br w:val="nil"/>
                    <w:tr2bl w:val="nil"/>
                  </w:tcBorders>
                  <w:shd w:val="clear" w:color="auto" w:fill="auto"/>
                  <w:vAlign w:val="center"/>
                </w:tcPr>
                <w:p w14:paraId="79A615CB">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理化室</w:t>
                  </w:r>
                </w:p>
              </w:tc>
              <w:tc>
                <w:tcPr>
                  <w:tcW w:w="1264" w:type="pct"/>
                  <w:vMerge w:val="continue"/>
                  <w:tcBorders>
                    <w:tl2br w:val="nil"/>
                    <w:tr2bl w:val="nil"/>
                  </w:tcBorders>
                  <w:shd w:val="clear" w:color="auto" w:fill="auto"/>
                  <w:vAlign w:val="center"/>
                </w:tcPr>
                <w:p w14:paraId="365F7AF3">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p>
              </w:tc>
              <w:tc>
                <w:tcPr>
                  <w:tcW w:w="775" w:type="pct"/>
                  <w:tcBorders>
                    <w:tl2br w:val="nil"/>
                    <w:tr2bl w:val="nil"/>
                  </w:tcBorders>
                  <w:shd w:val="clear" w:color="auto" w:fill="auto"/>
                  <w:vAlign w:val="center"/>
                </w:tcPr>
                <w:p w14:paraId="74DCA060">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需校准合格</w:t>
                  </w:r>
                </w:p>
              </w:tc>
            </w:tr>
            <w:tr w14:paraId="25F7C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64" w:type="pct"/>
                  <w:tcBorders>
                    <w:tl2br w:val="nil"/>
                    <w:tr2bl w:val="nil"/>
                  </w:tcBorders>
                  <w:vAlign w:val="center"/>
                </w:tcPr>
                <w:p w14:paraId="70D27A7C">
                  <w:pPr>
                    <w:pStyle w:val="106"/>
                    <w:bidi w:val="0"/>
                    <w:rPr>
                      <w:rFonts w:hint="default" w:eastAsia="宋体"/>
                      <w:color w:val="auto"/>
                      <w:highlight w:val="none"/>
                      <w:lang w:val="en-US" w:eastAsia="zh-CN"/>
                    </w:rPr>
                  </w:pPr>
                  <w:r>
                    <w:rPr>
                      <w:rFonts w:hint="eastAsia" w:eastAsia="宋体"/>
                      <w:color w:val="auto"/>
                      <w:highlight w:val="none"/>
                      <w:lang w:val="en-US" w:eastAsia="zh-CN"/>
                    </w:rPr>
                    <w:t>3</w:t>
                  </w:r>
                </w:p>
              </w:tc>
              <w:tc>
                <w:tcPr>
                  <w:tcW w:w="761" w:type="pct"/>
                  <w:tcBorders>
                    <w:tl2br w:val="nil"/>
                    <w:tr2bl w:val="nil"/>
                  </w:tcBorders>
                  <w:shd w:val="clear" w:color="auto" w:fill="auto"/>
                  <w:vAlign w:val="center"/>
                </w:tcPr>
                <w:p w14:paraId="5A42E1C0">
                  <w:pPr>
                    <w:pStyle w:val="106"/>
                    <w:bidi w:val="0"/>
                    <w:ind w:firstLine="0" w:firstLineChars="0"/>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vertAlign w:val="baseline"/>
                      <w:lang w:val="en-US" w:eastAsia="zh-CN"/>
                    </w:rPr>
                    <w:t>恒温水箱</w:t>
                  </w:r>
                </w:p>
              </w:tc>
              <w:tc>
                <w:tcPr>
                  <w:tcW w:w="526" w:type="pct"/>
                  <w:tcBorders>
                    <w:tl2br w:val="nil"/>
                    <w:tr2bl w:val="nil"/>
                  </w:tcBorders>
                  <w:shd w:val="clear" w:color="auto" w:fill="auto"/>
                  <w:vAlign w:val="center"/>
                </w:tcPr>
                <w:p w14:paraId="45E5A222">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sz w:val="21"/>
                      <w:szCs w:val="21"/>
                      <w:lang w:val="en-US" w:eastAsia="zh-CN"/>
                    </w:rPr>
                    <w:t>HWSX</w:t>
                  </w:r>
                </w:p>
              </w:tc>
              <w:tc>
                <w:tcPr>
                  <w:tcW w:w="347" w:type="pct"/>
                  <w:tcBorders>
                    <w:tl2br w:val="nil"/>
                    <w:tr2bl w:val="nil"/>
                  </w:tcBorders>
                  <w:shd w:val="clear" w:color="auto" w:fill="auto"/>
                  <w:vAlign w:val="center"/>
                </w:tcPr>
                <w:p w14:paraId="4D926D79">
                  <w:pPr>
                    <w:pStyle w:val="106"/>
                    <w:bidi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台</w:t>
                  </w:r>
                </w:p>
              </w:tc>
              <w:tc>
                <w:tcPr>
                  <w:tcW w:w="374" w:type="pct"/>
                  <w:tcBorders>
                    <w:tl2br w:val="nil"/>
                    <w:tr2bl w:val="nil"/>
                  </w:tcBorders>
                  <w:shd w:val="clear" w:color="auto" w:fill="auto"/>
                  <w:vAlign w:val="center"/>
                </w:tcPr>
                <w:p w14:paraId="7E465E79">
                  <w:pPr>
                    <w:pStyle w:val="106"/>
                    <w:bidi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1</w:t>
                  </w:r>
                </w:p>
              </w:tc>
              <w:tc>
                <w:tcPr>
                  <w:tcW w:w="585" w:type="pct"/>
                  <w:tcBorders>
                    <w:tl2br w:val="nil"/>
                    <w:tr2bl w:val="nil"/>
                  </w:tcBorders>
                  <w:shd w:val="clear" w:color="auto" w:fill="auto"/>
                  <w:vAlign w:val="center"/>
                </w:tcPr>
                <w:p w14:paraId="4FEF7D1E">
                  <w:pPr>
                    <w:pStyle w:val="106"/>
                    <w:bidi w:val="0"/>
                    <w:rPr>
                      <w:rFonts w:hint="eastAsia"/>
                      <w:lang w:val="en-US" w:eastAsia="zh-CN"/>
                    </w:rPr>
                  </w:pPr>
                  <w:r>
                    <w:rPr>
                      <w:rFonts w:hint="eastAsia"/>
                      <w:lang w:val="en-US" w:eastAsia="zh-CN"/>
                    </w:rPr>
                    <w:t>理化室</w:t>
                  </w:r>
                </w:p>
              </w:tc>
              <w:tc>
                <w:tcPr>
                  <w:tcW w:w="1264" w:type="pct"/>
                  <w:vMerge w:val="continue"/>
                  <w:tcBorders>
                    <w:tl2br w:val="nil"/>
                    <w:tr2bl w:val="nil"/>
                  </w:tcBorders>
                  <w:shd w:val="clear" w:color="auto" w:fill="auto"/>
                  <w:vAlign w:val="center"/>
                </w:tcPr>
                <w:p w14:paraId="7B244B23">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p>
              </w:tc>
              <w:tc>
                <w:tcPr>
                  <w:tcW w:w="775" w:type="pct"/>
                  <w:tcBorders>
                    <w:tl2br w:val="nil"/>
                    <w:tr2bl w:val="nil"/>
                  </w:tcBorders>
                  <w:shd w:val="clear" w:color="auto" w:fill="auto"/>
                  <w:vAlign w:val="center"/>
                </w:tcPr>
                <w:p w14:paraId="5682C61C">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需校准合格</w:t>
                  </w:r>
                </w:p>
              </w:tc>
            </w:tr>
            <w:tr w14:paraId="7DDFC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64" w:type="pct"/>
                  <w:tcBorders>
                    <w:tl2br w:val="nil"/>
                    <w:tr2bl w:val="nil"/>
                  </w:tcBorders>
                  <w:vAlign w:val="center"/>
                </w:tcPr>
                <w:p w14:paraId="1F92702D">
                  <w:pPr>
                    <w:pStyle w:val="106"/>
                    <w:bidi w:val="0"/>
                    <w:rPr>
                      <w:rFonts w:hint="default" w:eastAsia="宋体"/>
                      <w:color w:val="auto"/>
                      <w:highlight w:val="none"/>
                      <w:lang w:val="en-US" w:eastAsia="zh-CN"/>
                    </w:rPr>
                  </w:pPr>
                  <w:r>
                    <w:rPr>
                      <w:rFonts w:hint="eastAsia" w:eastAsia="宋体"/>
                      <w:color w:val="auto"/>
                      <w:highlight w:val="none"/>
                      <w:lang w:val="en-US" w:eastAsia="zh-CN"/>
                    </w:rPr>
                    <w:t>4</w:t>
                  </w:r>
                </w:p>
              </w:tc>
              <w:tc>
                <w:tcPr>
                  <w:tcW w:w="761" w:type="pct"/>
                  <w:tcBorders>
                    <w:tl2br w:val="nil"/>
                    <w:tr2bl w:val="nil"/>
                  </w:tcBorders>
                  <w:shd w:val="clear" w:color="auto" w:fill="auto"/>
                  <w:vAlign w:val="center"/>
                </w:tcPr>
                <w:p w14:paraId="674FB88C">
                  <w:pPr>
                    <w:pStyle w:val="106"/>
                    <w:bidi w:val="0"/>
                    <w:ind w:firstLine="0" w:firstLineChars="0"/>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rPr>
                    <w:t>超净工作台</w:t>
                  </w:r>
                </w:p>
              </w:tc>
              <w:tc>
                <w:tcPr>
                  <w:tcW w:w="526" w:type="pct"/>
                  <w:tcBorders>
                    <w:tl2br w:val="nil"/>
                    <w:tr2bl w:val="nil"/>
                  </w:tcBorders>
                  <w:shd w:val="clear" w:color="auto" w:fill="auto"/>
                  <w:vAlign w:val="center"/>
                </w:tcPr>
                <w:p w14:paraId="3C1D9838">
                  <w:pPr>
                    <w:pStyle w:val="5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sz w:val="21"/>
                      <w:szCs w:val="21"/>
                      <w:lang w:val="en-US" w:eastAsia="zh-CN"/>
                    </w:rPr>
                    <w:t>GZT</w:t>
                  </w:r>
                </w:p>
              </w:tc>
              <w:tc>
                <w:tcPr>
                  <w:tcW w:w="347" w:type="pct"/>
                  <w:tcBorders>
                    <w:tl2br w:val="nil"/>
                    <w:tr2bl w:val="nil"/>
                  </w:tcBorders>
                  <w:shd w:val="clear" w:color="auto" w:fill="auto"/>
                  <w:vAlign w:val="center"/>
                </w:tcPr>
                <w:p w14:paraId="3E30644E">
                  <w:pPr>
                    <w:pStyle w:val="106"/>
                    <w:bidi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台</w:t>
                  </w:r>
                </w:p>
              </w:tc>
              <w:tc>
                <w:tcPr>
                  <w:tcW w:w="374" w:type="pct"/>
                  <w:tcBorders>
                    <w:tl2br w:val="nil"/>
                    <w:tr2bl w:val="nil"/>
                  </w:tcBorders>
                  <w:shd w:val="clear" w:color="auto" w:fill="auto"/>
                  <w:vAlign w:val="center"/>
                </w:tcPr>
                <w:p w14:paraId="7F0A722F">
                  <w:pPr>
                    <w:pStyle w:val="106"/>
                    <w:bidi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1</w:t>
                  </w:r>
                </w:p>
              </w:tc>
              <w:tc>
                <w:tcPr>
                  <w:tcW w:w="585" w:type="pct"/>
                  <w:tcBorders>
                    <w:tl2br w:val="nil"/>
                    <w:tr2bl w:val="nil"/>
                  </w:tcBorders>
                  <w:shd w:val="clear" w:color="auto" w:fill="auto"/>
                  <w:vAlign w:val="center"/>
                </w:tcPr>
                <w:p w14:paraId="667C776D">
                  <w:pPr>
                    <w:pStyle w:val="106"/>
                    <w:bidi w:val="0"/>
                    <w:rPr>
                      <w:rFonts w:hint="eastAsia"/>
                      <w:lang w:val="en-US" w:eastAsia="zh-CN"/>
                    </w:rPr>
                  </w:pPr>
                  <w:r>
                    <w:rPr>
                      <w:rFonts w:hint="eastAsia"/>
                      <w:lang w:val="en-US" w:eastAsia="zh-CN"/>
                    </w:rPr>
                    <w:t>理化室</w:t>
                  </w:r>
                </w:p>
              </w:tc>
              <w:tc>
                <w:tcPr>
                  <w:tcW w:w="1264" w:type="pct"/>
                  <w:vMerge w:val="continue"/>
                  <w:tcBorders>
                    <w:tl2br w:val="nil"/>
                    <w:tr2bl w:val="nil"/>
                  </w:tcBorders>
                  <w:shd w:val="clear" w:color="auto" w:fill="auto"/>
                  <w:vAlign w:val="center"/>
                </w:tcPr>
                <w:p w14:paraId="37A211EF">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p>
              </w:tc>
              <w:tc>
                <w:tcPr>
                  <w:tcW w:w="775" w:type="pct"/>
                  <w:tcBorders>
                    <w:tl2br w:val="nil"/>
                    <w:tr2bl w:val="nil"/>
                  </w:tcBorders>
                  <w:shd w:val="clear" w:color="auto" w:fill="auto"/>
                  <w:vAlign w:val="center"/>
                </w:tcPr>
                <w:p w14:paraId="7F4E9506">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w:t>
                  </w:r>
                </w:p>
              </w:tc>
            </w:tr>
          </w:tbl>
          <w:p w14:paraId="69455331">
            <w:pPr>
              <w:keepNext w:val="0"/>
              <w:keepLines w:val="0"/>
              <w:pageBreakBefore w:val="0"/>
              <w:widowControl w:val="0"/>
              <w:kinsoku/>
              <w:wordWrap/>
              <w:overflowPunct/>
              <w:topLinePunct w:val="0"/>
              <w:autoSpaceDE w:val="0"/>
              <w:autoSpaceDN w:val="0"/>
              <w:bidi w:val="0"/>
              <w:adjustRightInd w:val="0"/>
              <w:snapToGrid w:val="0"/>
              <w:spacing w:before="157" w:beforeLines="50"/>
              <w:ind w:firstLine="482"/>
              <w:textAlignment w:val="auto"/>
              <w:rPr>
                <w:rFonts w:hint="eastAsia" w:ascii="黑体" w:hAnsi="黑体" w:eastAsia="黑体" w:cs="黑体"/>
                <w:b/>
                <w:bCs/>
                <w:color w:val="auto"/>
                <w:sz w:val="24"/>
                <w:szCs w:val="32"/>
                <w:highlight w:val="none"/>
              </w:rPr>
            </w:pPr>
            <w:r>
              <w:rPr>
                <w:rFonts w:hint="eastAsia" w:ascii="黑体" w:hAnsi="黑体" w:eastAsia="黑体" w:cs="黑体"/>
                <w:b/>
                <w:bCs/>
                <w:color w:val="auto"/>
                <w:sz w:val="24"/>
                <w:szCs w:val="32"/>
                <w:highlight w:val="none"/>
                <w:lang w:val="en-US" w:eastAsia="zh-CN"/>
              </w:rPr>
              <w:t>7</w:t>
            </w:r>
            <w:r>
              <w:rPr>
                <w:rFonts w:hint="eastAsia" w:ascii="黑体" w:hAnsi="黑体" w:eastAsia="黑体" w:cs="黑体"/>
                <w:b/>
                <w:bCs/>
                <w:color w:val="auto"/>
                <w:sz w:val="24"/>
                <w:szCs w:val="32"/>
                <w:highlight w:val="none"/>
              </w:rPr>
              <w:t>、项目主要原辅材料及燃料的种类和用量</w:t>
            </w:r>
          </w:p>
          <w:p w14:paraId="3C81153E">
            <w:pPr>
              <w:ind w:firstLine="480"/>
              <w:rPr>
                <w:rFonts w:hint="eastAsia"/>
                <w:color w:val="auto"/>
                <w:sz w:val="24"/>
                <w:szCs w:val="32"/>
                <w:highlight w:val="none"/>
              </w:rPr>
            </w:pPr>
            <w:r>
              <w:rPr>
                <w:rFonts w:hint="eastAsia"/>
                <w:color w:val="auto"/>
                <w:sz w:val="24"/>
                <w:szCs w:val="32"/>
                <w:highlight w:val="none"/>
                <w:lang w:eastAsia="zh-CN"/>
              </w:rPr>
              <w:t>本项目</w:t>
            </w:r>
            <w:r>
              <w:rPr>
                <w:rFonts w:hint="eastAsia"/>
                <w:color w:val="auto"/>
                <w:sz w:val="24"/>
                <w:szCs w:val="32"/>
                <w:highlight w:val="none"/>
              </w:rPr>
              <w:t>主要原辅材料及能源消耗详见下表：</w:t>
            </w:r>
          </w:p>
          <w:p w14:paraId="7E0E0337">
            <w:pPr>
              <w:pStyle w:val="14"/>
              <w:keepNext w:val="0"/>
              <w:keepLines w:val="0"/>
              <w:pageBreakBefore w:val="0"/>
              <w:widowControl w:val="0"/>
              <w:kinsoku/>
              <w:wordWrap/>
              <w:overflowPunct/>
              <w:topLinePunct w:val="0"/>
              <w:autoSpaceDE w:val="0"/>
              <w:autoSpaceDN w:val="0"/>
              <w:bidi w:val="0"/>
              <w:adjustRightInd w:val="0"/>
              <w:snapToGrid w:val="0"/>
              <w:spacing w:before="0" w:beforeLines="0"/>
              <w:textAlignment w:val="auto"/>
              <w:rPr>
                <w:rFonts w:hint="eastAsia"/>
                <w:color w:val="auto"/>
                <w:highlight w:val="none"/>
              </w:rPr>
            </w:pPr>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lang w:val="en-US" w:eastAsia="zh-CN"/>
              </w:rPr>
              <w:t xml:space="preserve">  本项目</w:t>
            </w:r>
            <w:r>
              <w:rPr>
                <w:rFonts w:hint="eastAsia"/>
                <w:color w:val="auto"/>
                <w:highlight w:val="none"/>
              </w:rPr>
              <w:t>主要原辅材料一览表</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50"/>
              <w:gridCol w:w="1935"/>
              <w:gridCol w:w="844"/>
              <w:gridCol w:w="936"/>
              <w:gridCol w:w="1076"/>
              <w:gridCol w:w="583"/>
              <w:gridCol w:w="830"/>
              <w:gridCol w:w="1072"/>
              <w:gridCol w:w="730"/>
              <w:gridCol w:w="731"/>
            </w:tblGrid>
            <w:tr w14:paraId="220E6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244" w:type="pct"/>
                  <w:tcBorders>
                    <w:bottom w:val="single" w:color="000000" w:sz="4" w:space="0"/>
                    <w:tl2br w:val="nil"/>
                    <w:tr2bl w:val="nil"/>
                  </w:tcBorders>
                  <w:vAlign w:val="center"/>
                </w:tcPr>
                <w:p w14:paraId="135C7249">
                  <w:pPr>
                    <w:pStyle w:val="106"/>
                    <w:bidi w:val="0"/>
                    <w:rPr>
                      <w:b/>
                      <w:bCs/>
                    </w:rPr>
                  </w:pPr>
                  <w:r>
                    <w:rPr>
                      <w:b/>
                      <w:bCs/>
                    </w:rPr>
                    <w:t>项目</w:t>
                  </w:r>
                </w:p>
              </w:tc>
              <w:tc>
                <w:tcPr>
                  <w:tcW w:w="1053" w:type="pct"/>
                  <w:tcBorders>
                    <w:bottom w:val="single" w:color="000000" w:sz="4" w:space="0"/>
                    <w:tl2br w:val="nil"/>
                    <w:tr2bl w:val="nil"/>
                  </w:tcBorders>
                  <w:vAlign w:val="center"/>
                </w:tcPr>
                <w:p w14:paraId="5E8FCE61">
                  <w:pPr>
                    <w:pStyle w:val="106"/>
                    <w:bidi w:val="0"/>
                    <w:rPr>
                      <w:b/>
                      <w:bCs/>
                    </w:rPr>
                  </w:pPr>
                  <w:r>
                    <w:rPr>
                      <w:b/>
                      <w:bCs/>
                    </w:rPr>
                    <w:t>物料名称</w:t>
                  </w:r>
                </w:p>
              </w:tc>
              <w:tc>
                <w:tcPr>
                  <w:tcW w:w="459" w:type="pct"/>
                  <w:tcBorders>
                    <w:bottom w:val="single" w:color="000000" w:sz="4" w:space="0"/>
                    <w:tl2br w:val="nil"/>
                    <w:tr2bl w:val="nil"/>
                  </w:tcBorders>
                  <w:vAlign w:val="center"/>
                </w:tcPr>
                <w:p w14:paraId="7AEF1E8E">
                  <w:pPr>
                    <w:pStyle w:val="106"/>
                    <w:bidi w:val="0"/>
                    <w:rPr>
                      <w:rFonts w:hint="eastAsia"/>
                      <w:b/>
                      <w:bCs/>
                      <w:lang w:eastAsia="zh-CN"/>
                    </w:rPr>
                  </w:pPr>
                  <w:r>
                    <w:rPr>
                      <w:rFonts w:hint="eastAsia"/>
                      <w:b/>
                      <w:bCs/>
                      <w:lang w:val="en-US" w:eastAsia="zh-CN"/>
                    </w:rPr>
                    <w:t>单位</w:t>
                  </w:r>
                </w:p>
              </w:tc>
              <w:tc>
                <w:tcPr>
                  <w:tcW w:w="509" w:type="pct"/>
                  <w:tcBorders>
                    <w:bottom w:val="single" w:color="000000" w:sz="4" w:space="0"/>
                    <w:tl2br w:val="nil"/>
                    <w:tr2bl w:val="nil"/>
                  </w:tcBorders>
                  <w:shd w:val="clear" w:color="auto" w:fill="auto"/>
                  <w:vAlign w:val="center"/>
                </w:tcPr>
                <w:p w14:paraId="294A1AB4">
                  <w:pPr>
                    <w:pStyle w:val="106"/>
                    <w:bidi w:val="0"/>
                    <w:rPr>
                      <w:rFonts w:hint="default"/>
                      <w:b/>
                      <w:bCs/>
                      <w:lang w:val="en-US" w:eastAsia="zh-CN"/>
                    </w:rPr>
                  </w:pPr>
                  <w:r>
                    <w:rPr>
                      <w:rFonts w:hint="eastAsia"/>
                      <w:b/>
                      <w:bCs/>
                      <w:lang w:val="en-US" w:eastAsia="zh-CN"/>
                    </w:rPr>
                    <w:t>年耗量</w:t>
                  </w:r>
                </w:p>
              </w:tc>
              <w:tc>
                <w:tcPr>
                  <w:tcW w:w="585" w:type="pct"/>
                  <w:tcBorders>
                    <w:bottom w:val="single" w:color="000000" w:sz="4" w:space="0"/>
                    <w:tl2br w:val="nil"/>
                    <w:tr2bl w:val="nil"/>
                  </w:tcBorders>
                  <w:vAlign w:val="center"/>
                </w:tcPr>
                <w:p w14:paraId="6FAF0610">
                  <w:pPr>
                    <w:pStyle w:val="106"/>
                    <w:bidi w:val="0"/>
                    <w:rPr>
                      <w:rFonts w:hint="default"/>
                      <w:b/>
                      <w:bCs/>
                      <w:lang w:val="en-US" w:eastAsia="zh-CN"/>
                    </w:rPr>
                  </w:pPr>
                  <w:r>
                    <w:rPr>
                      <w:rFonts w:hint="eastAsia"/>
                      <w:b/>
                      <w:bCs/>
                      <w:lang w:val="en-US" w:eastAsia="zh-CN"/>
                    </w:rPr>
                    <w:t>最大储存量</w:t>
                  </w:r>
                </w:p>
              </w:tc>
              <w:tc>
                <w:tcPr>
                  <w:tcW w:w="317" w:type="pct"/>
                  <w:tcBorders>
                    <w:bottom w:val="single" w:color="000000" w:sz="4" w:space="0"/>
                    <w:tl2br w:val="nil"/>
                    <w:tr2bl w:val="nil"/>
                  </w:tcBorders>
                  <w:vAlign w:val="center"/>
                </w:tcPr>
                <w:p w14:paraId="4865A15A">
                  <w:pPr>
                    <w:pStyle w:val="106"/>
                    <w:bidi w:val="0"/>
                    <w:rPr>
                      <w:rFonts w:hint="default"/>
                      <w:b/>
                      <w:bCs/>
                      <w:lang w:val="en-US" w:eastAsia="zh-CN"/>
                    </w:rPr>
                  </w:pPr>
                  <w:r>
                    <w:rPr>
                      <w:rFonts w:hint="eastAsia"/>
                      <w:b/>
                      <w:bCs/>
                      <w:lang w:val="en-US" w:eastAsia="zh-CN"/>
                    </w:rPr>
                    <w:t>性状</w:t>
                  </w:r>
                </w:p>
              </w:tc>
              <w:tc>
                <w:tcPr>
                  <w:tcW w:w="451" w:type="pct"/>
                  <w:tcBorders>
                    <w:bottom w:val="single" w:color="000000" w:sz="4" w:space="0"/>
                    <w:tl2br w:val="nil"/>
                    <w:tr2bl w:val="nil"/>
                  </w:tcBorders>
                  <w:vAlign w:val="center"/>
                </w:tcPr>
                <w:p w14:paraId="3C1C10C2">
                  <w:pPr>
                    <w:pStyle w:val="106"/>
                    <w:bidi w:val="0"/>
                    <w:rPr>
                      <w:rFonts w:hint="default"/>
                      <w:b/>
                      <w:bCs/>
                      <w:lang w:val="en-US" w:eastAsia="zh-CN"/>
                    </w:rPr>
                  </w:pPr>
                  <w:r>
                    <w:rPr>
                      <w:rFonts w:hint="eastAsia"/>
                      <w:b/>
                      <w:bCs/>
                      <w:lang w:val="en-US" w:eastAsia="zh-CN"/>
                    </w:rPr>
                    <w:t>包装方式</w:t>
                  </w:r>
                </w:p>
              </w:tc>
              <w:tc>
                <w:tcPr>
                  <w:tcW w:w="583" w:type="pct"/>
                  <w:tcBorders>
                    <w:bottom w:val="single" w:color="000000" w:sz="4" w:space="0"/>
                    <w:tl2br w:val="nil"/>
                    <w:tr2bl w:val="nil"/>
                  </w:tcBorders>
                  <w:vAlign w:val="center"/>
                </w:tcPr>
                <w:p w14:paraId="6965C0CC">
                  <w:pPr>
                    <w:pStyle w:val="106"/>
                    <w:bidi w:val="0"/>
                    <w:rPr>
                      <w:rFonts w:hint="default"/>
                      <w:b/>
                      <w:bCs/>
                      <w:lang w:val="en-US" w:eastAsia="zh-CN"/>
                    </w:rPr>
                  </w:pPr>
                  <w:r>
                    <w:rPr>
                      <w:rFonts w:hint="eastAsia"/>
                      <w:b/>
                      <w:bCs/>
                      <w:lang w:val="en-US" w:eastAsia="zh-CN"/>
                    </w:rPr>
                    <w:t>储存位置</w:t>
                  </w:r>
                </w:p>
              </w:tc>
              <w:tc>
                <w:tcPr>
                  <w:tcW w:w="397" w:type="pct"/>
                  <w:tcBorders>
                    <w:bottom w:val="single" w:color="000000" w:sz="4" w:space="0"/>
                    <w:tl2br w:val="nil"/>
                    <w:tr2bl w:val="nil"/>
                  </w:tcBorders>
                  <w:vAlign w:val="center"/>
                </w:tcPr>
                <w:p w14:paraId="412F426D">
                  <w:pPr>
                    <w:pStyle w:val="106"/>
                    <w:bidi w:val="0"/>
                    <w:rPr>
                      <w:rFonts w:hint="eastAsia"/>
                      <w:b/>
                      <w:bCs/>
                      <w:lang w:val="en-US" w:eastAsia="zh-CN"/>
                    </w:rPr>
                  </w:pPr>
                  <w:r>
                    <w:rPr>
                      <w:rFonts w:hint="eastAsia"/>
                      <w:b/>
                      <w:bCs/>
                      <w:lang w:val="en-US" w:eastAsia="zh-CN"/>
                    </w:rPr>
                    <w:t>来源</w:t>
                  </w:r>
                </w:p>
              </w:tc>
              <w:tc>
                <w:tcPr>
                  <w:tcW w:w="397" w:type="pct"/>
                  <w:tcBorders>
                    <w:bottom w:val="single" w:color="000000" w:sz="4" w:space="0"/>
                    <w:tl2br w:val="nil"/>
                    <w:tr2bl w:val="nil"/>
                  </w:tcBorders>
                  <w:vAlign w:val="center"/>
                </w:tcPr>
                <w:p w14:paraId="02D35E67">
                  <w:pPr>
                    <w:pStyle w:val="106"/>
                    <w:bidi w:val="0"/>
                    <w:rPr>
                      <w:rFonts w:hint="default"/>
                      <w:b/>
                      <w:bCs/>
                      <w:lang w:val="en-US" w:eastAsia="zh-CN"/>
                    </w:rPr>
                  </w:pPr>
                  <w:r>
                    <w:rPr>
                      <w:rFonts w:hint="eastAsia"/>
                      <w:b/>
                      <w:bCs/>
                      <w:lang w:val="en-US" w:eastAsia="zh-CN"/>
                    </w:rPr>
                    <w:t>备注</w:t>
                  </w:r>
                </w:p>
              </w:tc>
            </w:tr>
            <w:tr w14:paraId="28277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restart"/>
                  <w:tcBorders>
                    <w:top w:val="single" w:color="000000" w:sz="4" w:space="0"/>
                    <w:tl2br w:val="nil"/>
                    <w:tr2bl w:val="nil"/>
                  </w:tcBorders>
                  <w:vAlign w:val="center"/>
                </w:tcPr>
                <w:p w14:paraId="6BC5B443">
                  <w:pPr>
                    <w:pStyle w:val="106"/>
                    <w:bidi w:val="0"/>
                    <w:rPr>
                      <w:rFonts w:hint="default"/>
                      <w:lang w:val="en-US" w:eastAsia="zh-CN"/>
                    </w:rPr>
                  </w:pPr>
                  <w:r>
                    <w:rPr>
                      <w:rFonts w:hint="eastAsia"/>
                      <w:lang w:val="en-US" w:eastAsia="zh-CN"/>
                    </w:rPr>
                    <w:t>原辅材料</w:t>
                  </w:r>
                </w:p>
              </w:tc>
              <w:tc>
                <w:tcPr>
                  <w:tcW w:w="1053" w:type="pct"/>
                  <w:tcBorders>
                    <w:top w:val="single" w:color="000000" w:sz="4" w:space="0"/>
                    <w:tl2br w:val="nil"/>
                    <w:tr2bl w:val="nil"/>
                  </w:tcBorders>
                  <w:shd w:val="clear" w:color="auto" w:fill="auto"/>
                  <w:vAlign w:val="center"/>
                </w:tcPr>
                <w:p w14:paraId="54E91382">
                  <w:pPr>
                    <w:pStyle w:val="106"/>
                    <w:bidi w:val="0"/>
                    <w:rPr>
                      <w:rFonts w:hint="default"/>
                      <w:lang w:val="en-US" w:eastAsia="zh-CN"/>
                    </w:rPr>
                  </w:pPr>
                  <w:r>
                    <w:rPr>
                      <w:rFonts w:hint="eastAsia"/>
                      <w:lang w:val="en-US" w:eastAsia="zh-CN"/>
                    </w:rPr>
                    <w:t>小葱</w:t>
                  </w:r>
                </w:p>
              </w:tc>
              <w:tc>
                <w:tcPr>
                  <w:tcW w:w="459" w:type="pct"/>
                  <w:tcBorders>
                    <w:top w:val="single" w:color="000000" w:sz="4" w:space="0"/>
                    <w:tl2br w:val="nil"/>
                    <w:tr2bl w:val="nil"/>
                  </w:tcBorders>
                  <w:shd w:val="clear" w:color="auto" w:fill="auto"/>
                  <w:vAlign w:val="center"/>
                </w:tcPr>
                <w:p w14:paraId="0110D2C9">
                  <w:pPr>
                    <w:pStyle w:val="106"/>
                    <w:bidi w:val="0"/>
                    <w:rPr>
                      <w:rFonts w:hint="default"/>
                      <w:lang w:val="en-US" w:eastAsia="zh-CN"/>
                    </w:rPr>
                  </w:pPr>
                  <w:r>
                    <w:rPr>
                      <w:rFonts w:hint="eastAsia"/>
                      <w:lang w:val="en-US" w:eastAsia="zh-CN"/>
                    </w:rPr>
                    <w:t>吨</w:t>
                  </w:r>
                </w:p>
              </w:tc>
              <w:tc>
                <w:tcPr>
                  <w:tcW w:w="509" w:type="pct"/>
                  <w:tcBorders>
                    <w:top w:val="single" w:color="000000" w:sz="4" w:space="0"/>
                    <w:tl2br w:val="nil"/>
                    <w:tr2bl w:val="nil"/>
                  </w:tcBorders>
                  <w:shd w:val="clear" w:color="auto" w:fill="auto"/>
                  <w:vAlign w:val="center"/>
                </w:tcPr>
                <w:p w14:paraId="42D480A0">
                  <w:pPr>
                    <w:pStyle w:val="106"/>
                    <w:bidi w:val="0"/>
                    <w:rPr>
                      <w:rFonts w:hint="default"/>
                      <w:lang w:val="en-US" w:eastAsia="zh-CN"/>
                    </w:rPr>
                  </w:pPr>
                  <w:r>
                    <w:rPr>
                      <w:rFonts w:hint="eastAsia"/>
                      <w:lang w:val="en-US" w:eastAsia="zh-CN"/>
                    </w:rPr>
                    <w:t>6000</w:t>
                  </w:r>
                </w:p>
              </w:tc>
              <w:tc>
                <w:tcPr>
                  <w:tcW w:w="585" w:type="pct"/>
                  <w:tcBorders>
                    <w:top w:val="single" w:color="000000" w:sz="4" w:space="0"/>
                    <w:tl2br w:val="nil"/>
                    <w:tr2bl w:val="nil"/>
                  </w:tcBorders>
                  <w:shd w:val="clear" w:color="auto" w:fill="auto"/>
                  <w:vAlign w:val="center"/>
                </w:tcPr>
                <w:p w14:paraId="4C371349">
                  <w:pPr>
                    <w:pStyle w:val="106"/>
                    <w:bidi w:val="0"/>
                    <w:rPr>
                      <w:rFonts w:hint="default"/>
                      <w:lang w:val="en-US" w:eastAsia="zh-CN"/>
                    </w:rPr>
                  </w:pPr>
                  <w:r>
                    <w:rPr>
                      <w:rFonts w:hint="eastAsia"/>
                      <w:lang w:val="en-US" w:eastAsia="zh-CN"/>
                    </w:rPr>
                    <w:t>50</w:t>
                  </w:r>
                </w:p>
              </w:tc>
              <w:tc>
                <w:tcPr>
                  <w:tcW w:w="317" w:type="pct"/>
                  <w:tcBorders>
                    <w:top w:val="single" w:color="000000" w:sz="4" w:space="0"/>
                    <w:tl2br w:val="nil"/>
                    <w:tr2bl w:val="nil"/>
                  </w:tcBorders>
                  <w:shd w:val="clear" w:color="auto" w:fill="auto"/>
                  <w:vAlign w:val="center"/>
                </w:tcPr>
                <w:p w14:paraId="180FB91C">
                  <w:pPr>
                    <w:pStyle w:val="106"/>
                    <w:bidi w:val="0"/>
                    <w:rPr>
                      <w:rFonts w:hint="default"/>
                      <w:lang w:val="en-US" w:eastAsia="zh-CN"/>
                    </w:rPr>
                  </w:pPr>
                  <w:r>
                    <w:rPr>
                      <w:rFonts w:hint="eastAsia"/>
                      <w:lang w:val="en-US" w:eastAsia="zh-CN"/>
                    </w:rPr>
                    <w:t>固态</w:t>
                  </w:r>
                </w:p>
              </w:tc>
              <w:tc>
                <w:tcPr>
                  <w:tcW w:w="451" w:type="pct"/>
                  <w:tcBorders>
                    <w:top w:val="single" w:color="000000" w:sz="4" w:space="0"/>
                    <w:tl2br w:val="nil"/>
                    <w:tr2bl w:val="nil"/>
                  </w:tcBorders>
                  <w:shd w:val="clear" w:color="auto" w:fill="auto"/>
                  <w:vAlign w:val="center"/>
                </w:tcPr>
                <w:p w14:paraId="3AA6D032">
                  <w:pPr>
                    <w:pStyle w:val="106"/>
                    <w:bidi w:val="0"/>
                    <w:rPr>
                      <w:rFonts w:hint="default"/>
                      <w:lang w:val="en-US" w:eastAsia="zh-CN"/>
                    </w:rPr>
                  </w:pPr>
                  <w:r>
                    <w:rPr>
                      <w:rFonts w:hint="eastAsia"/>
                      <w:lang w:val="en-US" w:eastAsia="zh-CN"/>
                    </w:rPr>
                    <w:t>/</w:t>
                  </w:r>
                </w:p>
              </w:tc>
              <w:tc>
                <w:tcPr>
                  <w:tcW w:w="583" w:type="pct"/>
                  <w:vMerge w:val="restart"/>
                  <w:tcBorders>
                    <w:top w:val="single" w:color="000000" w:sz="4" w:space="0"/>
                    <w:tl2br w:val="nil"/>
                    <w:tr2bl w:val="nil"/>
                  </w:tcBorders>
                  <w:vAlign w:val="center"/>
                </w:tcPr>
                <w:p w14:paraId="7B91E2A6">
                  <w:pPr>
                    <w:pStyle w:val="106"/>
                    <w:bidi w:val="0"/>
                    <w:rPr>
                      <w:rFonts w:hint="default"/>
                      <w:lang w:val="en-US" w:eastAsia="zh-CN"/>
                    </w:rPr>
                  </w:pPr>
                  <w:r>
                    <w:rPr>
                      <w:rFonts w:hint="eastAsia"/>
                      <w:lang w:val="en-US" w:eastAsia="zh-CN"/>
                    </w:rPr>
                    <w:t>原料暂存间</w:t>
                  </w:r>
                </w:p>
              </w:tc>
              <w:tc>
                <w:tcPr>
                  <w:tcW w:w="397" w:type="pct"/>
                  <w:tcBorders>
                    <w:top w:val="single" w:color="000000" w:sz="4" w:space="0"/>
                    <w:tl2br w:val="nil"/>
                    <w:tr2bl w:val="nil"/>
                  </w:tcBorders>
                  <w:vAlign w:val="center"/>
                </w:tcPr>
                <w:p w14:paraId="0762EB5D">
                  <w:pPr>
                    <w:pStyle w:val="106"/>
                    <w:bidi w:val="0"/>
                    <w:rPr>
                      <w:rFonts w:hint="default"/>
                      <w:lang w:val="en-US" w:eastAsia="zh-CN"/>
                    </w:rPr>
                  </w:pPr>
                  <w:r>
                    <w:rPr>
                      <w:rFonts w:hint="eastAsia"/>
                    </w:rPr>
                    <w:t>外购</w:t>
                  </w:r>
                </w:p>
              </w:tc>
              <w:tc>
                <w:tcPr>
                  <w:tcW w:w="397" w:type="pct"/>
                  <w:vMerge w:val="restart"/>
                  <w:tcBorders>
                    <w:top w:val="single" w:color="000000" w:sz="4" w:space="0"/>
                    <w:tl2br w:val="nil"/>
                    <w:tr2bl w:val="nil"/>
                  </w:tcBorders>
                  <w:vAlign w:val="center"/>
                </w:tcPr>
                <w:p w14:paraId="632DE605">
                  <w:pPr>
                    <w:pStyle w:val="106"/>
                    <w:bidi w:val="0"/>
                    <w:rPr>
                      <w:rFonts w:hint="default"/>
                      <w:lang w:val="en-US" w:eastAsia="zh-CN"/>
                    </w:rPr>
                  </w:pPr>
                  <w:r>
                    <w:rPr>
                      <w:rFonts w:hint="eastAsia"/>
                      <w:lang w:val="en-US" w:eastAsia="zh-CN"/>
                    </w:rPr>
                    <w:t xml:space="preserve">冻干产品生产 </w:t>
                  </w:r>
                </w:p>
              </w:tc>
            </w:tr>
            <w:tr w14:paraId="52553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404C9B91">
                  <w:pPr>
                    <w:pStyle w:val="106"/>
                    <w:bidi w:val="0"/>
                  </w:pPr>
                </w:p>
              </w:tc>
              <w:tc>
                <w:tcPr>
                  <w:tcW w:w="1053" w:type="pct"/>
                  <w:tcBorders>
                    <w:tl2br w:val="nil"/>
                    <w:tr2bl w:val="nil"/>
                  </w:tcBorders>
                  <w:shd w:val="clear" w:color="auto" w:fill="auto"/>
                  <w:vAlign w:val="center"/>
                </w:tcPr>
                <w:p w14:paraId="78700B73">
                  <w:pPr>
                    <w:pStyle w:val="106"/>
                    <w:bidi w:val="0"/>
                    <w:rPr>
                      <w:rFonts w:hint="default"/>
                      <w:lang w:val="en-US" w:eastAsia="zh-CN"/>
                    </w:rPr>
                  </w:pPr>
                  <w:r>
                    <w:rPr>
                      <w:rFonts w:hint="eastAsia"/>
                      <w:lang w:val="en-US" w:eastAsia="zh-CN"/>
                    </w:rPr>
                    <w:t>上海青</w:t>
                  </w:r>
                </w:p>
              </w:tc>
              <w:tc>
                <w:tcPr>
                  <w:tcW w:w="459" w:type="pct"/>
                  <w:tcBorders>
                    <w:tl2br w:val="nil"/>
                    <w:tr2bl w:val="nil"/>
                  </w:tcBorders>
                  <w:shd w:val="clear" w:color="auto" w:fill="auto"/>
                  <w:vAlign w:val="center"/>
                </w:tcPr>
                <w:p w14:paraId="279A9926">
                  <w:pPr>
                    <w:pStyle w:val="106"/>
                    <w:bidi w:val="0"/>
                    <w:rPr>
                      <w:rFonts w:hint="eastAsia"/>
                      <w:lang w:val="en-US" w:eastAsia="zh-CN"/>
                    </w:rPr>
                  </w:pPr>
                  <w:r>
                    <w:rPr>
                      <w:rFonts w:hint="eastAsia"/>
                      <w:lang w:val="en-US" w:eastAsia="zh-CN"/>
                    </w:rPr>
                    <w:t>吨</w:t>
                  </w:r>
                </w:p>
              </w:tc>
              <w:tc>
                <w:tcPr>
                  <w:tcW w:w="509" w:type="pct"/>
                  <w:tcBorders>
                    <w:tl2br w:val="nil"/>
                    <w:tr2bl w:val="nil"/>
                  </w:tcBorders>
                  <w:shd w:val="clear" w:color="auto" w:fill="auto"/>
                  <w:vAlign w:val="center"/>
                </w:tcPr>
                <w:p w14:paraId="02E12C54">
                  <w:pPr>
                    <w:pStyle w:val="106"/>
                    <w:bidi w:val="0"/>
                    <w:rPr>
                      <w:rFonts w:hint="default"/>
                      <w:lang w:val="en-US" w:eastAsia="zh-CN"/>
                    </w:rPr>
                  </w:pPr>
                  <w:r>
                    <w:rPr>
                      <w:rFonts w:hint="eastAsia"/>
                      <w:lang w:val="en-US" w:eastAsia="zh-CN"/>
                    </w:rPr>
                    <w:t>20000</w:t>
                  </w:r>
                </w:p>
              </w:tc>
              <w:tc>
                <w:tcPr>
                  <w:tcW w:w="585" w:type="pct"/>
                  <w:tcBorders>
                    <w:tl2br w:val="nil"/>
                    <w:tr2bl w:val="nil"/>
                  </w:tcBorders>
                  <w:shd w:val="clear" w:color="auto" w:fill="auto"/>
                  <w:vAlign w:val="center"/>
                </w:tcPr>
                <w:p w14:paraId="0B1E9F8A">
                  <w:pPr>
                    <w:pStyle w:val="106"/>
                    <w:bidi w:val="0"/>
                    <w:rPr>
                      <w:rFonts w:hint="default"/>
                      <w:lang w:val="en-US" w:eastAsia="zh-CN"/>
                    </w:rPr>
                  </w:pPr>
                  <w:r>
                    <w:rPr>
                      <w:rFonts w:hint="eastAsia"/>
                      <w:lang w:val="en-US" w:eastAsia="zh-CN"/>
                    </w:rPr>
                    <w:t>70</w:t>
                  </w:r>
                </w:p>
              </w:tc>
              <w:tc>
                <w:tcPr>
                  <w:tcW w:w="317" w:type="pct"/>
                  <w:tcBorders>
                    <w:tl2br w:val="nil"/>
                    <w:tr2bl w:val="nil"/>
                  </w:tcBorders>
                  <w:shd w:val="clear" w:color="auto" w:fill="auto"/>
                  <w:vAlign w:val="center"/>
                </w:tcPr>
                <w:p w14:paraId="4DE351BC">
                  <w:pPr>
                    <w:pStyle w:val="106"/>
                    <w:bidi w:val="0"/>
                    <w:rPr>
                      <w:rFonts w:hint="default"/>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35B14FB1">
                  <w:pPr>
                    <w:pStyle w:val="106"/>
                    <w:bidi w:val="0"/>
                    <w:rPr>
                      <w:rFonts w:hint="default"/>
                      <w:lang w:val="en-US" w:eastAsia="zh-CN"/>
                    </w:rPr>
                  </w:pPr>
                  <w:r>
                    <w:rPr>
                      <w:rFonts w:hint="eastAsia"/>
                      <w:lang w:val="en-US" w:eastAsia="zh-CN"/>
                    </w:rPr>
                    <w:t>/</w:t>
                  </w:r>
                </w:p>
              </w:tc>
              <w:tc>
                <w:tcPr>
                  <w:tcW w:w="583" w:type="pct"/>
                  <w:vMerge w:val="continue"/>
                  <w:tcBorders>
                    <w:tl2br w:val="nil"/>
                    <w:tr2bl w:val="nil"/>
                  </w:tcBorders>
                  <w:vAlign w:val="center"/>
                </w:tcPr>
                <w:p w14:paraId="0084ED33">
                  <w:pPr>
                    <w:pStyle w:val="106"/>
                    <w:bidi w:val="0"/>
                    <w:rPr>
                      <w:rFonts w:hint="default"/>
                      <w:lang w:val="en-US" w:eastAsia="zh-CN"/>
                    </w:rPr>
                  </w:pPr>
                </w:p>
              </w:tc>
              <w:tc>
                <w:tcPr>
                  <w:tcW w:w="397" w:type="pct"/>
                  <w:tcBorders>
                    <w:tl2br w:val="nil"/>
                    <w:tr2bl w:val="nil"/>
                  </w:tcBorders>
                  <w:vAlign w:val="center"/>
                </w:tcPr>
                <w:p w14:paraId="089C5F14">
                  <w:pPr>
                    <w:pStyle w:val="106"/>
                    <w:bidi w:val="0"/>
                    <w:rPr>
                      <w:rFonts w:hint="eastAsia"/>
                      <w:lang w:val="en-US" w:eastAsia="zh-CN"/>
                    </w:rPr>
                  </w:pPr>
                  <w:r>
                    <w:rPr>
                      <w:rFonts w:hint="eastAsia"/>
                    </w:rPr>
                    <w:t>外购</w:t>
                  </w:r>
                </w:p>
              </w:tc>
              <w:tc>
                <w:tcPr>
                  <w:tcW w:w="397" w:type="pct"/>
                  <w:vMerge w:val="continue"/>
                  <w:tcBorders>
                    <w:tl2br w:val="nil"/>
                    <w:tr2bl w:val="nil"/>
                  </w:tcBorders>
                  <w:vAlign w:val="center"/>
                </w:tcPr>
                <w:p w14:paraId="0D022DE4">
                  <w:pPr>
                    <w:pStyle w:val="106"/>
                    <w:bidi w:val="0"/>
                    <w:rPr>
                      <w:rFonts w:hint="eastAsia"/>
                    </w:rPr>
                  </w:pPr>
                </w:p>
              </w:tc>
            </w:tr>
            <w:tr w14:paraId="05279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6384DE7F">
                  <w:pPr>
                    <w:pStyle w:val="106"/>
                    <w:bidi w:val="0"/>
                  </w:pPr>
                </w:p>
              </w:tc>
              <w:tc>
                <w:tcPr>
                  <w:tcW w:w="1053" w:type="pct"/>
                  <w:tcBorders>
                    <w:tl2br w:val="nil"/>
                    <w:tr2bl w:val="nil"/>
                  </w:tcBorders>
                  <w:shd w:val="clear" w:color="auto" w:fill="auto"/>
                  <w:vAlign w:val="center"/>
                </w:tcPr>
                <w:p w14:paraId="1416E080">
                  <w:pPr>
                    <w:pStyle w:val="106"/>
                    <w:bidi w:val="0"/>
                    <w:rPr>
                      <w:rFonts w:hint="default"/>
                      <w:lang w:val="en-US" w:eastAsia="zh-CN"/>
                    </w:rPr>
                  </w:pPr>
                  <w:r>
                    <w:rPr>
                      <w:rFonts w:hint="eastAsia"/>
                      <w:lang w:val="en-US" w:eastAsia="zh-CN"/>
                    </w:rPr>
                    <w:t>韭菜</w:t>
                  </w:r>
                </w:p>
              </w:tc>
              <w:tc>
                <w:tcPr>
                  <w:tcW w:w="459" w:type="pct"/>
                  <w:tcBorders>
                    <w:tl2br w:val="nil"/>
                    <w:tr2bl w:val="nil"/>
                  </w:tcBorders>
                  <w:shd w:val="clear" w:color="auto" w:fill="auto"/>
                  <w:vAlign w:val="center"/>
                </w:tcPr>
                <w:p w14:paraId="2E1D90F4">
                  <w:pPr>
                    <w:pStyle w:val="106"/>
                    <w:bidi w:val="0"/>
                    <w:rPr>
                      <w:rFonts w:hint="eastAsia"/>
                      <w:lang w:val="en-US" w:eastAsia="zh-CN"/>
                    </w:rPr>
                  </w:pPr>
                  <w:r>
                    <w:rPr>
                      <w:rFonts w:hint="eastAsia"/>
                      <w:lang w:val="en-US" w:eastAsia="zh-CN"/>
                    </w:rPr>
                    <w:t>吨</w:t>
                  </w:r>
                </w:p>
              </w:tc>
              <w:tc>
                <w:tcPr>
                  <w:tcW w:w="509" w:type="pct"/>
                  <w:tcBorders>
                    <w:tl2br w:val="nil"/>
                    <w:tr2bl w:val="nil"/>
                  </w:tcBorders>
                  <w:shd w:val="clear" w:color="auto" w:fill="auto"/>
                  <w:vAlign w:val="center"/>
                </w:tcPr>
                <w:p w14:paraId="1D73B9FD">
                  <w:pPr>
                    <w:pStyle w:val="106"/>
                    <w:bidi w:val="0"/>
                    <w:rPr>
                      <w:rFonts w:hint="default"/>
                      <w:lang w:val="en-US" w:eastAsia="zh-CN"/>
                    </w:rPr>
                  </w:pPr>
                  <w:r>
                    <w:rPr>
                      <w:rFonts w:hint="eastAsia"/>
                      <w:lang w:val="en-US" w:eastAsia="zh-CN"/>
                    </w:rPr>
                    <w:t>20000</w:t>
                  </w:r>
                </w:p>
              </w:tc>
              <w:tc>
                <w:tcPr>
                  <w:tcW w:w="585" w:type="pct"/>
                  <w:tcBorders>
                    <w:tl2br w:val="nil"/>
                    <w:tr2bl w:val="nil"/>
                  </w:tcBorders>
                  <w:shd w:val="clear" w:color="auto" w:fill="auto"/>
                  <w:vAlign w:val="center"/>
                </w:tcPr>
                <w:p w14:paraId="742C71EF">
                  <w:pPr>
                    <w:pStyle w:val="106"/>
                    <w:bidi w:val="0"/>
                    <w:rPr>
                      <w:rFonts w:hint="default"/>
                      <w:lang w:val="en-US" w:eastAsia="zh-CN"/>
                    </w:rPr>
                  </w:pPr>
                  <w:r>
                    <w:rPr>
                      <w:rFonts w:hint="eastAsia"/>
                      <w:lang w:val="en-US" w:eastAsia="zh-CN"/>
                    </w:rPr>
                    <w:t>70</w:t>
                  </w:r>
                </w:p>
              </w:tc>
              <w:tc>
                <w:tcPr>
                  <w:tcW w:w="317" w:type="pct"/>
                  <w:tcBorders>
                    <w:tl2br w:val="nil"/>
                    <w:tr2bl w:val="nil"/>
                  </w:tcBorders>
                  <w:shd w:val="clear" w:color="auto" w:fill="auto"/>
                  <w:vAlign w:val="center"/>
                </w:tcPr>
                <w:p w14:paraId="7E9D09C5">
                  <w:pPr>
                    <w:pStyle w:val="106"/>
                    <w:bidi w:val="0"/>
                    <w:rPr>
                      <w:rFonts w:hint="default"/>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16DF9647">
                  <w:pPr>
                    <w:pStyle w:val="106"/>
                    <w:bidi w:val="0"/>
                    <w:rPr>
                      <w:rFonts w:hint="default"/>
                      <w:lang w:val="en-US" w:eastAsia="zh-CN"/>
                    </w:rPr>
                  </w:pPr>
                  <w:r>
                    <w:rPr>
                      <w:rFonts w:hint="eastAsia"/>
                      <w:lang w:val="en-US" w:eastAsia="zh-CN"/>
                    </w:rPr>
                    <w:t>/</w:t>
                  </w:r>
                </w:p>
              </w:tc>
              <w:tc>
                <w:tcPr>
                  <w:tcW w:w="583" w:type="pct"/>
                  <w:vMerge w:val="continue"/>
                  <w:tcBorders>
                    <w:tl2br w:val="nil"/>
                    <w:tr2bl w:val="nil"/>
                  </w:tcBorders>
                  <w:shd w:val="clear" w:color="auto" w:fill="auto"/>
                  <w:vAlign w:val="center"/>
                </w:tcPr>
                <w:p w14:paraId="1F9B9ED2">
                  <w:pPr>
                    <w:pStyle w:val="106"/>
                    <w:bidi w:val="0"/>
                    <w:rPr>
                      <w:rFonts w:hint="default"/>
                      <w:lang w:val="en-US" w:eastAsia="zh-CN"/>
                    </w:rPr>
                  </w:pPr>
                </w:p>
              </w:tc>
              <w:tc>
                <w:tcPr>
                  <w:tcW w:w="397" w:type="pct"/>
                  <w:tcBorders>
                    <w:tl2br w:val="nil"/>
                    <w:tr2bl w:val="nil"/>
                  </w:tcBorders>
                  <w:shd w:val="clear" w:color="auto" w:fill="auto"/>
                  <w:vAlign w:val="center"/>
                </w:tcPr>
                <w:p w14:paraId="5DE84F41">
                  <w:pPr>
                    <w:pStyle w:val="106"/>
                    <w:bidi w:val="0"/>
                    <w:rPr>
                      <w:rFonts w:hint="eastAsia"/>
                      <w:lang w:val="en-US" w:eastAsia="zh-CN"/>
                    </w:rPr>
                  </w:pPr>
                  <w:r>
                    <w:rPr>
                      <w:rFonts w:hint="eastAsia"/>
                    </w:rPr>
                    <w:t>外购</w:t>
                  </w:r>
                </w:p>
              </w:tc>
              <w:tc>
                <w:tcPr>
                  <w:tcW w:w="397" w:type="pct"/>
                  <w:vMerge w:val="continue"/>
                  <w:tcBorders>
                    <w:tl2br w:val="nil"/>
                    <w:tr2bl w:val="nil"/>
                  </w:tcBorders>
                  <w:shd w:val="clear" w:color="auto" w:fill="auto"/>
                  <w:vAlign w:val="center"/>
                </w:tcPr>
                <w:p w14:paraId="338150CF">
                  <w:pPr>
                    <w:pStyle w:val="106"/>
                    <w:bidi w:val="0"/>
                    <w:rPr>
                      <w:rFonts w:hint="eastAsia"/>
                    </w:rPr>
                  </w:pPr>
                </w:p>
              </w:tc>
            </w:tr>
            <w:tr w14:paraId="1D7C1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04B629D7">
                  <w:pPr>
                    <w:pStyle w:val="106"/>
                    <w:bidi w:val="0"/>
                  </w:pPr>
                </w:p>
              </w:tc>
              <w:tc>
                <w:tcPr>
                  <w:tcW w:w="1053" w:type="pct"/>
                  <w:tcBorders>
                    <w:tl2br w:val="nil"/>
                    <w:tr2bl w:val="nil"/>
                  </w:tcBorders>
                  <w:shd w:val="clear" w:color="auto" w:fill="auto"/>
                  <w:vAlign w:val="center"/>
                </w:tcPr>
                <w:p w14:paraId="4653D25E">
                  <w:pPr>
                    <w:pStyle w:val="106"/>
                    <w:bidi w:val="0"/>
                    <w:rPr>
                      <w:rFonts w:hint="default"/>
                      <w:lang w:val="en-US" w:eastAsia="zh-CN"/>
                    </w:rPr>
                  </w:pPr>
                  <w:r>
                    <w:rPr>
                      <w:rFonts w:hint="eastAsia"/>
                      <w:lang w:val="en-US" w:eastAsia="zh-CN"/>
                    </w:rPr>
                    <w:t>红薯</w:t>
                  </w:r>
                </w:p>
              </w:tc>
              <w:tc>
                <w:tcPr>
                  <w:tcW w:w="459" w:type="pct"/>
                  <w:tcBorders>
                    <w:tl2br w:val="nil"/>
                    <w:tr2bl w:val="nil"/>
                  </w:tcBorders>
                  <w:shd w:val="clear" w:color="auto" w:fill="auto"/>
                  <w:vAlign w:val="center"/>
                </w:tcPr>
                <w:p w14:paraId="528C0704">
                  <w:pPr>
                    <w:pStyle w:val="106"/>
                    <w:bidi w:val="0"/>
                    <w:rPr>
                      <w:rFonts w:hint="eastAsia"/>
                      <w:lang w:val="en-US" w:eastAsia="zh-CN"/>
                    </w:rPr>
                  </w:pPr>
                  <w:r>
                    <w:rPr>
                      <w:rFonts w:hint="eastAsia"/>
                      <w:lang w:val="en-US" w:eastAsia="zh-CN"/>
                    </w:rPr>
                    <w:t>吨</w:t>
                  </w:r>
                </w:p>
              </w:tc>
              <w:tc>
                <w:tcPr>
                  <w:tcW w:w="509" w:type="pct"/>
                  <w:tcBorders>
                    <w:tl2br w:val="nil"/>
                    <w:tr2bl w:val="nil"/>
                  </w:tcBorders>
                  <w:shd w:val="clear" w:color="auto" w:fill="auto"/>
                  <w:vAlign w:val="center"/>
                </w:tcPr>
                <w:p w14:paraId="529C3ED1">
                  <w:pPr>
                    <w:pStyle w:val="106"/>
                    <w:bidi w:val="0"/>
                    <w:rPr>
                      <w:rFonts w:hint="default"/>
                      <w:lang w:val="en-US" w:eastAsia="zh-CN"/>
                    </w:rPr>
                  </w:pPr>
                  <w:r>
                    <w:rPr>
                      <w:rFonts w:hint="eastAsia"/>
                      <w:lang w:val="en-US" w:eastAsia="zh-CN"/>
                    </w:rPr>
                    <w:t>10000</w:t>
                  </w:r>
                </w:p>
              </w:tc>
              <w:tc>
                <w:tcPr>
                  <w:tcW w:w="585" w:type="pct"/>
                  <w:tcBorders>
                    <w:tl2br w:val="nil"/>
                    <w:tr2bl w:val="nil"/>
                  </w:tcBorders>
                  <w:shd w:val="clear" w:color="auto" w:fill="auto"/>
                  <w:vAlign w:val="center"/>
                </w:tcPr>
                <w:p w14:paraId="540435E6">
                  <w:pPr>
                    <w:pStyle w:val="106"/>
                    <w:bidi w:val="0"/>
                    <w:rPr>
                      <w:rFonts w:hint="default"/>
                      <w:lang w:val="en-US" w:eastAsia="zh-CN"/>
                    </w:rPr>
                  </w:pPr>
                  <w:r>
                    <w:rPr>
                      <w:rFonts w:hint="eastAsia"/>
                      <w:lang w:val="en-US" w:eastAsia="zh-CN"/>
                    </w:rPr>
                    <w:t>70</w:t>
                  </w:r>
                </w:p>
              </w:tc>
              <w:tc>
                <w:tcPr>
                  <w:tcW w:w="317" w:type="pct"/>
                  <w:tcBorders>
                    <w:tl2br w:val="nil"/>
                    <w:tr2bl w:val="nil"/>
                  </w:tcBorders>
                  <w:shd w:val="clear" w:color="auto" w:fill="auto"/>
                  <w:vAlign w:val="center"/>
                </w:tcPr>
                <w:p w14:paraId="190901FB">
                  <w:pPr>
                    <w:pStyle w:val="106"/>
                    <w:bidi w:val="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7C986906">
                  <w:pPr>
                    <w:pStyle w:val="106"/>
                    <w:bidi w:val="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1C4E4FFE">
                  <w:pPr>
                    <w:pStyle w:val="106"/>
                    <w:bidi w:val="0"/>
                    <w:rPr>
                      <w:rFonts w:hint="default"/>
                      <w:lang w:val="en-US" w:eastAsia="zh-CN"/>
                    </w:rPr>
                  </w:pPr>
                </w:p>
              </w:tc>
              <w:tc>
                <w:tcPr>
                  <w:tcW w:w="397" w:type="pct"/>
                  <w:tcBorders>
                    <w:tl2br w:val="nil"/>
                    <w:tr2bl w:val="nil"/>
                  </w:tcBorders>
                  <w:shd w:val="clear" w:color="auto" w:fill="auto"/>
                  <w:vAlign w:val="center"/>
                </w:tcPr>
                <w:p w14:paraId="45A5885C">
                  <w:pPr>
                    <w:pStyle w:val="106"/>
                    <w:bidi w:val="0"/>
                    <w:rPr>
                      <w:rFonts w:hint="eastAsia"/>
                      <w:lang w:val="en-US" w:eastAsia="zh-CN"/>
                    </w:rPr>
                  </w:pPr>
                  <w:r>
                    <w:rPr>
                      <w:rFonts w:hint="eastAsia"/>
                    </w:rPr>
                    <w:t>外购</w:t>
                  </w:r>
                </w:p>
              </w:tc>
              <w:tc>
                <w:tcPr>
                  <w:tcW w:w="397" w:type="pct"/>
                  <w:vMerge w:val="continue"/>
                  <w:tcBorders>
                    <w:tl2br w:val="nil"/>
                    <w:tr2bl w:val="nil"/>
                  </w:tcBorders>
                  <w:shd w:val="clear" w:color="auto" w:fill="auto"/>
                  <w:vAlign w:val="center"/>
                </w:tcPr>
                <w:p w14:paraId="77256F1B">
                  <w:pPr>
                    <w:pStyle w:val="106"/>
                    <w:bidi w:val="0"/>
                    <w:rPr>
                      <w:rFonts w:hint="eastAsia"/>
                    </w:rPr>
                  </w:pPr>
                </w:p>
              </w:tc>
            </w:tr>
            <w:tr w14:paraId="06241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4139F163">
                  <w:pPr>
                    <w:pStyle w:val="106"/>
                    <w:bidi w:val="0"/>
                  </w:pPr>
                </w:p>
              </w:tc>
              <w:tc>
                <w:tcPr>
                  <w:tcW w:w="1053" w:type="pct"/>
                  <w:tcBorders>
                    <w:tl2br w:val="nil"/>
                    <w:tr2bl w:val="nil"/>
                  </w:tcBorders>
                  <w:shd w:val="clear" w:color="auto" w:fill="auto"/>
                  <w:vAlign w:val="center"/>
                </w:tcPr>
                <w:p w14:paraId="42EC404C">
                  <w:pPr>
                    <w:pStyle w:val="106"/>
                    <w:bidi w:val="0"/>
                    <w:rPr>
                      <w:rFonts w:hint="default"/>
                      <w:lang w:val="en-US" w:eastAsia="zh-CN"/>
                    </w:rPr>
                  </w:pPr>
                  <w:r>
                    <w:rPr>
                      <w:rFonts w:hint="eastAsia"/>
                      <w:lang w:val="en-US" w:eastAsia="zh-CN"/>
                    </w:rPr>
                    <w:t>火龙果</w:t>
                  </w:r>
                </w:p>
              </w:tc>
              <w:tc>
                <w:tcPr>
                  <w:tcW w:w="459" w:type="pct"/>
                  <w:tcBorders>
                    <w:tl2br w:val="nil"/>
                    <w:tr2bl w:val="nil"/>
                  </w:tcBorders>
                  <w:shd w:val="clear" w:color="auto" w:fill="auto"/>
                  <w:vAlign w:val="center"/>
                </w:tcPr>
                <w:p w14:paraId="11CE974C">
                  <w:pPr>
                    <w:pStyle w:val="106"/>
                    <w:bidi w:val="0"/>
                    <w:rPr>
                      <w:rFonts w:hint="eastAsia"/>
                      <w:lang w:val="en-US" w:eastAsia="zh-CN"/>
                    </w:rPr>
                  </w:pPr>
                  <w:r>
                    <w:rPr>
                      <w:rFonts w:hint="eastAsia"/>
                      <w:lang w:val="en-US" w:eastAsia="zh-CN"/>
                    </w:rPr>
                    <w:t>吨</w:t>
                  </w:r>
                </w:p>
              </w:tc>
              <w:tc>
                <w:tcPr>
                  <w:tcW w:w="509" w:type="pct"/>
                  <w:tcBorders>
                    <w:tl2br w:val="nil"/>
                    <w:tr2bl w:val="nil"/>
                  </w:tcBorders>
                  <w:shd w:val="clear" w:color="auto" w:fill="auto"/>
                  <w:vAlign w:val="center"/>
                </w:tcPr>
                <w:p w14:paraId="75709A33">
                  <w:pPr>
                    <w:pStyle w:val="106"/>
                    <w:bidi w:val="0"/>
                    <w:rPr>
                      <w:rFonts w:hint="default"/>
                      <w:lang w:val="en-US" w:eastAsia="zh-CN"/>
                    </w:rPr>
                  </w:pPr>
                  <w:r>
                    <w:rPr>
                      <w:rFonts w:hint="eastAsia"/>
                      <w:lang w:val="en-US" w:eastAsia="zh-CN"/>
                    </w:rPr>
                    <w:t>2000</w:t>
                  </w:r>
                </w:p>
              </w:tc>
              <w:tc>
                <w:tcPr>
                  <w:tcW w:w="585" w:type="pct"/>
                  <w:tcBorders>
                    <w:tl2br w:val="nil"/>
                    <w:tr2bl w:val="nil"/>
                  </w:tcBorders>
                  <w:shd w:val="clear" w:color="auto" w:fill="auto"/>
                  <w:vAlign w:val="center"/>
                </w:tcPr>
                <w:p w14:paraId="39CD0615">
                  <w:pPr>
                    <w:pStyle w:val="106"/>
                    <w:bidi w:val="0"/>
                    <w:rPr>
                      <w:rFonts w:hint="eastAsia"/>
                      <w:lang w:val="en-US" w:eastAsia="zh-CN"/>
                    </w:rPr>
                  </w:pPr>
                  <w:r>
                    <w:rPr>
                      <w:rFonts w:hint="eastAsia"/>
                      <w:lang w:val="en-US" w:eastAsia="zh-CN"/>
                    </w:rPr>
                    <w:t>30</w:t>
                  </w:r>
                </w:p>
              </w:tc>
              <w:tc>
                <w:tcPr>
                  <w:tcW w:w="317" w:type="pct"/>
                  <w:tcBorders>
                    <w:tl2br w:val="nil"/>
                    <w:tr2bl w:val="nil"/>
                  </w:tcBorders>
                  <w:shd w:val="clear" w:color="auto" w:fill="auto"/>
                  <w:vAlign w:val="center"/>
                </w:tcPr>
                <w:p w14:paraId="45CF33E3">
                  <w:pPr>
                    <w:pStyle w:val="106"/>
                    <w:bidi w:val="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56399554">
                  <w:pPr>
                    <w:pStyle w:val="106"/>
                    <w:bidi w:val="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47FE3A56">
                  <w:pPr>
                    <w:pStyle w:val="106"/>
                    <w:bidi w:val="0"/>
                    <w:rPr>
                      <w:rFonts w:hint="default"/>
                      <w:lang w:val="en-US" w:eastAsia="zh-CN"/>
                    </w:rPr>
                  </w:pPr>
                </w:p>
              </w:tc>
              <w:tc>
                <w:tcPr>
                  <w:tcW w:w="397" w:type="pct"/>
                  <w:tcBorders>
                    <w:tl2br w:val="nil"/>
                    <w:tr2bl w:val="nil"/>
                  </w:tcBorders>
                  <w:shd w:val="clear" w:color="auto" w:fill="auto"/>
                  <w:vAlign w:val="center"/>
                </w:tcPr>
                <w:p w14:paraId="74198CC7">
                  <w:pPr>
                    <w:pStyle w:val="106"/>
                    <w:bidi w:val="0"/>
                    <w:rPr>
                      <w:rFonts w:hint="eastAsia"/>
                      <w:lang w:val="en-US" w:eastAsia="zh-CN"/>
                    </w:rPr>
                  </w:pPr>
                  <w:r>
                    <w:rPr>
                      <w:rFonts w:hint="eastAsia"/>
                    </w:rPr>
                    <w:t>外购</w:t>
                  </w:r>
                </w:p>
              </w:tc>
              <w:tc>
                <w:tcPr>
                  <w:tcW w:w="397" w:type="pct"/>
                  <w:vMerge w:val="continue"/>
                  <w:tcBorders>
                    <w:tl2br w:val="nil"/>
                    <w:tr2bl w:val="nil"/>
                  </w:tcBorders>
                  <w:shd w:val="clear" w:color="auto" w:fill="auto"/>
                  <w:vAlign w:val="center"/>
                </w:tcPr>
                <w:p w14:paraId="4598DB79">
                  <w:pPr>
                    <w:pStyle w:val="106"/>
                    <w:bidi w:val="0"/>
                    <w:rPr>
                      <w:rFonts w:hint="eastAsia"/>
                    </w:rPr>
                  </w:pPr>
                </w:p>
              </w:tc>
            </w:tr>
            <w:tr w14:paraId="60B34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6C887353">
                  <w:pPr>
                    <w:pStyle w:val="106"/>
                    <w:bidi w:val="0"/>
                  </w:pPr>
                </w:p>
              </w:tc>
              <w:tc>
                <w:tcPr>
                  <w:tcW w:w="1053" w:type="pct"/>
                  <w:tcBorders>
                    <w:tl2br w:val="nil"/>
                    <w:tr2bl w:val="nil"/>
                  </w:tcBorders>
                  <w:shd w:val="clear" w:color="auto" w:fill="auto"/>
                  <w:vAlign w:val="center"/>
                </w:tcPr>
                <w:p w14:paraId="4D9F475B">
                  <w:pPr>
                    <w:pStyle w:val="106"/>
                    <w:bidi w:val="0"/>
                    <w:rPr>
                      <w:rFonts w:hint="eastAsia"/>
                      <w:lang w:val="en-US" w:eastAsia="zh-CN"/>
                    </w:rPr>
                  </w:pPr>
                  <w:r>
                    <w:rPr>
                      <w:rFonts w:hint="eastAsia"/>
                      <w:lang w:val="en-US" w:eastAsia="zh-CN"/>
                    </w:rPr>
                    <w:t>猪肉</w:t>
                  </w:r>
                </w:p>
              </w:tc>
              <w:tc>
                <w:tcPr>
                  <w:tcW w:w="459" w:type="pct"/>
                  <w:tcBorders>
                    <w:tl2br w:val="nil"/>
                    <w:tr2bl w:val="nil"/>
                  </w:tcBorders>
                  <w:shd w:val="clear" w:color="auto" w:fill="auto"/>
                  <w:vAlign w:val="center"/>
                </w:tcPr>
                <w:p w14:paraId="7AA8DCB0">
                  <w:pPr>
                    <w:pStyle w:val="106"/>
                    <w:bidi w:val="0"/>
                    <w:rPr>
                      <w:rFonts w:hint="eastAsia"/>
                      <w:lang w:val="en-US" w:eastAsia="zh-CN"/>
                    </w:rPr>
                  </w:pPr>
                  <w:r>
                    <w:rPr>
                      <w:rFonts w:hint="eastAsia"/>
                      <w:lang w:val="en-US" w:eastAsia="zh-CN"/>
                    </w:rPr>
                    <w:t>吨</w:t>
                  </w:r>
                </w:p>
              </w:tc>
              <w:tc>
                <w:tcPr>
                  <w:tcW w:w="509" w:type="pct"/>
                  <w:tcBorders>
                    <w:tl2br w:val="nil"/>
                    <w:tr2bl w:val="nil"/>
                  </w:tcBorders>
                  <w:shd w:val="clear" w:color="auto" w:fill="auto"/>
                  <w:vAlign w:val="center"/>
                </w:tcPr>
                <w:p w14:paraId="5367679E">
                  <w:pPr>
                    <w:pStyle w:val="106"/>
                    <w:bidi w:val="0"/>
                    <w:rPr>
                      <w:rFonts w:hint="eastAsia"/>
                      <w:lang w:val="en-US" w:eastAsia="zh-CN"/>
                    </w:rPr>
                  </w:pPr>
                  <w:r>
                    <w:rPr>
                      <w:rFonts w:hint="eastAsia"/>
                      <w:lang w:val="en-US" w:eastAsia="zh-CN"/>
                    </w:rPr>
                    <w:t>2500</w:t>
                  </w:r>
                </w:p>
              </w:tc>
              <w:tc>
                <w:tcPr>
                  <w:tcW w:w="585" w:type="pct"/>
                  <w:tcBorders>
                    <w:tl2br w:val="nil"/>
                    <w:tr2bl w:val="nil"/>
                  </w:tcBorders>
                  <w:shd w:val="clear" w:color="auto" w:fill="auto"/>
                  <w:vAlign w:val="center"/>
                </w:tcPr>
                <w:p w14:paraId="6CC18CAB">
                  <w:pPr>
                    <w:pStyle w:val="106"/>
                    <w:bidi w:val="0"/>
                    <w:rPr>
                      <w:rFonts w:hint="eastAsia"/>
                      <w:lang w:val="en-US" w:eastAsia="zh-CN"/>
                    </w:rPr>
                  </w:pPr>
                  <w:r>
                    <w:rPr>
                      <w:rFonts w:hint="eastAsia"/>
                      <w:lang w:val="en-US" w:eastAsia="zh-CN"/>
                    </w:rPr>
                    <w:t>500</w:t>
                  </w:r>
                </w:p>
              </w:tc>
              <w:tc>
                <w:tcPr>
                  <w:tcW w:w="317" w:type="pct"/>
                  <w:tcBorders>
                    <w:tl2br w:val="nil"/>
                    <w:tr2bl w:val="nil"/>
                  </w:tcBorders>
                  <w:shd w:val="clear" w:color="auto" w:fill="auto"/>
                  <w:vAlign w:val="center"/>
                </w:tcPr>
                <w:p w14:paraId="492B272C">
                  <w:pPr>
                    <w:pStyle w:val="106"/>
                    <w:bidi w:val="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2AE87827">
                  <w:pPr>
                    <w:pStyle w:val="106"/>
                    <w:bidi w:val="0"/>
                    <w:rPr>
                      <w:rFonts w:hint="eastAsia"/>
                      <w:lang w:val="en-US" w:eastAsia="zh-CN"/>
                    </w:rPr>
                  </w:pPr>
                  <w:r>
                    <w:rPr>
                      <w:rFonts w:hint="eastAsia"/>
                      <w:lang w:val="en-US" w:eastAsia="zh-CN"/>
                    </w:rPr>
                    <w:t>/</w:t>
                  </w:r>
                </w:p>
              </w:tc>
              <w:tc>
                <w:tcPr>
                  <w:tcW w:w="583" w:type="pct"/>
                  <w:tcBorders>
                    <w:tl2br w:val="nil"/>
                    <w:tr2bl w:val="nil"/>
                  </w:tcBorders>
                  <w:shd w:val="clear" w:color="auto" w:fill="auto"/>
                  <w:vAlign w:val="center"/>
                </w:tcPr>
                <w:p w14:paraId="27413EC2">
                  <w:pPr>
                    <w:pStyle w:val="106"/>
                    <w:bidi w:val="0"/>
                    <w:rPr>
                      <w:rFonts w:hint="eastAsia"/>
                      <w:lang w:val="en-US" w:eastAsia="zh-CN"/>
                    </w:rPr>
                  </w:pPr>
                  <w:r>
                    <w:rPr>
                      <w:rFonts w:hint="eastAsia"/>
                      <w:lang w:val="en-US" w:eastAsia="zh-CN"/>
                    </w:rPr>
                    <w:t>二车间1F原料冻库</w:t>
                  </w:r>
                </w:p>
              </w:tc>
              <w:tc>
                <w:tcPr>
                  <w:tcW w:w="397" w:type="pct"/>
                  <w:tcBorders>
                    <w:tl2br w:val="nil"/>
                    <w:tr2bl w:val="nil"/>
                  </w:tcBorders>
                  <w:shd w:val="clear" w:color="auto" w:fill="auto"/>
                  <w:vAlign w:val="center"/>
                </w:tcPr>
                <w:p w14:paraId="46C8EDAB">
                  <w:pPr>
                    <w:pStyle w:val="106"/>
                    <w:bidi w:val="0"/>
                    <w:rPr>
                      <w:rFonts w:hint="eastAsia"/>
                      <w:lang w:val="en-US" w:eastAsia="zh-CN"/>
                    </w:rPr>
                  </w:pPr>
                  <w:r>
                    <w:rPr>
                      <w:rFonts w:hint="eastAsia"/>
                      <w:lang w:val="en-US" w:eastAsia="zh-CN"/>
                    </w:rPr>
                    <w:t>外购</w:t>
                  </w:r>
                </w:p>
              </w:tc>
              <w:tc>
                <w:tcPr>
                  <w:tcW w:w="397" w:type="pct"/>
                  <w:vMerge w:val="restart"/>
                  <w:tcBorders>
                    <w:tl2br w:val="nil"/>
                    <w:tr2bl w:val="nil"/>
                  </w:tcBorders>
                  <w:shd w:val="clear" w:color="auto" w:fill="auto"/>
                  <w:vAlign w:val="center"/>
                </w:tcPr>
                <w:p w14:paraId="0FB9688F">
                  <w:pPr>
                    <w:pStyle w:val="106"/>
                    <w:bidi w:val="0"/>
                    <w:rPr>
                      <w:rFonts w:hint="default"/>
                      <w:lang w:val="en-US" w:eastAsia="zh-CN"/>
                    </w:rPr>
                  </w:pPr>
                  <w:r>
                    <w:rPr>
                      <w:rFonts w:hint="eastAsia"/>
                      <w:lang w:val="en-US" w:eastAsia="zh-CN"/>
                    </w:rPr>
                    <w:t>午餐肉罐头生产</w:t>
                  </w:r>
                </w:p>
              </w:tc>
            </w:tr>
            <w:tr w14:paraId="23EE7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5305F037">
                  <w:pPr>
                    <w:pStyle w:val="106"/>
                    <w:bidi w:val="0"/>
                  </w:pPr>
                </w:p>
              </w:tc>
              <w:tc>
                <w:tcPr>
                  <w:tcW w:w="1053" w:type="pct"/>
                  <w:tcBorders>
                    <w:tl2br w:val="nil"/>
                    <w:tr2bl w:val="nil"/>
                  </w:tcBorders>
                  <w:shd w:val="clear" w:color="auto" w:fill="auto"/>
                  <w:vAlign w:val="center"/>
                </w:tcPr>
                <w:p w14:paraId="0C159FD7">
                  <w:pPr>
                    <w:pStyle w:val="106"/>
                    <w:bidi w:val="0"/>
                    <w:rPr>
                      <w:rFonts w:hint="eastAsia"/>
                      <w:lang w:val="en-US" w:eastAsia="zh-CN"/>
                    </w:rPr>
                  </w:pPr>
                  <w:r>
                    <w:rPr>
                      <w:rFonts w:hint="eastAsia"/>
                      <w:lang w:val="en-US" w:eastAsia="zh-CN"/>
                    </w:rPr>
                    <w:t>玉米淀粉</w:t>
                  </w:r>
                </w:p>
              </w:tc>
              <w:tc>
                <w:tcPr>
                  <w:tcW w:w="459" w:type="pct"/>
                  <w:tcBorders>
                    <w:tl2br w:val="nil"/>
                    <w:tr2bl w:val="nil"/>
                  </w:tcBorders>
                  <w:shd w:val="clear" w:color="auto" w:fill="auto"/>
                  <w:vAlign w:val="center"/>
                </w:tcPr>
                <w:p w14:paraId="41C86270">
                  <w:pPr>
                    <w:pStyle w:val="106"/>
                    <w:bidi w:val="0"/>
                    <w:rPr>
                      <w:rFonts w:hint="eastAsia"/>
                      <w:lang w:val="en-US" w:eastAsia="zh-CN"/>
                    </w:rPr>
                  </w:pPr>
                  <w:r>
                    <w:rPr>
                      <w:rFonts w:hint="eastAsia"/>
                      <w:lang w:val="en-US" w:eastAsia="zh-CN"/>
                    </w:rPr>
                    <w:t>吨</w:t>
                  </w:r>
                </w:p>
              </w:tc>
              <w:tc>
                <w:tcPr>
                  <w:tcW w:w="509" w:type="pct"/>
                  <w:tcBorders>
                    <w:tl2br w:val="nil"/>
                    <w:tr2bl w:val="nil"/>
                  </w:tcBorders>
                  <w:shd w:val="clear" w:color="auto" w:fill="auto"/>
                  <w:vAlign w:val="center"/>
                </w:tcPr>
                <w:p w14:paraId="53378C5A">
                  <w:pPr>
                    <w:pStyle w:val="106"/>
                    <w:bidi w:val="0"/>
                    <w:rPr>
                      <w:rFonts w:hint="eastAsia"/>
                      <w:lang w:val="en-US" w:eastAsia="zh-CN"/>
                    </w:rPr>
                  </w:pPr>
                  <w:r>
                    <w:rPr>
                      <w:rFonts w:hint="eastAsia"/>
                      <w:lang w:val="en-US" w:eastAsia="zh-CN"/>
                    </w:rPr>
                    <w:t>1000</w:t>
                  </w:r>
                </w:p>
              </w:tc>
              <w:tc>
                <w:tcPr>
                  <w:tcW w:w="585" w:type="pct"/>
                  <w:tcBorders>
                    <w:tl2br w:val="nil"/>
                    <w:tr2bl w:val="nil"/>
                  </w:tcBorders>
                  <w:shd w:val="clear" w:color="auto" w:fill="auto"/>
                  <w:vAlign w:val="center"/>
                </w:tcPr>
                <w:p w14:paraId="30E838F8">
                  <w:pPr>
                    <w:pStyle w:val="106"/>
                    <w:bidi w:val="0"/>
                    <w:rPr>
                      <w:rFonts w:hint="default"/>
                      <w:lang w:val="en-US" w:eastAsia="zh-CN"/>
                    </w:rPr>
                  </w:pPr>
                  <w:r>
                    <w:rPr>
                      <w:rFonts w:hint="eastAsia"/>
                      <w:lang w:val="en-US" w:eastAsia="zh-CN"/>
                    </w:rPr>
                    <w:t>200</w:t>
                  </w:r>
                </w:p>
              </w:tc>
              <w:tc>
                <w:tcPr>
                  <w:tcW w:w="317" w:type="pct"/>
                  <w:tcBorders>
                    <w:tl2br w:val="nil"/>
                    <w:tr2bl w:val="nil"/>
                  </w:tcBorders>
                  <w:shd w:val="clear" w:color="auto" w:fill="auto"/>
                  <w:vAlign w:val="center"/>
                </w:tcPr>
                <w:p w14:paraId="28218530">
                  <w:pPr>
                    <w:pStyle w:val="106"/>
                    <w:bidi w:val="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4FEAA184">
                  <w:pPr>
                    <w:pStyle w:val="106"/>
                    <w:bidi w:val="0"/>
                    <w:rPr>
                      <w:rFonts w:hint="eastAsia"/>
                      <w:lang w:val="en-US" w:eastAsia="zh-CN"/>
                    </w:rPr>
                  </w:pPr>
                  <w:r>
                    <w:rPr>
                      <w:rFonts w:hint="eastAsia"/>
                      <w:lang w:val="en-US" w:eastAsia="zh-CN"/>
                    </w:rPr>
                    <w:t>袋装</w:t>
                  </w:r>
                </w:p>
              </w:tc>
              <w:tc>
                <w:tcPr>
                  <w:tcW w:w="583" w:type="pct"/>
                  <w:vMerge w:val="restart"/>
                  <w:tcBorders>
                    <w:tl2br w:val="nil"/>
                    <w:tr2bl w:val="nil"/>
                  </w:tcBorders>
                  <w:shd w:val="clear" w:color="auto" w:fill="auto"/>
                  <w:vAlign w:val="center"/>
                </w:tcPr>
                <w:p w14:paraId="495C9E19">
                  <w:pPr>
                    <w:pStyle w:val="106"/>
                    <w:bidi w:val="0"/>
                    <w:rPr>
                      <w:rFonts w:hint="default"/>
                      <w:lang w:val="en-US" w:eastAsia="zh-CN"/>
                    </w:rPr>
                  </w:pPr>
                  <w:r>
                    <w:rPr>
                      <w:rFonts w:hint="eastAsia"/>
                      <w:lang w:val="en-US" w:eastAsia="zh-CN"/>
                    </w:rPr>
                    <w:t>二车间1F辅料暂存间</w:t>
                  </w:r>
                </w:p>
              </w:tc>
              <w:tc>
                <w:tcPr>
                  <w:tcW w:w="397" w:type="pct"/>
                  <w:tcBorders>
                    <w:tl2br w:val="nil"/>
                    <w:tr2bl w:val="nil"/>
                  </w:tcBorders>
                  <w:shd w:val="clear" w:color="auto" w:fill="auto"/>
                  <w:vAlign w:val="center"/>
                </w:tcPr>
                <w:p w14:paraId="05DFE66C">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3B136870">
                  <w:pPr>
                    <w:pStyle w:val="106"/>
                    <w:bidi w:val="0"/>
                    <w:rPr>
                      <w:rFonts w:hint="eastAsia"/>
                      <w:lang w:val="en-US" w:eastAsia="zh-CN"/>
                    </w:rPr>
                  </w:pPr>
                </w:p>
              </w:tc>
            </w:tr>
            <w:tr w14:paraId="77A87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7BF73CF0">
                  <w:pPr>
                    <w:pStyle w:val="106"/>
                    <w:bidi w:val="0"/>
                  </w:pPr>
                </w:p>
              </w:tc>
              <w:tc>
                <w:tcPr>
                  <w:tcW w:w="1053" w:type="pct"/>
                  <w:tcBorders>
                    <w:tl2br w:val="nil"/>
                    <w:tr2bl w:val="nil"/>
                  </w:tcBorders>
                  <w:shd w:val="clear" w:color="auto" w:fill="auto"/>
                  <w:vAlign w:val="center"/>
                </w:tcPr>
                <w:p w14:paraId="43842F72">
                  <w:pPr>
                    <w:pStyle w:val="106"/>
                    <w:bidi w:val="0"/>
                    <w:rPr>
                      <w:rFonts w:hint="eastAsia"/>
                      <w:lang w:val="en-US" w:eastAsia="zh-CN"/>
                    </w:rPr>
                  </w:pPr>
                  <w:r>
                    <w:rPr>
                      <w:rFonts w:hint="eastAsia"/>
                    </w:rPr>
                    <w:t>大豆蛋白粉</w:t>
                  </w:r>
                </w:p>
              </w:tc>
              <w:tc>
                <w:tcPr>
                  <w:tcW w:w="459" w:type="pct"/>
                  <w:tcBorders>
                    <w:tl2br w:val="nil"/>
                    <w:tr2bl w:val="nil"/>
                  </w:tcBorders>
                  <w:shd w:val="clear" w:color="auto" w:fill="auto"/>
                  <w:vAlign w:val="center"/>
                </w:tcPr>
                <w:p w14:paraId="1527A6A6">
                  <w:pPr>
                    <w:pStyle w:val="106"/>
                    <w:bidi w:val="0"/>
                    <w:rPr>
                      <w:rFonts w:hint="eastAsia"/>
                      <w:lang w:val="en-US" w:eastAsia="zh-CN"/>
                    </w:rPr>
                  </w:pPr>
                  <w:r>
                    <w:rPr>
                      <w:rFonts w:hint="eastAsia"/>
                    </w:rPr>
                    <w:t>吨</w:t>
                  </w:r>
                </w:p>
              </w:tc>
              <w:tc>
                <w:tcPr>
                  <w:tcW w:w="509" w:type="pct"/>
                  <w:tcBorders>
                    <w:tl2br w:val="nil"/>
                    <w:tr2bl w:val="nil"/>
                  </w:tcBorders>
                  <w:shd w:val="clear" w:color="auto" w:fill="auto"/>
                  <w:vAlign w:val="center"/>
                </w:tcPr>
                <w:p w14:paraId="551C39DB">
                  <w:pPr>
                    <w:pStyle w:val="106"/>
                    <w:bidi w:val="0"/>
                    <w:rPr>
                      <w:rFonts w:hint="default"/>
                      <w:lang w:val="en-US" w:eastAsia="zh-CN"/>
                    </w:rPr>
                  </w:pPr>
                  <w:r>
                    <w:rPr>
                      <w:rFonts w:hint="eastAsia"/>
                      <w:lang w:val="en-US" w:eastAsia="zh-CN"/>
                    </w:rPr>
                    <w:t>100</w:t>
                  </w:r>
                </w:p>
              </w:tc>
              <w:tc>
                <w:tcPr>
                  <w:tcW w:w="585" w:type="pct"/>
                  <w:tcBorders>
                    <w:tl2br w:val="nil"/>
                    <w:tr2bl w:val="nil"/>
                  </w:tcBorders>
                  <w:shd w:val="clear" w:color="auto" w:fill="auto"/>
                  <w:vAlign w:val="center"/>
                </w:tcPr>
                <w:p w14:paraId="38047800">
                  <w:pPr>
                    <w:pStyle w:val="106"/>
                    <w:bidi w:val="0"/>
                    <w:rPr>
                      <w:rFonts w:hint="default"/>
                      <w:lang w:val="en-US" w:eastAsia="zh-CN"/>
                    </w:rPr>
                  </w:pPr>
                  <w:r>
                    <w:rPr>
                      <w:rFonts w:hint="eastAsia"/>
                      <w:lang w:val="en-US" w:eastAsia="zh-CN"/>
                    </w:rPr>
                    <w:t>10</w:t>
                  </w:r>
                </w:p>
              </w:tc>
              <w:tc>
                <w:tcPr>
                  <w:tcW w:w="317" w:type="pct"/>
                  <w:tcBorders>
                    <w:tl2br w:val="nil"/>
                    <w:tr2bl w:val="nil"/>
                  </w:tcBorders>
                  <w:shd w:val="clear" w:color="auto" w:fill="auto"/>
                  <w:vAlign w:val="center"/>
                </w:tcPr>
                <w:p w14:paraId="38595879">
                  <w:pPr>
                    <w:pStyle w:val="106"/>
                    <w:bidi w:val="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7A0F7627">
                  <w:pPr>
                    <w:pStyle w:val="106"/>
                    <w:bidi w:val="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2C96CE0D">
                  <w:pPr>
                    <w:pStyle w:val="106"/>
                    <w:bidi w:val="0"/>
                    <w:rPr>
                      <w:rFonts w:hint="default"/>
                      <w:lang w:val="en-US" w:eastAsia="zh-CN"/>
                    </w:rPr>
                  </w:pPr>
                </w:p>
              </w:tc>
              <w:tc>
                <w:tcPr>
                  <w:tcW w:w="397" w:type="pct"/>
                  <w:tcBorders>
                    <w:tl2br w:val="nil"/>
                    <w:tr2bl w:val="nil"/>
                  </w:tcBorders>
                  <w:shd w:val="clear" w:color="auto" w:fill="auto"/>
                  <w:vAlign w:val="center"/>
                </w:tcPr>
                <w:p w14:paraId="17BE7D34">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5E9BA0C0">
                  <w:pPr>
                    <w:pStyle w:val="106"/>
                    <w:bidi w:val="0"/>
                    <w:rPr>
                      <w:rFonts w:hint="eastAsia"/>
                      <w:lang w:val="en-US" w:eastAsia="zh-CN"/>
                    </w:rPr>
                  </w:pPr>
                </w:p>
              </w:tc>
            </w:tr>
            <w:tr w14:paraId="3F61C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58536875">
                  <w:pPr>
                    <w:pStyle w:val="106"/>
                    <w:bidi w:val="0"/>
                  </w:pPr>
                </w:p>
              </w:tc>
              <w:tc>
                <w:tcPr>
                  <w:tcW w:w="1053" w:type="pct"/>
                  <w:tcBorders>
                    <w:tl2br w:val="nil"/>
                    <w:tr2bl w:val="nil"/>
                  </w:tcBorders>
                  <w:shd w:val="clear" w:color="auto" w:fill="auto"/>
                  <w:vAlign w:val="center"/>
                </w:tcPr>
                <w:p w14:paraId="6A37C38E">
                  <w:pPr>
                    <w:pStyle w:val="106"/>
                    <w:bidi w:val="0"/>
                    <w:rPr>
                      <w:rFonts w:hint="eastAsia"/>
                      <w:lang w:val="en-US" w:eastAsia="zh-CN"/>
                    </w:rPr>
                  </w:pPr>
                  <w:r>
                    <w:rPr>
                      <w:rFonts w:hint="eastAsia"/>
                    </w:rPr>
                    <w:t>食用盐</w:t>
                  </w:r>
                </w:p>
              </w:tc>
              <w:tc>
                <w:tcPr>
                  <w:tcW w:w="459" w:type="pct"/>
                  <w:tcBorders>
                    <w:tl2br w:val="nil"/>
                    <w:tr2bl w:val="nil"/>
                  </w:tcBorders>
                  <w:shd w:val="clear" w:color="auto" w:fill="auto"/>
                  <w:vAlign w:val="center"/>
                </w:tcPr>
                <w:p w14:paraId="41590E50">
                  <w:pPr>
                    <w:pStyle w:val="106"/>
                    <w:bidi w:val="0"/>
                    <w:rPr>
                      <w:rFonts w:hint="eastAsia"/>
                      <w:lang w:val="en-US" w:eastAsia="zh-CN"/>
                    </w:rPr>
                  </w:pPr>
                  <w:r>
                    <w:rPr>
                      <w:rFonts w:hint="eastAsia"/>
                    </w:rPr>
                    <w:t>吨</w:t>
                  </w:r>
                </w:p>
              </w:tc>
              <w:tc>
                <w:tcPr>
                  <w:tcW w:w="509" w:type="pct"/>
                  <w:tcBorders>
                    <w:tl2br w:val="nil"/>
                    <w:tr2bl w:val="nil"/>
                  </w:tcBorders>
                  <w:shd w:val="clear" w:color="auto" w:fill="auto"/>
                  <w:vAlign w:val="center"/>
                </w:tcPr>
                <w:p w14:paraId="0F3A4F9C">
                  <w:pPr>
                    <w:pStyle w:val="106"/>
                    <w:bidi w:val="0"/>
                    <w:rPr>
                      <w:rFonts w:hint="default"/>
                      <w:lang w:val="en-US" w:eastAsia="zh-CN"/>
                    </w:rPr>
                  </w:pPr>
                  <w:r>
                    <w:rPr>
                      <w:rFonts w:hint="eastAsia"/>
                      <w:lang w:val="en-US" w:eastAsia="zh-CN"/>
                    </w:rPr>
                    <w:t>50</w:t>
                  </w:r>
                </w:p>
              </w:tc>
              <w:tc>
                <w:tcPr>
                  <w:tcW w:w="585" w:type="pct"/>
                  <w:tcBorders>
                    <w:tl2br w:val="nil"/>
                    <w:tr2bl w:val="nil"/>
                  </w:tcBorders>
                  <w:shd w:val="clear" w:color="auto" w:fill="auto"/>
                  <w:vAlign w:val="center"/>
                </w:tcPr>
                <w:p w14:paraId="57BA118E">
                  <w:pPr>
                    <w:pStyle w:val="106"/>
                    <w:bidi w:val="0"/>
                    <w:rPr>
                      <w:rFonts w:hint="default"/>
                      <w:lang w:val="en-US" w:eastAsia="zh-CN"/>
                    </w:rPr>
                  </w:pPr>
                  <w:r>
                    <w:rPr>
                      <w:rFonts w:hint="eastAsia"/>
                      <w:lang w:val="en-US" w:eastAsia="zh-CN"/>
                    </w:rPr>
                    <w:t>5</w:t>
                  </w:r>
                </w:p>
              </w:tc>
              <w:tc>
                <w:tcPr>
                  <w:tcW w:w="317" w:type="pct"/>
                  <w:tcBorders>
                    <w:tl2br w:val="nil"/>
                    <w:tr2bl w:val="nil"/>
                  </w:tcBorders>
                  <w:shd w:val="clear" w:color="auto" w:fill="auto"/>
                  <w:vAlign w:val="center"/>
                </w:tcPr>
                <w:p w14:paraId="60438BA3">
                  <w:pPr>
                    <w:pStyle w:val="106"/>
                    <w:bidi w:val="0"/>
                    <w:ind w:firstLine="0" w:firstLineChars="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02B1D709">
                  <w:pPr>
                    <w:pStyle w:val="106"/>
                    <w:bidi w:val="0"/>
                    <w:ind w:firstLine="0" w:firstLineChars="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4264E385">
                  <w:pPr>
                    <w:pStyle w:val="106"/>
                    <w:bidi w:val="0"/>
                    <w:rPr>
                      <w:rFonts w:hint="default"/>
                      <w:lang w:val="en-US" w:eastAsia="zh-CN"/>
                    </w:rPr>
                  </w:pPr>
                </w:p>
              </w:tc>
              <w:tc>
                <w:tcPr>
                  <w:tcW w:w="397" w:type="pct"/>
                  <w:tcBorders>
                    <w:tl2br w:val="nil"/>
                    <w:tr2bl w:val="nil"/>
                  </w:tcBorders>
                  <w:shd w:val="clear" w:color="auto" w:fill="auto"/>
                  <w:vAlign w:val="center"/>
                </w:tcPr>
                <w:p w14:paraId="694DF1EA">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3D1E926C">
                  <w:pPr>
                    <w:pStyle w:val="106"/>
                    <w:bidi w:val="0"/>
                    <w:rPr>
                      <w:rFonts w:hint="eastAsia"/>
                      <w:lang w:val="en-US" w:eastAsia="zh-CN"/>
                    </w:rPr>
                  </w:pPr>
                </w:p>
              </w:tc>
            </w:tr>
            <w:tr w14:paraId="7CEB1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4E36DC46">
                  <w:pPr>
                    <w:pStyle w:val="106"/>
                    <w:bidi w:val="0"/>
                  </w:pPr>
                </w:p>
              </w:tc>
              <w:tc>
                <w:tcPr>
                  <w:tcW w:w="1053" w:type="pct"/>
                  <w:tcBorders>
                    <w:tl2br w:val="nil"/>
                    <w:tr2bl w:val="nil"/>
                  </w:tcBorders>
                  <w:shd w:val="clear" w:color="auto" w:fill="auto"/>
                  <w:vAlign w:val="center"/>
                </w:tcPr>
                <w:p w14:paraId="3C309004">
                  <w:pPr>
                    <w:pStyle w:val="106"/>
                    <w:bidi w:val="0"/>
                    <w:rPr>
                      <w:rFonts w:hint="eastAsia"/>
                      <w:lang w:val="en-US" w:eastAsia="zh-CN"/>
                    </w:rPr>
                  </w:pPr>
                  <w:r>
                    <w:rPr>
                      <w:rFonts w:hint="eastAsia"/>
                    </w:rPr>
                    <w:t>白砂糖</w:t>
                  </w:r>
                </w:p>
              </w:tc>
              <w:tc>
                <w:tcPr>
                  <w:tcW w:w="459" w:type="pct"/>
                  <w:tcBorders>
                    <w:tl2br w:val="nil"/>
                    <w:tr2bl w:val="nil"/>
                  </w:tcBorders>
                  <w:shd w:val="clear" w:color="auto" w:fill="auto"/>
                  <w:vAlign w:val="center"/>
                </w:tcPr>
                <w:p w14:paraId="70456BD9">
                  <w:pPr>
                    <w:pStyle w:val="106"/>
                    <w:bidi w:val="0"/>
                    <w:rPr>
                      <w:rFonts w:hint="eastAsia"/>
                      <w:lang w:val="en-US" w:eastAsia="zh-CN"/>
                    </w:rPr>
                  </w:pPr>
                  <w:r>
                    <w:rPr>
                      <w:rFonts w:hint="eastAsia"/>
                    </w:rPr>
                    <w:t>吨</w:t>
                  </w:r>
                </w:p>
              </w:tc>
              <w:tc>
                <w:tcPr>
                  <w:tcW w:w="509" w:type="pct"/>
                  <w:tcBorders>
                    <w:tl2br w:val="nil"/>
                    <w:tr2bl w:val="nil"/>
                  </w:tcBorders>
                  <w:shd w:val="clear" w:color="auto" w:fill="auto"/>
                  <w:vAlign w:val="center"/>
                </w:tcPr>
                <w:p w14:paraId="7A9DD549">
                  <w:pPr>
                    <w:pStyle w:val="106"/>
                    <w:bidi w:val="0"/>
                    <w:rPr>
                      <w:rFonts w:hint="default"/>
                      <w:lang w:val="en-US" w:eastAsia="zh-CN"/>
                    </w:rPr>
                  </w:pPr>
                  <w:r>
                    <w:rPr>
                      <w:rFonts w:hint="eastAsia"/>
                      <w:lang w:val="en-US" w:eastAsia="zh-CN"/>
                    </w:rPr>
                    <w:t>20</w:t>
                  </w:r>
                </w:p>
              </w:tc>
              <w:tc>
                <w:tcPr>
                  <w:tcW w:w="585" w:type="pct"/>
                  <w:tcBorders>
                    <w:tl2br w:val="nil"/>
                    <w:tr2bl w:val="nil"/>
                  </w:tcBorders>
                  <w:shd w:val="clear" w:color="auto" w:fill="auto"/>
                  <w:vAlign w:val="center"/>
                </w:tcPr>
                <w:p w14:paraId="6F58841B">
                  <w:pPr>
                    <w:pStyle w:val="106"/>
                    <w:bidi w:val="0"/>
                    <w:rPr>
                      <w:rFonts w:hint="default"/>
                      <w:lang w:val="en-US" w:eastAsia="zh-CN"/>
                    </w:rPr>
                  </w:pPr>
                  <w:r>
                    <w:rPr>
                      <w:rFonts w:hint="eastAsia"/>
                      <w:lang w:val="en-US" w:eastAsia="zh-CN"/>
                    </w:rPr>
                    <w:t>2</w:t>
                  </w:r>
                </w:p>
              </w:tc>
              <w:tc>
                <w:tcPr>
                  <w:tcW w:w="317" w:type="pct"/>
                  <w:tcBorders>
                    <w:tl2br w:val="nil"/>
                    <w:tr2bl w:val="nil"/>
                  </w:tcBorders>
                  <w:shd w:val="clear" w:color="auto" w:fill="auto"/>
                  <w:vAlign w:val="center"/>
                </w:tcPr>
                <w:p w14:paraId="2A858C2D">
                  <w:pPr>
                    <w:pStyle w:val="106"/>
                    <w:bidi w:val="0"/>
                    <w:ind w:firstLine="0" w:firstLineChars="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5F7BF7AD">
                  <w:pPr>
                    <w:pStyle w:val="106"/>
                    <w:bidi w:val="0"/>
                    <w:ind w:firstLine="0" w:firstLineChars="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5A586D3A">
                  <w:pPr>
                    <w:pStyle w:val="106"/>
                    <w:bidi w:val="0"/>
                    <w:rPr>
                      <w:rFonts w:hint="default"/>
                      <w:lang w:val="en-US" w:eastAsia="zh-CN"/>
                    </w:rPr>
                  </w:pPr>
                </w:p>
              </w:tc>
              <w:tc>
                <w:tcPr>
                  <w:tcW w:w="397" w:type="pct"/>
                  <w:tcBorders>
                    <w:tl2br w:val="nil"/>
                    <w:tr2bl w:val="nil"/>
                  </w:tcBorders>
                  <w:shd w:val="clear" w:color="auto" w:fill="auto"/>
                  <w:vAlign w:val="center"/>
                </w:tcPr>
                <w:p w14:paraId="4E48BF71">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56D5AE44">
                  <w:pPr>
                    <w:pStyle w:val="106"/>
                    <w:bidi w:val="0"/>
                    <w:rPr>
                      <w:rFonts w:hint="eastAsia"/>
                      <w:lang w:val="en-US" w:eastAsia="zh-CN"/>
                    </w:rPr>
                  </w:pPr>
                </w:p>
              </w:tc>
            </w:tr>
            <w:tr w14:paraId="7DF3A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46072ECB">
                  <w:pPr>
                    <w:pStyle w:val="106"/>
                    <w:bidi w:val="0"/>
                  </w:pPr>
                </w:p>
              </w:tc>
              <w:tc>
                <w:tcPr>
                  <w:tcW w:w="1053" w:type="pct"/>
                  <w:tcBorders>
                    <w:tl2br w:val="nil"/>
                    <w:tr2bl w:val="nil"/>
                  </w:tcBorders>
                  <w:shd w:val="clear" w:color="auto" w:fill="auto"/>
                  <w:vAlign w:val="center"/>
                </w:tcPr>
                <w:p w14:paraId="09DEC7B2">
                  <w:pPr>
                    <w:pStyle w:val="106"/>
                    <w:bidi w:val="0"/>
                    <w:rPr>
                      <w:rFonts w:hint="eastAsia"/>
                      <w:lang w:val="en-US" w:eastAsia="zh-CN"/>
                    </w:rPr>
                  </w:pPr>
                  <w:r>
                    <w:rPr>
                      <w:rFonts w:hint="eastAsia"/>
                    </w:rPr>
                    <w:t>香辛料</w:t>
                  </w:r>
                </w:p>
              </w:tc>
              <w:tc>
                <w:tcPr>
                  <w:tcW w:w="459" w:type="pct"/>
                  <w:tcBorders>
                    <w:tl2br w:val="nil"/>
                    <w:tr2bl w:val="nil"/>
                  </w:tcBorders>
                  <w:shd w:val="clear" w:color="auto" w:fill="auto"/>
                  <w:vAlign w:val="center"/>
                </w:tcPr>
                <w:p w14:paraId="3C5DBE5E">
                  <w:pPr>
                    <w:pStyle w:val="106"/>
                    <w:bidi w:val="0"/>
                    <w:rPr>
                      <w:rFonts w:hint="eastAsia"/>
                      <w:lang w:val="en-US" w:eastAsia="zh-CN"/>
                    </w:rPr>
                  </w:pPr>
                  <w:r>
                    <w:rPr>
                      <w:rFonts w:hint="eastAsia"/>
                    </w:rPr>
                    <w:t>吨</w:t>
                  </w:r>
                </w:p>
              </w:tc>
              <w:tc>
                <w:tcPr>
                  <w:tcW w:w="509" w:type="pct"/>
                  <w:tcBorders>
                    <w:tl2br w:val="nil"/>
                    <w:tr2bl w:val="nil"/>
                  </w:tcBorders>
                  <w:shd w:val="clear" w:color="auto" w:fill="auto"/>
                  <w:vAlign w:val="center"/>
                </w:tcPr>
                <w:p w14:paraId="1AE538A1">
                  <w:pPr>
                    <w:pStyle w:val="106"/>
                    <w:bidi w:val="0"/>
                    <w:rPr>
                      <w:rFonts w:hint="default"/>
                      <w:lang w:val="en-US" w:eastAsia="zh-CN"/>
                    </w:rPr>
                  </w:pPr>
                  <w:r>
                    <w:rPr>
                      <w:rFonts w:hint="eastAsia"/>
                      <w:lang w:val="en-US" w:eastAsia="zh-CN"/>
                    </w:rPr>
                    <w:t>5</w:t>
                  </w:r>
                </w:p>
              </w:tc>
              <w:tc>
                <w:tcPr>
                  <w:tcW w:w="585" w:type="pct"/>
                  <w:tcBorders>
                    <w:tl2br w:val="nil"/>
                    <w:tr2bl w:val="nil"/>
                  </w:tcBorders>
                  <w:shd w:val="clear" w:color="auto" w:fill="auto"/>
                  <w:vAlign w:val="center"/>
                </w:tcPr>
                <w:p w14:paraId="56BD4CA8">
                  <w:pPr>
                    <w:pStyle w:val="106"/>
                    <w:bidi w:val="0"/>
                    <w:rPr>
                      <w:rFonts w:hint="default"/>
                      <w:lang w:val="en-US" w:eastAsia="zh-CN"/>
                    </w:rPr>
                  </w:pPr>
                  <w:r>
                    <w:rPr>
                      <w:rFonts w:hint="eastAsia"/>
                      <w:lang w:val="en-US" w:eastAsia="zh-CN"/>
                    </w:rPr>
                    <w:t>0.5</w:t>
                  </w:r>
                </w:p>
              </w:tc>
              <w:tc>
                <w:tcPr>
                  <w:tcW w:w="317" w:type="pct"/>
                  <w:tcBorders>
                    <w:tl2br w:val="nil"/>
                    <w:tr2bl w:val="nil"/>
                  </w:tcBorders>
                  <w:shd w:val="clear" w:color="auto" w:fill="auto"/>
                  <w:vAlign w:val="center"/>
                </w:tcPr>
                <w:p w14:paraId="2EDCB3C4">
                  <w:pPr>
                    <w:pStyle w:val="106"/>
                    <w:bidi w:val="0"/>
                    <w:ind w:firstLine="0" w:firstLineChars="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139B6240">
                  <w:pPr>
                    <w:pStyle w:val="106"/>
                    <w:bidi w:val="0"/>
                    <w:ind w:firstLine="0" w:firstLineChars="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16C8CEF2">
                  <w:pPr>
                    <w:pStyle w:val="106"/>
                    <w:bidi w:val="0"/>
                    <w:rPr>
                      <w:rFonts w:hint="default"/>
                      <w:lang w:val="en-US" w:eastAsia="zh-CN"/>
                    </w:rPr>
                  </w:pPr>
                </w:p>
              </w:tc>
              <w:tc>
                <w:tcPr>
                  <w:tcW w:w="397" w:type="pct"/>
                  <w:tcBorders>
                    <w:tl2br w:val="nil"/>
                    <w:tr2bl w:val="nil"/>
                  </w:tcBorders>
                  <w:shd w:val="clear" w:color="auto" w:fill="auto"/>
                  <w:vAlign w:val="center"/>
                </w:tcPr>
                <w:p w14:paraId="1AE929A8">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2903513B">
                  <w:pPr>
                    <w:pStyle w:val="106"/>
                    <w:bidi w:val="0"/>
                    <w:rPr>
                      <w:rFonts w:hint="eastAsia"/>
                      <w:lang w:val="en-US" w:eastAsia="zh-CN"/>
                    </w:rPr>
                  </w:pPr>
                </w:p>
              </w:tc>
            </w:tr>
            <w:tr w14:paraId="41648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6FAC0763">
                  <w:pPr>
                    <w:pStyle w:val="106"/>
                    <w:bidi w:val="0"/>
                  </w:pPr>
                </w:p>
              </w:tc>
              <w:tc>
                <w:tcPr>
                  <w:tcW w:w="1053" w:type="pct"/>
                  <w:tcBorders>
                    <w:tl2br w:val="nil"/>
                    <w:tr2bl w:val="nil"/>
                  </w:tcBorders>
                  <w:shd w:val="clear" w:color="auto" w:fill="auto"/>
                  <w:vAlign w:val="center"/>
                </w:tcPr>
                <w:p w14:paraId="36E7AFB7">
                  <w:pPr>
                    <w:pStyle w:val="106"/>
                    <w:bidi w:val="0"/>
                    <w:rPr>
                      <w:rFonts w:hint="eastAsia"/>
                      <w:lang w:val="en-US" w:eastAsia="zh-CN"/>
                    </w:rPr>
                  </w:pPr>
                  <w:r>
                    <w:rPr>
                      <w:rFonts w:hint="eastAsia"/>
                    </w:rPr>
                    <w:t>复配增稠剂</w:t>
                  </w:r>
                </w:p>
              </w:tc>
              <w:tc>
                <w:tcPr>
                  <w:tcW w:w="459" w:type="pct"/>
                  <w:tcBorders>
                    <w:tl2br w:val="nil"/>
                    <w:tr2bl w:val="nil"/>
                  </w:tcBorders>
                  <w:shd w:val="clear" w:color="auto" w:fill="auto"/>
                  <w:vAlign w:val="center"/>
                </w:tcPr>
                <w:p w14:paraId="0C81679D">
                  <w:pPr>
                    <w:pStyle w:val="106"/>
                    <w:bidi w:val="0"/>
                    <w:rPr>
                      <w:rFonts w:hint="eastAsia"/>
                      <w:lang w:val="en-US" w:eastAsia="zh-CN"/>
                    </w:rPr>
                  </w:pPr>
                  <w:r>
                    <w:rPr>
                      <w:rFonts w:hint="eastAsia"/>
                    </w:rPr>
                    <w:t>吨</w:t>
                  </w:r>
                </w:p>
              </w:tc>
              <w:tc>
                <w:tcPr>
                  <w:tcW w:w="509" w:type="pct"/>
                  <w:tcBorders>
                    <w:tl2br w:val="nil"/>
                    <w:tr2bl w:val="nil"/>
                  </w:tcBorders>
                  <w:shd w:val="clear" w:color="auto" w:fill="auto"/>
                  <w:vAlign w:val="center"/>
                </w:tcPr>
                <w:p w14:paraId="439E5BC3">
                  <w:pPr>
                    <w:pStyle w:val="106"/>
                    <w:bidi w:val="0"/>
                    <w:rPr>
                      <w:rFonts w:hint="default"/>
                      <w:lang w:val="en-US" w:eastAsia="zh-CN"/>
                    </w:rPr>
                  </w:pPr>
                  <w:r>
                    <w:rPr>
                      <w:rFonts w:hint="eastAsia"/>
                      <w:lang w:val="en-US" w:eastAsia="zh-CN"/>
                    </w:rPr>
                    <w:t>0.5</w:t>
                  </w:r>
                </w:p>
              </w:tc>
              <w:tc>
                <w:tcPr>
                  <w:tcW w:w="585" w:type="pct"/>
                  <w:tcBorders>
                    <w:tl2br w:val="nil"/>
                    <w:tr2bl w:val="nil"/>
                  </w:tcBorders>
                  <w:shd w:val="clear" w:color="auto" w:fill="auto"/>
                  <w:vAlign w:val="center"/>
                </w:tcPr>
                <w:p w14:paraId="5D99472A">
                  <w:pPr>
                    <w:pStyle w:val="106"/>
                    <w:bidi w:val="0"/>
                    <w:rPr>
                      <w:rFonts w:hint="default"/>
                      <w:lang w:val="en-US" w:eastAsia="zh-CN"/>
                    </w:rPr>
                  </w:pPr>
                  <w:r>
                    <w:rPr>
                      <w:rFonts w:hint="eastAsia"/>
                      <w:lang w:val="en-US" w:eastAsia="zh-CN"/>
                    </w:rPr>
                    <w:t>0.1</w:t>
                  </w:r>
                </w:p>
              </w:tc>
              <w:tc>
                <w:tcPr>
                  <w:tcW w:w="317" w:type="pct"/>
                  <w:tcBorders>
                    <w:tl2br w:val="nil"/>
                    <w:tr2bl w:val="nil"/>
                  </w:tcBorders>
                  <w:shd w:val="clear" w:color="auto" w:fill="auto"/>
                  <w:vAlign w:val="center"/>
                </w:tcPr>
                <w:p w14:paraId="00D625B9">
                  <w:pPr>
                    <w:pStyle w:val="106"/>
                    <w:bidi w:val="0"/>
                    <w:ind w:firstLine="0" w:firstLineChars="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447CB0E3">
                  <w:pPr>
                    <w:pStyle w:val="106"/>
                    <w:bidi w:val="0"/>
                    <w:ind w:firstLine="0" w:firstLineChars="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6697A868">
                  <w:pPr>
                    <w:pStyle w:val="106"/>
                    <w:bidi w:val="0"/>
                    <w:rPr>
                      <w:rFonts w:hint="default"/>
                      <w:lang w:val="en-US" w:eastAsia="zh-CN"/>
                    </w:rPr>
                  </w:pPr>
                </w:p>
              </w:tc>
              <w:tc>
                <w:tcPr>
                  <w:tcW w:w="397" w:type="pct"/>
                  <w:tcBorders>
                    <w:tl2br w:val="nil"/>
                    <w:tr2bl w:val="nil"/>
                  </w:tcBorders>
                  <w:shd w:val="clear" w:color="auto" w:fill="auto"/>
                  <w:vAlign w:val="center"/>
                </w:tcPr>
                <w:p w14:paraId="4FF5D725">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7A3A6E26">
                  <w:pPr>
                    <w:pStyle w:val="106"/>
                    <w:bidi w:val="0"/>
                    <w:rPr>
                      <w:rFonts w:hint="eastAsia"/>
                      <w:lang w:val="en-US" w:eastAsia="zh-CN"/>
                    </w:rPr>
                  </w:pPr>
                </w:p>
              </w:tc>
            </w:tr>
            <w:tr w14:paraId="4D4AB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07501C6C">
                  <w:pPr>
                    <w:pStyle w:val="106"/>
                    <w:bidi w:val="0"/>
                  </w:pPr>
                </w:p>
              </w:tc>
              <w:tc>
                <w:tcPr>
                  <w:tcW w:w="1053" w:type="pct"/>
                  <w:tcBorders>
                    <w:tl2br w:val="nil"/>
                    <w:tr2bl w:val="nil"/>
                  </w:tcBorders>
                  <w:shd w:val="clear" w:color="auto" w:fill="auto"/>
                  <w:vAlign w:val="center"/>
                </w:tcPr>
                <w:p w14:paraId="2C16C1AB">
                  <w:pPr>
                    <w:pStyle w:val="106"/>
                    <w:bidi w:val="0"/>
                    <w:rPr>
                      <w:rFonts w:hint="eastAsia"/>
                      <w:lang w:val="en-US" w:eastAsia="zh-CN"/>
                    </w:rPr>
                  </w:pPr>
                  <w:r>
                    <w:rPr>
                      <w:rFonts w:hint="eastAsia"/>
                    </w:rPr>
                    <w:t>谷氨酸钠</w:t>
                  </w:r>
                </w:p>
              </w:tc>
              <w:tc>
                <w:tcPr>
                  <w:tcW w:w="459" w:type="pct"/>
                  <w:tcBorders>
                    <w:tl2br w:val="nil"/>
                    <w:tr2bl w:val="nil"/>
                  </w:tcBorders>
                  <w:shd w:val="clear" w:color="auto" w:fill="auto"/>
                  <w:vAlign w:val="center"/>
                </w:tcPr>
                <w:p w14:paraId="03EBED3C">
                  <w:pPr>
                    <w:pStyle w:val="106"/>
                    <w:bidi w:val="0"/>
                    <w:rPr>
                      <w:rFonts w:hint="eastAsia"/>
                      <w:lang w:val="en-US" w:eastAsia="zh-CN"/>
                    </w:rPr>
                  </w:pPr>
                  <w:r>
                    <w:rPr>
                      <w:rFonts w:hint="eastAsia"/>
                    </w:rPr>
                    <w:t>吨</w:t>
                  </w:r>
                </w:p>
              </w:tc>
              <w:tc>
                <w:tcPr>
                  <w:tcW w:w="509" w:type="pct"/>
                  <w:tcBorders>
                    <w:tl2br w:val="nil"/>
                    <w:tr2bl w:val="nil"/>
                  </w:tcBorders>
                  <w:shd w:val="clear" w:color="auto" w:fill="auto"/>
                  <w:vAlign w:val="center"/>
                </w:tcPr>
                <w:p w14:paraId="2148F49D">
                  <w:pPr>
                    <w:pStyle w:val="106"/>
                    <w:bidi w:val="0"/>
                    <w:rPr>
                      <w:rFonts w:hint="default"/>
                      <w:lang w:val="en-US" w:eastAsia="zh-CN"/>
                    </w:rPr>
                  </w:pPr>
                  <w:r>
                    <w:rPr>
                      <w:rFonts w:hint="eastAsia"/>
                      <w:lang w:val="en-US" w:eastAsia="zh-CN"/>
                    </w:rPr>
                    <w:t>0.5</w:t>
                  </w:r>
                </w:p>
              </w:tc>
              <w:tc>
                <w:tcPr>
                  <w:tcW w:w="585" w:type="pct"/>
                  <w:tcBorders>
                    <w:tl2br w:val="nil"/>
                    <w:tr2bl w:val="nil"/>
                  </w:tcBorders>
                  <w:shd w:val="clear" w:color="auto" w:fill="auto"/>
                  <w:vAlign w:val="center"/>
                </w:tcPr>
                <w:p w14:paraId="4AF763E2">
                  <w:pPr>
                    <w:pStyle w:val="106"/>
                    <w:bidi w:val="0"/>
                    <w:rPr>
                      <w:rFonts w:hint="default"/>
                      <w:lang w:val="en-US" w:eastAsia="zh-CN"/>
                    </w:rPr>
                  </w:pPr>
                  <w:r>
                    <w:rPr>
                      <w:rFonts w:hint="eastAsia"/>
                      <w:lang w:val="en-US" w:eastAsia="zh-CN"/>
                    </w:rPr>
                    <w:t>0.1</w:t>
                  </w:r>
                </w:p>
              </w:tc>
              <w:tc>
                <w:tcPr>
                  <w:tcW w:w="317" w:type="pct"/>
                  <w:tcBorders>
                    <w:tl2br w:val="nil"/>
                    <w:tr2bl w:val="nil"/>
                  </w:tcBorders>
                  <w:shd w:val="clear" w:color="auto" w:fill="auto"/>
                  <w:vAlign w:val="center"/>
                </w:tcPr>
                <w:p w14:paraId="2A0FE0B0">
                  <w:pPr>
                    <w:pStyle w:val="106"/>
                    <w:bidi w:val="0"/>
                    <w:ind w:firstLine="0" w:firstLineChars="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7938D74F">
                  <w:pPr>
                    <w:pStyle w:val="106"/>
                    <w:bidi w:val="0"/>
                    <w:ind w:firstLine="0" w:firstLineChars="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7E93F9E7">
                  <w:pPr>
                    <w:pStyle w:val="106"/>
                    <w:bidi w:val="0"/>
                    <w:rPr>
                      <w:rFonts w:hint="default"/>
                      <w:lang w:val="en-US" w:eastAsia="zh-CN"/>
                    </w:rPr>
                  </w:pPr>
                </w:p>
              </w:tc>
              <w:tc>
                <w:tcPr>
                  <w:tcW w:w="397" w:type="pct"/>
                  <w:tcBorders>
                    <w:tl2br w:val="nil"/>
                    <w:tr2bl w:val="nil"/>
                  </w:tcBorders>
                  <w:shd w:val="clear" w:color="auto" w:fill="auto"/>
                  <w:vAlign w:val="center"/>
                </w:tcPr>
                <w:p w14:paraId="489BAB0D">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7A86CD96">
                  <w:pPr>
                    <w:pStyle w:val="106"/>
                    <w:bidi w:val="0"/>
                    <w:rPr>
                      <w:rFonts w:hint="eastAsia"/>
                      <w:lang w:val="en-US" w:eastAsia="zh-CN"/>
                    </w:rPr>
                  </w:pPr>
                </w:p>
              </w:tc>
            </w:tr>
            <w:tr w14:paraId="1545D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31C45497">
                  <w:pPr>
                    <w:pStyle w:val="106"/>
                    <w:bidi w:val="0"/>
                  </w:pPr>
                </w:p>
              </w:tc>
              <w:tc>
                <w:tcPr>
                  <w:tcW w:w="1053" w:type="pct"/>
                  <w:tcBorders>
                    <w:tl2br w:val="nil"/>
                    <w:tr2bl w:val="nil"/>
                  </w:tcBorders>
                  <w:shd w:val="clear" w:color="auto" w:fill="auto"/>
                  <w:vAlign w:val="center"/>
                </w:tcPr>
                <w:p w14:paraId="1084BAA5">
                  <w:pPr>
                    <w:pStyle w:val="106"/>
                    <w:bidi w:val="0"/>
                    <w:rPr>
                      <w:rFonts w:hint="eastAsia"/>
                      <w:lang w:val="en-US" w:eastAsia="zh-CN"/>
                    </w:rPr>
                  </w:pPr>
                  <w:r>
                    <w:rPr>
                      <w:rFonts w:hint="eastAsia"/>
                    </w:rPr>
                    <w:t>焦磷酸钠</w:t>
                  </w:r>
                </w:p>
              </w:tc>
              <w:tc>
                <w:tcPr>
                  <w:tcW w:w="459" w:type="pct"/>
                  <w:tcBorders>
                    <w:tl2br w:val="nil"/>
                    <w:tr2bl w:val="nil"/>
                  </w:tcBorders>
                  <w:shd w:val="clear" w:color="auto" w:fill="auto"/>
                  <w:vAlign w:val="center"/>
                </w:tcPr>
                <w:p w14:paraId="1531B777">
                  <w:pPr>
                    <w:pStyle w:val="106"/>
                    <w:bidi w:val="0"/>
                    <w:rPr>
                      <w:rFonts w:hint="eastAsia"/>
                      <w:lang w:val="en-US" w:eastAsia="zh-CN"/>
                    </w:rPr>
                  </w:pPr>
                  <w:r>
                    <w:rPr>
                      <w:rFonts w:hint="eastAsia"/>
                    </w:rPr>
                    <w:t>吨</w:t>
                  </w:r>
                </w:p>
              </w:tc>
              <w:tc>
                <w:tcPr>
                  <w:tcW w:w="509" w:type="pct"/>
                  <w:tcBorders>
                    <w:tl2br w:val="nil"/>
                    <w:tr2bl w:val="nil"/>
                  </w:tcBorders>
                  <w:shd w:val="clear" w:color="auto" w:fill="auto"/>
                  <w:vAlign w:val="center"/>
                </w:tcPr>
                <w:p w14:paraId="06DF0BF6">
                  <w:pPr>
                    <w:pStyle w:val="106"/>
                    <w:bidi w:val="0"/>
                    <w:rPr>
                      <w:rFonts w:hint="default"/>
                      <w:lang w:val="en-US" w:eastAsia="zh-CN"/>
                    </w:rPr>
                  </w:pPr>
                  <w:r>
                    <w:rPr>
                      <w:rFonts w:hint="eastAsia"/>
                      <w:lang w:val="en-US" w:eastAsia="zh-CN"/>
                    </w:rPr>
                    <w:t>0.5</w:t>
                  </w:r>
                </w:p>
              </w:tc>
              <w:tc>
                <w:tcPr>
                  <w:tcW w:w="585" w:type="pct"/>
                  <w:tcBorders>
                    <w:tl2br w:val="nil"/>
                    <w:tr2bl w:val="nil"/>
                  </w:tcBorders>
                  <w:shd w:val="clear" w:color="auto" w:fill="auto"/>
                  <w:vAlign w:val="center"/>
                </w:tcPr>
                <w:p w14:paraId="23A962AB">
                  <w:pPr>
                    <w:pStyle w:val="106"/>
                    <w:bidi w:val="0"/>
                    <w:rPr>
                      <w:rFonts w:hint="default"/>
                      <w:lang w:val="en-US" w:eastAsia="zh-CN"/>
                    </w:rPr>
                  </w:pPr>
                  <w:r>
                    <w:rPr>
                      <w:rFonts w:hint="eastAsia"/>
                      <w:lang w:val="en-US" w:eastAsia="zh-CN"/>
                    </w:rPr>
                    <w:t>0.1</w:t>
                  </w:r>
                </w:p>
              </w:tc>
              <w:tc>
                <w:tcPr>
                  <w:tcW w:w="317" w:type="pct"/>
                  <w:tcBorders>
                    <w:tl2br w:val="nil"/>
                    <w:tr2bl w:val="nil"/>
                  </w:tcBorders>
                  <w:shd w:val="clear" w:color="auto" w:fill="auto"/>
                  <w:vAlign w:val="center"/>
                </w:tcPr>
                <w:p w14:paraId="07F3DFC7">
                  <w:pPr>
                    <w:pStyle w:val="106"/>
                    <w:bidi w:val="0"/>
                    <w:ind w:firstLine="0" w:firstLineChars="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4F141527">
                  <w:pPr>
                    <w:pStyle w:val="106"/>
                    <w:bidi w:val="0"/>
                    <w:ind w:firstLine="0" w:firstLineChars="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33A894CA">
                  <w:pPr>
                    <w:pStyle w:val="106"/>
                    <w:bidi w:val="0"/>
                    <w:rPr>
                      <w:rFonts w:hint="default"/>
                      <w:lang w:val="en-US" w:eastAsia="zh-CN"/>
                    </w:rPr>
                  </w:pPr>
                </w:p>
              </w:tc>
              <w:tc>
                <w:tcPr>
                  <w:tcW w:w="397" w:type="pct"/>
                  <w:tcBorders>
                    <w:tl2br w:val="nil"/>
                    <w:tr2bl w:val="nil"/>
                  </w:tcBorders>
                  <w:shd w:val="clear" w:color="auto" w:fill="auto"/>
                  <w:vAlign w:val="center"/>
                </w:tcPr>
                <w:p w14:paraId="5BD298C1">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37B5FFFA">
                  <w:pPr>
                    <w:pStyle w:val="106"/>
                    <w:bidi w:val="0"/>
                    <w:rPr>
                      <w:rFonts w:hint="eastAsia"/>
                      <w:lang w:val="en-US" w:eastAsia="zh-CN"/>
                    </w:rPr>
                  </w:pPr>
                </w:p>
              </w:tc>
            </w:tr>
            <w:tr w14:paraId="10DF2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414FD61B">
                  <w:pPr>
                    <w:pStyle w:val="106"/>
                    <w:bidi w:val="0"/>
                  </w:pPr>
                </w:p>
              </w:tc>
              <w:tc>
                <w:tcPr>
                  <w:tcW w:w="1053" w:type="pct"/>
                  <w:tcBorders>
                    <w:tl2br w:val="nil"/>
                    <w:tr2bl w:val="nil"/>
                  </w:tcBorders>
                  <w:shd w:val="clear" w:color="auto" w:fill="auto"/>
                  <w:vAlign w:val="center"/>
                </w:tcPr>
                <w:p w14:paraId="2AB2D9B0">
                  <w:pPr>
                    <w:pStyle w:val="106"/>
                    <w:bidi w:val="0"/>
                    <w:rPr>
                      <w:rFonts w:hint="eastAsia"/>
                      <w:lang w:val="en-US" w:eastAsia="zh-CN"/>
                    </w:rPr>
                  </w:pPr>
                  <w:r>
                    <w:rPr>
                      <w:rFonts w:hint="eastAsia"/>
                    </w:rPr>
                    <w:t>三聚磷酸钠</w:t>
                  </w:r>
                </w:p>
              </w:tc>
              <w:tc>
                <w:tcPr>
                  <w:tcW w:w="459" w:type="pct"/>
                  <w:tcBorders>
                    <w:tl2br w:val="nil"/>
                    <w:tr2bl w:val="nil"/>
                  </w:tcBorders>
                  <w:shd w:val="clear" w:color="auto" w:fill="auto"/>
                  <w:vAlign w:val="center"/>
                </w:tcPr>
                <w:p w14:paraId="547AEB83">
                  <w:pPr>
                    <w:pStyle w:val="106"/>
                    <w:bidi w:val="0"/>
                    <w:rPr>
                      <w:rFonts w:hint="eastAsia"/>
                      <w:lang w:val="en-US" w:eastAsia="zh-CN"/>
                    </w:rPr>
                  </w:pPr>
                  <w:r>
                    <w:rPr>
                      <w:rFonts w:hint="eastAsia"/>
                    </w:rPr>
                    <w:t>吨</w:t>
                  </w:r>
                </w:p>
              </w:tc>
              <w:tc>
                <w:tcPr>
                  <w:tcW w:w="509" w:type="pct"/>
                  <w:tcBorders>
                    <w:tl2br w:val="nil"/>
                    <w:tr2bl w:val="nil"/>
                  </w:tcBorders>
                  <w:shd w:val="clear" w:color="auto" w:fill="auto"/>
                  <w:vAlign w:val="center"/>
                </w:tcPr>
                <w:p w14:paraId="15937D27">
                  <w:pPr>
                    <w:pStyle w:val="106"/>
                    <w:bidi w:val="0"/>
                    <w:rPr>
                      <w:rFonts w:hint="default"/>
                      <w:lang w:val="en-US" w:eastAsia="zh-CN"/>
                    </w:rPr>
                  </w:pPr>
                  <w:r>
                    <w:rPr>
                      <w:rFonts w:hint="eastAsia"/>
                      <w:lang w:val="en-US" w:eastAsia="zh-CN"/>
                    </w:rPr>
                    <w:t>0.5</w:t>
                  </w:r>
                </w:p>
              </w:tc>
              <w:tc>
                <w:tcPr>
                  <w:tcW w:w="585" w:type="pct"/>
                  <w:tcBorders>
                    <w:tl2br w:val="nil"/>
                    <w:tr2bl w:val="nil"/>
                  </w:tcBorders>
                  <w:shd w:val="clear" w:color="auto" w:fill="auto"/>
                  <w:vAlign w:val="center"/>
                </w:tcPr>
                <w:p w14:paraId="7DE877A7">
                  <w:pPr>
                    <w:pStyle w:val="106"/>
                    <w:bidi w:val="0"/>
                    <w:rPr>
                      <w:rFonts w:hint="default"/>
                      <w:lang w:val="en-US" w:eastAsia="zh-CN"/>
                    </w:rPr>
                  </w:pPr>
                  <w:r>
                    <w:rPr>
                      <w:rFonts w:hint="eastAsia"/>
                      <w:lang w:val="en-US" w:eastAsia="zh-CN"/>
                    </w:rPr>
                    <w:t>0.1</w:t>
                  </w:r>
                </w:p>
              </w:tc>
              <w:tc>
                <w:tcPr>
                  <w:tcW w:w="317" w:type="pct"/>
                  <w:tcBorders>
                    <w:tl2br w:val="nil"/>
                    <w:tr2bl w:val="nil"/>
                  </w:tcBorders>
                  <w:shd w:val="clear" w:color="auto" w:fill="auto"/>
                  <w:vAlign w:val="center"/>
                </w:tcPr>
                <w:p w14:paraId="37F30A41">
                  <w:pPr>
                    <w:pStyle w:val="106"/>
                    <w:bidi w:val="0"/>
                    <w:ind w:firstLine="0" w:firstLineChars="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63ED2840">
                  <w:pPr>
                    <w:pStyle w:val="106"/>
                    <w:bidi w:val="0"/>
                    <w:ind w:firstLine="0" w:firstLineChars="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22C7AB2F">
                  <w:pPr>
                    <w:pStyle w:val="106"/>
                    <w:bidi w:val="0"/>
                    <w:rPr>
                      <w:rFonts w:hint="default"/>
                      <w:lang w:val="en-US" w:eastAsia="zh-CN"/>
                    </w:rPr>
                  </w:pPr>
                </w:p>
              </w:tc>
              <w:tc>
                <w:tcPr>
                  <w:tcW w:w="397" w:type="pct"/>
                  <w:tcBorders>
                    <w:tl2br w:val="nil"/>
                    <w:tr2bl w:val="nil"/>
                  </w:tcBorders>
                  <w:shd w:val="clear" w:color="auto" w:fill="auto"/>
                  <w:vAlign w:val="center"/>
                </w:tcPr>
                <w:p w14:paraId="5B8B1179">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1C195289">
                  <w:pPr>
                    <w:pStyle w:val="106"/>
                    <w:bidi w:val="0"/>
                    <w:rPr>
                      <w:rFonts w:hint="eastAsia"/>
                      <w:lang w:val="en-US" w:eastAsia="zh-CN"/>
                    </w:rPr>
                  </w:pPr>
                </w:p>
              </w:tc>
            </w:tr>
            <w:tr w14:paraId="3587F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7B030861">
                  <w:pPr>
                    <w:pStyle w:val="106"/>
                    <w:bidi w:val="0"/>
                  </w:pPr>
                </w:p>
              </w:tc>
              <w:tc>
                <w:tcPr>
                  <w:tcW w:w="1053" w:type="pct"/>
                  <w:tcBorders>
                    <w:tl2br w:val="nil"/>
                    <w:tr2bl w:val="nil"/>
                  </w:tcBorders>
                  <w:shd w:val="clear" w:color="auto" w:fill="auto"/>
                  <w:vAlign w:val="center"/>
                </w:tcPr>
                <w:p w14:paraId="3251054B">
                  <w:pPr>
                    <w:pStyle w:val="106"/>
                    <w:bidi w:val="0"/>
                    <w:rPr>
                      <w:rFonts w:hint="eastAsia"/>
                      <w:lang w:val="en-US" w:eastAsia="zh-CN"/>
                    </w:rPr>
                  </w:pPr>
                  <w:r>
                    <w:rPr>
                      <w:rFonts w:hint="eastAsia"/>
                    </w:rPr>
                    <w:t>赤藓红</w:t>
                  </w:r>
                </w:p>
              </w:tc>
              <w:tc>
                <w:tcPr>
                  <w:tcW w:w="459" w:type="pct"/>
                  <w:tcBorders>
                    <w:tl2br w:val="nil"/>
                    <w:tr2bl w:val="nil"/>
                  </w:tcBorders>
                  <w:shd w:val="clear" w:color="auto" w:fill="auto"/>
                  <w:vAlign w:val="center"/>
                </w:tcPr>
                <w:p w14:paraId="013976B8">
                  <w:pPr>
                    <w:pStyle w:val="106"/>
                    <w:bidi w:val="0"/>
                    <w:rPr>
                      <w:rFonts w:hint="eastAsia"/>
                      <w:lang w:val="en-US" w:eastAsia="zh-CN"/>
                    </w:rPr>
                  </w:pPr>
                  <w:r>
                    <w:rPr>
                      <w:rFonts w:hint="eastAsia"/>
                    </w:rPr>
                    <w:t>吨</w:t>
                  </w:r>
                </w:p>
              </w:tc>
              <w:tc>
                <w:tcPr>
                  <w:tcW w:w="509" w:type="pct"/>
                  <w:tcBorders>
                    <w:tl2br w:val="nil"/>
                    <w:tr2bl w:val="nil"/>
                  </w:tcBorders>
                  <w:shd w:val="clear" w:color="auto" w:fill="auto"/>
                  <w:vAlign w:val="center"/>
                </w:tcPr>
                <w:p w14:paraId="35FE9784">
                  <w:pPr>
                    <w:pStyle w:val="106"/>
                    <w:bidi w:val="0"/>
                    <w:rPr>
                      <w:rFonts w:hint="default"/>
                      <w:lang w:val="en-US" w:eastAsia="zh-CN"/>
                    </w:rPr>
                  </w:pPr>
                  <w:r>
                    <w:rPr>
                      <w:rFonts w:hint="eastAsia"/>
                      <w:lang w:val="en-US" w:eastAsia="zh-CN"/>
                    </w:rPr>
                    <w:t>0.1</w:t>
                  </w:r>
                </w:p>
              </w:tc>
              <w:tc>
                <w:tcPr>
                  <w:tcW w:w="585" w:type="pct"/>
                  <w:tcBorders>
                    <w:tl2br w:val="nil"/>
                    <w:tr2bl w:val="nil"/>
                  </w:tcBorders>
                  <w:shd w:val="clear" w:color="auto" w:fill="auto"/>
                  <w:vAlign w:val="center"/>
                </w:tcPr>
                <w:p w14:paraId="299B7B02">
                  <w:pPr>
                    <w:pStyle w:val="106"/>
                    <w:bidi w:val="0"/>
                    <w:rPr>
                      <w:rFonts w:hint="default"/>
                      <w:lang w:val="en-US" w:eastAsia="zh-CN"/>
                    </w:rPr>
                  </w:pPr>
                  <w:r>
                    <w:rPr>
                      <w:rFonts w:hint="eastAsia"/>
                      <w:lang w:val="en-US" w:eastAsia="zh-CN"/>
                    </w:rPr>
                    <w:t>0.01</w:t>
                  </w:r>
                </w:p>
              </w:tc>
              <w:tc>
                <w:tcPr>
                  <w:tcW w:w="317" w:type="pct"/>
                  <w:tcBorders>
                    <w:tl2br w:val="nil"/>
                    <w:tr2bl w:val="nil"/>
                  </w:tcBorders>
                  <w:shd w:val="clear" w:color="auto" w:fill="auto"/>
                  <w:vAlign w:val="center"/>
                </w:tcPr>
                <w:p w14:paraId="6924D989">
                  <w:pPr>
                    <w:pStyle w:val="106"/>
                    <w:bidi w:val="0"/>
                    <w:ind w:firstLine="0" w:firstLineChars="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00CDD6F6">
                  <w:pPr>
                    <w:pStyle w:val="106"/>
                    <w:bidi w:val="0"/>
                    <w:ind w:firstLine="0" w:firstLineChars="0"/>
                    <w:rPr>
                      <w:rFonts w:hint="eastAsia"/>
                      <w:lang w:val="en-US" w:eastAsia="zh-CN"/>
                    </w:rPr>
                  </w:pPr>
                  <w:r>
                    <w:rPr>
                      <w:rFonts w:hint="eastAsia"/>
                      <w:lang w:val="en-US" w:eastAsia="zh-CN"/>
                    </w:rPr>
                    <w:t>袋装</w:t>
                  </w:r>
                </w:p>
              </w:tc>
              <w:tc>
                <w:tcPr>
                  <w:tcW w:w="583" w:type="pct"/>
                  <w:vMerge w:val="continue"/>
                  <w:tcBorders>
                    <w:tl2br w:val="nil"/>
                    <w:tr2bl w:val="nil"/>
                  </w:tcBorders>
                  <w:shd w:val="clear" w:color="auto" w:fill="auto"/>
                  <w:vAlign w:val="center"/>
                </w:tcPr>
                <w:p w14:paraId="00AB0627">
                  <w:pPr>
                    <w:pStyle w:val="106"/>
                    <w:bidi w:val="0"/>
                    <w:rPr>
                      <w:rFonts w:hint="default"/>
                      <w:lang w:val="en-US" w:eastAsia="zh-CN"/>
                    </w:rPr>
                  </w:pPr>
                </w:p>
              </w:tc>
              <w:tc>
                <w:tcPr>
                  <w:tcW w:w="397" w:type="pct"/>
                  <w:tcBorders>
                    <w:tl2br w:val="nil"/>
                    <w:tr2bl w:val="nil"/>
                  </w:tcBorders>
                  <w:shd w:val="clear" w:color="auto" w:fill="auto"/>
                  <w:vAlign w:val="center"/>
                </w:tcPr>
                <w:p w14:paraId="519924F4">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172431B8">
                  <w:pPr>
                    <w:pStyle w:val="106"/>
                    <w:bidi w:val="0"/>
                    <w:rPr>
                      <w:rFonts w:hint="eastAsia"/>
                      <w:lang w:val="en-US" w:eastAsia="zh-CN"/>
                    </w:rPr>
                  </w:pPr>
                </w:p>
              </w:tc>
            </w:tr>
            <w:tr w14:paraId="49E94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45C63647">
                  <w:pPr>
                    <w:pStyle w:val="106"/>
                    <w:bidi w:val="0"/>
                  </w:pPr>
                </w:p>
              </w:tc>
              <w:tc>
                <w:tcPr>
                  <w:tcW w:w="1053" w:type="pct"/>
                  <w:tcBorders>
                    <w:tl2br w:val="nil"/>
                    <w:tr2bl w:val="nil"/>
                  </w:tcBorders>
                  <w:shd w:val="clear" w:color="auto" w:fill="auto"/>
                  <w:vAlign w:val="center"/>
                </w:tcPr>
                <w:p w14:paraId="3E187069">
                  <w:pPr>
                    <w:pStyle w:val="106"/>
                    <w:bidi w:val="0"/>
                    <w:rPr>
                      <w:rFonts w:hint="eastAsia"/>
                      <w:lang w:val="en-US" w:eastAsia="zh-CN"/>
                    </w:rPr>
                  </w:pPr>
                  <w:r>
                    <w:rPr>
                      <w:rFonts w:hint="eastAsia"/>
                      <w:lang w:val="en-US" w:eastAsia="zh-CN"/>
                    </w:rPr>
                    <w:t>铝罐</w:t>
                  </w:r>
                </w:p>
              </w:tc>
              <w:tc>
                <w:tcPr>
                  <w:tcW w:w="459" w:type="pct"/>
                  <w:tcBorders>
                    <w:tl2br w:val="nil"/>
                    <w:tr2bl w:val="nil"/>
                  </w:tcBorders>
                  <w:shd w:val="clear" w:color="auto" w:fill="auto"/>
                  <w:vAlign w:val="center"/>
                </w:tcPr>
                <w:p w14:paraId="301C70F8">
                  <w:pPr>
                    <w:pStyle w:val="106"/>
                    <w:bidi w:val="0"/>
                    <w:rPr>
                      <w:rFonts w:hint="eastAsia"/>
                      <w:lang w:val="en-US" w:eastAsia="zh-CN"/>
                    </w:rPr>
                  </w:pPr>
                  <w:r>
                    <w:rPr>
                      <w:rFonts w:hint="eastAsia"/>
                      <w:lang w:val="en-US" w:eastAsia="zh-CN"/>
                    </w:rPr>
                    <w:t>吨</w:t>
                  </w:r>
                </w:p>
              </w:tc>
              <w:tc>
                <w:tcPr>
                  <w:tcW w:w="509" w:type="pct"/>
                  <w:tcBorders>
                    <w:tl2br w:val="nil"/>
                    <w:tr2bl w:val="nil"/>
                  </w:tcBorders>
                  <w:shd w:val="clear" w:color="auto" w:fill="auto"/>
                  <w:vAlign w:val="center"/>
                </w:tcPr>
                <w:p w14:paraId="0FD9F5A5">
                  <w:pPr>
                    <w:pStyle w:val="106"/>
                    <w:bidi w:val="0"/>
                    <w:rPr>
                      <w:rFonts w:hint="default"/>
                      <w:lang w:val="en-US" w:eastAsia="zh-CN"/>
                    </w:rPr>
                  </w:pPr>
                  <w:r>
                    <w:rPr>
                      <w:rFonts w:hint="eastAsia"/>
                      <w:lang w:val="en-US" w:eastAsia="zh-CN"/>
                    </w:rPr>
                    <w:t>130</w:t>
                  </w:r>
                </w:p>
              </w:tc>
              <w:tc>
                <w:tcPr>
                  <w:tcW w:w="585" w:type="pct"/>
                  <w:tcBorders>
                    <w:tl2br w:val="nil"/>
                    <w:tr2bl w:val="nil"/>
                  </w:tcBorders>
                  <w:shd w:val="clear" w:color="auto" w:fill="auto"/>
                  <w:vAlign w:val="center"/>
                </w:tcPr>
                <w:p w14:paraId="26C3401C">
                  <w:pPr>
                    <w:pStyle w:val="106"/>
                    <w:bidi w:val="0"/>
                    <w:rPr>
                      <w:rFonts w:hint="default"/>
                      <w:lang w:val="en-US" w:eastAsia="zh-CN"/>
                    </w:rPr>
                  </w:pPr>
                  <w:r>
                    <w:rPr>
                      <w:rFonts w:hint="eastAsia"/>
                      <w:lang w:val="en-US" w:eastAsia="zh-CN"/>
                    </w:rPr>
                    <w:t>10</w:t>
                  </w:r>
                </w:p>
              </w:tc>
              <w:tc>
                <w:tcPr>
                  <w:tcW w:w="317" w:type="pct"/>
                  <w:tcBorders>
                    <w:tl2br w:val="nil"/>
                    <w:tr2bl w:val="nil"/>
                  </w:tcBorders>
                  <w:shd w:val="clear" w:color="auto" w:fill="auto"/>
                  <w:vAlign w:val="center"/>
                </w:tcPr>
                <w:p w14:paraId="312C1790">
                  <w:pPr>
                    <w:pStyle w:val="106"/>
                    <w:bidi w:val="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016E77DB">
                  <w:pPr>
                    <w:pStyle w:val="106"/>
                    <w:bidi w:val="0"/>
                    <w:rPr>
                      <w:rFonts w:hint="default"/>
                      <w:lang w:val="en-US" w:eastAsia="zh-CN"/>
                    </w:rPr>
                  </w:pPr>
                  <w:r>
                    <w:rPr>
                      <w:rFonts w:hint="eastAsia"/>
                      <w:lang w:val="en-US" w:eastAsia="zh-CN"/>
                    </w:rPr>
                    <w:t>/</w:t>
                  </w:r>
                </w:p>
              </w:tc>
              <w:tc>
                <w:tcPr>
                  <w:tcW w:w="583" w:type="pct"/>
                  <w:tcBorders>
                    <w:tl2br w:val="nil"/>
                    <w:tr2bl w:val="nil"/>
                  </w:tcBorders>
                  <w:shd w:val="clear" w:color="auto" w:fill="auto"/>
                  <w:vAlign w:val="center"/>
                </w:tcPr>
                <w:p w14:paraId="67261C95">
                  <w:pPr>
                    <w:pStyle w:val="106"/>
                    <w:bidi w:val="0"/>
                    <w:rPr>
                      <w:rFonts w:hint="default"/>
                      <w:lang w:val="en-US" w:eastAsia="zh-CN"/>
                    </w:rPr>
                  </w:pPr>
                  <w:r>
                    <w:rPr>
                      <w:rFonts w:hint="eastAsia"/>
                      <w:lang w:val="en-US" w:eastAsia="zh-CN"/>
                    </w:rPr>
                    <w:t>二车间1F包材间</w:t>
                  </w:r>
                </w:p>
              </w:tc>
              <w:tc>
                <w:tcPr>
                  <w:tcW w:w="397" w:type="pct"/>
                  <w:tcBorders>
                    <w:tl2br w:val="nil"/>
                    <w:tr2bl w:val="nil"/>
                  </w:tcBorders>
                  <w:shd w:val="clear" w:color="auto" w:fill="auto"/>
                  <w:vAlign w:val="center"/>
                </w:tcPr>
                <w:p w14:paraId="028254F2">
                  <w:pPr>
                    <w:pStyle w:val="106"/>
                    <w:bidi w:val="0"/>
                    <w:rPr>
                      <w:rFonts w:hint="eastAsia"/>
                      <w:lang w:val="en-US" w:eastAsia="zh-CN"/>
                    </w:rPr>
                  </w:pPr>
                  <w:r>
                    <w:rPr>
                      <w:rFonts w:hint="eastAsia"/>
                      <w:lang w:val="en-US" w:eastAsia="zh-CN"/>
                    </w:rPr>
                    <w:t>外购</w:t>
                  </w:r>
                </w:p>
              </w:tc>
              <w:tc>
                <w:tcPr>
                  <w:tcW w:w="397" w:type="pct"/>
                  <w:vMerge w:val="continue"/>
                  <w:tcBorders>
                    <w:tl2br w:val="nil"/>
                    <w:tr2bl w:val="nil"/>
                  </w:tcBorders>
                  <w:shd w:val="clear" w:color="auto" w:fill="auto"/>
                  <w:vAlign w:val="center"/>
                </w:tcPr>
                <w:p w14:paraId="4EADB9A5">
                  <w:pPr>
                    <w:pStyle w:val="106"/>
                    <w:bidi w:val="0"/>
                    <w:rPr>
                      <w:rFonts w:hint="eastAsia"/>
                      <w:lang w:val="en-US" w:eastAsia="zh-CN"/>
                    </w:rPr>
                  </w:pPr>
                </w:p>
              </w:tc>
            </w:tr>
            <w:tr w14:paraId="79500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23D7AD7B">
                  <w:pPr>
                    <w:pStyle w:val="106"/>
                    <w:bidi w:val="0"/>
                  </w:pPr>
                </w:p>
              </w:tc>
              <w:tc>
                <w:tcPr>
                  <w:tcW w:w="1053" w:type="pct"/>
                  <w:tcBorders>
                    <w:tl2br w:val="nil"/>
                    <w:tr2bl w:val="nil"/>
                  </w:tcBorders>
                  <w:shd w:val="clear" w:color="auto" w:fill="auto"/>
                  <w:vAlign w:val="center"/>
                </w:tcPr>
                <w:p w14:paraId="777B8FC0">
                  <w:pPr>
                    <w:pStyle w:val="106"/>
                    <w:bidi w:val="0"/>
                    <w:rPr>
                      <w:rFonts w:hint="eastAsia"/>
                      <w:lang w:val="en-US" w:eastAsia="zh-CN"/>
                    </w:rPr>
                  </w:pPr>
                  <w:r>
                    <w:rPr>
                      <w:rFonts w:hint="eastAsia"/>
                      <w:lang w:val="en-US" w:eastAsia="zh-CN"/>
                    </w:rPr>
                    <w:t>原纸</w:t>
                  </w:r>
                </w:p>
              </w:tc>
              <w:tc>
                <w:tcPr>
                  <w:tcW w:w="459" w:type="pct"/>
                  <w:tcBorders>
                    <w:tl2br w:val="nil"/>
                    <w:tr2bl w:val="nil"/>
                  </w:tcBorders>
                  <w:shd w:val="clear" w:color="auto" w:fill="auto"/>
                  <w:vAlign w:val="center"/>
                </w:tcPr>
                <w:p w14:paraId="3C22FFD0">
                  <w:pPr>
                    <w:pStyle w:val="106"/>
                    <w:bidi w:val="0"/>
                    <w:rPr>
                      <w:rFonts w:hint="eastAsia"/>
                      <w:lang w:val="en-US" w:eastAsia="zh-CN"/>
                    </w:rPr>
                  </w:pPr>
                  <w:r>
                    <w:rPr>
                      <w:rFonts w:hint="eastAsia"/>
                      <w:lang w:val="en-US" w:eastAsia="zh-CN"/>
                    </w:rPr>
                    <w:t>吨</w:t>
                  </w:r>
                </w:p>
              </w:tc>
              <w:tc>
                <w:tcPr>
                  <w:tcW w:w="509" w:type="pct"/>
                  <w:tcBorders>
                    <w:tl2br w:val="nil"/>
                    <w:tr2bl w:val="nil"/>
                  </w:tcBorders>
                  <w:shd w:val="clear" w:color="auto" w:fill="auto"/>
                  <w:vAlign w:val="center"/>
                </w:tcPr>
                <w:p w14:paraId="0FCB55B6">
                  <w:pPr>
                    <w:pStyle w:val="106"/>
                    <w:bidi w:val="0"/>
                    <w:rPr>
                      <w:rFonts w:hint="eastAsia"/>
                      <w:lang w:val="en-US" w:eastAsia="zh-CN"/>
                    </w:rPr>
                  </w:pPr>
                  <w:r>
                    <w:rPr>
                      <w:rFonts w:hint="eastAsia"/>
                      <w:lang w:val="en-US" w:eastAsia="zh-CN"/>
                    </w:rPr>
                    <w:t>5000</w:t>
                  </w:r>
                </w:p>
              </w:tc>
              <w:tc>
                <w:tcPr>
                  <w:tcW w:w="585" w:type="pct"/>
                  <w:tcBorders>
                    <w:tl2br w:val="nil"/>
                    <w:tr2bl w:val="nil"/>
                  </w:tcBorders>
                  <w:shd w:val="clear" w:color="auto" w:fill="auto"/>
                  <w:vAlign w:val="center"/>
                </w:tcPr>
                <w:p w14:paraId="749C2770">
                  <w:pPr>
                    <w:pStyle w:val="106"/>
                    <w:bidi w:val="0"/>
                    <w:rPr>
                      <w:rFonts w:hint="eastAsia"/>
                      <w:lang w:val="en-US" w:eastAsia="zh-CN"/>
                    </w:rPr>
                  </w:pPr>
                  <w:r>
                    <w:rPr>
                      <w:rFonts w:hint="eastAsia"/>
                      <w:lang w:val="en-US" w:eastAsia="zh-CN"/>
                    </w:rPr>
                    <w:t>200</w:t>
                  </w:r>
                </w:p>
              </w:tc>
              <w:tc>
                <w:tcPr>
                  <w:tcW w:w="317" w:type="pct"/>
                  <w:tcBorders>
                    <w:tl2br w:val="nil"/>
                    <w:tr2bl w:val="nil"/>
                  </w:tcBorders>
                  <w:shd w:val="clear" w:color="auto" w:fill="auto"/>
                  <w:vAlign w:val="center"/>
                </w:tcPr>
                <w:p w14:paraId="2381BBDB">
                  <w:pPr>
                    <w:pStyle w:val="106"/>
                    <w:bidi w:val="0"/>
                    <w:rPr>
                      <w:rFonts w:hint="eastAsia"/>
                      <w:lang w:val="en-US" w:eastAsia="zh-CN"/>
                    </w:rPr>
                  </w:pPr>
                  <w:r>
                    <w:rPr>
                      <w:rFonts w:hint="eastAsia"/>
                      <w:lang w:val="en-US" w:eastAsia="zh-CN"/>
                    </w:rPr>
                    <w:t>固态</w:t>
                  </w:r>
                </w:p>
              </w:tc>
              <w:tc>
                <w:tcPr>
                  <w:tcW w:w="451" w:type="pct"/>
                  <w:tcBorders>
                    <w:tl2br w:val="nil"/>
                    <w:tr2bl w:val="nil"/>
                  </w:tcBorders>
                  <w:shd w:val="clear" w:color="auto" w:fill="auto"/>
                  <w:vAlign w:val="center"/>
                </w:tcPr>
                <w:p w14:paraId="798E4390">
                  <w:pPr>
                    <w:pStyle w:val="106"/>
                    <w:bidi w:val="0"/>
                    <w:rPr>
                      <w:rFonts w:hint="default"/>
                      <w:lang w:val="en-US" w:eastAsia="zh-CN"/>
                    </w:rPr>
                  </w:pPr>
                  <w:r>
                    <w:rPr>
                      <w:rFonts w:hint="eastAsia"/>
                      <w:lang w:val="en-US" w:eastAsia="zh-CN"/>
                    </w:rPr>
                    <w:t>/</w:t>
                  </w:r>
                </w:p>
              </w:tc>
              <w:tc>
                <w:tcPr>
                  <w:tcW w:w="583" w:type="pct"/>
                  <w:tcBorders>
                    <w:tl2br w:val="nil"/>
                    <w:tr2bl w:val="nil"/>
                  </w:tcBorders>
                  <w:shd w:val="clear" w:color="auto" w:fill="auto"/>
                  <w:vAlign w:val="center"/>
                </w:tcPr>
                <w:p w14:paraId="7344D962">
                  <w:pPr>
                    <w:pStyle w:val="106"/>
                    <w:bidi w:val="0"/>
                    <w:rPr>
                      <w:rFonts w:hint="default"/>
                      <w:lang w:val="en-US" w:eastAsia="zh-CN"/>
                    </w:rPr>
                  </w:pPr>
                  <w:r>
                    <w:rPr>
                      <w:rFonts w:hint="eastAsia"/>
                      <w:lang w:val="en-US" w:eastAsia="zh-CN"/>
                    </w:rPr>
                    <w:t>半成品堆放区</w:t>
                  </w:r>
                </w:p>
              </w:tc>
              <w:tc>
                <w:tcPr>
                  <w:tcW w:w="397" w:type="pct"/>
                  <w:tcBorders>
                    <w:tl2br w:val="nil"/>
                    <w:tr2bl w:val="nil"/>
                  </w:tcBorders>
                  <w:shd w:val="clear" w:color="auto" w:fill="auto"/>
                  <w:vAlign w:val="center"/>
                </w:tcPr>
                <w:p w14:paraId="3C653FE2">
                  <w:pPr>
                    <w:pStyle w:val="106"/>
                    <w:bidi w:val="0"/>
                    <w:rPr>
                      <w:rFonts w:hint="eastAsia"/>
                      <w:lang w:val="en-US" w:eastAsia="zh-CN"/>
                    </w:rPr>
                  </w:pPr>
                  <w:r>
                    <w:rPr>
                      <w:rFonts w:hint="eastAsia"/>
                      <w:lang w:val="en-US" w:eastAsia="zh-CN"/>
                    </w:rPr>
                    <w:t>外购</w:t>
                  </w:r>
                </w:p>
              </w:tc>
              <w:tc>
                <w:tcPr>
                  <w:tcW w:w="397" w:type="pct"/>
                  <w:tcBorders>
                    <w:tl2br w:val="nil"/>
                    <w:tr2bl w:val="nil"/>
                  </w:tcBorders>
                  <w:shd w:val="clear" w:color="auto" w:fill="auto"/>
                  <w:vAlign w:val="center"/>
                </w:tcPr>
                <w:p w14:paraId="4B7C89E7">
                  <w:pPr>
                    <w:pStyle w:val="106"/>
                    <w:bidi w:val="0"/>
                    <w:rPr>
                      <w:rFonts w:hint="default"/>
                      <w:lang w:val="en-US" w:eastAsia="zh-CN"/>
                    </w:rPr>
                  </w:pPr>
                  <w:r>
                    <w:rPr>
                      <w:rFonts w:hint="eastAsia"/>
                      <w:lang w:val="en-US" w:eastAsia="zh-CN"/>
                    </w:rPr>
                    <w:t>纸制品生产</w:t>
                  </w:r>
                </w:p>
              </w:tc>
            </w:tr>
            <w:tr w14:paraId="688F3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658F7F72">
                  <w:pPr>
                    <w:pStyle w:val="106"/>
                    <w:bidi w:val="0"/>
                  </w:pPr>
                </w:p>
              </w:tc>
              <w:tc>
                <w:tcPr>
                  <w:tcW w:w="1053" w:type="pct"/>
                  <w:tcBorders>
                    <w:tl2br w:val="nil"/>
                    <w:tr2bl w:val="nil"/>
                  </w:tcBorders>
                  <w:shd w:val="clear" w:color="auto" w:fill="auto"/>
                  <w:vAlign w:val="center"/>
                </w:tcPr>
                <w:p w14:paraId="3354D9AE">
                  <w:pPr>
                    <w:pStyle w:val="106"/>
                    <w:bidi w:val="0"/>
                    <w:rPr>
                      <w:rFonts w:hint="eastAsia"/>
                      <w:lang w:val="en-US" w:eastAsia="zh-CN"/>
                    </w:rPr>
                  </w:pPr>
                  <w:r>
                    <w:rPr>
                      <w:rFonts w:hint="eastAsia"/>
                      <w:lang w:val="en-US" w:eastAsia="zh-CN"/>
                    </w:rPr>
                    <w:t>包装材料</w:t>
                  </w:r>
                </w:p>
              </w:tc>
              <w:tc>
                <w:tcPr>
                  <w:tcW w:w="459" w:type="pct"/>
                  <w:tcBorders>
                    <w:tl2br w:val="nil"/>
                    <w:tr2bl w:val="nil"/>
                  </w:tcBorders>
                  <w:shd w:val="clear" w:color="auto" w:fill="auto"/>
                  <w:vAlign w:val="center"/>
                </w:tcPr>
                <w:p w14:paraId="5D6CDEFD">
                  <w:pPr>
                    <w:pStyle w:val="106"/>
                    <w:bidi w:val="0"/>
                    <w:rPr>
                      <w:rFonts w:hint="eastAsia"/>
                      <w:lang w:val="en-US" w:eastAsia="zh-CN"/>
                    </w:rPr>
                  </w:pPr>
                  <w:r>
                    <w:rPr>
                      <w:rFonts w:hint="eastAsia"/>
                      <w:lang w:val="en-US" w:eastAsia="zh-CN"/>
                    </w:rPr>
                    <w:t>吨</w:t>
                  </w:r>
                </w:p>
              </w:tc>
              <w:tc>
                <w:tcPr>
                  <w:tcW w:w="509" w:type="pct"/>
                  <w:tcBorders>
                    <w:tl2br w:val="nil"/>
                    <w:tr2bl w:val="nil"/>
                  </w:tcBorders>
                  <w:shd w:val="clear" w:color="auto" w:fill="auto"/>
                  <w:vAlign w:val="center"/>
                </w:tcPr>
                <w:p w14:paraId="2F26AA24">
                  <w:pPr>
                    <w:pStyle w:val="106"/>
                    <w:bidi w:val="0"/>
                    <w:rPr>
                      <w:rFonts w:hint="eastAsia"/>
                      <w:lang w:val="en-US" w:eastAsia="zh-CN"/>
                    </w:rPr>
                  </w:pPr>
                  <w:r>
                    <w:rPr>
                      <w:rFonts w:hint="eastAsia"/>
                      <w:lang w:val="en-US" w:eastAsia="zh-CN"/>
                    </w:rPr>
                    <w:t>120</w:t>
                  </w:r>
                </w:p>
              </w:tc>
              <w:tc>
                <w:tcPr>
                  <w:tcW w:w="585" w:type="pct"/>
                  <w:tcBorders>
                    <w:tl2br w:val="nil"/>
                    <w:tr2bl w:val="nil"/>
                  </w:tcBorders>
                  <w:shd w:val="clear" w:color="auto" w:fill="auto"/>
                  <w:vAlign w:val="center"/>
                </w:tcPr>
                <w:p w14:paraId="317C156B">
                  <w:pPr>
                    <w:pStyle w:val="106"/>
                    <w:bidi w:val="0"/>
                    <w:rPr>
                      <w:rFonts w:hint="eastAsia"/>
                      <w:lang w:val="en-US" w:eastAsia="zh-CN"/>
                    </w:rPr>
                  </w:pPr>
                  <w:r>
                    <w:rPr>
                      <w:rFonts w:hint="eastAsia"/>
                      <w:lang w:val="en-US" w:eastAsia="zh-CN"/>
                    </w:rPr>
                    <w:t>30</w:t>
                  </w:r>
                </w:p>
              </w:tc>
              <w:tc>
                <w:tcPr>
                  <w:tcW w:w="317" w:type="pct"/>
                  <w:tcBorders>
                    <w:tl2br w:val="nil"/>
                    <w:tr2bl w:val="nil"/>
                  </w:tcBorders>
                  <w:shd w:val="clear" w:color="auto" w:fill="auto"/>
                  <w:vAlign w:val="center"/>
                </w:tcPr>
                <w:p w14:paraId="01056457">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固态</w:t>
                  </w:r>
                </w:p>
              </w:tc>
              <w:tc>
                <w:tcPr>
                  <w:tcW w:w="451" w:type="pct"/>
                  <w:tcBorders>
                    <w:tl2br w:val="nil"/>
                    <w:tr2bl w:val="nil"/>
                  </w:tcBorders>
                  <w:shd w:val="clear" w:color="auto" w:fill="auto"/>
                  <w:vAlign w:val="center"/>
                </w:tcPr>
                <w:p w14:paraId="4C0A435B">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583" w:type="pct"/>
                  <w:tcBorders>
                    <w:tl2br w:val="nil"/>
                    <w:tr2bl w:val="nil"/>
                  </w:tcBorders>
                  <w:shd w:val="clear" w:color="auto" w:fill="auto"/>
                  <w:vAlign w:val="center"/>
                </w:tcPr>
                <w:p w14:paraId="34A5FDF8">
                  <w:pPr>
                    <w:pStyle w:val="106"/>
                    <w:bidi w:val="0"/>
                    <w:rPr>
                      <w:rFonts w:hint="default"/>
                      <w:lang w:val="en-US" w:eastAsia="zh-CN"/>
                    </w:rPr>
                  </w:pPr>
                  <w:r>
                    <w:rPr>
                      <w:rFonts w:hint="eastAsia"/>
                      <w:lang w:val="en-US" w:eastAsia="zh-CN"/>
                    </w:rPr>
                    <w:t>包材间</w:t>
                  </w:r>
                </w:p>
              </w:tc>
              <w:tc>
                <w:tcPr>
                  <w:tcW w:w="397" w:type="pct"/>
                  <w:tcBorders>
                    <w:tl2br w:val="nil"/>
                    <w:tr2bl w:val="nil"/>
                  </w:tcBorders>
                  <w:shd w:val="clear" w:color="auto" w:fill="auto"/>
                  <w:vAlign w:val="center"/>
                </w:tcPr>
                <w:p w14:paraId="1DCD6D82">
                  <w:pPr>
                    <w:pStyle w:val="106"/>
                    <w:bidi w:val="0"/>
                    <w:rPr>
                      <w:rFonts w:hint="eastAsia"/>
                      <w:lang w:val="en-US" w:eastAsia="zh-CN"/>
                    </w:rPr>
                  </w:pPr>
                  <w:r>
                    <w:rPr>
                      <w:rFonts w:hint="eastAsia"/>
                      <w:lang w:val="en-US" w:eastAsia="zh-CN"/>
                    </w:rPr>
                    <w:t>外购</w:t>
                  </w:r>
                </w:p>
              </w:tc>
              <w:tc>
                <w:tcPr>
                  <w:tcW w:w="397" w:type="pct"/>
                  <w:tcBorders>
                    <w:tl2br w:val="nil"/>
                    <w:tr2bl w:val="nil"/>
                  </w:tcBorders>
                  <w:shd w:val="clear" w:color="auto" w:fill="auto"/>
                  <w:vAlign w:val="center"/>
                </w:tcPr>
                <w:p w14:paraId="6F396357">
                  <w:pPr>
                    <w:pStyle w:val="106"/>
                    <w:bidi w:val="0"/>
                    <w:rPr>
                      <w:rFonts w:hint="default"/>
                      <w:lang w:val="en-US" w:eastAsia="zh-CN"/>
                    </w:rPr>
                  </w:pPr>
                  <w:r>
                    <w:rPr>
                      <w:rFonts w:hint="eastAsia"/>
                      <w:lang w:val="en-US" w:eastAsia="zh-CN"/>
                    </w:rPr>
                    <w:t>/</w:t>
                  </w:r>
                </w:p>
              </w:tc>
            </w:tr>
            <w:tr w14:paraId="68F6D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continue"/>
                  <w:tcBorders>
                    <w:tl2br w:val="nil"/>
                    <w:tr2bl w:val="nil"/>
                  </w:tcBorders>
                  <w:vAlign w:val="center"/>
                </w:tcPr>
                <w:p w14:paraId="41483369">
                  <w:pPr>
                    <w:pStyle w:val="106"/>
                    <w:bidi w:val="0"/>
                  </w:pPr>
                </w:p>
              </w:tc>
              <w:tc>
                <w:tcPr>
                  <w:tcW w:w="1053" w:type="pct"/>
                  <w:tcBorders>
                    <w:tl2br w:val="nil"/>
                    <w:tr2bl w:val="nil"/>
                  </w:tcBorders>
                  <w:shd w:val="clear" w:color="auto" w:fill="auto"/>
                  <w:vAlign w:val="center"/>
                </w:tcPr>
                <w:p w14:paraId="1D21A231">
                  <w:pPr>
                    <w:pStyle w:val="106"/>
                    <w:bidi w:val="0"/>
                    <w:rPr>
                      <w:rFonts w:hint="default"/>
                      <w:lang w:val="en-US" w:eastAsia="zh-CN"/>
                    </w:rPr>
                  </w:pPr>
                  <w:r>
                    <w:rPr>
                      <w:rFonts w:hint="eastAsia"/>
                      <w:lang w:val="en-US" w:eastAsia="zh-CN"/>
                    </w:rPr>
                    <w:t>机油</w:t>
                  </w:r>
                </w:p>
              </w:tc>
              <w:tc>
                <w:tcPr>
                  <w:tcW w:w="459" w:type="pct"/>
                  <w:tcBorders>
                    <w:tl2br w:val="nil"/>
                    <w:tr2bl w:val="nil"/>
                  </w:tcBorders>
                  <w:shd w:val="clear" w:color="auto" w:fill="auto"/>
                  <w:vAlign w:val="center"/>
                </w:tcPr>
                <w:p w14:paraId="5C0AD3F8">
                  <w:pPr>
                    <w:pStyle w:val="106"/>
                    <w:bidi w:val="0"/>
                    <w:rPr>
                      <w:rFonts w:hint="default"/>
                      <w:lang w:val="en-US" w:eastAsia="zh-CN"/>
                    </w:rPr>
                  </w:pPr>
                  <w:r>
                    <w:rPr>
                      <w:rFonts w:hint="eastAsia"/>
                      <w:lang w:val="en-US" w:eastAsia="zh-CN"/>
                    </w:rPr>
                    <w:t>吨</w:t>
                  </w:r>
                </w:p>
              </w:tc>
              <w:tc>
                <w:tcPr>
                  <w:tcW w:w="509" w:type="pct"/>
                  <w:tcBorders>
                    <w:tl2br w:val="nil"/>
                    <w:tr2bl w:val="nil"/>
                  </w:tcBorders>
                  <w:shd w:val="clear" w:color="auto" w:fill="auto"/>
                  <w:vAlign w:val="center"/>
                </w:tcPr>
                <w:p w14:paraId="265BB171">
                  <w:pPr>
                    <w:pStyle w:val="106"/>
                    <w:bidi w:val="0"/>
                    <w:rPr>
                      <w:rFonts w:hint="default"/>
                      <w:lang w:val="en-US" w:eastAsia="zh-CN"/>
                    </w:rPr>
                  </w:pPr>
                  <w:r>
                    <w:rPr>
                      <w:rFonts w:hint="eastAsia"/>
                      <w:lang w:val="en-US" w:eastAsia="zh-CN"/>
                    </w:rPr>
                    <w:t>0.05</w:t>
                  </w:r>
                </w:p>
              </w:tc>
              <w:tc>
                <w:tcPr>
                  <w:tcW w:w="585" w:type="pct"/>
                  <w:tcBorders>
                    <w:tl2br w:val="nil"/>
                    <w:tr2bl w:val="nil"/>
                  </w:tcBorders>
                  <w:shd w:val="clear" w:color="auto" w:fill="auto"/>
                  <w:vAlign w:val="center"/>
                </w:tcPr>
                <w:p w14:paraId="44902DBA">
                  <w:pPr>
                    <w:pStyle w:val="106"/>
                    <w:bidi w:val="0"/>
                    <w:rPr>
                      <w:rFonts w:hint="default"/>
                      <w:lang w:val="en-US" w:eastAsia="zh-CN"/>
                    </w:rPr>
                  </w:pPr>
                  <w:r>
                    <w:rPr>
                      <w:rFonts w:hint="eastAsia"/>
                      <w:lang w:val="en-US" w:eastAsia="zh-CN"/>
                    </w:rPr>
                    <w:t>0.01</w:t>
                  </w:r>
                </w:p>
              </w:tc>
              <w:tc>
                <w:tcPr>
                  <w:tcW w:w="317" w:type="pct"/>
                  <w:tcBorders>
                    <w:tl2br w:val="nil"/>
                    <w:tr2bl w:val="nil"/>
                  </w:tcBorders>
                  <w:shd w:val="clear" w:color="auto" w:fill="auto"/>
                  <w:vAlign w:val="center"/>
                </w:tcPr>
                <w:p w14:paraId="1CA56453">
                  <w:pPr>
                    <w:pStyle w:val="106"/>
                    <w:bidi w:val="0"/>
                    <w:rPr>
                      <w:rFonts w:hint="eastAsia"/>
                      <w:lang w:val="en-US" w:eastAsia="zh-CN"/>
                    </w:rPr>
                  </w:pPr>
                  <w:r>
                    <w:rPr>
                      <w:rFonts w:hint="eastAsia"/>
                      <w:lang w:val="en-US" w:eastAsia="zh-CN"/>
                    </w:rPr>
                    <w:t>液态</w:t>
                  </w:r>
                </w:p>
              </w:tc>
              <w:tc>
                <w:tcPr>
                  <w:tcW w:w="451" w:type="pct"/>
                  <w:tcBorders>
                    <w:tl2br w:val="nil"/>
                    <w:tr2bl w:val="nil"/>
                  </w:tcBorders>
                  <w:shd w:val="clear" w:color="auto" w:fill="auto"/>
                  <w:vAlign w:val="center"/>
                </w:tcPr>
                <w:p w14:paraId="442580E4">
                  <w:pPr>
                    <w:pStyle w:val="106"/>
                    <w:bidi w:val="0"/>
                    <w:rPr>
                      <w:rFonts w:hint="eastAsia"/>
                      <w:lang w:val="en-US" w:eastAsia="zh-CN"/>
                    </w:rPr>
                  </w:pPr>
                  <w:r>
                    <w:rPr>
                      <w:rFonts w:hint="eastAsia"/>
                      <w:lang w:val="en-US" w:eastAsia="zh-CN"/>
                    </w:rPr>
                    <w:t>桶装</w:t>
                  </w:r>
                </w:p>
              </w:tc>
              <w:tc>
                <w:tcPr>
                  <w:tcW w:w="583" w:type="pct"/>
                  <w:tcBorders>
                    <w:tl2br w:val="nil"/>
                    <w:tr2bl w:val="nil"/>
                  </w:tcBorders>
                  <w:shd w:val="clear" w:color="auto" w:fill="auto"/>
                  <w:vAlign w:val="center"/>
                </w:tcPr>
                <w:p w14:paraId="5A2A34A6">
                  <w:pPr>
                    <w:pStyle w:val="106"/>
                    <w:bidi w:val="0"/>
                    <w:rPr>
                      <w:rFonts w:hint="default"/>
                      <w:lang w:val="en-US" w:eastAsia="zh-CN"/>
                    </w:rPr>
                  </w:pPr>
                  <w:r>
                    <w:rPr>
                      <w:rFonts w:hint="eastAsia"/>
                      <w:lang w:val="en-US" w:eastAsia="zh-CN"/>
                    </w:rPr>
                    <w:t>生产车间</w:t>
                  </w:r>
                </w:p>
              </w:tc>
              <w:tc>
                <w:tcPr>
                  <w:tcW w:w="397" w:type="pct"/>
                  <w:tcBorders>
                    <w:tl2br w:val="nil"/>
                    <w:tr2bl w:val="nil"/>
                  </w:tcBorders>
                  <w:shd w:val="clear" w:color="auto" w:fill="auto"/>
                  <w:vAlign w:val="center"/>
                </w:tcPr>
                <w:p w14:paraId="44235BDF">
                  <w:pPr>
                    <w:pStyle w:val="106"/>
                    <w:bidi w:val="0"/>
                    <w:rPr>
                      <w:rFonts w:hint="default"/>
                      <w:lang w:val="en-US" w:eastAsia="zh-CN"/>
                    </w:rPr>
                  </w:pPr>
                  <w:r>
                    <w:rPr>
                      <w:rFonts w:hint="eastAsia"/>
                      <w:lang w:val="en-US" w:eastAsia="zh-CN"/>
                    </w:rPr>
                    <w:t>外购</w:t>
                  </w:r>
                </w:p>
              </w:tc>
              <w:tc>
                <w:tcPr>
                  <w:tcW w:w="397" w:type="pct"/>
                  <w:tcBorders>
                    <w:tl2br w:val="nil"/>
                    <w:tr2bl w:val="nil"/>
                  </w:tcBorders>
                  <w:shd w:val="clear" w:color="auto" w:fill="auto"/>
                  <w:vAlign w:val="center"/>
                </w:tcPr>
                <w:p w14:paraId="7152E850">
                  <w:pPr>
                    <w:pStyle w:val="106"/>
                    <w:bidi w:val="0"/>
                    <w:rPr>
                      <w:rFonts w:hint="default"/>
                      <w:lang w:val="en-US" w:eastAsia="zh-CN"/>
                    </w:rPr>
                  </w:pPr>
                  <w:r>
                    <w:rPr>
                      <w:rFonts w:hint="eastAsia"/>
                      <w:lang w:val="en-US" w:eastAsia="zh-CN"/>
                    </w:rPr>
                    <w:t>/</w:t>
                  </w:r>
                </w:p>
              </w:tc>
            </w:tr>
            <w:tr w14:paraId="266EA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44" w:type="pct"/>
                  <w:vMerge w:val="restart"/>
                  <w:tcBorders>
                    <w:tl2br w:val="nil"/>
                    <w:tr2bl w:val="nil"/>
                  </w:tcBorders>
                  <w:vAlign w:val="center"/>
                </w:tcPr>
                <w:p w14:paraId="0D5825F3">
                  <w:pPr>
                    <w:pStyle w:val="106"/>
                    <w:bidi w:val="0"/>
                  </w:pPr>
                  <w:r>
                    <w:t>能源消耗</w:t>
                  </w:r>
                </w:p>
              </w:tc>
              <w:tc>
                <w:tcPr>
                  <w:tcW w:w="1053" w:type="pct"/>
                  <w:tcBorders>
                    <w:tl2br w:val="nil"/>
                    <w:tr2bl w:val="nil"/>
                  </w:tcBorders>
                  <w:vAlign w:val="center"/>
                </w:tcPr>
                <w:p w14:paraId="22CB6555">
                  <w:pPr>
                    <w:pStyle w:val="106"/>
                    <w:bidi w:val="0"/>
                    <w:rPr>
                      <w:rFonts w:hint="default"/>
                      <w:lang w:val="en-US" w:eastAsia="zh-CN"/>
                    </w:rPr>
                  </w:pPr>
                  <w:r>
                    <w:rPr>
                      <w:rFonts w:hint="eastAsia"/>
                      <w:lang w:val="en-US" w:eastAsia="zh-CN"/>
                    </w:rPr>
                    <w:t>天然气</w:t>
                  </w:r>
                </w:p>
              </w:tc>
              <w:tc>
                <w:tcPr>
                  <w:tcW w:w="459" w:type="pct"/>
                  <w:tcBorders>
                    <w:tl2br w:val="nil"/>
                    <w:tr2bl w:val="nil"/>
                  </w:tcBorders>
                  <w:vAlign w:val="center"/>
                </w:tcPr>
                <w:p w14:paraId="38835D4D">
                  <w:pPr>
                    <w:pStyle w:val="106"/>
                    <w:bidi w:val="0"/>
                    <w:rPr>
                      <w:rFonts w:hint="default"/>
                      <w:lang w:val="en-US"/>
                    </w:rPr>
                  </w:pPr>
                  <w:r>
                    <w:rPr>
                      <w:rFonts w:hint="eastAsia"/>
                      <w:lang w:val="en-US" w:eastAsia="zh-CN"/>
                    </w:rPr>
                    <w:t>万m</w:t>
                  </w:r>
                  <w:r>
                    <w:rPr>
                      <w:rFonts w:hint="eastAsia"/>
                      <w:vertAlign w:val="superscript"/>
                      <w:lang w:val="en-US" w:eastAsia="zh-CN"/>
                    </w:rPr>
                    <w:t>3</w:t>
                  </w:r>
                </w:p>
              </w:tc>
              <w:tc>
                <w:tcPr>
                  <w:tcW w:w="509" w:type="pct"/>
                  <w:tcBorders>
                    <w:tl2br w:val="nil"/>
                    <w:tr2bl w:val="nil"/>
                  </w:tcBorders>
                  <w:shd w:val="clear" w:color="auto" w:fill="auto"/>
                  <w:vAlign w:val="center"/>
                </w:tcPr>
                <w:p w14:paraId="1A18D2CF">
                  <w:pPr>
                    <w:pStyle w:val="106"/>
                    <w:bidi w:val="0"/>
                    <w:rPr>
                      <w:rFonts w:hint="default"/>
                      <w:color w:val="auto"/>
                      <w:lang w:val="en-US" w:eastAsia="zh-CN"/>
                    </w:rPr>
                  </w:pPr>
                  <w:r>
                    <w:rPr>
                      <w:rFonts w:hint="eastAsia"/>
                      <w:color w:val="auto"/>
                      <w:lang w:val="en-US" w:eastAsia="zh-CN"/>
                    </w:rPr>
                    <w:t>405</w:t>
                  </w:r>
                </w:p>
              </w:tc>
              <w:tc>
                <w:tcPr>
                  <w:tcW w:w="585" w:type="pct"/>
                  <w:tcBorders>
                    <w:tl2br w:val="nil"/>
                    <w:tr2bl w:val="nil"/>
                  </w:tcBorders>
                  <w:vAlign w:val="center"/>
                </w:tcPr>
                <w:p w14:paraId="146768D7">
                  <w:pPr>
                    <w:pStyle w:val="106"/>
                    <w:bidi w:val="0"/>
                    <w:rPr>
                      <w:rFonts w:hint="default"/>
                      <w:lang w:val="en-US" w:eastAsia="zh-CN"/>
                    </w:rPr>
                  </w:pPr>
                  <w:r>
                    <w:rPr>
                      <w:rFonts w:hint="eastAsia"/>
                      <w:lang w:val="en-US" w:eastAsia="zh-CN"/>
                    </w:rPr>
                    <w:t>/</w:t>
                  </w:r>
                </w:p>
              </w:tc>
              <w:tc>
                <w:tcPr>
                  <w:tcW w:w="317" w:type="pct"/>
                  <w:tcBorders>
                    <w:tl2br w:val="nil"/>
                    <w:tr2bl w:val="nil"/>
                  </w:tcBorders>
                  <w:vAlign w:val="center"/>
                </w:tcPr>
                <w:p w14:paraId="0B5A9B94">
                  <w:pPr>
                    <w:pStyle w:val="106"/>
                    <w:bidi w:val="0"/>
                    <w:rPr>
                      <w:rFonts w:hint="default"/>
                      <w:lang w:val="en-US" w:eastAsia="zh-CN"/>
                    </w:rPr>
                  </w:pPr>
                  <w:r>
                    <w:rPr>
                      <w:rFonts w:hint="eastAsia"/>
                      <w:lang w:val="en-US" w:eastAsia="zh-CN"/>
                    </w:rPr>
                    <w:t>/</w:t>
                  </w:r>
                </w:p>
              </w:tc>
              <w:tc>
                <w:tcPr>
                  <w:tcW w:w="451" w:type="pct"/>
                  <w:tcBorders>
                    <w:tl2br w:val="nil"/>
                    <w:tr2bl w:val="nil"/>
                  </w:tcBorders>
                  <w:vAlign w:val="center"/>
                </w:tcPr>
                <w:p w14:paraId="6663B0EA">
                  <w:pPr>
                    <w:pStyle w:val="106"/>
                    <w:bidi w:val="0"/>
                    <w:rPr>
                      <w:rFonts w:hint="default"/>
                      <w:lang w:val="en-US" w:eastAsia="zh-CN"/>
                    </w:rPr>
                  </w:pPr>
                  <w:r>
                    <w:rPr>
                      <w:rFonts w:hint="eastAsia"/>
                      <w:lang w:val="en-US" w:eastAsia="zh-CN"/>
                    </w:rPr>
                    <w:t>/</w:t>
                  </w:r>
                </w:p>
              </w:tc>
              <w:tc>
                <w:tcPr>
                  <w:tcW w:w="583" w:type="pct"/>
                  <w:tcBorders>
                    <w:tl2br w:val="nil"/>
                    <w:tr2bl w:val="nil"/>
                  </w:tcBorders>
                  <w:vAlign w:val="center"/>
                </w:tcPr>
                <w:p w14:paraId="501708E5">
                  <w:pPr>
                    <w:pStyle w:val="106"/>
                    <w:bidi w:val="0"/>
                    <w:rPr>
                      <w:rFonts w:hint="default"/>
                      <w:lang w:val="en-US" w:eastAsia="zh-CN"/>
                    </w:rPr>
                  </w:pPr>
                  <w:r>
                    <w:rPr>
                      <w:rFonts w:hint="eastAsia"/>
                      <w:lang w:val="en-US" w:eastAsia="zh-CN"/>
                    </w:rPr>
                    <w:t>/</w:t>
                  </w:r>
                </w:p>
              </w:tc>
              <w:tc>
                <w:tcPr>
                  <w:tcW w:w="397" w:type="pct"/>
                  <w:tcBorders>
                    <w:tl2br w:val="nil"/>
                    <w:tr2bl w:val="nil"/>
                  </w:tcBorders>
                  <w:vAlign w:val="center"/>
                </w:tcPr>
                <w:p w14:paraId="05D349B0">
                  <w:pPr>
                    <w:pStyle w:val="106"/>
                    <w:bidi w:val="0"/>
                    <w:rPr>
                      <w:rFonts w:hint="default"/>
                      <w:lang w:val="en-US" w:eastAsia="zh-CN"/>
                    </w:rPr>
                  </w:pPr>
                  <w:r>
                    <w:rPr>
                      <w:rFonts w:hint="eastAsia"/>
                      <w:lang w:val="en-US" w:eastAsia="zh-CN"/>
                    </w:rPr>
                    <w:t>/</w:t>
                  </w:r>
                </w:p>
              </w:tc>
              <w:tc>
                <w:tcPr>
                  <w:tcW w:w="397" w:type="pct"/>
                  <w:tcBorders>
                    <w:tl2br w:val="nil"/>
                    <w:tr2bl w:val="nil"/>
                  </w:tcBorders>
                  <w:vAlign w:val="center"/>
                </w:tcPr>
                <w:p w14:paraId="7D20F01E">
                  <w:pPr>
                    <w:pStyle w:val="106"/>
                    <w:bidi w:val="0"/>
                    <w:rPr>
                      <w:rFonts w:hint="default"/>
                      <w:lang w:val="en-US" w:eastAsia="zh-CN"/>
                    </w:rPr>
                  </w:pPr>
                  <w:r>
                    <w:rPr>
                      <w:rFonts w:hint="eastAsia"/>
                      <w:lang w:val="en-US" w:eastAsia="zh-CN"/>
                    </w:rPr>
                    <w:t>/</w:t>
                  </w:r>
                </w:p>
              </w:tc>
            </w:tr>
            <w:tr w14:paraId="22220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244" w:type="pct"/>
                  <w:vMerge w:val="continue"/>
                  <w:tcBorders>
                    <w:tl2br w:val="nil"/>
                    <w:tr2bl w:val="nil"/>
                  </w:tcBorders>
                  <w:vAlign w:val="center"/>
                </w:tcPr>
                <w:p w14:paraId="3280073E">
                  <w:pPr>
                    <w:pStyle w:val="106"/>
                    <w:bidi w:val="0"/>
                  </w:pPr>
                </w:p>
              </w:tc>
              <w:tc>
                <w:tcPr>
                  <w:tcW w:w="1053" w:type="pct"/>
                  <w:tcBorders>
                    <w:tl2br w:val="nil"/>
                    <w:tr2bl w:val="nil"/>
                  </w:tcBorders>
                  <w:vAlign w:val="center"/>
                </w:tcPr>
                <w:p w14:paraId="3B908FF7">
                  <w:pPr>
                    <w:pStyle w:val="106"/>
                    <w:bidi w:val="0"/>
                    <w:rPr>
                      <w:rFonts w:hint="eastAsia"/>
                      <w:lang w:val="en-US" w:eastAsia="zh-CN"/>
                    </w:rPr>
                  </w:pPr>
                  <w:r>
                    <w:t>电</w:t>
                  </w:r>
                </w:p>
              </w:tc>
              <w:tc>
                <w:tcPr>
                  <w:tcW w:w="459" w:type="pct"/>
                  <w:tcBorders>
                    <w:tl2br w:val="nil"/>
                    <w:tr2bl w:val="nil"/>
                  </w:tcBorders>
                  <w:vAlign w:val="center"/>
                </w:tcPr>
                <w:p w14:paraId="40C1894C">
                  <w:pPr>
                    <w:pStyle w:val="106"/>
                    <w:bidi w:val="0"/>
                    <w:rPr>
                      <w:rFonts w:hint="default"/>
                      <w:lang w:val="en-US" w:eastAsia="zh-CN"/>
                    </w:rPr>
                  </w:pPr>
                  <w:r>
                    <w:rPr>
                      <w:rFonts w:hint="eastAsia"/>
                      <w:lang w:val="en-US" w:eastAsia="zh-CN"/>
                    </w:rPr>
                    <w:t>万kW.h</w:t>
                  </w:r>
                </w:p>
              </w:tc>
              <w:tc>
                <w:tcPr>
                  <w:tcW w:w="509" w:type="pct"/>
                  <w:tcBorders>
                    <w:tl2br w:val="nil"/>
                    <w:tr2bl w:val="nil"/>
                  </w:tcBorders>
                  <w:shd w:val="clear" w:color="auto" w:fill="auto"/>
                  <w:vAlign w:val="center"/>
                </w:tcPr>
                <w:p w14:paraId="0D053D42">
                  <w:pPr>
                    <w:pStyle w:val="106"/>
                    <w:bidi w:val="0"/>
                    <w:rPr>
                      <w:rFonts w:hint="default"/>
                      <w:color w:val="auto"/>
                      <w:lang w:val="en-US" w:eastAsia="zh-CN"/>
                    </w:rPr>
                  </w:pPr>
                  <w:r>
                    <w:rPr>
                      <w:rFonts w:hint="eastAsia"/>
                      <w:color w:val="auto"/>
                      <w:lang w:val="en-US" w:eastAsia="zh-CN"/>
                    </w:rPr>
                    <w:t>10</w:t>
                  </w:r>
                </w:p>
              </w:tc>
              <w:tc>
                <w:tcPr>
                  <w:tcW w:w="585" w:type="pct"/>
                  <w:tcBorders>
                    <w:tl2br w:val="nil"/>
                    <w:tr2bl w:val="nil"/>
                  </w:tcBorders>
                  <w:vAlign w:val="center"/>
                </w:tcPr>
                <w:p w14:paraId="538F9B4E">
                  <w:pPr>
                    <w:pStyle w:val="106"/>
                    <w:bidi w:val="0"/>
                    <w:rPr>
                      <w:rFonts w:hint="eastAsia"/>
                      <w:lang w:val="en-US" w:eastAsia="zh-CN"/>
                    </w:rPr>
                  </w:pPr>
                  <w:r>
                    <w:rPr>
                      <w:rFonts w:hint="eastAsia"/>
                      <w:lang w:val="en-US" w:eastAsia="zh-CN"/>
                    </w:rPr>
                    <w:t>/</w:t>
                  </w:r>
                </w:p>
              </w:tc>
              <w:tc>
                <w:tcPr>
                  <w:tcW w:w="317" w:type="pct"/>
                  <w:tcBorders>
                    <w:tl2br w:val="nil"/>
                    <w:tr2bl w:val="nil"/>
                  </w:tcBorders>
                  <w:vAlign w:val="center"/>
                </w:tcPr>
                <w:p w14:paraId="3BD59700">
                  <w:pPr>
                    <w:pStyle w:val="106"/>
                    <w:bidi w:val="0"/>
                    <w:rPr>
                      <w:rFonts w:hint="default"/>
                      <w:lang w:val="en-US" w:eastAsia="zh-CN"/>
                    </w:rPr>
                  </w:pPr>
                  <w:r>
                    <w:rPr>
                      <w:rFonts w:hint="eastAsia"/>
                      <w:lang w:val="en-US" w:eastAsia="zh-CN"/>
                    </w:rPr>
                    <w:t>/</w:t>
                  </w:r>
                </w:p>
              </w:tc>
              <w:tc>
                <w:tcPr>
                  <w:tcW w:w="451" w:type="pct"/>
                  <w:tcBorders>
                    <w:tl2br w:val="nil"/>
                    <w:tr2bl w:val="nil"/>
                  </w:tcBorders>
                  <w:vAlign w:val="center"/>
                </w:tcPr>
                <w:p w14:paraId="7EC82CD2">
                  <w:pPr>
                    <w:pStyle w:val="106"/>
                    <w:bidi w:val="0"/>
                    <w:rPr>
                      <w:rFonts w:hint="default"/>
                      <w:lang w:val="en-US" w:eastAsia="zh-CN"/>
                    </w:rPr>
                  </w:pPr>
                  <w:r>
                    <w:rPr>
                      <w:rFonts w:hint="eastAsia"/>
                      <w:lang w:val="en-US" w:eastAsia="zh-CN"/>
                    </w:rPr>
                    <w:t>/</w:t>
                  </w:r>
                </w:p>
              </w:tc>
              <w:tc>
                <w:tcPr>
                  <w:tcW w:w="583" w:type="pct"/>
                  <w:tcBorders>
                    <w:tl2br w:val="nil"/>
                    <w:tr2bl w:val="nil"/>
                  </w:tcBorders>
                  <w:vAlign w:val="center"/>
                </w:tcPr>
                <w:p w14:paraId="51076BBF">
                  <w:pPr>
                    <w:pStyle w:val="106"/>
                    <w:bidi w:val="0"/>
                    <w:rPr>
                      <w:rFonts w:hint="eastAsia"/>
                      <w:lang w:val="en-US" w:eastAsia="zh-CN"/>
                    </w:rPr>
                  </w:pPr>
                  <w:r>
                    <w:rPr>
                      <w:rFonts w:hint="eastAsia"/>
                      <w:lang w:val="en-US" w:eastAsia="zh-CN"/>
                    </w:rPr>
                    <w:t>/</w:t>
                  </w:r>
                </w:p>
              </w:tc>
              <w:tc>
                <w:tcPr>
                  <w:tcW w:w="397" w:type="pct"/>
                  <w:tcBorders>
                    <w:tl2br w:val="nil"/>
                    <w:tr2bl w:val="nil"/>
                  </w:tcBorders>
                  <w:vAlign w:val="center"/>
                </w:tcPr>
                <w:p w14:paraId="11F96019">
                  <w:pPr>
                    <w:pStyle w:val="106"/>
                    <w:bidi w:val="0"/>
                    <w:rPr>
                      <w:rFonts w:hint="default"/>
                      <w:lang w:val="en-US" w:eastAsia="zh-CN"/>
                    </w:rPr>
                  </w:pPr>
                  <w:r>
                    <w:rPr>
                      <w:rFonts w:hint="eastAsia"/>
                      <w:lang w:val="en-US" w:eastAsia="zh-CN"/>
                    </w:rPr>
                    <w:t>/</w:t>
                  </w:r>
                </w:p>
              </w:tc>
              <w:tc>
                <w:tcPr>
                  <w:tcW w:w="397" w:type="pct"/>
                  <w:tcBorders>
                    <w:tl2br w:val="nil"/>
                    <w:tr2bl w:val="nil"/>
                  </w:tcBorders>
                  <w:vAlign w:val="center"/>
                </w:tcPr>
                <w:p w14:paraId="5B40B905">
                  <w:pPr>
                    <w:pStyle w:val="106"/>
                    <w:bidi w:val="0"/>
                    <w:rPr>
                      <w:rFonts w:hint="default"/>
                      <w:lang w:val="en-US" w:eastAsia="zh-CN"/>
                    </w:rPr>
                  </w:pPr>
                  <w:r>
                    <w:rPr>
                      <w:rFonts w:hint="eastAsia"/>
                      <w:lang w:val="en-US" w:eastAsia="zh-CN"/>
                    </w:rPr>
                    <w:t>/</w:t>
                  </w:r>
                </w:p>
              </w:tc>
            </w:tr>
            <w:tr w14:paraId="3C117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244" w:type="pct"/>
                  <w:vMerge w:val="continue"/>
                  <w:tcBorders>
                    <w:tl2br w:val="nil"/>
                    <w:tr2bl w:val="nil"/>
                  </w:tcBorders>
                  <w:vAlign w:val="center"/>
                </w:tcPr>
                <w:p w14:paraId="3B99D527">
                  <w:pPr>
                    <w:pStyle w:val="106"/>
                    <w:bidi w:val="0"/>
                  </w:pPr>
                </w:p>
              </w:tc>
              <w:tc>
                <w:tcPr>
                  <w:tcW w:w="1053" w:type="pct"/>
                  <w:tcBorders>
                    <w:tl2br w:val="nil"/>
                    <w:tr2bl w:val="nil"/>
                  </w:tcBorders>
                  <w:vAlign w:val="center"/>
                </w:tcPr>
                <w:p w14:paraId="7572713D">
                  <w:pPr>
                    <w:pStyle w:val="106"/>
                    <w:bidi w:val="0"/>
                    <w:rPr>
                      <w:rFonts w:hint="eastAsia"/>
                      <w:lang w:val="en-US" w:eastAsia="zh-CN"/>
                    </w:rPr>
                  </w:pPr>
                  <w:r>
                    <w:t>新鲜水</w:t>
                  </w:r>
                </w:p>
              </w:tc>
              <w:tc>
                <w:tcPr>
                  <w:tcW w:w="459" w:type="pct"/>
                  <w:tcBorders>
                    <w:tl2br w:val="nil"/>
                    <w:tr2bl w:val="nil"/>
                  </w:tcBorders>
                  <w:vAlign w:val="center"/>
                </w:tcPr>
                <w:p w14:paraId="23BFD382">
                  <w:pPr>
                    <w:pStyle w:val="106"/>
                    <w:bidi w:val="0"/>
                    <w:rPr>
                      <w:rFonts w:hint="default"/>
                      <w:lang w:val="en-US" w:eastAsia="zh-CN"/>
                    </w:rPr>
                  </w:pPr>
                  <w:r>
                    <w:rPr>
                      <w:rFonts w:hint="eastAsia"/>
                      <w:lang w:val="en-US" w:eastAsia="zh-CN"/>
                    </w:rPr>
                    <w:t>m3</w:t>
                  </w:r>
                </w:p>
              </w:tc>
              <w:tc>
                <w:tcPr>
                  <w:tcW w:w="509" w:type="pct"/>
                  <w:tcBorders>
                    <w:tl2br w:val="nil"/>
                    <w:tr2bl w:val="nil"/>
                  </w:tcBorders>
                  <w:shd w:val="clear" w:color="auto" w:fill="auto"/>
                  <w:vAlign w:val="center"/>
                </w:tcPr>
                <w:p w14:paraId="20A4F8C5">
                  <w:pPr>
                    <w:pStyle w:val="106"/>
                    <w:bidi w:val="0"/>
                    <w:rPr>
                      <w:rFonts w:hint="default"/>
                      <w:color w:val="auto"/>
                      <w:lang w:val="en-US" w:eastAsia="zh-CN"/>
                    </w:rPr>
                  </w:pPr>
                  <w:r>
                    <w:rPr>
                      <w:rFonts w:hint="eastAsia"/>
                      <w:color w:val="auto"/>
                      <w:lang w:val="en-US" w:eastAsia="zh-CN"/>
                    </w:rPr>
                    <w:t>23910</w:t>
                  </w:r>
                </w:p>
              </w:tc>
              <w:tc>
                <w:tcPr>
                  <w:tcW w:w="585" w:type="pct"/>
                  <w:tcBorders>
                    <w:tl2br w:val="nil"/>
                    <w:tr2bl w:val="nil"/>
                  </w:tcBorders>
                  <w:vAlign w:val="center"/>
                </w:tcPr>
                <w:p w14:paraId="3AA70234">
                  <w:pPr>
                    <w:pStyle w:val="106"/>
                    <w:bidi w:val="0"/>
                    <w:rPr>
                      <w:rFonts w:hint="default"/>
                      <w:lang w:val="en-US" w:eastAsia="zh-CN"/>
                    </w:rPr>
                  </w:pPr>
                  <w:r>
                    <w:rPr>
                      <w:rFonts w:hint="eastAsia"/>
                      <w:lang w:val="en-US" w:eastAsia="zh-CN"/>
                    </w:rPr>
                    <w:t>/</w:t>
                  </w:r>
                </w:p>
              </w:tc>
              <w:tc>
                <w:tcPr>
                  <w:tcW w:w="317" w:type="pct"/>
                  <w:tcBorders>
                    <w:tl2br w:val="nil"/>
                    <w:tr2bl w:val="nil"/>
                  </w:tcBorders>
                  <w:vAlign w:val="center"/>
                </w:tcPr>
                <w:p w14:paraId="3CAB8FC7">
                  <w:pPr>
                    <w:pStyle w:val="106"/>
                    <w:bidi w:val="0"/>
                    <w:rPr>
                      <w:rFonts w:hint="default"/>
                      <w:lang w:val="en-US" w:eastAsia="zh-CN"/>
                    </w:rPr>
                  </w:pPr>
                  <w:r>
                    <w:rPr>
                      <w:rFonts w:hint="eastAsia"/>
                      <w:lang w:val="en-US" w:eastAsia="zh-CN"/>
                    </w:rPr>
                    <w:t>/</w:t>
                  </w:r>
                </w:p>
              </w:tc>
              <w:tc>
                <w:tcPr>
                  <w:tcW w:w="451" w:type="pct"/>
                  <w:tcBorders>
                    <w:tl2br w:val="nil"/>
                    <w:tr2bl w:val="nil"/>
                  </w:tcBorders>
                  <w:vAlign w:val="center"/>
                </w:tcPr>
                <w:p w14:paraId="7C2DD842">
                  <w:pPr>
                    <w:pStyle w:val="106"/>
                    <w:bidi w:val="0"/>
                    <w:rPr>
                      <w:rFonts w:hint="default"/>
                      <w:lang w:val="en-US" w:eastAsia="zh-CN"/>
                    </w:rPr>
                  </w:pPr>
                  <w:r>
                    <w:rPr>
                      <w:rFonts w:hint="eastAsia"/>
                      <w:lang w:val="en-US" w:eastAsia="zh-CN"/>
                    </w:rPr>
                    <w:t>/</w:t>
                  </w:r>
                </w:p>
              </w:tc>
              <w:tc>
                <w:tcPr>
                  <w:tcW w:w="583" w:type="pct"/>
                  <w:tcBorders>
                    <w:tl2br w:val="nil"/>
                    <w:tr2bl w:val="nil"/>
                  </w:tcBorders>
                  <w:vAlign w:val="center"/>
                </w:tcPr>
                <w:p w14:paraId="0006A7CF">
                  <w:pPr>
                    <w:pStyle w:val="106"/>
                    <w:bidi w:val="0"/>
                    <w:rPr>
                      <w:rFonts w:hint="eastAsia"/>
                      <w:lang w:val="en-US" w:eastAsia="zh-CN"/>
                    </w:rPr>
                  </w:pPr>
                  <w:r>
                    <w:rPr>
                      <w:rFonts w:hint="eastAsia"/>
                      <w:lang w:val="en-US" w:eastAsia="zh-CN"/>
                    </w:rPr>
                    <w:t>/</w:t>
                  </w:r>
                </w:p>
              </w:tc>
              <w:tc>
                <w:tcPr>
                  <w:tcW w:w="397" w:type="pct"/>
                  <w:tcBorders>
                    <w:tl2br w:val="nil"/>
                    <w:tr2bl w:val="nil"/>
                  </w:tcBorders>
                  <w:vAlign w:val="center"/>
                </w:tcPr>
                <w:p w14:paraId="34567FBC">
                  <w:pPr>
                    <w:pStyle w:val="106"/>
                    <w:bidi w:val="0"/>
                    <w:rPr>
                      <w:rFonts w:hint="default"/>
                      <w:lang w:val="en-US" w:eastAsia="zh-CN"/>
                    </w:rPr>
                  </w:pPr>
                  <w:r>
                    <w:rPr>
                      <w:rFonts w:hint="eastAsia"/>
                      <w:lang w:val="en-US" w:eastAsia="zh-CN"/>
                    </w:rPr>
                    <w:t>/</w:t>
                  </w:r>
                </w:p>
              </w:tc>
              <w:tc>
                <w:tcPr>
                  <w:tcW w:w="397" w:type="pct"/>
                  <w:tcBorders>
                    <w:tl2br w:val="nil"/>
                    <w:tr2bl w:val="nil"/>
                  </w:tcBorders>
                  <w:vAlign w:val="center"/>
                </w:tcPr>
                <w:p w14:paraId="0F61B002">
                  <w:pPr>
                    <w:pStyle w:val="106"/>
                    <w:bidi w:val="0"/>
                    <w:rPr>
                      <w:rFonts w:hint="default"/>
                      <w:lang w:val="en-US" w:eastAsia="zh-CN"/>
                    </w:rPr>
                  </w:pPr>
                  <w:r>
                    <w:rPr>
                      <w:rFonts w:hint="eastAsia"/>
                      <w:lang w:val="en-US" w:eastAsia="zh-CN"/>
                    </w:rPr>
                    <w:t>/</w:t>
                  </w:r>
                </w:p>
              </w:tc>
            </w:tr>
          </w:tbl>
          <w:p w14:paraId="7651192A">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default"/>
                <w:lang w:val="en-US" w:eastAsia="zh-CN"/>
              </w:rPr>
            </w:pPr>
            <w:r>
              <w:rPr>
                <w:rFonts w:hint="eastAsia"/>
                <w:lang w:val="en-US" w:eastAsia="zh-CN"/>
              </w:rPr>
              <w:t>原辅料质控要求：项目冻干产品制造原料按照《脱水蔬菜原料通用技术规范》（NY/T 1081-2006）相关要求选用，红薯应满足规范要求中茎菜类感官要求三等或以上标准要求，葱、韭菜、上海青应满足规范要求中叶菜类感官要求三等或以上标准要求，南瓜、火龙果应满足规范要求中果菜类感官要求三等或以上标准要求；蔬菜卫生要求应满足GB2762和GB2760相关要求；肉类原料应使用经过肉类检验检疫合格的肉类；面巾纸、卫生纸原料应满足《一次性使用卫生用品卫生要求》（GB15979-2024）中原材料卫生要求。</w:t>
            </w:r>
          </w:p>
          <w:p w14:paraId="20638A12">
            <w:pPr>
              <w:bidi w:val="0"/>
              <w:rPr>
                <w:rFonts w:hint="default"/>
                <w:b/>
                <w:bCs/>
                <w:color w:val="auto"/>
                <w:lang w:val="en-US" w:eastAsia="zh-CN"/>
              </w:rPr>
            </w:pPr>
            <w:r>
              <w:rPr>
                <w:rFonts w:hint="eastAsia"/>
                <w:b/>
                <w:bCs/>
                <w:color w:val="auto"/>
                <w:lang w:val="en-US" w:eastAsia="zh-CN"/>
              </w:rPr>
              <w:t>本项目质检主要使用蒸馏水等，不涉及其他化学试剂的使用。</w:t>
            </w:r>
          </w:p>
          <w:p w14:paraId="219999E7">
            <w:pPr>
              <w:bidi w:val="0"/>
              <w:rPr>
                <w:rFonts w:hint="eastAsia" w:ascii="黑体" w:hAnsi="黑体" w:eastAsia="黑体" w:cs="黑体"/>
                <w:b/>
                <w:bCs/>
                <w:lang w:val="en-US" w:eastAsia="zh-CN"/>
              </w:rPr>
            </w:pPr>
            <w:r>
              <w:rPr>
                <w:rFonts w:hint="eastAsia" w:ascii="黑体" w:hAnsi="黑体" w:eastAsia="黑体" w:cs="黑体"/>
                <w:b/>
                <w:bCs/>
                <w:lang w:val="en-US" w:eastAsia="zh-CN"/>
              </w:rPr>
              <w:t>8、公辅工程</w:t>
            </w:r>
          </w:p>
          <w:p w14:paraId="6C94E1D0">
            <w:pPr>
              <w:bidi w:val="0"/>
              <w:rPr>
                <w:rFonts w:hint="default"/>
                <w:b/>
                <w:bCs/>
                <w:color w:val="auto"/>
                <w:highlight w:val="none"/>
                <w:lang w:val="en-US" w:eastAsia="zh-CN"/>
              </w:rPr>
            </w:pPr>
            <w:r>
              <w:rPr>
                <w:rFonts w:hint="eastAsia"/>
                <w:b/>
                <w:bCs/>
                <w:color w:val="auto"/>
                <w:highlight w:val="none"/>
                <w:lang w:val="en-US" w:eastAsia="zh-CN"/>
              </w:rPr>
              <w:t>（1）给排水</w:t>
            </w:r>
          </w:p>
          <w:p w14:paraId="2AA505C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1）给水</w:t>
            </w:r>
          </w:p>
          <w:p w14:paraId="5B168872">
            <w:pPr>
              <w:bidi w:val="0"/>
              <w:rPr>
                <w:rFonts w:hint="eastAsia"/>
                <w:color w:val="FF0000"/>
                <w:highlight w:val="none"/>
                <w:lang w:val="en-US" w:eastAsia="zh-CN"/>
              </w:rPr>
            </w:pPr>
            <w:r>
              <w:rPr>
                <w:rFonts w:hint="eastAsia"/>
                <w:b/>
                <w:bCs/>
                <w:color w:val="auto"/>
                <w:highlight w:val="none"/>
                <w:lang w:val="en-US" w:eastAsia="zh-CN"/>
              </w:rPr>
              <w:t>项目质检过程用水均为外购蒸馏水；办公区等拟采用吸尘等干式清洁。</w:t>
            </w:r>
            <w:r>
              <w:rPr>
                <w:rFonts w:hint="eastAsia"/>
                <w:color w:val="auto"/>
                <w:highlight w:val="none"/>
                <w:lang w:val="en-US" w:eastAsia="zh-CN"/>
              </w:rPr>
              <w:t>项目营运期用水主要为生活用水、原料清洗用水、产品制备用水、设备清洗用水、漂烫用水、猪肉解冻用水、空罐及实罐清洗用水、蒸汽制备用水、地面清洗用水、实验器皿清洗用水。根据《建筑给水排水设计标准》（GB50015-2019）和《四川省用水定额》（川府函〔2021〕8号）所制定的各项用水定额并结合建设单位提供的资料，本项目营运期用水预测及分配情况如下。</w:t>
            </w:r>
          </w:p>
          <w:p w14:paraId="11F6CDEF">
            <w:pPr>
              <w:bidi w:val="0"/>
              <w:rPr>
                <w:rFonts w:hint="default"/>
                <w:b/>
                <w:bCs/>
                <w:color w:val="auto"/>
                <w:highlight w:val="none"/>
                <w:lang w:val="en-US" w:eastAsia="zh-CN"/>
              </w:rPr>
            </w:pPr>
            <w:r>
              <w:rPr>
                <w:rFonts w:hint="eastAsia"/>
                <w:b/>
                <w:bCs/>
                <w:color w:val="auto"/>
                <w:highlight w:val="none"/>
                <w:lang w:val="en-US" w:eastAsia="zh-CN"/>
              </w:rPr>
              <w:t>①生活用水</w:t>
            </w:r>
          </w:p>
          <w:p w14:paraId="0011149B">
            <w:pPr>
              <w:ind w:firstLine="480"/>
              <w:rPr>
                <w:color w:val="FF0000"/>
                <w:sz w:val="24"/>
                <w:szCs w:val="32"/>
                <w:highlight w:val="none"/>
              </w:rPr>
            </w:pPr>
            <w:r>
              <w:rPr>
                <w:rFonts w:hint="eastAsia"/>
                <w:color w:val="auto"/>
                <w:sz w:val="24"/>
                <w:szCs w:val="32"/>
                <w:highlight w:val="none"/>
                <w:lang w:val="en-US" w:eastAsia="zh-CN"/>
              </w:rPr>
              <w:t>本项目劳动定员60人</w:t>
            </w:r>
            <w:r>
              <w:rPr>
                <w:rFonts w:hint="eastAsia"/>
                <w:color w:val="auto"/>
                <w:sz w:val="24"/>
                <w:szCs w:val="32"/>
                <w:highlight w:val="none"/>
              </w:rPr>
              <w:t>，年工作日</w:t>
            </w:r>
            <w:r>
              <w:rPr>
                <w:rFonts w:hint="eastAsia"/>
                <w:color w:val="auto"/>
                <w:sz w:val="24"/>
                <w:szCs w:val="32"/>
                <w:highlight w:val="none"/>
                <w:lang w:val="en-US" w:eastAsia="zh-CN"/>
              </w:rPr>
              <w:t>300</w:t>
            </w:r>
            <w:r>
              <w:rPr>
                <w:rFonts w:hint="eastAsia"/>
                <w:color w:val="auto"/>
                <w:sz w:val="24"/>
                <w:szCs w:val="32"/>
                <w:highlight w:val="none"/>
                <w:lang w:eastAsia="zh-CN"/>
              </w:rPr>
              <w:t>天</w:t>
            </w:r>
            <w:r>
              <w:rPr>
                <w:rFonts w:hint="eastAsia"/>
                <w:color w:val="auto"/>
                <w:sz w:val="24"/>
                <w:szCs w:val="32"/>
                <w:highlight w:val="none"/>
              </w:rPr>
              <w:t>。项目</w:t>
            </w:r>
            <w:r>
              <w:rPr>
                <w:rFonts w:hint="eastAsia"/>
                <w:color w:val="auto"/>
                <w:sz w:val="24"/>
                <w:szCs w:val="32"/>
                <w:highlight w:val="none"/>
                <w:lang w:val="en-US" w:eastAsia="zh-CN"/>
              </w:rPr>
              <w:t>不设食宿</w:t>
            </w:r>
            <w:r>
              <w:rPr>
                <w:rFonts w:hint="eastAsia"/>
                <w:color w:val="auto"/>
                <w:sz w:val="24"/>
                <w:szCs w:val="32"/>
                <w:highlight w:val="none"/>
              </w:rPr>
              <w:t>。参考《四川省用水定额》（川府函〔2021〕8号），按</w:t>
            </w:r>
            <w:r>
              <w:rPr>
                <w:rFonts w:hint="eastAsia"/>
                <w:color w:val="auto"/>
                <w:sz w:val="24"/>
                <w:szCs w:val="32"/>
                <w:highlight w:val="none"/>
                <w:lang w:val="en-US" w:eastAsia="zh-CN"/>
              </w:rPr>
              <w:t>5</w:t>
            </w:r>
            <w:r>
              <w:rPr>
                <w:rFonts w:hint="eastAsia"/>
                <w:color w:val="auto"/>
                <w:sz w:val="24"/>
                <w:szCs w:val="32"/>
                <w:highlight w:val="none"/>
              </w:rPr>
              <w:t>0L/</w:t>
            </w:r>
            <w:r>
              <w:rPr>
                <w:rFonts w:hint="eastAsia"/>
                <w:color w:val="auto"/>
                <w:sz w:val="24"/>
                <w:szCs w:val="32"/>
                <w:highlight w:val="none"/>
                <w:lang w:val="en-US" w:eastAsia="zh-CN"/>
              </w:rPr>
              <w:t>人·d计</w:t>
            </w:r>
            <w:r>
              <w:rPr>
                <w:rFonts w:hint="eastAsia"/>
                <w:color w:val="auto"/>
                <w:sz w:val="24"/>
                <w:szCs w:val="32"/>
                <w:highlight w:val="none"/>
              </w:rPr>
              <w:t>，则厂区生活用水量为</w:t>
            </w:r>
            <w:r>
              <w:rPr>
                <w:rFonts w:hint="eastAsia"/>
                <w:color w:val="auto"/>
                <w:sz w:val="24"/>
                <w:szCs w:val="32"/>
                <w:highlight w:val="none"/>
                <w:lang w:val="en-US" w:eastAsia="zh-CN"/>
              </w:rPr>
              <w:t>3.0</w:t>
            </w:r>
            <w:r>
              <w:rPr>
                <w:rFonts w:hint="eastAsia"/>
                <w:color w:val="auto"/>
                <w:sz w:val="24"/>
                <w:szCs w:val="32"/>
                <w:highlight w:val="none"/>
              </w:rPr>
              <w:t>m</w:t>
            </w:r>
            <w:r>
              <w:rPr>
                <w:rFonts w:hint="eastAsia"/>
                <w:color w:val="auto"/>
                <w:sz w:val="24"/>
                <w:szCs w:val="32"/>
                <w:highlight w:val="none"/>
                <w:vertAlign w:val="superscript"/>
              </w:rPr>
              <w:t>3</w:t>
            </w:r>
            <w:r>
              <w:rPr>
                <w:rFonts w:hint="eastAsia"/>
                <w:color w:val="auto"/>
                <w:sz w:val="24"/>
                <w:szCs w:val="32"/>
                <w:highlight w:val="none"/>
              </w:rPr>
              <w:t>/d</w:t>
            </w:r>
            <w:r>
              <w:rPr>
                <w:rFonts w:hint="eastAsia"/>
                <w:color w:val="auto"/>
                <w:sz w:val="24"/>
                <w:szCs w:val="32"/>
                <w:highlight w:val="none"/>
                <w:lang w:eastAsia="zh-CN"/>
              </w:rPr>
              <w:t>（</w:t>
            </w:r>
            <w:r>
              <w:rPr>
                <w:rFonts w:hint="eastAsia"/>
                <w:color w:val="auto"/>
                <w:sz w:val="24"/>
                <w:szCs w:val="32"/>
                <w:highlight w:val="none"/>
                <w:lang w:val="en-US" w:eastAsia="zh-CN"/>
              </w:rPr>
              <w:t>900</w:t>
            </w:r>
            <w:r>
              <w:rPr>
                <w:rFonts w:hint="eastAsia"/>
                <w:color w:val="auto"/>
                <w:sz w:val="24"/>
                <w:szCs w:val="32"/>
                <w:highlight w:val="none"/>
              </w:rPr>
              <w:t>m</w:t>
            </w:r>
            <w:r>
              <w:rPr>
                <w:rFonts w:hint="eastAsia"/>
                <w:color w:val="auto"/>
                <w:sz w:val="24"/>
                <w:szCs w:val="32"/>
                <w:highlight w:val="none"/>
                <w:vertAlign w:val="superscript"/>
              </w:rPr>
              <w:t>3</w:t>
            </w:r>
            <w:r>
              <w:rPr>
                <w:rFonts w:hint="eastAsia"/>
                <w:color w:val="auto"/>
                <w:sz w:val="24"/>
                <w:szCs w:val="32"/>
                <w:highlight w:val="none"/>
              </w:rPr>
              <w:t>/a</w:t>
            </w:r>
            <w:r>
              <w:rPr>
                <w:rFonts w:hint="eastAsia"/>
                <w:color w:val="auto"/>
                <w:sz w:val="24"/>
                <w:szCs w:val="32"/>
                <w:highlight w:val="none"/>
                <w:lang w:eastAsia="zh-CN"/>
              </w:rPr>
              <w:t>）</w:t>
            </w:r>
            <w:r>
              <w:rPr>
                <w:rFonts w:hint="eastAsia"/>
                <w:color w:val="auto"/>
                <w:sz w:val="24"/>
                <w:szCs w:val="32"/>
                <w:highlight w:val="none"/>
              </w:rPr>
              <w:t>。排放系数按0.</w:t>
            </w:r>
            <w:r>
              <w:rPr>
                <w:rFonts w:hint="eastAsia"/>
                <w:color w:val="auto"/>
                <w:sz w:val="24"/>
                <w:szCs w:val="32"/>
                <w:highlight w:val="none"/>
                <w:lang w:val="en-US" w:eastAsia="zh-CN"/>
              </w:rPr>
              <w:t>9</w:t>
            </w:r>
            <w:r>
              <w:rPr>
                <w:rFonts w:hint="eastAsia"/>
                <w:color w:val="auto"/>
                <w:sz w:val="24"/>
                <w:szCs w:val="32"/>
                <w:highlight w:val="none"/>
              </w:rPr>
              <w:t>计，则厂区员工生活污水产生量为</w:t>
            </w:r>
            <w:r>
              <w:rPr>
                <w:rFonts w:hint="eastAsia"/>
                <w:color w:val="auto"/>
                <w:sz w:val="24"/>
                <w:szCs w:val="32"/>
                <w:highlight w:val="none"/>
                <w:lang w:val="en-US" w:eastAsia="zh-CN"/>
              </w:rPr>
              <w:t>2.7</w:t>
            </w:r>
            <w:r>
              <w:rPr>
                <w:rFonts w:hint="eastAsia"/>
                <w:color w:val="auto"/>
                <w:sz w:val="24"/>
                <w:szCs w:val="32"/>
                <w:highlight w:val="none"/>
              </w:rPr>
              <w:t>m</w:t>
            </w:r>
            <w:r>
              <w:rPr>
                <w:rFonts w:hint="eastAsia"/>
                <w:color w:val="auto"/>
                <w:sz w:val="24"/>
                <w:szCs w:val="32"/>
                <w:highlight w:val="none"/>
                <w:vertAlign w:val="superscript"/>
              </w:rPr>
              <w:t>3</w:t>
            </w:r>
            <w:r>
              <w:rPr>
                <w:rFonts w:hint="eastAsia"/>
                <w:color w:val="auto"/>
                <w:sz w:val="24"/>
                <w:szCs w:val="32"/>
                <w:highlight w:val="none"/>
              </w:rPr>
              <w:t>/d</w:t>
            </w:r>
            <w:r>
              <w:rPr>
                <w:rFonts w:hint="eastAsia"/>
                <w:color w:val="auto"/>
                <w:sz w:val="24"/>
                <w:szCs w:val="32"/>
                <w:highlight w:val="none"/>
                <w:lang w:eastAsia="zh-CN"/>
              </w:rPr>
              <w:t>（</w:t>
            </w:r>
            <w:r>
              <w:rPr>
                <w:rFonts w:hint="eastAsia"/>
                <w:color w:val="auto"/>
                <w:sz w:val="24"/>
                <w:szCs w:val="32"/>
                <w:highlight w:val="none"/>
                <w:lang w:val="en-US" w:eastAsia="zh-CN"/>
              </w:rPr>
              <w:t>810</w:t>
            </w:r>
            <w:r>
              <w:rPr>
                <w:rFonts w:hint="eastAsia"/>
                <w:color w:val="auto"/>
                <w:sz w:val="24"/>
                <w:szCs w:val="32"/>
                <w:highlight w:val="none"/>
              </w:rPr>
              <w:t>m</w:t>
            </w:r>
            <w:r>
              <w:rPr>
                <w:rFonts w:hint="eastAsia"/>
                <w:color w:val="auto"/>
                <w:sz w:val="24"/>
                <w:szCs w:val="32"/>
                <w:highlight w:val="none"/>
                <w:vertAlign w:val="superscript"/>
              </w:rPr>
              <w:t>3</w:t>
            </w:r>
            <w:r>
              <w:rPr>
                <w:rFonts w:hint="eastAsia"/>
                <w:color w:val="auto"/>
                <w:sz w:val="24"/>
                <w:szCs w:val="32"/>
                <w:highlight w:val="none"/>
              </w:rPr>
              <w:t>/a</w:t>
            </w:r>
            <w:r>
              <w:rPr>
                <w:rFonts w:hint="eastAsia"/>
                <w:color w:val="auto"/>
                <w:sz w:val="24"/>
                <w:szCs w:val="32"/>
                <w:highlight w:val="none"/>
                <w:lang w:eastAsia="zh-CN"/>
              </w:rPr>
              <w:t>）</w:t>
            </w:r>
            <w:r>
              <w:rPr>
                <w:rFonts w:hint="eastAsia"/>
                <w:color w:val="auto"/>
                <w:sz w:val="24"/>
                <w:szCs w:val="32"/>
                <w:highlight w:val="none"/>
              </w:rPr>
              <w:t>。</w:t>
            </w:r>
          </w:p>
          <w:p w14:paraId="57CF7992">
            <w:pPr>
              <w:spacing w:line="360" w:lineRule="auto"/>
              <w:ind w:firstLine="482" w:firstLineChars="200"/>
              <w:rPr>
                <w:rFonts w:hint="default"/>
                <w:b/>
                <w:bCs/>
                <w:color w:val="auto"/>
                <w:sz w:val="24"/>
                <w:szCs w:val="32"/>
                <w:highlight w:val="none"/>
                <w:lang w:val="en-US" w:eastAsia="zh-CN"/>
              </w:rPr>
            </w:pPr>
            <w:r>
              <w:rPr>
                <w:rFonts w:hint="eastAsia"/>
                <w:b/>
                <w:bCs/>
                <w:color w:val="auto"/>
                <w:sz w:val="24"/>
                <w:szCs w:val="32"/>
                <w:highlight w:val="none"/>
                <w:lang w:val="en-US" w:eastAsia="zh-CN"/>
              </w:rPr>
              <w:t>②原料清洗用水</w:t>
            </w:r>
          </w:p>
          <w:p w14:paraId="22CD5832">
            <w:pPr>
              <w:ind w:firstLine="480"/>
              <w:rPr>
                <w:color w:val="FF0000"/>
                <w:sz w:val="24"/>
                <w:szCs w:val="32"/>
                <w:highlight w:val="none"/>
              </w:rPr>
            </w:pPr>
            <w:r>
              <w:rPr>
                <w:rFonts w:hint="eastAsia"/>
                <w:bCs/>
                <w:color w:val="auto"/>
                <w:kern w:val="24"/>
                <w:sz w:val="24"/>
                <w:szCs w:val="24"/>
                <w:highlight w:val="none"/>
              </w:rPr>
              <w:t>根据建设单位提</w:t>
            </w:r>
            <w:r>
              <w:rPr>
                <w:rFonts w:hint="eastAsia"/>
                <w:bCs/>
                <w:color w:val="auto"/>
                <w:kern w:val="24"/>
                <w:sz w:val="24"/>
                <w:szCs w:val="24"/>
                <w:highlight w:val="none"/>
                <w:lang w:eastAsia="zh-CN"/>
              </w:rPr>
              <w:t>供的</w:t>
            </w:r>
            <w:r>
              <w:rPr>
                <w:rFonts w:hint="eastAsia"/>
                <w:bCs/>
                <w:color w:val="auto"/>
                <w:kern w:val="24"/>
                <w:sz w:val="24"/>
                <w:szCs w:val="24"/>
                <w:highlight w:val="none"/>
              </w:rPr>
              <w:t>资料，</w:t>
            </w:r>
            <w:r>
              <w:rPr>
                <w:rFonts w:hint="eastAsia"/>
                <w:bCs/>
                <w:color w:val="auto"/>
                <w:kern w:val="24"/>
                <w:sz w:val="24"/>
                <w:szCs w:val="24"/>
                <w:highlight w:val="none"/>
                <w:lang w:val="en-US" w:eastAsia="zh-CN"/>
              </w:rPr>
              <w:t>项目产品生产过程中葱葱、上海青、红薯、韭菜、火龙果等冻干原料果蔬均需进行清洗</w:t>
            </w:r>
            <w:r>
              <w:rPr>
                <w:rFonts w:hint="eastAsia"/>
                <w:bCs/>
                <w:color w:val="auto"/>
                <w:kern w:val="24"/>
                <w:sz w:val="24"/>
                <w:szCs w:val="24"/>
                <w:highlight w:val="none"/>
                <w:lang w:eastAsia="zh-CN"/>
              </w:rPr>
              <w:t>，</w:t>
            </w:r>
            <w:r>
              <w:rPr>
                <w:rFonts w:hint="eastAsia"/>
                <w:bCs/>
                <w:color w:val="auto"/>
                <w:kern w:val="24"/>
                <w:sz w:val="24"/>
                <w:szCs w:val="24"/>
                <w:highlight w:val="none"/>
                <w:lang w:val="en-US" w:eastAsia="zh-CN"/>
              </w:rPr>
              <w:t>根据建设单位提供的资料，项目果蔬清洗主要为高压喷淋和气泡清洗，根据清洗原料的不同用水量不同，根据建设单位生产经验，果蔬清洗高压喷淋时间在3min左右，项目拟设高压喷淋机4台，</w:t>
            </w:r>
            <w:r>
              <w:rPr>
                <w:rFonts w:hint="eastAsia" w:cs="Arial"/>
                <w:color w:val="auto"/>
                <w:sz w:val="24"/>
                <w:highlight w:val="none"/>
                <w:lang w:val="en-US" w:eastAsia="zh-CN"/>
              </w:rPr>
              <w:t>高压喷淋机出水量均在10L/min左右，高压喷淋机运行按每天运行5h计，则果蔬高压喷淋用水量为12m</w:t>
            </w:r>
            <w:r>
              <w:rPr>
                <w:rFonts w:hint="eastAsia" w:cs="Arial"/>
                <w:color w:val="auto"/>
                <w:sz w:val="24"/>
                <w:highlight w:val="none"/>
                <w:vertAlign w:val="superscript"/>
                <w:lang w:val="en-US" w:eastAsia="zh-CN"/>
              </w:rPr>
              <w:t>3</w:t>
            </w:r>
            <w:r>
              <w:rPr>
                <w:rFonts w:hint="eastAsia" w:cs="Arial"/>
                <w:color w:val="auto"/>
                <w:sz w:val="24"/>
                <w:highlight w:val="none"/>
                <w:lang w:val="en-US" w:eastAsia="zh-CN"/>
              </w:rPr>
              <w:t>/d</w:t>
            </w:r>
            <w:r>
              <w:rPr>
                <w:rFonts w:hint="eastAsia"/>
                <w:bCs/>
                <w:color w:val="auto"/>
                <w:kern w:val="24"/>
                <w:sz w:val="24"/>
                <w:szCs w:val="24"/>
                <w:highlight w:val="none"/>
                <w:lang w:val="en-US" w:eastAsia="zh-CN"/>
              </w:rPr>
              <w:t>；</w:t>
            </w:r>
            <w:r>
              <w:rPr>
                <w:rFonts w:hint="eastAsia" w:cs="Arial"/>
                <w:color w:val="auto"/>
                <w:sz w:val="24"/>
                <w:highlight w:val="none"/>
                <w:lang w:val="en-US" w:eastAsia="zh-CN"/>
              </w:rPr>
              <w:t>项目拟设4台气泡清洗机，水容量约2m</w:t>
            </w:r>
            <w:r>
              <w:rPr>
                <w:rFonts w:hint="eastAsia" w:cs="Arial"/>
                <w:color w:val="auto"/>
                <w:sz w:val="24"/>
                <w:highlight w:val="none"/>
                <w:vertAlign w:val="superscript"/>
                <w:lang w:val="en-US" w:eastAsia="zh-CN"/>
              </w:rPr>
              <w:t>3</w:t>
            </w:r>
            <w:r>
              <w:rPr>
                <w:rFonts w:hint="eastAsia" w:cs="Arial"/>
                <w:color w:val="auto"/>
                <w:sz w:val="24"/>
                <w:highlight w:val="none"/>
                <w:lang w:val="en-US" w:eastAsia="zh-CN"/>
              </w:rPr>
              <w:t>，预计每天更换1次，则气泡清洗机用水量为8m</w:t>
            </w:r>
            <w:r>
              <w:rPr>
                <w:rFonts w:hint="eastAsia" w:cs="Arial"/>
                <w:color w:val="auto"/>
                <w:sz w:val="24"/>
                <w:highlight w:val="none"/>
                <w:vertAlign w:val="superscript"/>
                <w:lang w:val="en-US" w:eastAsia="zh-CN"/>
              </w:rPr>
              <w:t>3</w:t>
            </w:r>
            <w:r>
              <w:rPr>
                <w:rFonts w:hint="eastAsia" w:cs="Arial"/>
                <w:color w:val="auto"/>
                <w:sz w:val="24"/>
                <w:highlight w:val="none"/>
                <w:lang w:val="en-US" w:eastAsia="zh-CN"/>
              </w:rPr>
              <w:t>/d。</w:t>
            </w:r>
            <w:r>
              <w:rPr>
                <w:rFonts w:hint="eastAsia"/>
                <w:bCs/>
                <w:color w:val="auto"/>
                <w:kern w:val="24"/>
                <w:sz w:val="24"/>
                <w:szCs w:val="24"/>
                <w:highlight w:val="none"/>
                <w:lang w:val="en-US" w:eastAsia="zh-CN"/>
              </w:rPr>
              <w:t>综上，项目预计原料清洗用水量合计为20.0m</w:t>
            </w:r>
            <w:r>
              <w:rPr>
                <w:rFonts w:hint="eastAsia"/>
                <w:bCs/>
                <w:color w:val="auto"/>
                <w:kern w:val="24"/>
                <w:sz w:val="24"/>
                <w:szCs w:val="24"/>
                <w:highlight w:val="none"/>
                <w:vertAlign w:val="superscript"/>
                <w:lang w:val="en-US" w:eastAsia="zh-CN"/>
              </w:rPr>
              <w:t>3</w:t>
            </w:r>
            <w:r>
              <w:rPr>
                <w:rFonts w:hint="eastAsia"/>
                <w:bCs/>
                <w:color w:val="auto"/>
                <w:kern w:val="24"/>
                <w:sz w:val="24"/>
                <w:szCs w:val="24"/>
                <w:highlight w:val="none"/>
                <w:lang w:val="en-US" w:eastAsia="zh-CN"/>
              </w:rPr>
              <w:t>/d（6000m</w:t>
            </w:r>
            <w:r>
              <w:rPr>
                <w:rFonts w:hint="eastAsia"/>
                <w:bCs/>
                <w:color w:val="auto"/>
                <w:kern w:val="24"/>
                <w:sz w:val="24"/>
                <w:szCs w:val="24"/>
                <w:highlight w:val="none"/>
                <w:vertAlign w:val="superscript"/>
                <w:lang w:val="en-US" w:eastAsia="zh-CN"/>
              </w:rPr>
              <w:t>3</w:t>
            </w:r>
            <w:r>
              <w:rPr>
                <w:rFonts w:hint="eastAsia"/>
                <w:bCs/>
                <w:color w:val="auto"/>
                <w:kern w:val="24"/>
                <w:sz w:val="24"/>
                <w:szCs w:val="24"/>
                <w:highlight w:val="none"/>
                <w:lang w:val="en-US" w:eastAsia="zh-CN"/>
              </w:rPr>
              <w:t>/a）</w:t>
            </w:r>
            <w:r>
              <w:rPr>
                <w:rFonts w:hint="eastAsia"/>
                <w:bCs/>
                <w:color w:val="auto"/>
                <w:kern w:val="24"/>
                <w:sz w:val="24"/>
                <w:szCs w:val="24"/>
                <w:highlight w:val="none"/>
              </w:rPr>
              <w:t>，</w:t>
            </w:r>
            <w:r>
              <w:rPr>
                <w:rFonts w:hint="eastAsia"/>
                <w:bCs/>
                <w:color w:val="auto"/>
                <w:kern w:val="24"/>
                <w:sz w:val="24"/>
                <w:szCs w:val="24"/>
                <w:highlight w:val="none"/>
                <w:lang w:val="en-US" w:eastAsia="zh-CN"/>
              </w:rPr>
              <w:t>排污系数按0.9计，原料清洗废水产生量</w:t>
            </w:r>
            <w:r>
              <w:rPr>
                <w:rFonts w:hint="eastAsia"/>
                <w:bCs/>
                <w:color w:val="auto"/>
                <w:kern w:val="24"/>
                <w:sz w:val="24"/>
                <w:szCs w:val="24"/>
                <w:highlight w:val="none"/>
              </w:rPr>
              <w:t>为</w:t>
            </w:r>
            <w:r>
              <w:rPr>
                <w:rFonts w:hint="eastAsia"/>
                <w:bCs/>
                <w:color w:val="auto"/>
                <w:kern w:val="24"/>
                <w:sz w:val="24"/>
                <w:szCs w:val="24"/>
                <w:highlight w:val="none"/>
                <w:lang w:val="en-US" w:eastAsia="zh-CN"/>
              </w:rPr>
              <w:t>18.0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w:t>
            </w:r>
            <w:r>
              <w:rPr>
                <w:rFonts w:hint="eastAsia"/>
                <w:bCs/>
                <w:color w:val="auto"/>
                <w:kern w:val="24"/>
                <w:sz w:val="24"/>
                <w:szCs w:val="24"/>
                <w:highlight w:val="none"/>
              </w:rPr>
              <w:t>（</w:t>
            </w:r>
            <w:r>
              <w:rPr>
                <w:rFonts w:hint="eastAsia"/>
                <w:bCs/>
                <w:color w:val="auto"/>
                <w:kern w:val="24"/>
                <w:sz w:val="24"/>
                <w:szCs w:val="24"/>
                <w:highlight w:val="none"/>
                <w:lang w:val="en-US" w:eastAsia="zh-CN"/>
              </w:rPr>
              <w:t>5400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color w:val="auto"/>
                <w:sz w:val="24"/>
                <w:szCs w:val="32"/>
                <w:highlight w:val="none"/>
              </w:rPr>
              <w:t>。</w:t>
            </w:r>
          </w:p>
          <w:p w14:paraId="7212169F">
            <w:pPr>
              <w:spacing w:line="360" w:lineRule="auto"/>
              <w:ind w:firstLine="482" w:firstLineChars="200"/>
              <w:rPr>
                <w:rFonts w:hint="default"/>
                <w:b/>
                <w:bCs/>
                <w:color w:val="auto"/>
                <w:sz w:val="24"/>
                <w:szCs w:val="32"/>
                <w:highlight w:val="none"/>
                <w:lang w:val="en-US" w:eastAsia="zh-CN"/>
              </w:rPr>
            </w:pPr>
            <w:r>
              <w:rPr>
                <w:rFonts w:hint="eastAsia"/>
                <w:b/>
                <w:bCs/>
                <w:color w:val="auto"/>
                <w:sz w:val="24"/>
                <w:szCs w:val="32"/>
                <w:highlight w:val="none"/>
                <w:lang w:val="en-US" w:eastAsia="zh-CN"/>
              </w:rPr>
              <w:t>③产品制备用水</w:t>
            </w:r>
          </w:p>
          <w:p w14:paraId="500CBF89">
            <w:pPr>
              <w:bidi w:val="0"/>
              <w:rPr>
                <w:rFonts w:hint="default"/>
                <w:lang w:val="en-US" w:eastAsia="zh-CN"/>
              </w:rPr>
            </w:pPr>
            <w:r>
              <w:rPr>
                <w:rFonts w:hint="eastAsia"/>
                <w:lang w:val="en-US" w:eastAsia="zh-CN"/>
              </w:rPr>
              <w:t>项目午餐肉罐头真空搅拌等过程需加水制备，量与水的比例按2:1计，产品原料量预计为2500t，则各产品制备用水量预计分别为1250t（4.17t/d）。</w:t>
            </w:r>
          </w:p>
          <w:p w14:paraId="74307BA9">
            <w:pPr>
              <w:spacing w:line="360" w:lineRule="auto"/>
              <w:ind w:firstLine="482" w:firstLineChars="200"/>
              <w:rPr>
                <w:b/>
                <w:bCs/>
                <w:color w:val="auto"/>
                <w:kern w:val="24"/>
                <w:sz w:val="24"/>
                <w:szCs w:val="24"/>
                <w:highlight w:val="none"/>
              </w:rPr>
            </w:pPr>
            <w:r>
              <w:rPr>
                <w:rFonts w:hint="eastAsia"/>
                <w:b/>
                <w:bCs/>
                <w:color w:val="auto"/>
                <w:sz w:val="24"/>
                <w:szCs w:val="32"/>
                <w:highlight w:val="none"/>
                <w:lang w:val="en-US" w:eastAsia="zh-CN"/>
              </w:rPr>
              <w:t>④设备清洗用</w:t>
            </w:r>
            <w:r>
              <w:rPr>
                <w:rFonts w:hint="eastAsia"/>
                <w:b/>
                <w:bCs/>
                <w:color w:val="auto"/>
                <w:kern w:val="24"/>
                <w:sz w:val="24"/>
                <w:szCs w:val="24"/>
                <w:highlight w:val="none"/>
              </w:rPr>
              <w:t>水</w:t>
            </w:r>
          </w:p>
          <w:p w14:paraId="271B55B2">
            <w:pPr>
              <w:spacing w:line="360" w:lineRule="auto"/>
              <w:ind w:firstLine="480" w:firstLineChars="200"/>
              <w:rPr>
                <w:rFonts w:hint="eastAsia"/>
                <w:bCs/>
                <w:color w:val="auto"/>
                <w:kern w:val="24"/>
                <w:sz w:val="24"/>
                <w:szCs w:val="24"/>
                <w:highlight w:val="none"/>
              </w:rPr>
            </w:pPr>
            <w:r>
              <w:rPr>
                <w:rFonts w:hint="eastAsia"/>
                <w:bCs/>
                <w:color w:val="auto"/>
                <w:kern w:val="24"/>
                <w:sz w:val="24"/>
                <w:szCs w:val="24"/>
                <w:highlight w:val="none"/>
              </w:rPr>
              <w:t>根据建设单位提供资料，</w:t>
            </w:r>
            <w:r>
              <w:rPr>
                <w:rFonts w:hint="eastAsia"/>
                <w:bCs/>
                <w:color w:val="auto"/>
                <w:kern w:val="24"/>
                <w:sz w:val="24"/>
                <w:szCs w:val="24"/>
                <w:highlight w:val="none"/>
                <w:lang w:val="en-US" w:eastAsia="zh-CN"/>
              </w:rPr>
              <w:t>项目生产过程中生产设备需每天进行清洗</w:t>
            </w:r>
            <w:r>
              <w:rPr>
                <w:rFonts w:hint="eastAsia"/>
                <w:bCs/>
                <w:color w:val="auto"/>
                <w:kern w:val="24"/>
                <w:sz w:val="24"/>
                <w:szCs w:val="24"/>
                <w:highlight w:val="none"/>
              </w:rPr>
              <w:t>，</w:t>
            </w:r>
            <w:r>
              <w:rPr>
                <w:rFonts w:hint="eastAsia"/>
                <w:bCs/>
                <w:color w:val="auto"/>
                <w:kern w:val="24"/>
                <w:sz w:val="24"/>
                <w:szCs w:val="24"/>
                <w:highlight w:val="none"/>
                <w:lang w:val="en-US" w:eastAsia="zh-CN"/>
              </w:rPr>
              <w:t>预计设备清洗用水量约2</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w:t>
            </w:r>
            <w:r>
              <w:rPr>
                <w:rFonts w:hint="eastAsia"/>
                <w:bCs/>
                <w:color w:val="auto"/>
                <w:kern w:val="24"/>
                <w:sz w:val="24"/>
                <w:szCs w:val="24"/>
                <w:highlight w:val="none"/>
              </w:rPr>
              <w:t>（</w:t>
            </w:r>
            <w:r>
              <w:rPr>
                <w:rFonts w:hint="eastAsia"/>
                <w:bCs/>
                <w:color w:val="auto"/>
                <w:kern w:val="24"/>
                <w:sz w:val="24"/>
                <w:szCs w:val="24"/>
                <w:highlight w:val="none"/>
                <w:lang w:val="en-US" w:eastAsia="zh-CN"/>
              </w:rPr>
              <w:t>600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eastAsia="zh-CN"/>
              </w:rPr>
              <w:t>，</w:t>
            </w:r>
            <w:r>
              <w:rPr>
                <w:rFonts w:hint="eastAsia"/>
                <w:bCs/>
                <w:color w:val="auto"/>
                <w:kern w:val="24"/>
                <w:sz w:val="24"/>
                <w:szCs w:val="24"/>
                <w:highlight w:val="none"/>
                <w:lang w:val="en-US" w:eastAsia="zh-CN"/>
              </w:rPr>
              <w:t>排污系数按0.9计，则设备清洗废水排放量为1.8</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d（540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val="en-US" w:eastAsia="zh-CN"/>
              </w:rPr>
              <w:t>）</w:t>
            </w:r>
            <w:r>
              <w:rPr>
                <w:rFonts w:hint="eastAsia"/>
                <w:bCs/>
                <w:color w:val="auto"/>
                <w:kern w:val="24"/>
                <w:sz w:val="24"/>
                <w:szCs w:val="24"/>
                <w:highlight w:val="none"/>
              </w:rPr>
              <w:t>。</w:t>
            </w:r>
          </w:p>
          <w:p w14:paraId="19D45410">
            <w:pPr>
              <w:ind w:firstLine="480"/>
              <w:rPr>
                <w:rFonts w:hint="default"/>
                <w:b/>
                <w:bCs/>
                <w:color w:val="auto"/>
                <w:sz w:val="24"/>
                <w:szCs w:val="32"/>
                <w:highlight w:val="none"/>
                <w:lang w:val="en-US" w:eastAsia="zh-CN"/>
              </w:rPr>
            </w:pPr>
            <w:r>
              <w:rPr>
                <w:rFonts w:hint="eastAsia"/>
                <w:b/>
                <w:bCs/>
                <w:color w:val="auto"/>
                <w:sz w:val="24"/>
                <w:szCs w:val="32"/>
                <w:highlight w:val="none"/>
                <w:lang w:val="en-US" w:eastAsia="zh-CN"/>
              </w:rPr>
              <w:t>⑤漂烫用水</w:t>
            </w:r>
          </w:p>
          <w:p w14:paraId="3214F431">
            <w:pPr>
              <w:ind w:firstLine="480"/>
              <w:rPr>
                <w:rFonts w:hint="eastAsia"/>
                <w:b/>
                <w:bCs/>
                <w:color w:val="auto"/>
                <w:sz w:val="24"/>
                <w:szCs w:val="32"/>
                <w:highlight w:val="none"/>
                <w:lang w:val="en-US" w:eastAsia="zh-CN"/>
              </w:rPr>
            </w:pPr>
            <w:r>
              <w:rPr>
                <w:rFonts w:hint="eastAsia"/>
                <w:bCs/>
                <w:color w:val="auto"/>
                <w:kern w:val="24"/>
                <w:sz w:val="24"/>
                <w:szCs w:val="24"/>
                <w:highlight w:val="none"/>
              </w:rPr>
              <w:t>根据建设单位提供资料，</w:t>
            </w:r>
            <w:r>
              <w:rPr>
                <w:rFonts w:hint="eastAsia"/>
                <w:bCs/>
                <w:color w:val="auto"/>
                <w:kern w:val="24"/>
                <w:sz w:val="24"/>
                <w:szCs w:val="24"/>
                <w:highlight w:val="none"/>
                <w:lang w:val="en-US" w:eastAsia="zh-CN"/>
              </w:rPr>
              <w:t>项目冻干生产工艺过程中预计果蔬漂烫用水（包括漂烫过程中补充用水）量约4.0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w:t>
            </w:r>
            <w:r>
              <w:rPr>
                <w:rFonts w:hint="eastAsia"/>
                <w:bCs/>
                <w:color w:val="auto"/>
                <w:kern w:val="24"/>
                <w:sz w:val="24"/>
                <w:szCs w:val="24"/>
                <w:highlight w:val="none"/>
              </w:rPr>
              <w:t>（</w:t>
            </w:r>
            <w:r>
              <w:rPr>
                <w:rFonts w:hint="eastAsia"/>
                <w:bCs/>
                <w:color w:val="auto"/>
                <w:kern w:val="24"/>
                <w:sz w:val="24"/>
                <w:szCs w:val="24"/>
                <w:highlight w:val="none"/>
                <w:lang w:val="en-US" w:eastAsia="zh-CN"/>
              </w:rPr>
              <w:t>1200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eastAsia="zh-CN"/>
              </w:rPr>
              <w:t>，</w:t>
            </w:r>
            <w:r>
              <w:rPr>
                <w:rFonts w:hint="eastAsia"/>
                <w:bCs/>
                <w:color w:val="auto"/>
                <w:kern w:val="24"/>
                <w:sz w:val="24"/>
                <w:szCs w:val="24"/>
                <w:highlight w:val="none"/>
                <w:lang w:val="en-US" w:eastAsia="zh-CN"/>
              </w:rPr>
              <w:t>漂烫用水预计每天排放1次，排污系数按0.5计，则漂烫废水排放量为2.0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d（600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val="en-US" w:eastAsia="zh-CN"/>
              </w:rPr>
              <w:t>）</w:t>
            </w:r>
            <w:r>
              <w:rPr>
                <w:rFonts w:hint="eastAsia"/>
                <w:bCs/>
                <w:color w:val="auto"/>
                <w:kern w:val="24"/>
                <w:sz w:val="24"/>
                <w:szCs w:val="24"/>
                <w:highlight w:val="none"/>
              </w:rPr>
              <w:t>。</w:t>
            </w:r>
          </w:p>
          <w:p w14:paraId="6683DAFA">
            <w:pPr>
              <w:pStyle w:val="2"/>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⑥猪肉解冻用水</w:t>
            </w:r>
          </w:p>
          <w:p w14:paraId="521CC2A0">
            <w:pPr>
              <w:bidi w:val="0"/>
              <w:rPr>
                <w:rFonts w:hint="default"/>
                <w:lang w:val="en-US" w:eastAsia="zh-CN"/>
              </w:rPr>
            </w:pPr>
            <w:r>
              <w:rPr>
                <w:rFonts w:hint="eastAsia"/>
                <w:lang w:val="en-US" w:eastAsia="zh-CN"/>
              </w:rPr>
              <w:t>午餐肉罐头生产过程中需对冻库中拿出的猪肉使用气泡解冻池进行解冻，解冻池水容量约10m</w:t>
            </w:r>
            <w:r>
              <w:rPr>
                <w:rFonts w:hint="eastAsia"/>
                <w:vertAlign w:val="superscript"/>
                <w:lang w:val="en-US" w:eastAsia="zh-CN"/>
              </w:rPr>
              <w:t>3</w:t>
            </w:r>
            <w:r>
              <w:rPr>
                <w:rFonts w:hint="eastAsia"/>
                <w:lang w:val="en-US" w:eastAsia="zh-CN"/>
              </w:rPr>
              <w:t>，解冻水循环使用，预计每天更换1次，</w:t>
            </w:r>
            <w:r>
              <w:rPr>
                <w:rFonts w:hint="eastAsia"/>
                <w:bCs/>
                <w:color w:val="auto"/>
                <w:kern w:val="24"/>
                <w:sz w:val="24"/>
                <w:szCs w:val="24"/>
                <w:highlight w:val="none"/>
                <w:lang w:val="en-US" w:eastAsia="zh-CN"/>
              </w:rPr>
              <w:t>排污系数按0.8计，则空罐及实罐清洗废水排放量为8.0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d（2400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val="en-US" w:eastAsia="zh-CN"/>
              </w:rPr>
              <w:t>）</w:t>
            </w:r>
            <w:r>
              <w:rPr>
                <w:rFonts w:hint="eastAsia"/>
                <w:bCs/>
                <w:color w:val="auto"/>
                <w:kern w:val="24"/>
                <w:sz w:val="24"/>
                <w:szCs w:val="24"/>
                <w:highlight w:val="none"/>
              </w:rPr>
              <w:t>。</w:t>
            </w:r>
          </w:p>
          <w:p w14:paraId="31BD251A">
            <w:pPr>
              <w:pStyle w:val="2"/>
              <w:rPr>
                <w:rFonts w:hint="default" w:cs="Times New Roman"/>
                <w:b/>
                <w:bCs/>
                <w:color w:val="auto"/>
                <w:kern w:val="2"/>
                <w:sz w:val="24"/>
                <w:szCs w:val="24"/>
                <w:highlight w:val="none"/>
                <w:lang w:val="en-US" w:eastAsia="zh-CN" w:bidi="ar-SA"/>
              </w:rPr>
            </w:pPr>
            <w:r>
              <w:rPr>
                <w:rFonts w:hint="eastAsia"/>
                <w:b/>
                <w:bCs w:val="0"/>
                <w:color w:val="auto"/>
                <w:kern w:val="24"/>
                <w:sz w:val="24"/>
                <w:szCs w:val="24"/>
                <w:highlight w:val="none"/>
                <w:lang w:val="en-US" w:eastAsia="zh-CN"/>
              </w:rPr>
              <w:t>⑦</w:t>
            </w:r>
            <w:r>
              <w:rPr>
                <w:rFonts w:hint="eastAsia" w:cs="Times New Roman"/>
                <w:b/>
                <w:bCs/>
                <w:color w:val="auto"/>
                <w:kern w:val="2"/>
                <w:sz w:val="24"/>
                <w:szCs w:val="24"/>
                <w:highlight w:val="none"/>
                <w:lang w:val="en-US" w:eastAsia="zh-CN" w:bidi="ar-SA"/>
              </w:rPr>
              <w:t>空罐及实罐清洗用水</w:t>
            </w:r>
          </w:p>
          <w:p w14:paraId="05B15BB2">
            <w:pPr>
              <w:bidi w:val="0"/>
              <w:rPr>
                <w:rFonts w:hint="default"/>
                <w:lang w:val="en-US" w:eastAsia="zh-CN"/>
              </w:rPr>
            </w:pPr>
            <w:r>
              <w:rPr>
                <w:rFonts w:hint="eastAsia"/>
                <w:lang w:val="en-US" w:eastAsia="zh-CN"/>
              </w:rPr>
              <w:t>午餐肉罐头生产过程中需对空罐、灌装后实罐进行清洗，2台清洗机水容量分别约为2m</w:t>
            </w:r>
            <w:r>
              <w:rPr>
                <w:rFonts w:hint="eastAsia"/>
                <w:vertAlign w:val="superscript"/>
                <w:lang w:val="en-US" w:eastAsia="zh-CN"/>
              </w:rPr>
              <w:t>3</w:t>
            </w:r>
            <w:r>
              <w:rPr>
                <w:rFonts w:hint="eastAsia"/>
                <w:lang w:val="en-US" w:eastAsia="zh-CN"/>
              </w:rPr>
              <w:t>，清洗水循环使用，预计每天更换1次，</w:t>
            </w:r>
            <w:r>
              <w:rPr>
                <w:rFonts w:hint="eastAsia"/>
                <w:bCs/>
                <w:color w:val="auto"/>
                <w:kern w:val="24"/>
                <w:sz w:val="24"/>
                <w:szCs w:val="24"/>
                <w:highlight w:val="none"/>
                <w:lang w:val="en-US" w:eastAsia="zh-CN"/>
              </w:rPr>
              <w:t>排污系数按0.8计，则空罐及实罐清洗废水排放量为3.2</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d（960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val="en-US" w:eastAsia="zh-CN"/>
              </w:rPr>
              <w:t>）</w:t>
            </w:r>
            <w:r>
              <w:rPr>
                <w:rFonts w:hint="eastAsia"/>
                <w:bCs/>
                <w:color w:val="auto"/>
                <w:kern w:val="24"/>
                <w:sz w:val="24"/>
                <w:szCs w:val="24"/>
                <w:highlight w:val="none"/>
              </w:rPr>
              <w:t>。</w:t>
            </w:r>
          </w:p>
          <w:p w14:paraId="2B9D538D">
            <w:pPr>
              <w:pStyle w:val="2"/>
              <w:rPr>
                <w:rFonts w:hint="default"/>
                <w:b/>
                <w:bCs w:val="0"/>
                <w:color w:val="auto"/>
                <w:kern w:val="24"/>
                <w:sz w:val="24"/>
                <w:szCs w:val="24"/>
                <w:highlight w:val="none"/>
                <w:lang w:val="en-US" w:eastAsia="zh-CN"/>
              </w:rPr>
            </w:pPr>
            <w:r>
              <w:rPr>
                <w:rFonts w:hint="eastAsia" w:cs="Times New Roman"/>
                <w:b/>
                <w:bCs/>
                <w:color w:val="auto"/>
                <w:kern w:val="2"/>
                <w:sz w:val="24"/>
                <w:szCs w:val="24"/>
                <w:highlight w:val="none"/>
                <w:lang w:val="en-US" w:eastAsia="zh-CN" w:bidi="ar-SA"/>
              </w:rPr>
              <w:t>⑧</w:t>
            </w:r>
            <w:r>
              <w:rPr>
                <w:rFonts w:hint="eastAsia"/>
                <w:b/>
                <w:bCs w:val="0"/>
                <w:color w:val="auto"/>
                <w:kern w:val="24"/>
                <w:sz w:val="24"/>
                <w:szCs w:val="24"/>
                <w:highlight w:val="none"/>
                <w:lang w:val="en-US" w:eastAsia="zh-CN"/>
              </w:rPr>
              <w:t>蒸汽制备用水</w:t>
            </w:r>
          </w:p>
          <w:p w14:paraId="43A438DF">
            <w:pPr>
              <w:pStyle w:val="2"/>
              <w:rPr>
                <w:rFonts w:hint="default" w:eastAsia="宋体"/>
                <w:bCs/>
                <w:color w:val="auto"/>
                <w:kern w:val="24"/>
                <w:sz w:val="24"/>
                <w:szCs w:val="24"/>
                <w:highlight w:val="none"/>
                <w:lang w:val="en-US" w:eastAsia="zh-CN"/>
              </w:rPr>
            </w:pPr>
            <w:r>
              <w:rPr>
                <w:rFonts w:hint="default" w:eastAsia="宋体"/>
                <w:bCs/>
                <w:color w:val="auto"/>
                <w:kern w:val="24"/>
                <w:sz w:val="24"/>
                <w:szCs w:val="24"/>
                <w:highlight w:val="none"/>
                <w:lang w:val="en-US" w:eastAsia="zh-CN"/>
              </w:rPr>
              <w:t>项目拟使用</w:t>
            </w:r>
            <w:r>
              <w:rPr>
                <w:rFonts w:hint="eastAsia"/>
                <w:bCs/>
                <w:color w:val="auto"/>
                <w:kern w:val="24"/>
                <w:sz w:val="24"/>
                <w:szCs w:val="24"/>
                <w:highlight w:val="none"/>
                <w:lang w:val="en-US" w:eastAsia="zh-CN"/>
              </w:rPr>
              <w:t>1</w:t>
            </w:r>
            <w:r>
              <w:rPr>
                <w:rFonts w:hint="default" w:eastAsia="宋体"/>
                <w:bCs/>
                <w:color w:val="auto"/>
                <w:kern w:val="24"/>
                <w:sz w:val="24"/>
                <w:szCs w:val="24"/>
                <w:highlight w:val="none"/>
                <w:lang w:val="en-US" w:eastAsia="zh-CN"/>
              </w:rPr>
              <w:t>台</w:t>
            </w:r>
            <w:r>
              <w:rPr>
                <w:rFonts w:hint="eastAsia"/>
                <w:bCs/>
                <w:color w:val="auto"/>
                <w:kern w:val="24"/>
                <w:sz w:val="24"/>
                <w:szCs w:val="24"/>
                <w:highlight w:val="none"/>
                <w:lang w:val="en-US" w:eastAsia="zh-CN"/>
              </w:rPr>
              <w:t>20</w:t>
            </w:r>
            <w:r>
              <w:rPr>
                <w:rFonts w:hint="default" w:eastAsia="宋体"/>
                <w:bCs/>
                <w:color w:val="auto"/>
                <w:kern w:val="24"/>
                <w:sz w:val="24"/>
                <w:szCs w:val="24"/>
                <w:highlight w:val="none"/>
                <w:lang w:val="en-US" w:eastAsia="zh-CN"/>
              </w:rPr>
              <w:t>t/h</w:t>
            </w:r>
            <w:r>
              <w:rPr>
                <w:rFonts w:hint="eastAsia"/>
                <w:bCs/>
                <w:color w:val="auto"/>
                <w:kern w:val="24"/>
                <w:sz w:val="24"/>
                <w:szCs w:val="24"/>
                <w:highlight w:val="none"/>
                <w:lang w:val="en-US" w:eastAsia="zh-CN"/>
              </w:rPr>
              <w:t>蒸汽</w:t>
            </w:r>
            <w:r>
              <w:rPr>
                <w:rFonts w:hint="default" w:eastAsia="宋体"/>
                <w:bCs/>
                <w:color w:val="auto"/>
                <w:kern w:val="24"/>
                <w:sz w:val="24"/>
                <w:szCs w:val="24"/>
                <w:highlight w:val="none"/>
                <w:lang w:val="en-US" w:eastAsia="zh-CN"/>
              </w:rPr>
              <w:t>发生器为</w:t>
            </w:r>
            <w:r>
              <w:rPr>
                <w:rFonts w:hint="eastAsia"/>
                <w:bCs/>
                <w:color w:val="auto"/>
                <w:kern w:val="24"/>
                <w:sz w:val="24"/>
                <w:szCs w:val="24"/>
                <w:highlight w:val="none"/>
                <w:lang w:val="en-US" w:eastAsia="zh-CN"/>
              </w:rPr>
              <w:t>冻干、红薯条、南瓜饼等产品生产过程中漂烫、蒸煮</w:t>
            </w:r>
            <w:r>
              <w:rPr>
                <w:rFonts w:hint="default" w:eastAsia="宋体"/>
                <w:bCs/>
                <w:color w:val="auto"/>
                <w:kern w:val="24"/>
                <w:sz w:val="24"/>
                <w:szCs w:val="24"/>
                <w:highlight w:val="none"/>
                <w:lang w:val="en-US" w:eastAsia="zh-CN"/>
              </w:rPr>
              <w:t>提供蒸汽加热</w:t>
            </w:r>
            <w:r>
              <w:rPr>
                <w:rFonts w:hint="eastAsia"/>
                <w:bCs/>
                <w:color w:val="auto"/>
                <w:kern w:val="24"/>
                <w:sz w:val="24"/>
                <w:szCs w:val="24"/>
                <w:highlight w:val="none"/>
                <w:lang w:val="en-US" w:eastAsia="zh-CN"/>
              </w:rPr>
              <w:t>，拟设1台1t/h蒸汽发生器为午餐肉罐头杀菌熟化工序提供蒸汽。蒸汽</w:t>
            </w:r>
            <w:r>
              <w:rPr>
                <w:rFonts w:hint="default" w:eastAsia="宋体"/>
                <w:bCs/>
                <w:color w:val="auto"/>
                <w:kern w:val="24"/>
                <w:sz w:val="24"/>
                <w:szCs w:val="24"/>
                <w:highlight w:val="none"/>
                <w:lang w:val="en-US" w:eastAsia="zh-CN"/>
              </w:rPr>
              <w:t>发生器排污率按4%计，则</w:t>
            </w:r>
            <w:r>
              <w:rPr>
                <w:rFonts w:hint="eastAsia"/>
                <w:bCs/>
                <w:color w:val="auto"/>
                <w:kern w:val="24"/>
                <w:sz w:val="24"/>
                <w:szCs w:val="24"/>
                <w:highlight w:val="none"/>
                <w:lang w:val="en-US" w:eastAsia="zh-CN"/>
              </w:rPr>
              <w:t>21</w:t>
            </w:r>
            <w:r>
              <w:rPr>
                <w:rFonts w:hint="default" w:eastAsia="宋体"/>
                <w:bCs/>
                <w:color w:val="auto"/>
                <w:kern w:val="24"/>
                <w:sz w:val="24"/>
                <w:szCs w:val="24"/>
                <w:highlight w:val="none"/>
                <w:lang w:val="en-US" w:eastAsia="zh-CN"/>
              </w:rPr>
              <w:t>t蒸汽需</w:t>
            </w:r>
            <w:r>
              <w:rPr>
                <w:rFonts w:hint="eastAsia"/>
                <w:bCs/>
                <w:color w:val="auto"/>
                <w:kern w:val="24"/>
                <w:sz w:val="24"/>
                <w:szCs w:val="24"/>
                <w:highlight w:val="none"/>
                <w:lang w:val="en-US" w:eastAsia="zh-CN"/>
              </w:rPr>
              <w:t>21.84</w:t>
            </w:r>
            <w:r>
              <w:rPr>
                <w:rFonts w:hint="default" w:eastAsia="宋体"/>
                <w:bCs/>
                <w:color w:val="auto"/>
                <w:kern w:val="24"/>
                <w:sz w:val="24"/>
                <w:szCs w:val="24"/>
                <w:highlight w:val="none"/>
                <w:lang w:val="en-US" w:eastAsia="zh-CN"/>
              </w:rPr>
              <w:t>t水，项目</w:t>
            </w:r>
            <w:r>
              <w:rPr>
                <w:rFonts w:hint="eastAsia"/>
                <w:bCs/>
                <w:color w:val="auto"/>
                <w:kern w:val="24"/>
                <w:sz w:val="24"/>
                <w:szCs w:val="24"/>
                <w:highlight w:val="none"/>
                <w:lang w:val="en-US" w:eastAsia="zh-CN"/>
              </w:rPr>
              <w:t>蒸汽发生器</w:t>
            </w:r>
            <w:r>
              <w:rPr>
                <w:rFonts w:hint="default" w:eastAsia="宋体"/>
                <w:bCs/>
                <w:color w:val="auto"/>
                <w:kern w:val="24"/>
                <w:sz w:val="24"/>
                <w:szCs w:val="24"/>
                <w:highlight w:val="none"/>
                <w:lang w:val="en-US" w:eastAsia="zh-CN"/>
              </w:rPr>
              <w:t>每台按</w:t>
            </w:r>
            <w:r>
              <w:rPr>
                <w:rFonts w:hint="eastAsia"/>
                <w:bCs/>
                <w:color w:val="auto"/>
                <w:kern w:val="24"/>
                <w:sz w:val="24"/>
                <w:szCs w:val="24"/>
                <w:highlight w:val="none"/>
                <w:lang w:val="en-US" w:eastAsia="zh-CN"/>
              </w:rPr>
              <w:t>年运行300d，每天9h计</w:t>
            </w:r>
            <w:r>
              <w:rPr>
                <w:rFonts w:hint="default" w:eastAsia="宋体"/>
                <w:bCs/>
                <w:color w:val="auto"/>
                <w:kern w:val="24"/>
                <w:sz w:val="24"/>
                <w:szCs w:val="24"/>
                <w:highlight w:val="none"/>
                <w:lang w:val="en-US" w:eastAsia="zh-CN"/>
              </w:rPr>
              <w:t>，则项目</w:t>
            </w:r>
            <w:r>
              <w:rPr>
                <w:rFonts w:hint="eastAsia"/>
                <w:bCs/>
                <w:color w:val="auto"/>
                <w:kern w:val="24"/>
                <w:sz w:val="24"/>
                <w:szCs w:val="24"/>
                <w:highlight w:val="none"/>
                <w:lang w:val="en-US" w:eastAsia="zh-CN"/>
              </w:rPr>
              <w:t>蒸汽发生器</w:t>
            </w:r>
            <w:r>
              <w:rPr>
                <w:rFonts w:hint="default" w:eastAsia="宋体"/>
                <w:bCs/>
                <w:color w:val="auto"/>
                <w:kern w:val="24"/>
                <w:sz w:val="24"/>
                <w:szCs w:val="24"/>
                <w:highlight w:val="none"/>
                <w:lang w:val="en-US" w:eastAsia="zh-CN"/>
              </w:rPr>
              <w:t>用水量为</w:t>
            </w:r>
            <w:r>
              <w:rPr>
                <w:rFonts w:hint="eastAsia"/>
                <w:bCs/>
                <w:color w:val="auto"/>
                <w:kern w:val="24"/>
                <w:sz w:val="24"/>
                <w:szCs w:val="24"/>
                <w:highlight w:val="none"/>
                <w:lang w:val="en-US" w:eastAsia="zh-CN"/>
              </w:rPr>
              <w:t>196.56</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/d（</w:t>
            </w:r>
            <w:r>
              <w:rPr>
                <w:rFonts w:hint="eastAsia"/>
                <w:bCs/>
                <w:color w:val="auto"/>
                <w:kern w:val="24"/>
                <w:sz w:val="24"/>
                <w:szCs w:val="24"/>
                <w:highlight w:val="none"/>
                <w:lang w:val="en-US" w:eastAsia="zh-CN"/>
              </w:rPr>
              <w:t>58968</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/a），其中排污水量为</w:t>
            </w:r>
            <w:r>
              <w:rPr>
                <w:rFonts w:hint="eastAsia"/>
                <w:bCs/>
                <w:color w:val="auto"/>
                <w:kern w:val="24"/>
                <w:sz w:val="24"/>
                <w:szCs w:val="24"/>
                <w:highlight w:val="none"/>
                <w:lang w:val="en-US" w:eastAsia="zh-CN"/>
              </w:rPr>
              <w:t>7.862</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/d（</w:t>
            </w:r>
            <w:r>
              <w:rPr>
                <w:rFonts w:hint="eastAsia"/>
                <w:bCs/>
                <w:color w:val="auto"/>
                <w:kern w:val="24"/>
                <w:sz w:val="24"/>
                <w:szCs w:val="24"/>
                <w:highlight w:val="none"/>
                <w:lang w:val="en-US" w:eastAsia="zh-CN"/>
              </w:rPr>
              <w:t>2358.72</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/a）。蒸汽用于</w:t>
            </w:r>
            <w:r>
              <w:rPr>
                <w:rFonts w:hint="eastAsia"/>
                <w:bCs/>
                <w:color w:val="auto"/>
                <w:kern w:val="24"/>
                <w:sz w:val="24"/>
                <w:szCs w:val="24"/>
                <w:highlight w:val="none"/>
                <w:lang w:val="en-US" w:eastAsia="zh-CN"/>
              </w:rPr>
              <w:t>各</w:t>
            </w:r>
            <w:r>
              <w:rPr>
                <w:rFonts w:hint="default" w:eastAsia="宋体"/>
                <w:bCs/>
                <w:color w:val="auto"/>
                <w:kern w:val="24"/>
                <w:sz w:val="24"/>
                <w:szCs w:val="24"/>
                <w:highlight w:val="none"/>
                <w:lang w:val="en-US" w:eastAsia="zh-CN"/>
              </w:rPr>
              <w:t>工序后冷凝，预计约</w:t>
            </w:r>
            <w:r>
              <w:rPr>
                <w:rFonts w:hint="eastAsia"/>
                <w:bCs/>
                <w:color w:val="auto"/>
                <w:kern w:val="24"/>
                <w:sz w:val="24"/>
                <w:szCs w:val="24"/>
                <w:highlight w:val="none"/>
                <w:lang w:val="en-US" w:eastAsia="zh-CN"/>
              </w:rPr>
              <w:t>9</w:t>
            </w:r>
            <w:r>
              <w:rPr>
                <w:rFonts w:hint="default" w:eastAsia="宋体"/>
                <w:bCs/>
                <w:color w:val="auto"/>
                <w:kern w:val="24"/>
                <w:sz w:val="24"/>
                <w:szCs w:val="24"/>
                <w:highlight w:val="none"/>
                <w:lang w:val="en-US" w:eastAsia="zh-CN"/>
              </w:rPr>
              <w:t>0%的冷凝水回流到</w:t>
            </w:r>
            <w:r>
              <w:rPr>
                <w:rFonts w:hint="eastAsia"/>
                <w:bCs/>
                <w:color w:val="auto"/>
                <w:kern w:val="24"/>
                <w:sz w:val="24"/>
                <w:szCs w:val="24"/>
                <w:highlight w:val="none"/>
                <w:lang w:val="en-US" w:eastAsia="zh-CN"/>
              </w:rPr>
              <w:t>蒸汽</w:t>
            </w:r>
            <w:r>
              <w:rPr>
                <w:rFonts w:hint="default" w:eastAsia="宋体"/>
                <w:bCs/>
                <w:color w:val="auto"/>
                <w:kern w:val="24"/>
                <w:sz w:val="24"/>
                <w:szCs w:val="24"/>
                <w:highlight w:val="none"/>
                <w:lang w:val="en-US" w:eastAsia="zh-CN"/>
              </w:rPr>
              <w:t>发生器内循环使用，即冷凝水循环量预计为</w:t>
            </w:r>
            <w:r>
              <w:rPr>
                <w:rFonts w:hint="eastAsia"/>
                <w:bCs/>
                <w:color w:val="auto"/>
                <w:kern w:val="24"/>
                <w:sz w:val="24"/>
                <w:szCs w:val="24"/>
                <w:highlight w:val="none"/>
                <w:lang w:val="en-US" w:eastAsia="zh-CN"/>
              </w:rPr>
              <w:t>176.90</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/d（</w:t>
            </w:r>
            <w:r>
              <w:rPr>
                <w:rFonts w:hint="eastAsia"/>
                <w:bCs/>
                <w:color w:val="auto"/>
                <w:kern w:val="24"/>
                <w:sz w:val="24"/>
                <w:szCs w:val="24"/>
                <w:highlight w:val="none"/>
                <w:lang w:val="en-US" w:eastAsia="zh-CN"/>
              </w:rPr>
              <w:t>53071</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/a），剩余</w:t>
            </w:r>
            <w:r>
              <w:rPr>
                <w:rFonts w:hint="eastAsia"/>
                <w:bCs/>
                <w:color w:val="auto"/>
                <w:kern w:val="24"/>
                <w:sz w:val="24"/>
                <w:szCs w:val="24"/>
                <w:highlight w:val="none"/>
                <w:lang w:val="en-US" w:eastAsia="zh-CN"/>
              </w:rPr>
              <w:t>1</w:t>
            </w:r>
            <w:r>
              <w:rPr>
                <w:rFonts w:hint="default" w:eastAsia="宋体"/>
                <w:bCs/>
                <w:color w:val="auto"/>
                <w:kern w:val="24"/>
                <w:sz w:val="24"/>
                <w:szCs w:val="24"/>
                <w:highlight w:val="none"/>
                <w:lang w:val="en-US" w:eastAsia="zh-CN"/>
              </w:rPr>
              <w:t>0%（</w:t>
            </w:r>
            <w:r>
              <w:rPr>
                <w:rFonts w:hint="eastAsia"/>
                <w:bCs/>
                <w:color w:val="auto"/>
                <w:kern w:val="24"/>
                <w:sz w:val="24"/>
                <w:szCs w:val="24"/>
                <w:highlight w:val="none"/>
                <w:lang w:val="en-US" w:eastAsia="zh-CN"/>
              </w:rPr>
              <w:t>19.66</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/d、</w:t>
            </w:r>
            <w:r>
              <w:rPr>
                <w:rFonts w:hint="eastAsia"/>
                <w:bCs/>
                <w:color w:val="auto"/>
                <w:kern w:val="24"/>
                <w:sz w:val="24"/>
                <w:szCs w:val="24"/>
                <w:highlight w:val="none"/>
                <w:lang w:val="en-US" w:eastAsia="zh-CN"/>
              </w:rPr>
              <w:t>5898</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/a）为蒸发损耗。故项目</w:t>
            </w:r>
            <w:r>
              <w:rPr>
                <w:rFonts w:hint="eastAsia"/>
                <w:bCs/>
                <w:color w:val="auto"/>
                <w:kern w:val="24"/>
                <w:sz w:val="24"/>
                <w:szCs w:val="24"/>
                <w:highlight w:val="none"/>
                <w:lang w:val="en-US" w:eastAsia="zh-CN"/>
              </w:rPr>
              <w:t>蒸汽发生器</w:t>
            </w:r>
            <w:r>
              <w:rPr>
                <w:rFonts w:hint="default" w:eastAsia="宋体"/>
                <w:bCs/>
                <w:color w:val="auto"/>
                <w:kern w:val="24"/>
                <w:sz w:val="24"/>
                <w:szCs w:val="24"/>
                <w:highlight w:val="none"/>
                <w:lang w:val="en-US" w:eastAsia="zh-CN"/>
              </w:rPr>
              <w:t>每天需补充新鲜水量为</w:t>
            </w:r>
            <w:r>
              <w:rPr>
                <w:rFonts w:hint="eastAsia"/>
                <w:bCs/>
                <w:color w:val="auto"/>
                <w:kern w:val="24"/>
                <w:sz w:val="24"/>
                <w:szCs w:val="24"/>
                <w:highlight w:val="none"/>
                <w:lang w:val="en-US" w:eastAsia="zh-CN"/>
              </w:rPr>
              <w:t>27.52</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/d（</w:t>
            </w:r>
            <w:r>
              <w:rPr>
                <w:rFonts w:hint="eastAsia"/>
                <w:bCs/>
                <w:color w:val="auto"/>
                <w:kern w:val="24"/>
                <w:sz w:val="24"/>
                <w:szCs w:val="24"/>
                <w:highlight w:val="none"/>
                <w:lang w:val="en-US" w:eastAsia="zh-CN"/>
              </w:rPr>
              <w:t>8256.6</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/a）。</w:t>
            </w:r>
          </w:p>
          <w:p w14:paraId="1646ADEA">
            <w:pPr>
              <w:bidi w:val="0"/>
              <w:rPr>
                <w:rFonts w:hint="default"/>
                <w:b/>
                <w:bCs/>
                <w:lang w:val="en-US" w:eastAsia="zh-CN"/>
              </w:rPr>
            </w:pPr>
            <w:r>
              <w:rPr>
                <w:rFonts w:hint="eastAsia"/>
                <w:b/>
                <w:bCs/>
                <w:lang w:val="en-US" w:eastAsia="zh-CN"/>
              </w:rPr>
              <w:t>⑨地面清洗用水</w:t>
            </w:r>
          </w:p>
          <w:p w14:paraId="49493944">
            <w:pPr>
              <w:bidi w:val="0"/>
              <w:rPr>
                <w:rFonts w:hint="eastAsia"/>
                <w:lang w:eastAsia="zh-CN"/>
              </w:rPr>
            </w:pPr>
            <w:r>
              <w:rPr>
                <w:rFonts w:hint="eastAsia"/>
                <w:lang w:val="en-US" w:eastAsia="zh-CN"/>
              </w:rPr>
              <w:t>项目生产</w:t>
            </w:r>
            <w:r>
              <w:rPr>
                <w:rFonts w:hint="eastAsia"/>
              </w:rPr>
              <w:t>等区域主要采用水洗拖布清洁，</w:t>
            </w:r>
            <w:r>
              <w:rPr>
                <w:rFonts w:hint="eastAsia"/>
                <w:lang w:val="en-US" w:eastAsia="zh-CN"/>
              </w:rPr>
              <w:t>按每天</w:t>
            </w:r>
            <w:r>
              <w:rPr>
                <w:rFonts w:hint="eastAsia"/>
              </w:rPr>
              <w:t>清洁一次</w:t>
            </w:r>
            <w:r>
              <w:rPr>
                <w:rFonts w:hint="eastAsia"/>
                <w:lang w:val="en-US" w:eastAsia="zh-CN"/>
              </w:rPr>
              <w:t>计</w:t>
            </w:r>
            <w:r>
              <w:rPr>
                <w:rFonts w:hint="eastAsia"/>
              </w:rPr>
              <w:t>，</w:t>
            </w:r>
            <w:r>
              <w:rPr>
                <w:rFonts w:hint="eastAsia"/>
                <w:lang w:val="en-US" w:eastAsia="zh-CN"/>
              </w:rPr>
              <w:t>生产区域</w:t>
            </w:r>
            <w:r>
              <w:rPr>
                <w:rFonts w:hint="eastAsia"/>
              </w:rPr>
              <w:t>面积约</w:t>
            </w:r>
            <w:r>
              <w:rPr>
                <w:rFonts w:hint="eastAsia"/>
                <w:lang w:val="en-US" w:eastAsia="zh-CN"/>
              </w:rPr>
              <w:t>10000</w:t>
            </w:r>
            <w:r>
              <w:rPr>
                <w:rFonts w:hint="eastAsia"/>
              </w:rPr>
              <w:t>m</w:t>
            </w:r>
            <w:r>
              <w:rPr>
                <w:rFonts w:hint="eastAsia"/>
                <w:vertAlign w:val="superscript"/>
              </w:rPr>
              <w:t>2</w:t>
            </w:r>
            <w:r>
              <w:rPr>
                <w:rFonts w:hint="eastAsia"/>
              </w:rPr>
              <w:t>，清洁用水量（主要为冲洗加拖布清洗用水）按</w:t>
            </w:r>
            <w:r>
              <w:rPr>
                <w:rFonts w:hint="eastAsia"/>
                <w:lang w:val="en-US" w:eastAsia="zh-CN"/>
              </w:rPr>
              <w:t>0.5</w:t>
            </w:r>
            <w:r>
              <w:rPr>
                <w:rFonts w:hint="eastAsia"/>
              </w:rPr>
              <w:t>L/m</w:t>
            </w:r>
            <w:r>
              <w:rPr>
                <w:rFonts w:hint="eastAsia"/>
                <w:vertAlign w:val="superscript"/>
              </w:rPr>
              <w:t>2</w:t>
            </w:r>
            <w:r>
              <w:t>‧</w:t>
            </w:r>
            <w:r>
              <w:rPr>
                <w:rFonts w:hint="eastAsia"/>
              </w:rPr>
              <w:t>次计，则用水量为</w:t>
            </w:r>
            <w:r>
              <w:rPr>
                <w:rFonts w:hint="eastAsia"/>
                <w:lang w:val="en-US" w:eastAsia="zh-CN"/>
              </w:rPr>
              <w:t>5.0</w:t>
            </w:r>
            <w:r>
              <w:rPr>
                <w:rFonts w:hint="eastAsia"/>
              </w:rPr>
              <w:t>m</w:t>
            </w:r>
            <w:r>
              <w:rPr>
                <w:rFonts w:hint="eastAsia"/>
                <w:vertAlign w:val="superscript"/>
              </w:rPr>
              <w:t>3</w:t>
            </w:r>
            <w:r>
              <w:rPr>
                <w:rFonts w:hint="eastAsia"/>
              </w:rPr>
              <w:t>/</w:t>
            </w:r>
            <w:r>
              <w:rPr>
                <w:rFonts w:hint="eastAsia"/>
                <w:lang w:val="en-US" w:eastAsia="zh-CN"/>
              </w:rPr>
              <w:t>d</w:t>
            </w:r>
            <w:r>
              <w:rPr>
                <w:rFonts w:hint="eastAsia"/>
              </w:rPr>
              <w:t>（</w:t>
            </w:r>
            <w:r>
              <w:rPr>
                <w:rFonts w:hint="eastAsia"/>
                <w:lang w:val="en-US" w:eastAsia="zh-CN"/>
              </w:rPr>
              <w:t>150</w:t>
            </w:r>
            <w:r>
              <w:rPr>
                <w:rFonts w:hint="eastAsia"/>
              </w:rPr>
              <w:t>m3/a），</w:t>
            </w:r>
            <w:r>
              <w:t>产污系数</w:t>
            </w:r>
            <w:r>
              <w:rPr>
                <w:rFonts w:hint="eastAsia"/>
                <w:lang w:val="en-US" w:eastAsia="zh-CN"/>
              </w:rPr>
              <w:t>0.8</w:t>
            </w:r>
            <w:r>
              <w:t>计，则</w:t>
            </w:r>
            <w:r>
              <w:rPr>
                <w:rFonts w:hint="eastAsia"/>
              </w:rPr>
              <w:t>清洁废水产生</w:t>
            </w:r>
            <w:r>
              <w:t>量</w:t>
            </w:r>
            <w:r>
              <w:rPr>
                <w:rFonts w:hint="eastAsia"/>
              </w:rPr>
              <w:t>约</w:t>
            </w:r>
            <w:r>
              <w:t>为</w:t>
            </w:r>
            <w:r>
              <w:rPr>
                <w:rFonts w:hint="eastAsia"/>
                <w:lang w:val="en-US" w:eastAsia="zh-CN"/>
              </w:rPr>
              <w:t>4.0</w:t>
            </w:r>
            <w:r>
              <w:t>m</w:t>
            </w:r>
            <w:r>
              <w:rPr>
                <w:vertAlign w:val="superscript"/>
              </w:rPr>
              <w:t>3</w:t>
            </w:r>
            <w:r>
              <w:t>/</w:t>
            </w:r>
            <w:r>
              <w:rPr>
                <w:rFonts w:hint="eastAsia"/>
                <w:lang w:val="en-US" w:eastAsia="zh-CN"/>
              </w:rPr>
              <w:t>d</w:t>
            </w:r>
            <w:r>
              <w:rPr>
                <w:rFonts w:hint="eastAsia"/>
              </w:rPr>
              <w:t>（</w:t>
            </w:r>
            <w:r>
              <w:rPr>
                <w:rFonts w:hint="eastAsia"/>
                <w:lang w:val="en-US" w:eastAsia="zh-CN"/>
              </w:rPr>
              <w:t>120</w:t>
            </w:r>
            <w:r>
              <w:rPr>
                <w:rFonts w:hint="eastAsia"/>
              </w:rPr>
              <w:t>m</w:t>
            </w:r>
            <w:r>
              <w:rPr>
                <w:rFonts w:hint="eastAsia"/>
                <w:vertAlign w:val="superscript"/>
              </w:rPr>
              <w:t>3</w:t>
            </w:r>
            <w:r>
              <w:rPr>
                <w:rFonts w:hint="eastAsia"/>
              </w:rPr>
              <w:t>/a）</w:t>
            </w:r>
            <w:r>
              <w:rPr>
                <w:rFonts w:hint="eastAsia"/>
                <w:lang w:eastAsia="zh-CN"/>
              </w:rPr>
              <w:t>。</w:t>
            </w:r>
          </w:p>
          <w:p w14:paraId="2FBFF128">
            <w:pPr>
              <w:bidi w:val="0"/>
              <w:rPr>
                <w:rFonts w:hint="default"/>
                <w:b/>
                <w:bCs/>
                <w:lang w:val="en-US" w:eastAsia="zh-CN"/>
              </w:rPr>
            </w:pPr>
            <w:r>
              <w:rPr>
                <w:rFonts w:hint="eastAsia"/>
                <w:b/>
                <w:bCs/>
                <w:lang w:val="en-US" w:eastAsia="zh-CN"/>
              </w:rPr>
              <w:t>⑩实验器皿清洗用水</w:t>
            </w:r>
          </w:p>
          <w:p w14:paraId="4C558FE8">
            <w:pPr>
              <w:bidi w:val="0"/>
              <w:rPr>
                <w:rFonts w:hint="default" w:ascii="Times New Roman" w:hAnsi="Times New Roman" w:eastAsia="宋体" w:cs="Times New Roman"/>
                <w:b w:val="0"/>
                <w:bCs w:val="0"/>
                <w:color w:val="FF0000"/>
                <w:kern w:val="2"/>
                <w:szCs w:val="24"/>
                <w:highlight w:val="none"/>
                <w:lang w:val="en-US" w:eastAsia="zh-CN" w:bidi="ar-SA"/>
              </w:rPr>
            </w:pPr>
            <w:r>
              <w:rPr>
                <w:rFonts w:hint="eastAsia"/>
                <w:lang w:val="en-US" w:eastAsia="zh-CN"/>
              </w:rPr>
              <w:t>项目质检拟主要进行产品外观、水分、口味等的检验，微生物及其他理化指标均外委进行，质检用水为外购蒸馏水，质检后实验器皿清洗会产生清洗废水。根据</w:t>
            </w:r>
            <w:r>
              <w:rPr>
                <w:rFonts w:hint="eastAsia"/>
              </w:rPr>
              <w:t>建设单位提供的资料，本项目</w:t>
            </w:r>
            <w:r>
              <w:rPr>
                <w:rFonts w:hint="eastAsia"/>
                <w:color w:val="auto"/>
                <w:highlight w:val="none"/>
                <w:lang w:val="en-US" w:eastAsia="zh-CN"/>
              </w:rPr>
              <w:t>实验器皿清洗</w:t>
            </w:r>
            <w:r>
              <w:rPr>
                <w:rFonts w:hint="eastAsia"/>
                <w:color w:val="auto"/>
                <w:highlight w:val="none"/>
              </w:rPr>
              <w:t>用水量约为0.0</w:t>
            </w:r>
            <w:r>
              <w:rPr>
                <w:rFonts w:hint="eastAsia"/>
                <w:color w:val="auto"/>
                <w:highlight w:val="none"/>
                <w:lang w:val="en-US" w:eastAsia="zh-CN"/>
              </w:rPr>
              <w:t>1</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3.0</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rPr>
              <w:t>排污系数按用水量的0.9计，</w:t>
            </w:r>
            <w:r>
              <w:rPr>
                <w:rFonts w:hint="eastAsia"/>
                <w:color w:val="auto"/>
                <w:highlight w:val="none"/>
                <w:lang w:val="en-US" w:eastAsia="zh-CN"/>
              </w:rPr>
              <w:t>则实验器皿清洗废水排放量为0.009</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2.7</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均作一般清洗废水排放处理。</w:t>
            </w:r>
          </w:p>
          <w:p w14:paraId="2FBA9EF1">
            <w:pPr>
              <w:numPr>
                <w:ilvl w:val="0"/>
                <w:numId w:val="0"/>
              </w:numPr>
              <w:bidi w:val="0"/>
              <w:ind w:firstLine="482" w:firstLineChars="200"/>
              <w:rPr>
                <w:rFonts w:hint="default"/>
                <w:b/>
                <w:bCs/>
                <w:color w:val="auto"/>
                <w:highlight w:val="none"/>
              </w:rPr>
            </w:pPr>
            <w:r>
              <w:rPr>
                <w:rFonts w:hint="default" w:ascii="Times New Roman" w:hAnsi="Times New Roman" w:eastAsia="宋体" w:cs="Times New Roman"/>
                <w:b/>
                <w:bCs/>
                <w:color w:val="auto"/>
                <w:kern w:val="2"/>
                <w:sz w:val="24"/>
                <w:szCs w:val="24"/>
                <w:highlight w:val="none"/>
                <w:lang w:val="en-US" w:eastAsia="zh-CN" w:bidi="ar-SA"/>
              </w:rPr>
              <w:t>2）</w:t>
            </w:r>
            <w:r>
              <w:rPr>
                <w:rFonts w:hint="default"/>
                <w:b/>
                <w:bCs/>
                <w:color w:val="auto"/>
                <w:highlight w:val="none"/>
              </w:rPr>
              <w:t>排水</w:t>
            </w:r>
          </w:p>
          <w:p w14:paraId="76527F38">
            <w:pPr>
              <w:bidi w:val="0"/>
              <w:rPr>
                <w:rFonts w:hint="default" w:ascii="Times New Roman" w:hAnsi="Times New Roman" w:cs="Times New Roman"/>
                <w:color w:val="FF0000"/>
                <w:highlight w:val="none"/>
                <w:lang w:val="en-US" w:eastAsia="zh-CN"/>
              </w:rPr>
            </w:pPr>
            <w:r>
              <w:rPr>
                <w:rFonts w:hint="default"/>
                <w:color w:val="auto"/>
                <w:highlight w:val="none"/>
                <w:lang w:val="en-US" w:eastAsia="zh-CN"/>
              </w:rPr>
              <w:t>项目采用雨污分流制。雨水经雨水</w:t>
            </w:r>
            <w:r>
              <w:rPr>
                <w:rFonts w:hint="eastAsia"/>
                <w:color w:val="auto"/>
                <w:highlight w:val="none"/>
                <w:lang w:val="en-US" w:eastAsia="zh-CN"/>
              </w:rPr>
              <w:t>管网</w:t>
            </w:r>
            <w:r>
              <w:rPr>
                <w:rFonts w:hint="default"/>
                <w:color w:val="auto"/>
                <w:highlight w:val="none"/>
                <w:lang w:val="en-US" w:eastAsia="zh-CN"/>
              </w:rPr>
              <w:t>收集后排入市政雨水管网。</w:t>
            </w:r>
            <w:r>
              <w:rPr>
                <w:rFonts w:hint="eastAsia"/>
                <w:color w:val="auto"/>
                <w:highlight w:val="none"/>
                <w:lang w:val="en-US" w:eastAsia="zh-CN"/>
              </w:rPr>
              <w:t>项目生产和生活污水拟经本项目新建污水处理池</w:t>
            </w:r>
            <w:r>
              <w:rPr>
                <w:rFonts w:hint="eastAsia" w:cs="Times New Roman"/>
                <w:color w:val="auto"/>
                <w:kern w:val="0"/>
                <w:sz w:val="24"/>
                <w:highlight w:val="none"/>
                <w:lang w:val="en-US" w:eastAsia="zh-CN"/>
              </w:rPr>
              <w:t>（60m</w:t>
            </w:r>
            <w:r>
              <w:rPr>
                <w:rFonts w:hint="eastAsia" w:cs="Times New Roman"/>
                <w:color w:val="auto"/>
                <w:kern w:val="0"/>
                <w:sz w:val="24"/>
                <w:highlight w:val="none"/>
                <w:vertAlign w:val="superscript"/>
                <w:lang w:val="en-US" w:eastAsia="zh-CN"/>
              </w:rPr>
              <w:t>3</w:t>
            </w:r>
            <w:r>
              <w:rPr>
                <w:rFonts w:hint="eastAsia" w:cs="Times New Roman"/>
                <w:color w:val="auto"/>
                <w:kern w:val="0"/>
                <w:sz w:val="24"/>
                <w:highlight w:val="none"/>
                <w:lang w:val="en-US" w:eastAsia="zh-CN"/>
              </w:rPr>
              <w:t>）</w:t>
            </w:r>
            <w:r>
              <w:rPr>
                <w:rFonts w:hint="default" w:ascii="Times New Roman" w:hAnsi="Times New Roman" w:cs="Times New Roman"/>
                <w:color w:val="auto"/>
                <w:highlight w:val="none"/>
                <w:lang w:val="en-US" w:eastAsia="zh-CN"/>
              </w:rPr>
              <w:t>处理达到《污水综合排放标准》（GB8978-1996）三级标准后经污水管网排至</w:t>
            </w:r>
            <w:r>
              <w:rPr>
                <w:rFonts w:hint="eastAsia" w:cs="Times New Roman"/>
                <w:color w:val="auto"/>
                <w:highlight w:val="none"/>
                <w:lang w:val="en-US" w:eastAsia="zh-CN"/>
              </w:rPr>
              <w:t>龙眼井污水处理厂</w:t>
            </w:r>
            <w:r>
              <w:rPr>
                <w:rFonts w:hint="default" w:ascii="Times New Roman" w:hAnsi="Times New Roman" w:cs="Times New Roman"/>
                <w:color w:val="auto"/>
                <w:highlight w:val="none"/>
                <w:lang w:val="en-US" w:eastAsia="zh-CN"/>
              </w:rPr>
              <w:t>处理，处理达到《城镇污水处理厂污染物排放标准》（GB18918-2002）中一级A标准后排入</w:t>
            </w:r>
            <w:r>
              <w:rPr>
                <w:rFonts w:hint="eastAsia" w:cs="Times New Roman"/>
                <w:color w:val="auto"/>
                <w:highlight w:val="none"/>
                <w:lang w:val="en-US" w:eastAsia="zh-CN"/>
              </w:rPr>
              <w:t>琼江</w:t>
            </w:r>
            <w:r>
              <w:rPr>
                <w:rFonts w:hint="default" w:ascii="Times New Roman" w:hAnsi="Times New Roman" w:cs="Times New Roman"/>
                <w:color w:val="auto"/>
                <w:highlight w:val="none"/>
                <w:lang w:val="en-US" w:eastAsia="zh-CN"/>
              </w:rPr>
              <w:t>。</w:t>
            </w:r>
          </w:p>
          <w:p w14:paraId="267F104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本项目用排水情况见下表：</w:t>
            </w:r>
          </w:p>
          <w:p w14:paraId="3600AC1A">
            <w:pPr>
              <w:pStyle w:val="14"/>
              <w:bidi w:val="0"/>
              <w:rPr>
                <w:rFonts w:hint="default"/>
                <w:color w:val="auto"/>
                <w:highlight w:val="none"/>
                <w:lang w:val="en-US" w:eastAsia="zh-CN"/>
              </w:rPr>
            </w:pPr>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13</w:t>
            </w:r>
            <w:r>
              <w:rPr>
                <w:color w:val="auto"/>
                <w:highlight w:val="none"/>
              </w:rPr>
              <w:fldChar w:fldCharType="end"/>
            </w:r>
            <w:r>
              <w:rPr>
                <w:rFonts w:hint="eastAsia"/>
                <w:color w:val="auto"/>
                <w:highlight w:val="none"/>
                <w:lang w:val="en-US" w:eastAsia="zh-CN"/>
              </w:rPr>
              <w:t xml:space="preserve">  本项目用排水情况一览表</w:t>
            </w:r>
          </w:p>
          <w:tbl>
            <w:tblPr>
              <w:tblStyle w:val="28"/>
              <w:tblW w:w="91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658"/>
              <w:gridCol w:w="1750"/>
              <w:gridCol w:w="1050"/>
              <w:gridCol w:w="666"/>
              <w:gridCol w:w="1262"/>
              <w:gridCol w:w="750"/>
              <w:gridCol w:w="750"/>
              <w:gridCol w:w="1645"/>
            </w:tblGrid>
            <w:tr w14:paraId="53458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4" w:type="dxa"/>
                  <w:tcBorders>
                    <w:bottom w:val="single" w:color="000000" w:sz="4" w:space="0"/>
                    <w:tl2br w:val="nil"/>
                    <w:tr2bl w:val="nil"/>
                  </w:tcBorders>
                  <w:vAlign w:val="center"/>
                </w:tcPr>
                <w:p w14:paraId="1DE2567D">
                  <w:pPr>
                    <w:pStyle w:val="94"/>
                    <w:bidi w:val="0"/>
                    <w:rPr>
                      <w:rFonts w:hint="default"/>
                      <w:b/>
                      <w:bCs w:val="0"/>
                      <w:color w:val="auto"/>
                      <w:highlight w:val="none"/>
                      <w:lang w:val="en-US" w:eastAsia="zh-CN"/>
                    </w:rPr>
                  </w:pPr>
                  <w:r>
                    <w:rPr>
                      <w:rFonts w:hint="default"/>
                      <w:b/>
                      <w:bCs w:val="0"/>
                      <w:color w:val="auto"/>
                      <w:highlight w:val="none"/>
                      <w:lang w:val="en-US" w:eastAsia="zh-CN"/>
                    </w:rPr>
                    <w:t>序号</w:t>
                  </w:r>
                </w:p>
              </w:tc>
              <w:tc>
                <w:tcPr>
                  <w:tcW w:w="2408" w:type="dxa"/>
                  <w:gridSpan w:val="2"/>
                  <w:tcBorders>
                    <w:bottom w:val="single" w:color="000000" w:sz="4" w:space="0"/>
                    <w:tl2br w:val="nil"/>
                    <w:tr2bl w:val="nil"/>
                  </w:tcBorders>
                  <w:vAlign w:val="center"/>
                </w:tcPr>
                <w:p w14:paraId="2C245E9A">
                  <w:pPr>
                    <w:pStyle w:val="94"/>
                    <w:bidi w:val="0"/>
                    <w:rPr>
                      <w:rFonts w:hint="default"/>
                      <w:b/>
                      <w:bCs w:val="0"/>
                      <w:color w:val="auto"/>
                      <w:highlight w:val="none"/>
                      <w:lang w:val="en-US" w:eastAsia="zh-CN"/>
                    </w:rPr>
                  </w:pPr>
                  <w:r>
                    <w:rPr>
                      <w:rFonts w:hint="default"/>
                      <w:b/>
                      <w:bCs w:val="0"/>
                      <w:color w:val="auto"/>
                      <w:highlight w:val="none"/>
                    </w:rPr>
                    <w:t>用水性质</w:t>
                  </w:r>
                </w:p>
              </w:tc>
              <w:tc>
                <w:tcPr>
                  <w:tcW w:w="1050" w:type="dxa"/>
                  <w:tcBorders>
                    <w:bottom w:val="single" w:color="000000" w:sz="4" w:space="0"/>
                    <w:tl2br w:val="nil"/>
                    <w:tr2bl w:val="nil"/>
                  </w:tcBorders>
                  <w:vAlign w:val="center"/>
                </w:tcPr>
                <w:p w14:paraId="4DBD3D82">
                  <w:pPr>
                    <w:pStyle w:val="94"/>
                    <w:bidi w:val="0"/>
                    <w:rPr>
                      <w:rFonts w:hint="default"/>
                      <w:b/>
                      <w:bCs w:val="0"/>
                      <w:color w:val="auto"/>
                      <w:highlight w:val="none"/>
                    </w:rPr>
                  </w:pPr>
                  <w:r>
                    <w:rPr>
                      <w:rFonts w:hint="default"/>
                      <w:b/>
                      <w:bCs w:val="0"/>
                      <w:color w:val="auto"/>
                      <w:highlight w:val="none"/>
                    </w:rPr>
                    <w:t>用水定额</w:t>
                  </w:r>
                </w:p>
              </w:tc>
              <w:tc>
                <w:tcPr>
                  <w:tcW w:w="666" w:type="dxa"/>
                  <w:tcBorders>
                    <w:bottom w:val="single" w:color="000000" w:sz="4" w:space="0"/>
                    <w:tl2br w:val="nil"/>
                    <w:tr2bl w:val="nil"/>
                  </w:tcBorders>
                  <w:vAlign w:val="center"/>
                </w:tcPr>
                <w:p w14:paraId="59783553">
                  <w:pPr>
                    <w:pStyle w:val="94"/>
                    <w:bidi w:val="0"/>
                    <w:rPr>
                      <w:rFonts w:hint="default"/>
                      <w:b/>
                      <w:bCs w:val="0"/>
                      <w:color w:val="auto"/>
                      <w:highlight w:val="none"/>
                    </w:rPr>
                  </w:pPr>
                  <w:r>
                    <w:rPr>
                      <w:rFonts w:hint="default"/>
                      <w:b/>
                      <w:bCs w:val="0"/>
                      <w:color w:val="auto"/>
                      <w:highlight w:val="none"/>
                    </w:rPr>
                    <w:t>数量</w:t>
                  </w:r>
                </w:p>
              </w:tc>
              <w:tc>
                <w:tcPr>
                  <w:tcW w:w="1262" w:type="dxa"/>
                  <w:tcBorders>
                    <w:bottom w:val="single" w:color="000000" w:sz="4" w:space="0"/>
                    <w:tl2br w:val="nil"/>
                    <w:tr2bl w:val="nil"/>
                  </w:tcBorders>
                  <w:vAlign w:val="center"/>
                </w:tcPr>
                <w:p w14:paraId="1ED2E808">
                  <w:pPr>
                    <w:pStyle w:val="94"/>
                    <w:bidi w:val="0"/>
                    <w:rPr>
                      <w:rFonts w:hint="default"/>
                      <w:b/>
                      <w:bCs w:val="0"/>
                      <w:color w:val="auto"/>
                      <w:highlight w:val="none"/>
                      <w:lang w:val="en-US" w:eastAsia="zh-CN"/>
                    </w:rPr>
                  </w:pPr>
                  <w:r>
                    <w:rPr>
                      <w:rFonts w:hint="default"/>
                      <w:b/>
                      <w:bCs w:val="0"/>
                      <w:color w:val="auto"/>
                      <w:highlight w:val="none"/>
                    </w:rPr>
                    <w:t>最大用水量</w:t>
                  </w:r>
                  <w:r>
                    <w:rPr>
                      <w:rFonts w:hint="default"/>
                      <w:b/>
                      <w:bCs w:val="0"/>
                      <w:color w:val="auto"/>
                      <w:highlight w:val="none"/>
                      <w:lang w:val="en-US" w:eastAsia="zh-CN"/>
                    </w:rPr>
                    <w:t>m</w:t>
                  </w:r>
                  <w:r>
                    <w:rPr>
                      <w:rFonts w:hint="default"/>
                      <w:b/>
                      <w:bCs w:val="0"/>
                      <w:color w:val="auto"/>
                      <w:highlight w:val="none"/>
                      <w:vertAlign w:val="superscript"/>
                      <w:lang w:val="en-US" w:eastAsia="zh-CN"/>
                    </w:rPr>
                    <w:t>3</w:t>
                  </w:r>
                  <w:r>
                    <w:rPr>
                      <w:rFonts w:hint="default"/>
                      <w:b/>
                      <w:bCs w:val="0"/>
                      <w:color w:val="auto"/>
                      <w:highlight w:val="none"/>
                      <w:lang w:val="en-US" w:eastAsia="zh-CN"/>
                    </w:rPr>
                    <w:t>/d</w:t>
                  </w:r>
                </w:p>
              </w:tc>
              <w:tc>
                <w:tcPr>
                  <w:tcW w:w="750" w:type="dxa"/>
                  <w:tcBorders>
                    <w:bottom w:val="single" w:color="000000" w:sz="4" w:space="0"/>
                    <w:tl2br w:val="nil"/>
                    <w:tr2bl w:val="nil"/>
                  </w:tcBorders>
                  <w:vAlign w:val="center"/>
                </w:tcPr>
                <w:p w14:paraId="3F8CD2F6">
                  <w:pPr>
                    <w:pStyle w:val="94"/>
                    <w:bidi w:val="0"/>
                    <w:rPr>
                      <w:rFonts w:hint="default"/>
                      <w:b/>
                      <w:bCs w:val="0"/>
                      <w:color w:val="auto"/>
                      <w:highlight w:val="none"/>
                    </w:rPr>
                  </w:pPr>
                  <w:r>
                    <w:rPr>
                      <w:rFonts w:hint="default"/>
                      <w:b/>
                      <w:bCs w:val="0"/>
                      <w:color w:val="auto"/>
                      <w:highlight w:val="none"/>
                    </w:rPr>
                    <w:t>排污系数</w:t>
                  </w:r>
                </w:p>
              </w:tc>
              <w:tc>
                <w:tcPr>
                  <w:tcW w:w="750" w:type="dxa"/>
                  <w:tcBorders>
                    <w:bottom w:val="single" w:color="000000" w:sz="4" w:space="0"/>
                    <w:tl2br w:val="nil"/>
                    <w:tr2bl w:val="nil"/>
                  </w:tcBorders>
                  <w:vAlign w:val="center"/>
                </w:tcPr>
                <w:p w14:paraId="7FC99AEB">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b/>
                      <w:bCs w:val="0"/>
                      <w:color w:val="auto"/>
                      <w:highlight w:val="none"/>
                      <w:lang w:val="en-US" w:eastAsia="zh-CN"/>
                    </w:rPr>
                  </w:pPr>
                  <w:r>
                    <w:rPr>
                      <w:rFonts w:hint="default"/>
                      <w:b/>
                      <w:bCs w:val="0"/>
                      <w:color w:val="auto"/>
                      <w:highlight w:val="none"/>
                    </w:rPr>
                    <w:t>排放量</w:t>
                  </w:r>
                  <w:r>
                    <w:rPr>
                      <w:rFonts w:hint="default"/>
                      <w:b/>
                      <w:bCs w:val="0"/>
                      <w:color w:val="auto"/>
                      <w:highlight w:val="none"/>
                      <w:lang w:val="en-US" w:eastAsia="zh-CN"/>
                    </w:rPr>
                    <w:t>m</w:t>
                  </w:r>
                  <w:r>
                    <w:rPr>
                      <w:rFonts w:hint="default"/>
                      <w:b/>
                      <w:bCs w:val="0"/>
                      <w:color w:val="auto"/>
                      <w:highlight w:val="none"/>
                      <w:vertAlign w:val="superscript"/>
                      <w:lang w:val="en-US" w:eastAsia="zh-CN"/>
                    </w:rPr>
                    <w:t>3</w:t>
                  </w:r>
                  <w:r>
                    <w:rPr>
                      <w:rFonts w:hint="default"/>
                      <w:b/>
                      <w:bCs w:val="0"/>
                      <w:color w:val="auto"/>
                      <w:highlight w:val="none"/>
                      <w:lang w:val="en-US" w:eastAsia="zh-CN"/>
                    </w:rPr>
                    <w:t>/d</w:t>
                  </w:r>
                </w:p>
              </w:tc>
              <w:tc>
                <w:tcPr>
                  <w:tcW w:w="1645" w:type="dxa"/>
                  <w:tcBorders>
                    <w:bottom w:val="single" w:color="000000" w:sz="4" w:space="0"/>
                    <w:tl2br w:val="nil"/>
                    <w:tr2bl w:val="nil"/>
                  </w:tcBorders>
                  <w:vAlign w:val="center"/>
                </w:tcPr>
                <w:p w14:paraId="10001C70">
                  <w:pPr>
                    <w:pStyle w:val="94"/>
                    <w:bidi w:val="0"/>
                    <w:rPr>
                      <w:rFonts w:hint="default"/>
                      <w:b/>
                      <w:bCs w:val="0"/>
                      <w:color w:val="auto"/>
                      <w:highlight w:val="none"/>
                      <w:lang w:val="en-US" w:eastAsia="zh-CN"/>
                    </w:rPr>
                  </w:pPr>
                  <w:r>
                    <w:rPr>
                      <w:rFonts w:hint="default"/>
                      <w:b/>
                      <w:bCs w:val="0"/>
                      <w:color w:val="auto"/>
                      <w:highlight w:val="none"/>
                      <w:lang w:val="en-US" w:eastAsia="zh-CN"/>
                    </w:rPr>
                    <w:t>备注</w:t>
                  </w:r>
                </w:p>
              </w:tc>
            </w:tr>
            <w:tr w14:paraId="3D47B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4" w:type="dxa"/>
                  <w:tcBorders>
                    <w:top w:val="single" w:color="000000" w:sz="4" w:space="0"/>
                    <w:tl2br w:val="nil"/>
                    <w:tr2bl w:val="nil"/>
                  </w:tcBorders>
                  <w:vAlign w:val="center"/>
                </w:tcPr>
                <w:p w14:paraId="02FCB47E">
                  <w:pPr>
                    <w:pStyle w:val="94"/>
                    <w:bidi w:val="0"/>
                    <w:rPr>
                      <w:rFonts w:hint="default"/>
                      <w:color w:val="auto"/>
                      <w:highlight w:val="none"/>
                      <w:lang w:val="en-US" w:eastAsia="zh-CN"/>
                    </w:rPr>
                  </w:pPr>
                  <w:r>
                    <w:rPr>
                      <w:rFonts w:hint="default"/>
                      <w:color w:val="auto"/>
                      <w:highlight w:val="none"/>
                      <w:lang w:val="en-US" w:eastAsia="zh-CN"/>
                    </w:rPr>
                    <w:t>1</w:t>
                  </w:r>
                </w:p>
              </w:tc>
              <w:tc>
                <w:tcPr>
                  <w:tcW w:w="2408" w:type="dxa"/>
                  <w:gridSpan w:val="2"/>
                  <w:tcBorders>
                    <w:top w:val="single" w:color="000000" w:sz="4" w:space="0"/>
                    <w:tl2br w:val="nil"/>
                    <w:tr2bl w:val="nil"/>
                  </w:tcBorders>
                  <w:vAlign w:val="center"/>
                </w:tcPr>
                <w:p w14:paraId="07CE75D9">
                  <w:pPr>
                    <w:pStyle w:val="94"/>
                    <w:bidi w:val="0"/>
                    <w:rPr>
                      <w:rFonts w:hint="default"/>
                      <w:color w:val="auto"/>
                      <w:highlight w:val="none"/>
                      <w:lang w:val="en-US" w:eastAsia="zh-CN"/>
                    </w:rPr>
                  </w:pPr>
                  <w:r>
                    <w:rPr>
                      <w:rFonts w:hint="default"/>
                      <w:color w:val="auto"/>
                      <w:highlight w:val="none"/>
                      <w:lang w:val="en-US" w:eastAsia="zh-CN"/>
                    </w:rPr>
                    <w:t>生活用水</w:t>
                  </w:r>
                </w:p>
              </w:tc>
              <w:tc>
                <w:tcPr>
                  <w:tcW w:w="1050" w:type="dxa"/>
                  <w:tcBorders>
                    <w:top w:val="single" w:color="000000" w:sz="4" w:space="0"/>
                    <w:tl2br w:val="nil"/>
                    <w:tr2bl w:val="nil"/>
                  </w:tcBorders>
                  <w:vAlign w:val="center"/>
                </w:tcPr>
                <w:p w14:paraId="51329516">
                  <w:pPr>
                    <w:pStyle w:val="94"/>
                    <w:bidi w:val="0"/>
                    <w:rPr>
                      <w:rFonts w:hint="default"/>
                      <w:color w:val="auto"/>
                      <w:highlight w:val="none"/>
                    </w:rPr>
                  </w:pPr>
                  <w:r>
                    <w:rPr>
                      <w:rFonts w:hint="eastAsia"/>
                      <w:color w:val="auto"/>
                      <w:highlight w:val="none"/>
                      <w:lang w:val="en-US" w:eastAsia="zh-CN"/>
                    </w:rPr>
                    <w:t>50</w:t>
                  </w:r>
                  <w:r>
                    <w:rPr>
                      <w:rFonts w:hint="default"/>
                      <w:color w:val="auto"/>
                      <w:highlight w:val="none"/>
                    </w:rPr>
                    <w:t>L/人•d</w:t>
                  </w:r>
                </w:p>
              </w:tc>
              <w:tc>
                <w:tcPr>
                  <w:tcW w:w="666" w:type="dxa"/>
                  <w:tcBorders>
                    <w:top w:val="single" w:color="000000" w:sz="4" w:space="0"/>
                    <w:tl2br w:val="nil"/>
                    <w:tr2bl w:val="nil"/>
                  </w:tcBorders>
                  <w:vAlign w:val="center"/>
                </w:tcPr>
                <w:p w14:paraId="3A357B62">
                  <w:pPr>
                    <w:pStyle w:val="94"/>
                    <w:bidi w:val="0"/>
                    <w:rPr>
                      <w:rFonts w:hint="default"/>
                      <w:color w:val="auto"/>
                      <w:highlight w:val="none"/>
                      <w:lang w:val="en-US" w:eastAsia="zh-CN"/>
                    </w:rPr>
                  </w:pPr>
                  <w:r>
                    <w:rPr>
                      <w:rFonts w:hint="eastAsia"/>
                      <w:color w:val="auto"/>
                      <w:highlight w:val="none"/>
                      <w:lang w:val="en-US" w:eastAsia="zh-CN"/>
                    </w:rPr>
                    <w:t>60</w:t>
                  </w:r>
                  <w:r>
                    <w:rPr>
                      <w:rFonts w:hint="default"/>
                      <w:color w:val="auto"/>
                      <w:highlight w:val="none"/>
                      <w:lang w:val="en-US" w:eastAsia="zh-CN"/>
                    </w:rPr>
                    <w:t>人</w:t>
                  </w:r>
                </w:p>
              </w:tc>
              <w:tc>
                <w:tcPr>
                  <w:tcW w:w="1262" w:type="dxa"/>
                  <w:tcBorders>
                    <w:top w:val="single" w:color="000000" w:sz="4" w:space="0"/>
                    <w:tl2br w:val="nil"/>
                    <w:tr2bl w:val="nil"/>
                  </w:tcBorders>
                  <w:vAlign w:val="center"/>
                </w:tcPr>
                <w:p w14:paraId="0E1F252B">
                  <w:pPr>
                    <w:pStyle w:val="94"/>
                    <w:bidi w:val="0"/>
                    <w:rPr>
                      <w:rFonts w:hint="default"/>
                      <w:color w:val="auto"/>
                      <w:highlight w:val="none"/>
                      <w:lang w:val="en-US" w:eastAsia="zh-CN"/>
                    </w:rPr>
                  </w:pPr>
                  <w:r>
                    <w:rPr>
                      <w:rFonts w:hint="eastAsia"/>
                      <w:color w:val="auto"/>
                      <w:highlight w:val="none"/>
                      <w:lang w:val="en-US" w:eastAsia="zh-CN"/>
                    </w:rPr>
                    <w:t>3.0</w:t>
                  </w:r>
                </w:p>
              </w:tc>
              <w:tc>
                <w:tcPr>
                  <w:tcW w:w="750" w:type="dxa"/>
                  <w:tcBorders>
                    <w:top w:val="single" w:color="000000" w:sz="4" w:space="0"/>
                    <w:tl2br w:val="nil"/>
                    <w:tr2bl w:val="nil"/>
                  </w:tcBorders>
                  <w:vAlign w:val="center"/>
                </w:tcPr>
                <w:p w14:paraId="0259D0A6">
                  <w:pPr>
                    <w:pStyle w:val="94"/>
                    <w:bidi w:val="0"/>
                    <w:rPr>
                      <w:rFonts w:hint="default"/>
                      <w:color w:val="auto"/>
                      <w:highlight w:val="none"/>
                      <w:lang w:val="en-US" w:eastAsia="zh-CN"/>
                    </w:rPr>
                  </w:pPr>
                  <w:r>
                    <w:rPr>
                      <w:rFonts w:hint="eastAsia"/>
                      <w:color w:val="auto"/>
                      <w:highlight w:val="none"/>
                      <w:lang w:val="en-US" w:eastAsia="zh-CN"/>
                    </w:rPr>
                    <w:t>0.9</w:t>
                  </w:r>
                </w:p>
              </w:tc>
              <w:tc>
                <w:tcPr>
                  <w:tcW w:w="750" w:type="dxa"/>
                  <w:tcBorders>
                    <w:top w:val="single" w:color="000000" w:sz="4" w:space="0"/>
                    <w:tl2br w:val="nil"/>
                    <w:tr2bl w:val="nil"/>
                  </w:tcBorders>
                  <w:vAlign w:val="center"/>
                </w:tcPr>
                <w:p w14:paraId="1D0AD1C6">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2.7</w:t>
                  </w:r>
                </w:p>
              </w:tc>
              <w:tc>
                <w:tcPr>
                  <w:tcW w:w="1645" w:type="dxa"/>
                  <w:tcBorders>
                    <w:top w:val="single" w:color="000000" w:sz="4" w:space="0"/>
                    <w:tl2br w:val="nil"/>
                    <w:tr2bl w:val="nil"/>
                  </w:tcBorders>
                  <w:vAlign w:val="center"/>
                </w:tcPr>
                <w:p w14:paraId="76A1DED2">
                  <w:pPr>
                    <w:pStyle w:val="94"/>
                    <w:bidi w:val="0"/>
                    <w:rPr>
                      <w:rFonts w:hint="default"/>
                      <w:color w:val="auto"/>
                      <w:highlight w:val="none"/>
                      <w:lang w:val="en-US" w:eastAsia="zh-CN"/>
                    </w:rPr>
                  </w:pPr>
                  <w:r>
                    <w:rPr>
                      <w:rFonts w:hint="eastAsia"/>
                      <w:color w:val="auto"/>
                      <w:highlight w:val="none"/>
                      <w:lang w:val="en-US" w:eastAsia="zh-CN"/>
                    </w:rPr>
                    <w:t>排入厂区预处理池处理后排入龙眼井污水处理厂处理</w:t>
                  </w:r>
                </w:p>
              </w:tc>
            </w:tr>
            <w:tr w14:paraId="53F12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4" w:type="dxa"/>
                  <w:tcBorders>
                    <w:tl2br w:val="nil"/>
                    <w:tr2bl w:val="nil"/>
                  </w:tcBorders>
                  <w:shd w:val="clear" w:color="auto" w:fill="auto"/>
                  <w:vAlign w:val="center"/>
                </w:tcPr>
                <w:p w14:paraId="445268AC">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color w:val="auto"/>
                      <w:highlight w:val="none"/>
                      <w:lang w:val="en-US" w:eastAsia="zh-CN"/>
                    </w:rPr>
                    <w:t>2</w:t>
                  </w:r>
                </w:p>
              </w:tc>
              <w:tc>
                <w:tcPr>
                  <w:tcW w:w="2408" w:type="dxa"/>
                  <w:gridSpan w:val="2"/>
                  <w:tcBorders>
                    <w:tl2br w:val="nil"/>
                    <w:tr2bl w:val="nil"/>
                  </w:tcBorders>
                  <w:shd w:val="clear" w:color="auto" w:fill="auto"/>
                  <w:vAlign w:val="center"/>
                </w:tcPr>
                <w:p w14:paraId="35202566">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产品制备用水</w:t>
                  </w:r>
                </w:p>
              </w:tc>
              <w:tc>
                <w:tcPr>
                  <w:tcW w:w="1050" w:type="dxa"/>
                  <w:tcBorders>
                    <w:tl2br w:val="nil"/>
                    <w:tr2bl w:val="nil"/>
                  </w:tcBorders>
                  <w:shd w:val="clear" w:color="auto" w:fill="auto"/>
                  <w:vAlign w:val="center"/>
                </w:tcPr>
                <w:p w14:paraId="4D7C7CA3">
                  <w:pPr>
                    <w:pStyle w:val="94"/>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666" w:type="dxa"/>
                  <w:tcBorders>
                    <w:tl2br w:val="nil"/>
                    <w:tr2bl w:val="nil"/>
                  </w:tcBorders>
                  <w:shd w:val="clear" w:color="auto" w:fill="auto"/>
                  <w:vAlign w:val="center"/>
                </w:tcPr>
                <w:p w14:paraId="1CCFDBC3">
                  <w:pPr>
                    <w:pStyle w:val="94"/>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1262" w:type="dxa"/>
                  <w:tcBorders>
                    <w:tl2br w:val="nil"/>
                    <w:tr2bl w:val="nil"/>
                  </w:tcBorders>
                  <w:shd w:val="clear" w:color="auto" w:fill="auto"/>
                  <w:vAlign w:val="center"/>
                </w:tcPr>
                <w:p w14:paraId="2AE61F38">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4.17</w:t>
                  </w:r>
                </w:p>
              </w:tc>
              <w:tc>
                <w:tcPr>
                  <w:tcW w:w="750" w:type="dxa"/>
                  <w:tcBorders>
                    <w:tl2br w:val="nil"/>
                    <w:tr2bl w:val="nil"/>
                  </w:tcBorders>
                  <w:shd w:val="clear" w:color="auto" w:fill="auto"/>
                  <w:vAlign w:val="center"/>
                </w:tcPr>
                <w:p w14:paraId="1984E365">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750" w:type="dxa"/>
                  <w:tcBorders>
                    <w:tl2br w:val="nil"/>
                    <w:tr2bl w:val="nil"/>
                  </w:tcBorders>
                  <w:shd w:val="clear" w:color="auto" w:fill="auto"/>
                  <w:vAlign w:val="center"/>
                </w:tcPr>
                <w:p w14:paraId="222CB386">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1645" w:type="dxa"/>
                  <w:tcBorders>
                    <w:tl2br w:val="nil"/>
                    <w:tr2bl w:val="nil"/>
                  </w:tcBorders>
                  <w:shd w:val="clear" w:color="auto" w:fill="auto"/>
                  <w:vAlign w:val="center"/>
                </w:tcPr>
                <w:p w14:paraId="7BD95E8A">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进入产品</w:t>
                  </w:r>
                </w:p>
              </w:tc>
            </w:tr>
            <w:tr w14:paraId="48AB6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4" w:type="dxa"/>
                  <w:tcBorders>
                    <w:tl2br w:val="nil"/>
                    <w:tr2bl w:val="nil"/>
                  </w:tcBorders>
                  <w:shd w:val="clear" w:color="auto" w:fill="auto"/>
                  <w:vAlign w:val="center"/>
                </w:tcPr>
                <w:p w14:paraId="3E67B4ED">
                  <w:pPr>
                    <w:pStyle w:val="94"/>
                    <w:bidi w:val="0"/>
                    <w:ind w:firstLine="0" w:firstLineChars="0"/>
                    <w:rPr>
                      <w:rFonts w:hint="default"/>
                      <w:color w:val="auto"/>
                      <w:highlight w:val="none"/>
                      <w:lang w:val="en-US" w:eastAsia="zh-CN"/>
                    </w:rPr>
                  </w:pPr>
                  <w:r>
                    <w:rPr>
                      <w:rFonts w:hint="eastAsia"/>
                      <w:color w:val="auto"/>
                      <w:highlight w:val="none"/>
                      <w:lang w:val="en-US" w:eastAsia="zh-CN"/>
                    </w:rPr>
                    <w:t>3</w:t>
                  </w:r>
                </w:p>
              </w:tc>
              <w:tc>
                <w:tcPr>
                  <w:tcW w:w="2408" w:type="dxa"/>
                  <w:gridSpan w:val="2"/>
                  <w:tcBorders>
                    <w:tl2br w:val="nil"/>
                    <w:tr2bl w:val="nil"/>
                  </w:tcBorders>
                  <w:shd w:val="clear" w:color="auto" w:fill="auto"/>
                  <w:vAlign w:val="center"/>
                </w:tcPr>
                <w:p w14:paraId="1B503438">
                  <w:pPr>
                    <w:pStyle w:val="94"/>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原料清洗用水</w:t>
                  </w:r>
                </w:p>
              </w:tc>
              <w:tc>
                <w:tcPr>
                  <w:tcW w:w="1050" w:type="dxa"/>
                  <w:tcBorders>
                    <w:tl2br w:val="nil"/>
                    <w:tr2bl w:val="nil"/>
                  </w:tcBorders>
                  <w:shd w:val="clear" w:color="auto" w:fill="auto"/>
                  <w:vAlign w:val="center"/>
                </w:tcPr>
                <w:p w14:paraId="6A4FB1E2">
                  <w:pPr>
                    <w:pStyle w:val="94"/>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666" w:type="dxa"/>
                  <w:tcBorders>
                    <w:tl2br w:val="nil"/>
                    <w:tr2bl w:val="nil"/>
                  </w:tcBorders>
                  <w:shd w:val="clear" w:color="auto" w:fill="auto"/>
                  <w:vAlign w:val="center"/>
                </w:tcPr>
                <w:p w14:paraId="219F8D83">
                  <w:pPr>
                    <w:pStyle w:val="94"/>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1262" w:type="dxa"/>
                  <w:tcBorders>
                    <w:tl2br w:val="nil"/>
                    <w:tr2bl w:val="nil"/>
                  </w:tcBorders>
                  <w:shd w:val="clear" w:color="auto" w:fill="auto"/>
                  <w:vAlign w:val="center"/>
                </w:tcPr>
                <w:p w14:paraId="0388275A">
                  <w:pPr>
                    <w:pStyle w:val="94"/>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20.0</w:t>
                  </w:r>
                </w:p>
              </w:tc>
              <w:tc>
                <w:tcPr>
                  <w:tcW w:w="750" w:type="dxa"/>
                  <w:tcBorders>
                    <w:tl2br w:val="nil"/>
                    <w:tr2bl w:val="nil"/>
                  </w:tcBorders>
                  <w:shd w:val="clear" w:color="auto" w:fill="auto"/>
                  <w:vAlign w:val="center"/>
                </w:tcPr>
                <w:p w14:paraId="2E3969FF">
                  <w:pPr>
                    <w:pStyle w:val="94"/>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0.9</w:t>
                  </w:r>
                </w:p>
              </w:tc>
              <w:tc>
                <w:tcPr>
                  <w:tcW w:w="750" w:type="dxa"/>
                  <w:tcBorders>
                    <w:tl2br w:val="nil"/>
                    <w:tr2bl w:val="nil"/>
                  </w:tcBorders>
                  <w:shd w:val="clear" w:color="auto" w:fill="auto"/>
                  <w:vAlign w:val="center"/>
                </w:tcPr>
                <w:p w14:paraId="33A93EB2">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18.0</w:t>
                  </w:r>
                </w:p>
              </w:tc>
              <w:tc>
                <w:tcPr>
                  <w:tcW w:w="1645" w:type="dxa"/>
                  <w:vMerge w:val="restart"/>
                  <w:tcBorders>
                    <w:tl2br w:val="nil"/>
                    <w:tr2bl w:val="nil"/>
                  </w:tcBorders>
                  <w:shd w:val="clear" w:color="auto" w:fill="auto"/>
                  <w:vAlign w:val="center"/>
                </w:tcPr>
                <w:p w14:paraId="6B7444A5">
                  <w:pPr>
                    <w:pStyle w:val="94"/>
                    <w:bidi w:val="0"/>
                    <w:rPr>
                      <w:rFonts w:hint="default"/>
                      <w:color w:val="auto"/>
                      <w:highlight w:val="none"/>
                      <w:lang w:val="en-US" w:eastAsia="zh-CN"/>
                    </w:rPr>
                  </w:pPr>
                  <w:r>
                    <w:rPr>
                      <w:rFonts w:hint="default"/>
                      <w:color w:val="auto"/>
                      <w:highlight w:val="none"/>
                      <w:lang w:val="en-US" w:eastAsia="zh-CN"/>
                    </w:rPr>
                    <w:t>排入</w:t>
                  </w:r>
                  <w:r>
                    <w:rPr>
                      <w:rFonts w:hint="eastAsia"/>
                      <w:color w:val="auto"/>
                      <w:highlight w:val="none"/>
                      <w:lang w:val="en-US" w:eastAsia="zh-CN"/>
                    </w:rPr>
                    <w:t>厂区污水处理池处理后排入龙眼井污水处理厂</w:t>
                  </w:r>
                </w:p>
              </w:tc>
            </w:tr>
            <w:tr w14:paraId="1D5BF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4" w:type="dxa"/>
                  <w:tcBorders>
                    <w:tl2br w:val="nil"/>
                    <w:tr2bl w:val="nil"/>
                  </w:tcBorders>
                  <w:shd w:val="clear" w:color="auto" w:fill="auto"/>
                  <w:vAlign w:val="center"/>
                </w:tcPr>
                <w:p w14:paraId="70F37975">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4</w:t>
                  </w:r>
                </w:p>
              </w:tc>
              <w:tc>
                <w:tcPr>
                  <w:tcW w:w="2408" w:type="dxa"/>
                  <w:gridSpan w:val="2"/>
                  <w:tcBorders>
                    <w:tl2br w:val="nil"/>
                    <w:tr2bl w:val="nil"/>
                  </w:tcBorders>
                  <w:vAlign w:val="center"/>
                </w:tcPr>
                <w:p w14:paraId="366FD80E">
                  <w:pPr>
                    <w:pStyle w:val="94"/>
                    <w:bidi w:val="0"/>
                    <w:rPr>
                      <w:rFonts w:hint="default"/>
                      <w:color w:val="auto"/>
                      <w:highlight w:val="none"/>
                      <w:lang w:val="en-US" w:eastAsia="zh-CN"/>
                    </w:rPr>
                  </w:pPr>
                  <w:r>
                    <w:rPr>
                      <w:rFonts w:hint="eastAsia"/>
                      <w:color w:val="auto"/>
                      <w:highlight w:val="none"/>
                      <w:lang w:val="en-US" w:eastAsia="zh-CN"/>
                    </w:rPr>
                    <w:t>设备清洗用水</w:t>
                  </w:r>
                </w:p>
              </w:tc>
              <w:tc>
                <w:tcPr>
                  <w:tcW w:w="1050" w:type="dxa"/>
                  <w:tcBorders>
                    <w:tl2br w:val="nil"/>
                    <w:tr2bl w:val="nil"/>
                  </w:tcBorders>
                  <w:vAlign w:val="center"/>
                </w:tcPr>
                <w:p w14:paraId="4F2001B6">
                  <w:pPr>
                    <w:pStyle w:val="94"/>
                    <w:bidi w:val="0"/>
                    <w:rPr>
                      <w:rFonts w:hint="eastAsia"/>
                      <w:color w:val="auto"/>
                      <w:highlight w:val="none"/>
                      <w:lang w:val="en-US" w:eastAsia="zh-CN"/>
                    </w:rPr>
                  </w:pPr>
                  <w:r>
                    <w:rPr>
                      <w:rFonts w:hint="eastAsia"/>
                      <w:color w:val="auto"/>
                      <w:highlight w:val="none"/>
                      <w:lang w:val="en-US" w:eastAsia="zh-CN"/>
                    </w:rPr>
                    <w:t>/</w:t>
                  </w:r>
                </w:p>
              </w:tc>
              <w:tc>
                <w:tcPr>
                  <w:tcW w:w="666" w:type="dxa"/>
                  <w:tcBorders>
                    <w:tl2br w:val="nil"/>
                    <w:tr2bl w:val="nil"/>
                  </w:tcBorders>
                  <w:vAlign w:val="center"/>
                </w:tcPr>
                <w:p w14:paraId="569A09AB">
                  <w:pPr>
                    <w:pStyle w:val="94"/>
                    <w:bidi w:val="0"/>
                    <w:rPr>
                      <w:rFonts w:hint="default"/>
                      <w:color w:val="auto"/>
                      <w:highlight w:val="none"/>
                      <w:lang w:val="en-US" w:eastAsia="zh-CN"/>
                    </w:rPr>
                  </w:pPr>
                  <w:r>
                    <w:rPr>
                      <w:rFonts w:hint="eastAsia"/>
                      <w:color w:val="auto"/>
                      <w:highlight w:val="none"/>
                      <w:lang w:val="en-US" w:eastAsia="zh-CN"/>
                    </w:rPr>
                    <w:t>/</w:t>
                  </w:r>
                </w:p>
              </w:tc>
              <w:tc>
                <w:tcPr>
                  <w:tcW w:w="1262" w:type="dxa"/>
                  <w:tcBorders>
                    <w:tl2br w:val="nil"/>
                    <w:tr2bl w:val="nil"/>
                  </w:tcBorders>
                  <w:vAlign w:val="center"/>
                </w:tcPr>
                <w:p w14:paraId="1CCA3E32">
                  <w:pPr>
                    <w:pStyle w:val="94"/>
                    <w:bidi w:val="0"/>
                    <w:rPr>
                      <w:rFonts w:hint="default"/>
                      <w:color w:val="auto"/>
                      <w:highlight w:val="none"/>
                      <w:lang w:val="en-US" w:eastAsia="zh-CN"/>
                    </w:rPr>
                  </w:pPr>
                  <w:r>
                    <w:rPr>
                      <w:rFonts w:hint="eastAsia"/>
                      <w:color w:val="auto"/>
                      <w:highlight w:val="none"/>
                      <w:lang w:val="en-US" w:eastAsia="zh-CN"/>
                    </w:rPr>
                    <w:t>2.0</w:t>
                  </w:r>
                </w:p>
              </w:tc>
              <w:tc>
                <w:tcPr>
                  <w:tcW w:w="750" w:type="dxa"/>
                  <w:tcBorders>
                    <w:tl2br w:val="nil"/>
                    <w:tr2bl w:val="nil"/>
                  </w:tcBorders>
                  <w:vAlign w:val="center"/>
                </w:tcPr>
                <w:p w14:paraId="04449BDB">
                  <w:pPr>
                    <w:pStyle w:val="94"/>
                    <w:bidi w:val="0"/>
                    <w:rPr>
                      <w:rFonts w:hint="default"/>
                      <w:color w:val="auto"/>
                      <w:highlight w:val="none"/>
                      <w:lang w:val="en-US" w:eastAsia="zh-CN"/>
                    </w:rPr>
                  </w:pPr>
                  <w:r>
                    <w:rPr>
                      <w:rFonts w:hint="eastAsia"/>
                      <w:color w:val="auto"/>
                      <w:highlight w:val="none"/>
                      <w:lang w:val="en-US" w:eastAsia="zh-CN"/>
                    </w:rPr>
                    <w:t>0.9</w:t>
                  </w:r>
                </w:p>
              </w:tc>
              <w:tc>
                <w:tcPr>
                  <w:tcW w:w="750" w:type="dxa"/>
                  <w:tcBorders>
                    <w:tl2br w:val="nil"/>
                    <w:tr2bl w:val="nil"/>
                  </w:tcBorders>
                  <w:vAlign w:val="center"/>
                </w:tcPr>
                <w:p w14:paraId="67B58109">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1.8</w:t>
                  </w:r>
                </w:p>
              </w:tc>
              <w:tc>
                <w:tcPr>
                  <w:tcW w:w="1645" w:type="dxa"/>
                  <w:vMerge w:val="continue"/>
                  <w:tcBorders>
                    <w:tl2br w:val="nil"/>
                    <w:tr2bl w:val="nil"/>
                  </w:tcBorders>
                  <w:vAlign w:val="center"/>
                </w:tcPr>
                <w:p w14:paraId="7319A7DF">
                  <w:pPr>
                    <w:pStyle w:val="94"/>
                    <w:bidi w:val="0"/>
                    <w:rPr>
                      <w:rFonts w:hint="default"/>
                      <w:color w:val="auto"/>
                      <w:highlight w:val="none"/>
                      <w:lang w:val="en-US" w:eastAsia="zh-CN"/>
                    </w:rPr>
                  </w:pPr>
                </w:p>
              </w:tc>
            </w:tr>
            <w:tr w14:paraId="12013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tcBorders>
                    <w:tl2br w:val="nil"/>
                    <w:tr2bl w:val="nil"/>
                  </w:tcBorders>
                  <w:shd w:val="clear" w:color="auto" w:fill="auto"/>
                  <w:vAlign w:val="center"/>
                </w:tcPr>
                <w:p w14:paraId="5B7804B9">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5</w:t>
                  </w:r>
                </w:p>
              </w:tc>
              <w:tc>
                <w:tcPr>
                  <w:tcW w:w="2408" w:type="dxa"/>
                  <w:gridSpan w:val="2"/>
                  <w:tcBorders>
                    <w:tl2br w:val="nil"/>
                    <w:tr2bl w:val="nil"/>
                  </w:tcBorders>
                  <w:vAlign w:val="center"/>
                </w:tcPr>
                <w:p w14:paraId="5A281FE4">
                  <w:pPr>
                    <w:pStyle w:val="94"/>
                    <w:bidi w:val="0"/>
                    <w:rPr>
                      <w:rFonts w:hint="default"/>
                      <w:color w:val="auto"/>
                      <w:highlight w:val="none"/>
                      <w:lang w:val="en-US" w:eastAsia="zh-CN"/>
                    </w:rPr>
                  </w:pPr>
                  <w:r>
                    <w:rPr>
                      <w:rFonts w:hint="eastAsia"/>
                      <w:color w:val="auto"/>
                      <w:highlight w:val="none"/>
                      <w:lang w:val="en-US" w:eastAsia="zh-CN"/>
                    </w:rPr>
                    <w:t>漂烫用水</w:t>
                  </w:r>
                </w:p>
              </w:tc>
              <w:tc>
                <w:tcPr>
                  <w:tcW w:w="1050" w:type="dxa"/>
                  <w:tcBorders>
                    <w:tl2br w:val="nil"/>
                    <w:tr2bl w:val="nil"/>
                  </w:tcBorders>
                  <w:vAlign w:val="center"/>
                </w:tcPr>
                <w:p w14:paraId="53810D6B">
                  <w:pPr>
                    <w:pStyle w:val="94"/>
                    <w:bidi w:val="0"/>
                    <w:rPr>
                      <w:rFonts w:hint="eastAsia"/>
                      <w:color w:val="auto"/>
                      <w:highlight w:val="none"/>
                      <w:lang w:val="en-US" w:eastAsia="zh-CN"/>
                    </w:rPr>
                  </w:pPr>
                  <w:r>
                    <w:rPr>
                      <w:rFonts w:hint="eastAsia"/>
                      <w:color w:val="auto"/>
                      <w:highlight w:val="none"/>
                      <w:lang w:val="en-US" w:eastAsia="zh-CN"/>
                    </w:rPr>
                    <w:t>/</w:t>
                  </w:r>
                </w:p>
              </w:tc>
              <w:tc>
                <w:tcPr>
                  <w:tcW w:w="666" w:type="dxa"/>
                  <w:tcBorders>
                    <w:tl2br w:val="nil"/>
                    <w:tr2bl w:val="nil"/>
                  </w:tcBorders>
                  <w:vAlign w:val="center"/>
                </w:tcPr>
                <w:p w14:paraId="10B96FE0">
                  <w:pPr>
                    <w:pStyle w:val="94"/>
                    <w:bidi w:val="0"/>
                    <w:rPr>
                      <w:rFonts w:hint="default"/>
                      <w:color w:val="auto"/>
                      <w:highlight w:val="none"/>
                      <w:lang w:val="en-US" w:eastAsia="zh-CN"/>
                    </w:rPr>
                  </w:pPr>
                  <w:r>
                    <w:rPr>
                      <w:rFonts w:hint="eastAsia"/>
                      <w:color w:val="auto"/>
                      <w:highlight w:val="none"/>
                      <w:lang w:val="en-US" w:eastAsia="zh-CN"/>
                    </w:rPr>
                    <w:t>/</w:t>
                  </w:r>
                </w:p>
              </w:tc>
              <w:tc>
                <w:tcPr>
                  <w:tcW w:w="1262" w:type="dxa"/>
                  <w:tcBorders>
                    <w:tl2br w:val="nil"/>
                    <w:tr2bl w:val="nil"/>
                  </w:tcBorders>
                  <w:vAlign w:val="center"/>
                </w:tcPr>
                <w:p w14:paraId="21DAE106">
                  <w:pPr>
                    <w:pStyle w:val="94"/>
                    <w:bidi w:val="0"/>
                    <w:rPr>
                      <w:rFonts w:hint="default"/>
                      <w:color w:val="auto"/>
                      <w:highlight w:val="none"/>
                      <w:lang w:val="en-US" w:eastAsia="zh-CN"/>
                    </w:rPr>
                  </w:pPr>
                  <w:r>
                    <w:rPr>
                      <w:rFonts w:hint="eastAsia"/>
                      <w:color w:val="auto"/>
                      <w:highlight w:val="none"/>
                      <w:lang w:val="en-US" w:eastAsia="zh-CN"/>
                    </w:rPr>
                    <w:t>4.0</w:t>
                  </w:r>
                </w:p>
              </w:tc>
              <w:tc>
                <w:tcPr>
                  <w:tcW w:w="750" w:type="dxa"/>
                  <w:tcBorders>
                    <w:tl2br w:val="nil"/>
                    <w:tr2bl w:val="nil"/>
                  </w:tcBorders>
                  <w:vAlign w:val="center"/>
                </w:tcPr>
                <w:p w14:paraId="60FE50B2">
                  <w:pPr>
                    <w:pStyle w:val="94"/>
                    <w:bidi w:val="0"/>
                    <w:rPr>
                      <w:rFonts w:hint="default"/>
                      <w:color w:val="auto"/>
                      <w:highlight w:val="none"/>
                      <w:lang w:val="en-US" w:eastAsia="zh-CN"/>
                    </w:rPr>
                  </w:pPr>
                  <w:r>
                    <w:rPr>
                      <w:rFonts w:hint="eastAsia"/>
                      <w:color w:val="auto"/>
                      <w:highlight w:val="none"/>
                      <w:lang w:val="en-US" w:eastAsia="zh-CN"/>
                    </w:rPr>
                    <w:t>0.5</w:t>
                  </w:r>
                </w:p>
              </w:tc>
              <w:tc>
                <w:tcPr>
                  <w:tcW w:w="750" w:type="dxa"/>
                  <w:tcBorders>
                    <w:tl2br w:val="nil"/>
                    <w:tr2bl w:val="nil"/>
                  </w:tcBorders>
                  <w:vAlign w:val="center"/>
                </w:tcPr>
                <w:p w14:paraId="7A48D55F">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2.0</w:t>
                  </w:r>
                </w:p>
              </w:tc>
              <w:tc>
                <w:tcPr>
                  <w:tcW w:w="1645" w:type="dxa"/>
                  <w:vMerge w:val="continue"/>
                  <w:tcBorders>
                    <w:tl2br w:val="nil"/>
                    <w:tr2bl w:val="nil"/>
                  </w:tcBorders>
                  <w:vAlign w:val="center"/>
                </w:tcPr>
                <w:p w14:paraId="7CCA823E">
                  <w:pPr>
                    <w:pStyle w:val="94"/>
                    <w:bidi w:val="0"/>
                    <w:rPr>
                      <w:rFonts w:hint="eastAsia"/>
                      <w:color w:val="auto"/>
                      <w:highlight w:val="none"/>
                      <w:lang w:val="en-US" w:eastAsia="zh-CN"/>
                    </w:rPr>
                  </w:pPr>
                </w:p>
              </w:tc>
            </w:tr>
            <w:tr w14:paraId="4FFD0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dxa"/>
                  <w:tcBorders>
                    <w:tl2br w:val="nil"/>
                    <w:tr2bl w:val="nil"/>
                  </w:tcBorders>
                  <w:shd w:val="clear" w:color="auto" w:fill="auto"/>
                  <w:vAlign w:val="center"/>
                </w:tcPr>
                <w:p w14:paraId="73D93948">
                  <w:pPr>
                    <w:pStyle w:val="94"/>
                    <w:bidi w:val="0"/>
                    <w:ind w:firstLine="0" w:firstLineChars="0"/>
                    <w:rPr>
                      <w:rFonts w:hint="default"/>
                      <w:color w:val="auto"/>
                      <w:highlight w:val="none"/>
                      <w:lang w:val="en-US" w:eastAsia="zh-CN"/>
                    </w:rPr>
                  </w:pPr>
                  <w:r>
                    <w:rPr>
                      <w:rFonts w:hint="eastAsia"/>
                      <w:color w:val="auto"/>
                      <w:highlight w:val="none"/>
                      <w:lang w:val="en-US" w:eastAsia="zh-CN"/>
                    </w:rPr>
                    <w:t>6</w:t>
                  </w:r>
                </w:p>
              </w:tc>
              <w:tc>
                <w:tcPr>
                  <w:tcW w:w="2408" w:type="dxa"/>
                  <w:gridSpan w:val="2"/>
                  <w:tcBorders>
                    <w:tl2br w:val="nil"/>
                    <w:tr2bl w:val="nil"/>
                  </w:tcBorders>
                  <w:vAlign w:val="center"/>
                </w:tcPr>
                <w:p w14:paraId="07AFE850">
                  <w:pPr>
                    <w:pStyle w:val="94"/>
                    <w:bidi w:val="0"/>
                    <w:rPr>
                      <w:rFonts w:hint="eastAsia"/>
                      <w:color w:val="auto"/>
                      <w:highlight w:val="none"/>
                      <w:lang w:val="en-US" w:eastAsia="zh-CN"/>
                    </w:rPr>
                  </w:pPr>
                  <w:r>
                    <w:rPr>
                      <w:rFonts w:hint="eastAsia"/>
                      <w:color w:val="auto"/>
                      <w:highlight w:val="none"/>
                      <w:lang w:val="en-US" w:eastAsia="zh-CN"/>
                    </w:rPr>
                    <w:t>猪肉解冻用水</w:t>
                  </w:r>
                </w:p>
              </w:tc>
              <w:tc>
                <w:tcPr>
                  <w:tcW w:w="1050" w:type="dxa"/>
                  <w:tcBorders>
                    <w:tl2br w:val="nil"/>
                    <w:tr2bl w:val="nil"/>
                  </w:tcBorders>
                  <w:vAlign w:val="center"/>
                </w:tcPr>
                <w:p w14:paraId="28200958">
                  <w:pPr>
                    <w:pStyle w:val="94"/>
                    <w:bidi w:val="0"/>
                    <w:rPr>
                      <w:rFonts w:hint="default"/>
                      <w:color w:val="auto"/>
                      <w:highlight w:val="none"/>
                      <w:lang w:val="en-US" w:eastAsia="zh-CN"/>
                    </w:rPr>
                  </w:pPr>
                  <w:r>
                    <w:rPr>
                      <w:rFonts w:hint="eastAsia"/>
                      <w:color w:val="auto"/>
                      <w:highlight w:val="none"/>
                      <w:lang w:val="en-US" w:eastAsia="zh-CN"/>
                    </w:rPr>
                    <w:t>/</w:t>
                  </w:r>
                </w:p>
              </w:tc>
              <w:tc>
                <w:tcPr>
                  <w:tcW w:w="666" w:type="dxa"/>
                  <w:tcBorders>
                    <w:tl2br w:val="nil"/>
                    <w:tr2bl w:val="nil"/>
                  </w:tcBorders>
                  <w:vAlign w:val="center"/>
                </w:tcPr>
                <w:p w14:paraId="689D53BD">
                  <w:pPr>
                    <w:pStyle w:val="94"/>
                    <w:bidi w:val="0"/>
                    <w:rPr>
                      <w:rFonts w:hint="default"/>
                      <w:color w:val="auto"/>
                      <w:highlight w:val="none"/>
                      <w:lang w:val="en-US" w:eastAsia="zh-CN"/>
                    </w:rPr>
                  </w:pPr>
                  <w:r>
                    <w:rPr>
                      <w:rFonts w:hint="eastAsia"/>
                      <w:color w:val="auto"/>
                      <w:highlight w:val="none"/>
                      <w:lang w:val="en-US" w:eastAsia="zh-CN"/>
                    </w:rPr>
                    <w:t>/</w:t>
                  </w:r>
                </w:p>
              </w:tc>
              <w:tc>
                <w:tcPr>
                  <w:tcW w:w="1262" w:type="dxa"/>
                  <w:tcBorders>
                    <w:tl2br w:val="nil"/>
                    <w:tr2bl w:val="nil"/>
                  </w:tcBorders>
                  <w:vAlign w:val="center"/>
                </w:tcPr>
                <w:p w14:paraId="59C4EC2E">
                  <w:pPr>
                    <w:pStyle w:val="94"/>
                    <w:bidi w:val="0"/>
                    <w:rPr>
                      <w:rFonts w:hint="default"/>
                      <w:color w:val="auto"/>
                      <w:highlight w:val="none"/>
                      <w:lang w:val="en-US" w:eastAsia="zh-CN"/>
                    </w:rPr>
                  </w:pPr>
                  <w:r>
                    <w:rPr>
                      <w:rFonts w:hint="eastAsia"/>
                      <w:color w:val="auto"/>
                      <w:highlight w:val="none"/>
                      <w:lang w:val="en-US" w:eastAsia="zh-CN"/>
                    </w:rPr>
                    <w:t>10.0</w:t>
                  </w:r>
                </w:p>
              </w:tc>
              <w:tc>
                <w:tcPr>
                  <w:tcW w:w="750" w:type="dxa"/>
                  <w:tcBorders>
                    <w:tl2br w:val="nil"/>
                    <w:tr2bl w:val="nil"/>
                  </w:tcBorders>
                  <w:vAlign w:val="center"/>
                </w:tcPr>
                <w:p w14:paraId="07B61AE8">
                  <w:pPr>
                    <w:pStyle w:val="94"/>
                    <w:bidi w:val="0"/>
                    <w:rPr>
                      <w:rFonts w:hint="default"/>
                      <w:color w:val="auto"/>
                      <w:highlight w:val="none"/>
                      <w:lang w:val="en-US" w:eastAsia="zh-CN"/>
                    </w:rPr>
                  </w:pPr>
                  <w:r>
                    <w:rPr>
                      <w:rFonts w:hint="eastAsia"/>
                      <w:color w:val="auto"/>
                      <w:highlight w:val="none"/>
                      <w:lang w:val="en-US" w:eastAsia="zh-CN"/>
                    </w:rPr>
                    <w:t>0.8</w:t>
                  </w:r>
                </w:p>
              </w:tc>
              <w:tc>
                <w:tcPr>
                  <w:tcW w:w="750" w:type="dxa"/>
                  <w:tcBorders>
                    <w:tl2br w:val="nil"/>
                    <w:tr2bl w:val="nil"/>
                  </w:tcBorders>
                  <w:vAlign w:val="center"/>
                </w:tcPr>
                <w:p w14:paraId="436075BE">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8.0</w:t>
                  </w:r>
                </w:p>
              </w:tc>
              <w:tc>
                <w:tcPr>
                  <w:tcW w:w="1645" w:type="dxa"/>
                  <w:vMerge w:val="continue"/>
                  <w:tcBorders>
                    <w:tl2br w:val="nil"/>
                    <w:tr2bl w:val="nil"/>
                  </w:tcBorders>
                  <w:vAlign w:val="center"/>
                </w:tcPr>
                <w:p w14:paraId="564EADAF">
                  <w:pPr>
                    <w:pStyle w:val="94"/>
                    <w:bidi w:val="0"/>
                    <w:rPr>
                      <w:rFonts w:hint="eastAsia"/>
                      <w:color w:val="auto"/>
                      <w:highlight w:val="none"/>
                      <w:lang w:val="en-US" w:eastAsia="zh-CN"/>
                    </w:rPr>
                  </w:pPr>
                </w:p>
              </w:tc>
            </w:tr>
            <w:tr w14:paraId="2FB45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4" w:type="dxa"/>
                  <w:tcBorders>
                    <w:tl2br w:val="nil"/>
                    <w:tr2bl w:val="nil"/>
                  </w:tcBorders>
                  <w:shd w:val="clear" w:color="auto" w:fill="auto"/>
                  <w:vAlign w:val="center"/>
                </w:tcPr>
                <w:p w14:paraId="739E3C8F">
                  <w:pPr>
                    <w:pStyle w:val="94"/>
                    <w:bidi w:val="0"/>
                    <w:ind w:firstLine="0" w:firstLineChars="0"/>
                    <w:rPr>
                      <w:rFonts w:hint="default"/>
                      <w:color w:val="auto"/>
                      <w:highlight w:val="none"/>
                      <w:lang w:val="en-US" w:eastAsia="zh-CN"/>
                    </w:rPr>
                  </w:pPr>
                  <w:r>
                    <w:rPr>
                      <w:rFonts w:hint="eastAsia"/>
                      <w:color w:val="auto"/>
                      <w:highlight w:val="none"/>
                      <w:lang w:val="en-US" w:eastAsia="zh-CN"/>
                    </w:rPr>
                    <w:t>7</w:t>
                  </w:r>
                </w:p>
              </w:tc>
              <w:tc>
                <w:tcPr>
                  <w:tcW w:w="2408" w:type="dxa"/>
                  <w:gridSpan w:val="2"/>
                  <w:tcBorders>
                    <w:tl2br w:val="nil"/>
                    <w:tr2bl w:val="nil"/>
                  </w:tcBorders>
                  <w:vAlign w:val="center"/>
                </w:tcPr>
                <w:p w14:paraId="5D018DE1">
                  <w:pPr>
                    <w:pStyle w:val="94"/>
                    <w:bidi w:val="0"/>
                    <w:rPr>
                      <w:rFonts w:hint="eastAsia"/>
                      <w:color w:val="auto"/>
                      <w:highlight w:val="none"/>
                      <w:lang w:val="en-US" w:eastAsia="zh-CN"/>
                    </w:rPr>
                  </w:pPr>
                  <w:r>
                    <w:rPr>
                      <w:rFonts w:hint="eastAsia"/>
                      <w:color w:val="auto"/>
                      <w:highlight w:val="none"/>
                      <w:lang w:val="en-US" w:eastAsia="zh-CN"/>
                    </w:rPr>
                    <w:t>空罐及实罐清洗用水</w:t>
                  </w:r>
                </w:p>
              </w:tc>
              <w:tc>
                <w:tcPr>
                  <w:tcW w:w="1050" w:type="dxa"/>
                  <w:tcBorders>
                    <w:tl2br w:val="nil"/>
                    <w:tr2bl w:val="nil"/>
                  </w:tcBorders>
                  <w:vAlign w:val="center"/>
                </w:tcPr>
                <w:p w14:paraId="6EEC4B99">
                  <w:pPr>
                    <w:pStyle w:val="94"/>
                    <w:bidi w:val="0"/>
                    <w:rPr>
                      <w:rFonts w:hint="default"/>
                      <w:color w:val="auto"/>
                      <w:highlight w:val="none"/>
                      <w:lang w:val="en-US" w:eastAsia="zh-CN"/>
                    </w:rPr>
                  </w:pPr>
                  <w:r>
                    <w:rPr>
                      <w:rFonts w:hint="eastAsia"/>
                      <w:color w:val="auto"/>
                      <w:highlight w:val="none"/>
                      <w:lang w:val="en-US" w:eastAsia="zh-CN"/>
                    </w:rPr>
                    <w:t>/</w:t>
                  </w:r>
                </w:p>
              </w:tc>
              <w:tc>
                <w:tcPr>
                  <w:tcW w:w="666" w:type="dxa"/>
                  <w:tcBorders>
                    <w:tl2br w:val="nil"/>
                    <w:tr2bl w:val="nil"/>
                  </w:tcBorders>
                  <w:vAlign w:val="center"/>
                </w:tcPr>
                <w:p w14:paraId="41CCD2DB">
                  <w:pPr>
                    <w:pStyle w:val="94"/>
                    <w:bidi w:val="0"/>
                    <w:rPr>
                      <w:rFonts w:hint="default"/>
                      <w:color w:val="auto"/>
                      <w:highlight w:val="none"/>
                      <w:lang w:val="en-US" w:eastAsia="zh-CN"/>
                    </w:rPr>
                  </w:pPr>
                  <w:r>
                    <w:rPr>
                      <w:rFonts w:hint="eastAsia"/>
                      <w:color w:val="auto"/>
                      <w:highlight w:val="none"/>
                      <w:lang w:val="en-US" w:eastAsia="zh-CN"/>
                    </w:rPr>
                    <w:t>/</w:t>
                  </w:r>
                </w:p>
              </w:tc>
              <w:tc>
                <w:tcPr>
                  <w:tcW w:w="1262" w:type="dxa"/>
                  <w:tcBorders>
                    <w:tl2br w:val="nil"/>
                    <w:tr2bl w:val="nil"/>
                  </w:tcBorders>
                  <w:vAlign w:val="center"/>
                </w:tcPr>
                <w:p w14:paraId="6D0C58CF">
                  <w:pPr>
                    <w:pStyle w:val="94"/>
                    <w:bidi w:val="0"/>
                    <w:rPr>
                      <w:rFonts w:hint="default"/>
                      <w:color w:val="auto"/>
                      <w:highlight w:val="none"/>
                      <w:lang w:val="en-US" w:eastAsia="zh-CN"/>
                    </w:rPr>
                  </w:pPr>
                  <w:r>
                    <w:rPr>
                      <w:rFonts w:hint="eastAsia"/>
                      <w:color w:val="auto"/>
                      <w:highlight w:val="none"/>
                      <w:lang w:val="en-US" w:eastAsia="zh-CN"/>
                    </w:rPr>
                    <w:t>4.0</w:t>
                  </w:r>
                </w:p>
              </w:tc>
              <w:tc>
                <w:tcPr>
                  <w:tcW w:w="750" w:type="dxa"/>
                  <w:tcBorders>
                    <w:tl2br w:val="nil"/>
                    <w:tr2bl w:val="nil"/>
                  </w:tcBorders>
                  <w:vAlign w:val="center"/>
                </w:tcPr>
                <w:p w14:paraId="6467F824">
                  <w:pPr>
                    <w:pStyle w:val="94"/>
                    <w:bidi w:val="0"/>
                    <w:rPr>
                      <w:rFonts w:hint="default"/>
                      <w:color w:val="auto"/>
                      <w:highlight w:val="none"/>
                      <w:lang w:val="en-US" w:eastAsia="zh-CN"/>
                    </w:rPr>
                  </w:pPr>
                  <w:r>
                    <w:rPr>
                      <w:rFonts w:hint="eastAsia"/>
                      <w:color w:val="auto"/>
                      <w:highlight w:val="none"/>
                      <w:lang w:val="en-US" w:eastAsia="zh-CN"/>
                    </w:rPr>
                    <w:t>0.8</w:t>
                  </w:r>
                </w:p>
              </w:tc>
              <w:tc>
                <w:tcPr>
                  <w:tcW w:w="750" w:type="dxa"/>
                  <w:tcBorders>
                    <w:tl2br w:val="nil"/>
                    <w:tr2bl w:val="nil"/>
                  </w:tcBorders>
                  <w:vAlign w:val="center"/>
                </w:tcPr>
                <w:p w14:paraId="2C62CC53">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3.2</w:t>
                  </w:r>
                </w:p>
              </w:tc>
              <w:tc>
                <w:tcPr>
                  <w:tcW w:w="1645" w:type="dxa"/>
                  <w:vMerge w:val="continue"/>
                  <w:tcBorders>
                    <w:tl2br w:val="nil"/>
                    <w:tr2bl w:val="nil"/>
                  </w:tcBorders>
                  <w:vAlign w:val="center"/>
                </w:tcPr>
                <w:p w14:paraId="16D73A76">
                  <w:pPr>
                    <w:pStyle w:val="94"/>
                    <w:bidi w:val="0"/>
                    <w:rPr>
                      <w:rFonts w:hint="eastAsia"/>
                      <w:color w:val="auto"/>
                      <w:highlight w:val="none"/>
                      <w:lang w:val="en-US" w:eastAsia="zh-CN"/>
                    </w:rPr>
                  </w:pPr>
                </w:p>
              </w:tc>
            </w:tr>
            <w:tr w14:paraId="277AF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4" w:type="dxa"/>
                  <w:vMerge w:val="restart"/>
                  <w:tcBorders>
                    <w:tl2br w:val="nil"/>
                    <w:tr2bl w:val="nil"/>
                  </w:tcBorders>
                  <w:shd w:val="clear" w:color="auto" w:fill="auto"/>
                  <w:vAlign w:val="center"/>
                </w:tcPr>
                <w:p w14:paraId="783E675E">
                  <w:pPr>
                    <w:pStyle w:val="94"/>
                    <w:bidi w:val="0"/>
                    <w:ind w:firstLine="0" w:firstLineChars="0"/>
                    <w:rPr>
                      <w:rFonts w:hint="default"/>
                      <w:color w:val="auto"/>
                      <w:highlight w:val="none"/>
                      <w:lang w:val="en-US" w:eastAsia="zh-CN"/>
                    </w:rPr>
                  </w:pPr>
                  <w:r>
                    <w:rPr>
                      <w:rFonts w:hint="eastAsia"/>
                      <w:color w:val="auto"/>
                      <w:highlight w:val="none"/>
                      <w:lang w:val="en-US" w:eastAsia="zh-CN"/>
                    </w:rPr>
                    <w:t>8</w:t>
                  </w:r>
                </w:p>
              </w:tc>
              <w:tc>
                <w:tcPr>
                  <w:tcW w:w="658" w:type="dxa"/>
                  <w:vMerge w:val="restart"/>
                  <w:tcBorders>
                    <w:tl2br w:val="nil"/>
                    <w:tr2bl w:val="nil"/>
                  </w:tcBorders>
                  <w:vAlign w:val="center"/>
                </w:tcPr>
                <w:p w14:paraId="36DC0AF0">
                  <w:pPr>
                    <w:pStyle w:val="94"/>
                    <w:bidi w:val="0"/>
                    <w:rPr>
                      <w:rFonts w:hint="default"/>
                      <w:color w:val="auto"/>
                      <w:highlight w:val="none"/>
                      <w:lang w:val="en-US" w:eastAsia="zh-CN"/>
                    </w:rPr>
                  </w:pPr>
                  <w:r>
                    <w:rPr>
                      <w:rFonts w:hint="eastAsia"/>
                      <w:color w:val="auto"/>
                      <w:highlight w:val="none"/>
                      <w:lang w:val="en-US" w:eastAsia="zh-CN"/>
                    </w:rPr>
                    <w:t>蒸汽制备用水</w:t>
                  </w:r>
                </w:p>
              </w:tc>
              <w:tc>
                <w:tcPr>
                  <w:tcW w:w="1750" w:type="dxa"/>
                  <w:tcBorders>
                    <w:tl2br w:val="nil"/>
                    <w:tr2bl w:val="nil"/>
                  </w:tcBorders>
                  <w:vAlign w:val="center"/>
                </w:tcPr>
                <w:p w14:paraId="36E2FE3C">
                  <w:pPr>
                    <w:pStyle w:val="94"/>
                    <w:bidi w:val="0"/>
                    <w:rPr>
                      <w:rFonts w:hint="default"/>
                      <w:color w:val="auto"/>
                      <w:highlight w:val="none"/>
                      <w:lang w:val="en-US" w:eastAsia="zh-CN"/>
                    </w:rPr>
                  </w:pPr>
                  <w:r>
                    <w:rPr>
                      <w:rFonts w:hint="eastAsia"/>
                      <w:color w:val="auto"/>
                      <w:highlight w:val="none"/>
                      <w:lang w:val="en-US" w:eastAsia="zh-CN"/>
                    </w:rPr>
                    <w:t>冷凝水循环水量</w:t>
                  </w:r>
                </w:p>
              </w:tc>
              <w:tc>
                <w:tcPr>
                  <w:tcW w:w="1050" w:type="dxa"/>
                  <w:tcBorders>
                    <w:tl2br w:val="nil"/>
                    <w:tr2bl w:val="nil"/>
                  </w:tcBorders>
                  <w:vAlign w:val="center"/>
                </w:tcPr>
                <w:p w14:paraId="69EB7994">
                  <w:pPr>
                    <w:pStyle w:val="94"/>
                    <w:bidi w:val="0"/>
                    <w:rPr>
                      <w:rFonts w:hint="default"/>
                      <w:color w:val="auto"/>
                      <w:highlight w:val="none"/>
                      <w:lang w:val="en-US" w:eastAsia="zh-CN"/>
                    </w:rPr>
                  </w:pPr>
                  <w:r>
                    <w:rPr>
                      <w:rFonts w:hint="eastAsia"/>
                      <w:color w:val="auto"/>
                      <w:highlight w:val="none"/>
                      <w:lang w:val="en-US" w:eastAsia="zh-CN"/>
                    </w:rPr>
                    <w:t>/</w:t>
                  </w:r>
                </w:p>
              </w:tc>
              <w:tc>
                <w:tcPr>
                  <w:tcW w:w="666" w:type="dxa"/>
                  <w:tcBorders>
                    <w:tl2br w:val="nil"/>
                    <w:tr2bl w:val="nil"/>
                  </w:tcBorders>
                  <w:vAlign w:val="center"/>
                </w:tcPr>
                <w:p w14:paraId="5E867306">
                  <w:pPr>
                    <w:pStyle w:val="94"/>
                    <w:bidi w:val="0"/>
                    <w:rPr>
                      <w:rFonts w:hint="default"/>
                      <w:color w:val="auto"/>
                      <w:highlight w:val="none"/>
                      <w:lang w:val="en-US" w:eastAsia="zh-CN"/>
                    </w:rPr>
                  </w:pPr>
                  <w:r>
                    <w:rPr>
                      <w:rFonts w:hint="eastAsia"/>
                      <w:color w:val="auto"/>
                      <w:highlight w:val="none"/>
                      <w:lang w:val="en-US" w:eastAsia="zh-CN"/>
                    </w:rPr>
                    <w:t>/</w:t>
                  </w:r>
                </w:p>
              </w:tc>
              <w:tc>
                <w:tcPr>
                  <w:tcW w:w="1262" w:type="dxa"/>
                  <w:tcBorders>
                    <w:tl2br w:val="nil"/>
                    <w:tr2bl w:val="nil"/>
                  </w:tcBorders>
                  <w:vAlign w:val="center"/>
                </w:tcPr>
                <w:p w14:paraId="67E231ED">
                  <w:pPr>
                    <w:pStyle w:val="94"/>
                    <w:bidi w:val="0"/>
                    <w:rPr>
                      <w:rFonts w:hint="default"/>
                      <w:color w:val="auto"/>
                      <w:highlight w:val="none"/>
                      <w:lang w:val="en-US" w:eastAsia="zh-CN"/>
                    </w:rPr>
                  </w:pPr>
                  <w:r>
                    <w:rPr>
                      <w:rFonts w:hint="eastAsia"/>
                      <w:color w:val="auto"/>
                      <w:highlight w:val="none"/>
                      <w:lang w:val="en-US" w:eastAsia="zh-CN"/>
                    </w:rPr>
                    <w:t>196.56</w:t>
                  </w:r>
                </w:p>
              </w:tc>
              <w:tc>
                <w:tcPr>
                  <w:tcW w:w="750" w:type="dxa"/>
                  <w:tcBorders>
                    <w:tl2br w:val="nil"/>
                    <w:tr2bl w:val="nil"/>
                  </w:tcBorders>
                  <w:vAlign w:val="center"/>
                </w:tcPr>
                <w:p w14:paraId="32C16940">
                  <w:pPr>
                    <w:pStyle w:val="94"/>
                    <w:bidi w:val="0"/>
                    <w:rPr>
                      <w:rFonts w:hint="default"/>
                      <w:color w:val="auto"/>
                      <w:highlight w:val="none"/>
                      <w:lang w:val="en-US" w:eastAsia="zh-CN"/>
                    </w:rPr>
                  </w:pPr>
                  <w:r>
                    <w:rPr>
                      <w:rFonts w:hint="eastAsia"/>
                      <w:color w:val="auto"/>
                      <w:highlight w:val="none"/>
                      <w:lang w:val="en-US" w:eastAsia="zh-CN"/>
                    </w:rPr>
                    <w:t>0.04</w:t>
                  </w:r>
                </w:p>
              </w:tc>
              <w:tc>
                <w:tcPr>
                  <w:tcW w:w="750" w:type="dxa"/>
                  <w:tcBorders>
                    <w:tl2br w:val="nil"/>
                    <w:tr2bl w:val="nil"/>
                  </w:tcBorders>
                  <w:vAlign w:val="center"/>
                </w:tcPr>
                <w:p w14:paraId="644E1829">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7.862</w:t>
                  </w:r>
                </w:p>
              </w:tc>
              <w:tc>
                <w:tcPr>
                  <w:tcW w:w="1645" w:type="dxa"/>
                  <w:vMerge w:val="continue"/>
                  <w:tcBorders>
                    <w:tl2br w:val="nil"/>
                    <w:tr2bl w:val="nil"/>
                  </w:tcBorders>
                  <w:vAlign w:val="center"/>
                </w:tcPr>
                <w:p w14:paraId="0984F08A">
                  <w:pPr>
                    <w:pStyle w:val="94"/>
                    <w:bidi w:val="0"/>
                    <w:rPr>
                      <w:rFonts w:hint="eastAsia"/>
                      <w:color w:val="auto"/>
                      <w:highlight w:val="none"/>
                      <w:lang w:val="en-US" w:eastAsia="zh-CN"/>
                    </w:rPr>
                  </w:pPr>
                </w:p>
              </w:tc>
            </w:tr>
            <w:tr w14:paraId="77779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4" w:type="dxa"/>
                  <w:vMerge w:val="continue"/>
                  <w:tcBorders>
                    <w:tl2br w:val="nil"/>
                    <w:tr2bl w:val="nil"/>
                  </w:tcBorders>
                  <w:shd w:val="clear" w:color="auto" w:fill="auto"/>
                  <w:vAlign w:val="center"/>
                </w:tcPr>
                <w:p w14:paraId="5FC74FED">
                  <w:pPr>
                    <w:pStyle w:val="94"/>
                    <w:bidi w:val="0"/>
                  </w:pPr>
                </w:p>
              </w:tc>
              <w:tc>
                <w:tcPr>
                  <w:tcW w:w="658" w:type="dxa"/>
                  <w:vMerge w:val="continue"/>
                  <w:tcBorders>
                    <w:tl2br w:val="nil"/>
                    <w:tr2bl w:val="nil"/>
                  </w:tcBorders>
                  <w:vAlign w:val="center"/>
                </w:tcPr>
                <w:p w14:paraId="0443C9E6">
                  <w:pPr>
                    <w:pStyle w:val="94"/>
                    <w:bidi w:val="0"/>
                    <w:rPr>
                      <w:rFonts w:hint="eastAsia"/>
                      <w:color w:val="auto"/>
                      <w:highlight w:val="none"/>
                      <w:lang w:val="en-US" w:eastAsia="zh-CN"/>
                    </w:rPr>
                  </w:pPr>
                </w:p>
              </w:tc>
              <w:tc>
                <w:tcPr>
                  <w:tcW w:w="1750" w:type="dxa"/>
                  <w:tcBorders>
                    <w:tl2br w:val="nil"/>
                    <w:tr2bl w:val="nil"/>
                  </w:tcBorders>
                  <w:vAlign w:val="center"/>
                </w:tcPr>
                <w:p w14:paraId="049CBD40">
                  <w:pPr>
                    <w:pStyle w:val="94"/>
                    <w:bidi w:val="0"/>
                    <w:rPr>
                      <w:rFonts w:hint="default"/>
                      <w:color w:val="auto"/>
                      <w:highlight w:val="none"/>
                      <w:lang w:val="en-US" w:eastAsia="zh-CN"/>
                    </w:rPr>
                  </w:pPr>
                  <w:r>
                    <w:rPr>
                      <w:rFonts w:hint="eastAsia"/>
                      <w:color w:val="auto"/>
                      <w:highlight w:val="none"/>
                      <w:lang w:val="en-US" w:eastAsia="zh-CN"/>
                    </w:rPr>
                    <w:t>补充用水</w:t>
                  </w:r>
                </w:p>
              </w:tc>
              <w:tc>
                <w:tcPr>
                  <w:tcW w:w="1050" w:type="dxa"/>
                  <w:tcBorders>
                    <w:tl2br w:val="nil"/>
                    <w:tr2bl w:val="nil"/>
                  </w:tcBorders>
                  <w:vAlign w:val="center"/>
                </w:tcPr>
                <w:p w14:paraId="77799176">
                  <w:pPr>
                    <w:pStyle w:val="94"/>
                    <w:bidi w:val="0"/>
                    <w:rPr>
                      <w:rFonts w:hint="default"/>
                      <w:color w:val="auto"/>
                      <w:highlight w:val="none"/>
                      <w:lang w:val="en-US" w:eastAsia="zh-CN"/>
                    </w:rPr>
                  </w:pPr>
                  <w:r>
                    <w:rPr>
                      <w:rFonts w:hint="eastAsia"/>
                      <w:color w:val="auto"/>
                      <w:highlight w:val="none"/>
                      <w:lang w:val="en-US" w:eastAsia="zh-CN"/>
                    </w:rPr>
                    <w:t>/</w:t>
                  </w:r>
                </w:p>
              </w:tc>
              <w:tc>
                <w:tcPr>
                  <w:tcW w:w="666" w:type="dxa"/>
                  <w:tcBorders>
                    <w:tl2br w:val="nil"/>
                    <w:tr2bl w:val="nil"/>
                  </w:tcBorders>
                  <w:vAlign w:val="center"/>
                </w:tcPr>
                <w:p w14:paraId="79D6E102">
                  <w:pPr>
                    <w:pStyle w:val="94"/>
                    <w:bidi w:val="0"/>
                    <w:rPr>
                      <w:rFonts w:hint="default"/>
                      <w:color w:val="auto"/>
                      <w:highlight w:val="none"/>
                      <w:lang w:val="en-US" w:eastAsia="zh-CN"/>
                    </w:rPr>
                  </w:pPr>
                  <w:r>
                    <w:rPr>
                      <w:rFonts w:hint="eastAsia"/>
                      <w:color w:val="auto"/>
                      <w:highlight w:val="none"/>
                      <w:lang w:val="en-US" w:eastAsia="zh-CN"/>
                    </w:rPr>
                    <w:t>/</w:t>
                  </w:r>
                </w:p>
              </w:tc>
              <w:tc>
                <w:tcPr>
                  <w:tcW w:w="1262" w:type="dxa"/>
                  <w:tcBorders>
                    <w:tl2br w:val="nil"/>
                    <w:tr2bl w:val="nil"/>
                  </w:tcBorders>
                  <w:vAlign w:val="center"/>
                </w:tcPr>
                <w:p w14:paraId="16243114">
                  <w:pPr>
                    <w:pStyle w:val="94"/>
                    <w:bidi w:val="0"/>
                    <w:rPr>
                      <w:rFonts w:hint="default"/>
                      <w:color w:val="auto"/>
                      <w:highlight w:val="none"/>
                      <w:lang w:val="en-US" w:eastAsia="zh-CN"/>
                    </w:rPr>
                  </w:pPr>
                  <w:r>
                    <w:rPr>
                      <w:rFonts w:hint="eastAsia"/>
                      <w:color w:val="auto"/>
                      <w:highlight w:val="none"/>
                      <w:lang w:val="en-US" w:eastAsia="zh-CN"/>
                    </w:rPr>
                    <w:t>27.52</w:t>
                  </w:r>
                </w:p>
              </w:tc>
              <w:tc>
                <w:tcPr>
                  <w:tcW w:w="750" w:type="dxa"/>
                  <w:tcBorders>
                    <w:tl2br w:val="nil"/>
                    <w:tr2bl w:val="nil"/>
                  </w:tcBorders>
                  <w:vAlign w:val="center"/>
                </w:tcPr>
                <w:p w14:paraId="115E1E70">
                  <w:pPr>
                    <w:pStyle w:val="94"/>
                    <w:bidi w:val="0"/>
                    <w:rPr>
                      <w:rFonts w:hint="default"/>
                      <w:color w:val="auto"/>
                      <w:highlight w:val="none"/>
                      <w:lang w:val="en-US" w:eastAsia="zh-CN"/>
                    </w:rPr>
                  </w:pPr>
                  <w:r>
                    <w:rPr>
                      <w:rFonts w:hint="eastAsia"/>
                      <w:color w:val="auto"/>
                      <w:highlight w:val="none"/>
                      <w:lang w:val="en-US" w:eastAsia="zh-CN"/>
                    </w:rPr>
                    <w:t>/</w:t>
                  </w:r>
                </w:p>
              </w:tc>
              <w:tc>
                <w:tcPr>
                  <w:tcW w:w="750" w:type="dxa"/>
                  <w:tcBorders>
                    <w:tl2br w:val="nil"/>
                    <w:tr2bl w:val="nil"/>
                  </w:tcBorders>
                  <w:vAlign w:val="center"/>
                </w:tcPr>
                <w:p w14:paraId="6216CCD9">
                  <w:pPr>
                    <w:pStyle w:val="94"/>
                    <w:bidi w:val="0"/>
                    <w:rPr>
                      <w:rFonts w:hint="default"/>
                      <w:color w:val="auto"/>
                      <w:highlight w:val="none"/>
                      <w:lang w:val="en-US" w:eastAsia="zh-CN"/>
                    </w:rPr>
                  </w:pPr>
                  <w:r>
                    <w:rPr>
                      <w:rFonts w:hint="eastAsia"/>
                      <w:color w:val="auto"/>
                      <w:highlight w:val="none"/>
                      <w:lang w:val="en-US" w:eastAsia="zh-CN"/>
                    </w:rPr>
                    <w:t>/</w:t>
                  </w:r>
                </w:p>
              </w:tc>
              <w:tc>
                <w:tcPr>
                  <w:tcW w:w="1645" w:type="dxa"/>
                  <w:vMerge w:val="continue"/>
                  <w:tcBorders>
                    <w:tl2br w:val="nil"/>
                    <w:tr2bl w:val="nil"/>
                  </w:tcBorders>
                  <w:vAlign w:val="center"/>
                </w:tcPr>
                <w:p w14:paraId="01D2FE66">
                  <w:pPr>
                    <w:pStyle w:val="94"/>
                    <w:bidi w:val="0"/>
                    <w:rPr>
                      <w:rFonts w:hint="default"/>
                      <w:color w:val="auto"/>
                      <w:highlight w:val="none"/>
                      <w:lang w:val="en-US" w:eastAsia="zh-CN"/>
                    </w:rPr>
                  </w:pPr>
                </w:p>
              </w:tc>
            </w:tr>
            <w:tr w14:paraId="5A80A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4" w:type="dxa"/>
                  <w:tcBorders>
                    <w:tl2br w:val="nil"/>
                    <w:tr2bl w:val="nil"/>
                  </w:tcBorders>
                  <w:shd w:val="clear" w:color="auto" w:fill="auto"/>
                  <w:vAlign w:val="center"/>
                </w:tcPr>
                <w:p w14:paraId="0C8650B1">
                  <w:pPr>
                    <w:pStyle w:val="94"/>
                    <w:bidi w:val="0"/>
                    <w:ind w:firstLine="0" w:firstLineChars="0"/>
                    <w:rPr>
                      <w:rFonts w:hint="default"/>
                      <w:color w:val="auto"/>
                      <w:highlight w:val="none"/>
                      <w:lang w:val="en-US" w:eastAsia="zh-CN"/>
                    </w:rPr>
                  </w:pPr>
                  <w:r>
                    <w:rPr>
                      <w:rFonts w:hint="eastAsia"/>
                      <w:color w:val="auto"/>
                      <w:highlight w:val="none"/>
                      <w:lang w:val="en-US" w:eastAsia="zh-CN"/>
                    </w:rPr>
                    <w:t>9</w:t>
                  </w:r>
                </w:p>
              </w:tc>
              <w:tc>
                <w:tcPr>
                  <w:tcW w:w="2408" w:type="dxa"/>
                  <w:gridSpan w:val="2"/>
                  <w:tcBorders>
                    <w:tl2br w:val="nil"/>
                    <w:tr2bl w:val="nil"/>
                  </w:tcBorders>
                  <w:vAlign w:val="center"/>
                </w:tcPr>
                <w:p w14:paraId="506830D8">
                  <w:pPr>
                    <w:pStyle w:val="94"/>
                    <w:bidi w:val="0"/>
                    <w:rPr>
                      <w:rFonts w:hint="default"/>
                      <w:color w:val="auto"/>
                      <w:highlight w:val="none"/>
                      <w:lang w:val="en-US" w:eastAsia="zh-CN"/>
                    </w:rPr>
                  </w:pPr>
                  <w:r>
                    <w:rPr>
                      <w:rFonts w:hint="eastAsia"/>
                      <w:color w:val="auto"/>
                      <w:highlight w:val="none"/>
                      <w:lang w:val="en-US" w:eastAsia="zh-CN"/>
                    </w:rPr>
                    <w:t>地面清洗用水</w:t>
                  </w:r>
                </w:p>
              </w:tc>
              <w:tc>
                <w:tcPr>
                  <w:tcW w:w="1050" w:type="dxa"/>
                  <w:tcBorders>
                    <w:tl2br w:val="nil"/>
                    <w:tr2bl w:val="nil"/>
                  </w:tcBorders>
                  <w:vAlign w:val="center"/>
                </w:tcPr>
                <w:p w14:paraId="1A16413E">
                  <w:pPr>
                    <w:pStyle w:val="94"/>
                    <w:bidi w:val="0"/>
                    <w:rPr>
                      <w:rFonts w:hint="eastAsia"/>
                      <w:color w:val="auto"/>
                      <w:highlight w:val="none"/>
                      <w:lang w:val="en-US" w:eastAsia="zh-CN"/>
                    </w:rPr>
                  </w:pPr>
                  <w:r>
                    <w:rPr>
                      <w:rFonts w:hint="eastAsia"/>
                      <w:color w:val="auto"/>
                      <w:highlight w:val="none"/>
                      <w:lang w:val="en-US" w:eastAsia="zh-CN"/>
                    </w:rPr>
                    <w:t>0.5L/m</w:t>
                  </w:r>
                  <w:r>
                    <w:rPr>
                      <w:rFonts w:hint="eastAsia"/>
                      <w:color w:val="auto"/>
                      <w:highlight w:val="none"/>
                      <w:vertAlign w:val="superscript"/>
                      <w:lang w:val="en-US" w:eastAsia="zh-CN"/>
                    </w:rPr>
                    <w:t>2</w:t>
                  </w:r>
                  <w:r>
                    <w:rPr>
                      <w:rFonts w:hint="eastAsia"/>
                      <w:color w:val="auto"/>
                      <w:highlight w:val="none"/>
                      <w:lang w:val="en-US" w:eastAsia="zh-CN"/>
                    </w:rPr>
                    <w:t>‧次</w:t>
                  </w:r>
                </w:p>
              </w:tc>
              <w:tc>
                <w:tcPr>
                  <w:tcW w:w="666" w:type="dxa"/>
                  <w:tcBorders>
                    <w:tl2br w:val="nil"/>
                    <w:tr2bl w:val="nil"/>
                  </w:tcBorders>
                  <w:vAlign w:val="center"/>
                </w:tcPr>
                <w:p w14:paraId="30649010">
                  <w:pPr>
                    <w:pStyle w:val="94"/>
                    <w:bidi w:val="0"/>
                    <w:rPr>
                      <w:rFonts w:hint="default"/>
                      <w:color w:val="auto"/>
                      <w:highlight w:val="none"/>
                      <w:lang w:val="en-US" w:eastAsia="zh-CN"/>
                    </w:rPr>
                  </w:pPr>
                  <w:r>
                    <w:rPr>
                      <w:rFonts w:hint="eastAsia"/>
                      <w:color w:val="auto"/>
                      <w:highlight w:val="none"/>
                      <w:lang w:val="en-US" w:eastAsia="zh-CN"/>
                    </w:rPr>
                    <w:t>10000m</w:t>
                  </w:r>
                  <w:r>
                    <w:rPr>
                      <w:rFonts w:hint="eastAsia"/>
                      <w:color w:val="auto"/>
                      <w:highlight w:val="none"/>
                      <w:vertAlign w:val="superscript"/>
                      <w:lang w:val="en-US" w:eastAsia="zh-CN"/>
                    </w:rPr>
                    <w:t>2</w:t>
                  </w:r>
                </w:p>
              </w:tc>
              <w:tc>
                <w:tcPr>
                  <w:tcW w:w="1262" w:type="dxa"/>
                  <w:tcBorders>
                    <w:tl2br w:val="nil"/>
                    <w:tr2bl w:val="nil"/>
                  </w:tcBorders>
                  <w:vAlign w:val="center"/>
                </w:tcPr>
                <w:p w14:paraId="18A21A17">
                  <w:pPr>
                    <w:pStyle w:val="94"/>
                    <w:bidi w:val="0"/>
                    <w:rPr>
                      <w:rFonts w:hint="default"/>
                      <w:color w:val="auto"/>
                      <w:highlight w:val="none"/>
                      <w:lang w:val="en-US" w:eastAsia="zh-CN"/>
                    </w:rPr>
                  </w:pPr>
                  <w:r>
                    <w:rPr>
                      <w:rFonts w:hint="eastAsia"/>
                      <w:color w:val="auto"/>
                      <w:highlight w:val="none"/>
                      <w:lang w:val="en-US" w:eastAsia="zh-CN"/>
                    </w:rPr>
                    <w:t>5.0</w:t>
                  </w:r>
                </w:p>
              </w:tc>
              <w:tc>
                <w:tcPr>
                  <w:tcW w:w="750" w:type="dxa"/>
                  <w:tcBorders>
                    <w:tl2br w:val="nil"/>
                    <w:tr2bl w:val="nil"/>
                  </w:tcBorders>
                  <w:vAlign w:val="center"/>
                </w:tcPr>
                <w:p w14:paraId="3965E5B2">
                  <w:pPr>
                    <w:pStyle w:val="94"/>
                    <w:bidi w:val="0"/>
                    <w:rPr>
                      <w:rFonts w:hint="default"/>
                      <w:color w:val="auto"/>
                      <w:highlight w:val="none"/>
                      <w:lang w:val="en-US" w:eastAsia="zh-CN"/>
                    </w:rPr>
                  </w:pPr>
                  <w:r>
                    <w:rPr>
                      <w:rFonts w:hint="eastAsia"/>
                      <w:color w:val="auto"/>
                      <w:highlight w:val="none"/>
                      <w:lang w:val="en-US" w:eastAsia="zh-CN"/>
                    </w:rPr>
                    <w:t>0.8</w:t>
                  </w:r>
                </w:p>
              </w:tc>
              <w:tc>
                <w:tcPr>
                  <w:tcW w:w="750" w:type="dxa"/>
                  <w:tcBorders>
                    <w:tl2br w:val="nil"/>
                    <w:tr2bl w:val="nil"/>
                  </w:tcBorders>
                  <w:vAlign w:val="center"/>
                </w:tcPr>
                <w:p w14:paraId="5A5AE189">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4.0</w:t>
                  </w:r>
                </w:p>
              </w:tc>
              <w:tc>
                <w:tcPr>
                  <w:tcW w:w="1645" w:type="dxa"/>
                  <w:vMerge w:val="continue"/>
                  <w:tcBorders>
                    <w:tl2br w:val="nil"/>
                    <w:tr2bl w:val="nil"/>
                  </w:tcBorders>
                  <w:vAlign w:val="center"/>
                </w:tcPr>
                <w:p w14:paraId="034A6454">
                  <w:pPr>
                    <w:pStyle w:val="94"/>
                    <w:bidi w:val="0"/>
                    <w:rPr>
                      <w:rFonts w:hint="eastAsia"/>
                      <w:color w:val="auto"/>
                      <w:highlight w:val="none"/>
                      <w:lang w:val="en-US" w:eastAsia="zh-CN"/>
                    </w:rPr>
                  </w:pPr>
                </w:p>
              </w:tc>
            </w:tr>
            <w:tr w14:paraId="70EF7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4" w:type="dxa"/>
                  <w:tcBorders>
                    <w:tl2br w:val="nil"/>
                    <w:tr2bl w:val="nil"/>
                  </w:tcBorders>
                  <w:shd w:val="clear" w:color="auto" w:fill="auto"/>
                  <w:vAlign w:val="center"/>
                </w:tcPr>
                <w:p w14:paraId="61E89650">
                  <w:pPr>
                    <w:pStyle w:val="94"/>
                    <w:bidi w:val="0"/>
                    <w:ind w:firstLine="0" w:firstLineChars="0"/>
                    <w:rPr>
                      <w:rFonts w:hint="default"/>
                      <w:color w:val="auto"/>
                      <w:highlight w:val="none"/>
                      <w:lang w:val="en-US" w:eastAsia="zh-CN"/>
                    </w:rPr>
                  </w:pPr>
                  <w:r>
                    <w:rPr>
                      <w:rFonts w:hint="eastAsia"/>
                      <w:color w:val="auto"/>
                      <w:highlight w:val="none"/>
                      <w:lang w:val="en-US" w:eastAsia="zh-CN"/>
                    </w:rPr>
                    <w:t>10</w:t>
                  </w:r>
                </w:p>
              </w:tc>
              <w:tc>
                <w:tcPr>
                  <w:tcW w:w="2408" w:type="dxa"/>
                  <w:gridSpan w:val="2"/>
                  <w:tcBorders>
                    <w:tl2br w:val="nil"/>
                    <w:tr2bl w:val="nil"/>
                  </w:tcBorders>
                  <w:shd w:val="clear" w:color="auto" w:fill="auto"/>
                  <w:vAlign w:val="center"/>
                </w:tcPr>
                <w:p w14:paraId="2E5C6AAC">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实验器皿清洗用水</w:t>
                  </w:r>
                </w:p>
              </w:tc>
              <w:tc>
                <w:tcPr>
                  <w:tcW w:w="1050" w:type="dxa"/>
                  <w:tcBorders>
                    <w:tl2br w:val="nil"/>
                    <w:tr2bl w:val="nil"/>
                  </w:tcBorders>
                  <w:shd w:val="clear" w:color="auto" w:fill="auto"/>
                  <w:vAlign w:val="center"/>
                </w:tcPr>
                <w:p w14:paraId="4596341F">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0.01m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d</w:t>
                  </w:r>
                </w:p>
              </w:tc>
              <w:tc>
                <w:tcPr>
                  <w:tcW w:w="666" w:type="dxa"/>
                  <w:tcBorders>
                    <w:tl2br w:val="nil"/>
                    <w:tr2bl w:val="nil"/>
                  </w:tcBorders>
                  <w:shd w:val="clear" w:color="auto" w:fill="auto"/>
                  <w:vAlign w:val="center"/>
                </w:tcPr>
                <w:p w14:paraId="6590202D">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1262" w:type="dxa"/>
                  <w:tcBorders>
                    <w:tl2br w:val="nil"/>
                    <w:tr2bl w:val="nil"/>
                  </w:tcBorders>
                  <w:shd w:val="clear" w:color="auto" w:fill="auto"/>
                  <w:vAlign w:val="center"/>
                </w:tcPr>
                <w:p w14:paraId="708B7A15">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0.01</w:t>
                  </w:r>
                </w:p>
              </w:tc>
              <w:tc>
                <w:tcPr>
                  <w:tcW w:w="750" w:type="dxa"/>
                  <w:tcBorders>
                    <w:tl2br w:val="nil"/>
                    <w:tr2bl w:val="nil"/>
                  </w:tcBorders>
                  <w:shd w:val="clear" w:color="auto" w:fill="auto"/>
                  <w:vAlign w:val="center"/>
                </w:tcPr>
                <w:p w14:paraId="5DA3BBC2">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0.9</w:t>
                  </w:r>
                </w:p>
              </w:tc>
              <w:tc>
                <w:tcPr>
                  <w:tcW w:w="750" w:type="dxa"/>
                  <w:tcBorders>
                    <w:tl2br w:val="nil"/>
                    <w:tr2bl w:val="nil"/>
                  </w:tcBorders>
                  <w:shd w:val="clear" w:color="auto" w:fill="auto"/>
                  <w:vAlign w:val="center"/>
                </w:tcPr>
                <w:p w14:paraId="7806BC49">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0.009</w:t>
                  </w:r>
                </w:p>
              </w:tc>
              <w:tc>
                <w:tcPr>
                  <w:tcW w:w="1645" w:type="dxa"/>
                  <w:vMerge w:val="continue"/>
                  <w:tcBorders>
                    <w:tl2br w:val="nil"/>
                    <w:tr2bl w:val="nil"/>
                  </w:tcBorders>
                  <w:vAlign w:val="center"/>
                </w:tcPr>
                <w:p w14:paraId="7F76B16C">
                  <w:pPr>
                    <w:pStyle w:val="94"/>
                    <w:bidi w:val="0"/>
                    <w:rPr>
                      <w:rFonts w:hint="eastAsia"/>
                      <w:color w:val="auto"/>
                      <w:highlight w:val="none"/>
                      <w:lang w:val="en-US" w:eastAsia="zh-CN"/>
                    </w:rPr>
                  </w:pPr>
                </w:p>
              </w:tc>
            </w:tr>
            <w:tr w14:paraId="105C6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788" w:type="dxa"/>
                  <w:gridSpan w:val="5"/>
                  <w:tcBorders>
                    <w:tl2br w:val="nil"/>
                    <w:tr2bl w:val="nil"/>
                  </w:tcBorders>
                  <w:vAlign w:val="center"/>
                </w:tcPr>
                <w:p w14:paraId="6B815A32">
                  <w:pPr>
                    <w:pStyle w:val="94"/>
                    <w:bidi w:val="0"/>
                    <w:rPr>
                      <w:rFonts w:hint="default"/>
                      <w:color w:val="auto"/>
                      <w:highlight w:val="none"/>
                      <w:lang w:val="en-US" w:eastAsia="zh-CN"/>
                    </w:rPr>
                  </w:pPr>
                  <w:r>
                    <w:rPr>
                      <w:rFonts w:hint="default"/>
                      <w:color w:val="auto"/>
                      <w:highlight w:val="none"/>
                      <w:lang w:val="en-US" w:eastAsia="zh-CN"/>
                    </w:rPr>
                    <w:t>合计</w:t>
                  </w:r>
                </w:p>
              </w:tc>
              <w:tc>
                <w:tcPr>
                  <w:tcW w:w="1262" w:type="dxa"/>
                  <w:tcBorders>
                    <w:tl2br w:val="nil"/>
                    <w:tr2bl w:val="nil"/>
                  </w:tcBorders>
                  <w:vAlign w:val="center"/>
                </w:tcPr>
                <w:p w14:paraId="757A2F71">
                  <w:pPr>
                    <w:pStyle w:val="94"/>
                    <w:bidi w:val="0"/>
                    <w:rPr>
                      <w:rFonts w:hint="default"/>
                      <w:color w:val="auto"/>
                      <w:highlight w:val="none"/>
                      <w:lang w:val="en-US" w:eastAsia="zh-CN"/>
                    </w:rPr>
                  </w:pPr>
                  <w:r>
                    <w:rPr>
                      <w:rFonts w:hint="eastAsia"/>
                      <w:color w:val="auto"/>
                      <w:highlight w:val="none"/>
                      <w:lang w:val="en-US" w:eastAsia="zh-CN"/>
                    </w:rPr>
                    <w:t>79.70</w:t>
                  </w:r>
                </w:p>
              </w:tc>
              <w:tc>
                <w:tcPr>
                  <w:tcW w:w="750" w:type="dxa"/>
                  <w:tcBorders>
                    <w:tl2br w:val="nil"/>
                    <w:tr2bl w:val="nil"/>
                  </w:tcBorders>
                  <w:vAlign w:val="center"/>
                </w:tcPr>
                <w:p w14:paraId="757A3E05">
                  <w:pPr>
                    <w:pStyle w:val="94"/>
                    <w:bidi w:val="0"/>
                    <w:rPr>
                      <w:rFonts w:hint="eastAsia" w:eastAsia="宋体"/>
                      <w:color w:val="auto"/>
                      <w:highlight w:val="none"/>
                      <w:lang w:val="en-US" w:eastAsia="zh-CN"/>
                    </w:rPr>
                  </w:pPr>
                  <w:r>
                    <w:rPr>
                      <w:rFonts w:hint="eastAsia"/>
                      <w:color w:val="auto"/>
                      <w:highlight w:val="none"/>
                      <w:lang w:val="en-US" w:eastAsia="zh-CN"/>
                    </w:rPr>
                    <w:t>/</w:t>
                  </w:r>
                </w:p>
              </w:tc>
              <w:tc>
                <w:tcPr>
                  <w:tcW w:w="750" w:type="dxa"/>
                  <w:tcBorders>
                    <w:tl2br w:val="nil"/>
                    <w:tr2bl w:val="nil"/>
                  </w:tcBorders>
                  <w:vAlign w:val="center"/>
                </w:tcPr>
                <w:p w14:paraId="23A2148B">
                  <w:pPr>
                    <w:pStyle w:val="94"/>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color w:val="auto"/>
                      <w:highlight w:val="none"/>
                      <w:lang w:val="en-US" w:eastAsia="zh-CN"/>
                    </w:rPr>
                  </w:pPr>
                  <w:r>
                    <w:rPr>
                      <w:rFonts w:hint="eastAsia"/>
                      <w:color w:val="auto"/>
                      <w:highlight w:val="none"/>
                      <w:lang w:val="en-US" w:eastAsia="zh-CN"/>
                    </w:rPr>
                    <w:t>47.57</w:t>
                  </w:r>
                </w:p>
              </w:tc>
              <w:tc>
                <w:tcPr>
                  <w:tcW w:w="1645" w:type="dxa"/>
                  <w:tcBorders>
                    <w:tl2br w:val="nil"/>
                    <w:tr2bl w:val="nil"/>
                  </w:tcBorders>
                  <w:vAlign w:val="center"/>
                </w:tcPr>
                <w:p w14:paraId="2BECF569">
                  <w:pPr>
                    <w:pStyle w:val="94"/>
                    <w:bidi w:val="0"/>
                    <w:rPr>
                      <w:rFonts w:hint="default"/>
                      <w:color w:val="auto"/>
                      <w:highlight w:val="none"/>
                      <w:lang w:val="en-US" w:eastAsia="zh-CN"/>
                    </w:rPr>
                  </w:pPr>
                  <w:r>
                    <w:rPr>
                      <w:rFonts w:hint="eastAsia"/>
                      <w:color w:val="auto"/>
                      <w:highlight w:val="none"/>
                      <w:lang w:val="en-US" w:eastAsia="zh-CN"/>
                    </w:rPr>
                    <w:t>/</w:t>
                  </w:r>
                </w:p>
              </w:tc>
            </w:tr>
          </w:tbl>
          <w:p w14:paraId="447E6851">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eastAsia"/>
                <w:color w:val="auto"/>
                <w:sz w:val="24"/>
                <w:szCs w:val="32"/>
                <w:highlight w:val="none"/>
                <w:lang w:val="en-US" w:eastAsia="zh-CN"/>
              </w:rPr>
            </w:pPr>
            <w:r>
              <w:rPr>
                <w:rFonts w:hint="eastAsia"/>
                <w:color w:val="auto"/>
                <w:sz w:val="24"/>
                <w:szCs w:val="32"/>
                <w:highlight w:val="none"/>
                <w:lang w:val="en-US" w:eastAsia="zh-CN"/>
              </w:rPr>
              <w:t>本项目水平衡见下图：</w:t>
            </w:r>
          </w:p>
          <w:p w14:paraId="76DC3F6F">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eastAsia"/>
                <w:color w:val="auto"/>
                <w:sz w:val="24"/>
                <w:szCs w:val="32"/>
                <w:highlight w:val="none"/>
                <w:lang w:val="en-US" w:eastAsia="zh-CN"/>
              </w:rPr>
            </w:pPr>
          </w:p>
          <w:p w14:paraId="06671AAF">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eastAsia"/>
                <w:color w:val="auto"/>
                <w:sz w:val="24"/>
                <w:szCs w:val="32"/>
                <w:highlight w:val="none"/>
                <w:lang w:val="en-US" w:eastAsia="zh-CN"/>
              </w:rPr>
            </w:pPr>
          </w:p>
          <w:p w14:paraId="687D2AD5">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eastAsia"/>
                <w:color w:val="auto"/>
                <w:sz w:val="24"/>
                <w:szCs w:val="32"/>
                <w:highlight w:val="none"/>
                <w:lang w:val="en-US" w:eastAsia="zh-CN"/>
              </w:rPr>
            </w:pPr>
          </w:p>
          <w:p w14:paraId="3227B769">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eastAsia"/>
                <w:color w:val="auto"/>
                <w:sz w:val="24"/>
                <w:szCs w:val="32"/>
                <w:highlight w:val="none"/>
                <w:lang w:val="en-US" w:eastAsia="zh-CN"/>
              </w:rPr>
            </w:pPr>
          </w:p>
          <w:p w14:paraId="355C1020">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eastAsia"/>
                <w:color w:val="auto"/>
                <w:sz w:val="24"/>
                <w:szCs w:val="32"/>
                <w:highlight w:val="none"/>
                <w:lang w:val="en-US" w:eastAsia="zh-CN"/>
              </w:rPr>
            </w:pPr>
          </w:p>
          <w:p w14:paraId="62A176FA">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eastAsia"/>
                <w:color w:val="auto"/>
                <w:sz w:val="24"/>
                <w:szCs w:val="32"/>
                <w:highlight w:val="none"/>
                <w:lang w:val="en-US" w:eastAsia="zh-CN"/>
              </w:rPr>
            </w:pPr>
          </w:p>
          <w:p w14:paraId="19C9135A">
            <w:pPr>
              <w:bidi w:val="0"/>
              <w:ind w:left="0" w:leftChars="0" w:firstLine="0" w:firstLineChars="0"/>
              <w:jc w:val="center"/>
              <w:rPr>
                <w:rFonts w:hint="eastAsia" w:eastAsia="宋体"/>
                <w:color w:val="auto"/>
                <w:sz w:val="24"/>
                <w:szCs w:val="32"/>
                <w:highlight w:val="none"/>
                <w:lang w:eastAsia="zh-CN"/>
              </w:rPr>
            </w:pPr>
            <w:r>
              <w:rPr>
                <w:rFonts w:hint="eastAsia" w:eastAsia="宋体"/>
                <w:color w:val="auto"/>
                <w:sz w:val="24"/>
                <w:szCs w:val="32"/>
                <w:highlight w:val="none"/>
                <w:lang w:eastAsia="zh-CN"/>
              </w:rPr>
              <w:drawing>
                <wp:inline distT="0" distB="0" distL="114300" distR="114300">
                  <wp:extent cx="5815330" cy="4990465"/>
                  <wp:effectExtent l="0" t="0" r="0" b="0"/>
                  <wp:docPr id="14" name="图片 14" descr="未命名文件(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命名文件(27)"/>
                          <pic:cNvPicPr>
                            <a:picLocks noChangeAspect="1"/>
                          </pic:cNvPicPr>
                        </pic:nvPicPr>
                        <pic:blipFill>
                          <a:blip r:embed="rId20"/>
                          <a:stretch>
                            <a:fillRect/>
                          </a:stretch>
                        </pic:blipFill>
                        <pic:spPr>
                          <a:xfrm>
                            <a:off x="0" y="0"/>
                            <a:ext cx="5815330" cy="4990465"/>
                          </a:xfrm>
                          <a:prstGeom prst="rect">
                            <a:avLst/>
                          </a:prstGeom>
                        </pic:spPr>
                      </pic:pic>
                    </a:graphicData>
                  </a:graphic>
                </wp:inline>
              </w:drawing>
            </w:r>
          </w:p>
          <w:p w14:paraId="3B9BFB44">
            <w:pPr>
              <w:pStyle w:val="14"/>
              <w:bidi w:val="0"/>
              <w:rPr>
                <w:rFonts w:hint="eastAsia"/>
                <w:color w:val="auto"/>
                <w:highlight w:val="none"/>
                <w:lang w:val="en-US" w:eastAsia="zh-CN"/>
              </w:rPr>
            </w:pPr>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2</w:t>
            </w:r>
            <w:r>
              <w:rPr>
                <w:color w:val="auto"/>
                <w:highlight w:val="none"/>
              </w:rPr>
              <w:fldChar w:fldCharType="end"/>
            </w:r>
            <w:r>
              <w:rPr>
                <w:rFonts w:hint="eastAsia"/>
                <w:color w:val="auto"/>
                <w:highlight w:val="none"/>
                <w:lang w:val="en-US" w:eastAsia="zh-CN"/>
              </w:rPr>
              <w:t xml:space="preserve">  本项目均值水平衡图（单位：m</w:t>
            </w:r>
            <w:r>
              <w:rPr>
                <w:rFonts w:hint="eastAsia"/>
                <w:color w:val="auto"/>
                <w:highlight w:val="none"/>
                <w:vertAlign w:val="superscript"/>
                <w:lang w:val="en-US" w:eastAsia="zh-CN"/>
              </w:rPr>
              <w:t>3</w:t>
            </w:r>
            <w:r>
              <w:rPr>
                <w:rFonts w:hint="eastAsia"/>
                <w:color w:val="auto"/>
                <w:highlight w:val="none"/>
                <w:lang w:val="en-US" w:eastAsia="zh-CN"/>
              </w:rPr>
              <w:t>/d）</w:t>
            </w:r>
          </w:p>
          <w:p w14:paraId="06BCB74B">
            <w:pPr>
              <w:keepNext w:val="0"/>
              <w:keepLines w:val="0"/>
              <w:pageBreakBefore w:val="0"/>
              <w:widowControl w:val="0"/>
              <w:kinsoku/>
              <w:wordWrap/>
              <w:overflowPunct/>
              <w:topLinePunct w:val="0"/>
              <w:autoSpaceDE w:val="0"/>
              <w:autoSpaceDN w:val="0"/>
              <w:bidi w:val="0"/>
              <w:adjustRightInd w:val="0"/>
              <w:snapToGrid w:val="0"/>
              <w:ind w:firstLine="482"/>
              <w:textAlignment w:val="auto"/>
              <w:rPr>
                <w:rFonts w:hint="default"/>
                <w:b/>
                <w:bCs/>
                <w:color w:val="auto"/>
                <w:sz w:val="24"/>
                <w:szCs w:val="32"/>
                <w:highlight w:val="none"/>
                <w:lang w:val="en-US" w:eastAsia="zh-CN"/>
              </w:rPr>
            </w:pPr>
            <w:r>
              <w:rPr>
                <w:rFonts w:hint="eastAsia"/>
                <w:b/>
                <w:bCs/>
                <w:color w:val="auto"/>
                <w:sz w:val="24"/>
                <w:szCs w:val="32"/>
                <w:highlight w:val="none"/>
                <w:lang w:val="en-US" w:eastAsia="zh-CN"/>
              </w:rPr>
              <w:t>（2）供气</w:t>
            </w:r>
          </w:p>
          <w:p w14:paraId="394A9B0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highlight w:val="none"/>
              </w:rPr>
            </w:pPr>
            <w:r>
              <w:rPr>
                <w:rFonts w:hint="eastAsia"/>
                <w:snapToGrid w:val="0"/>
                <w:color w:val="auto"/>
                <w:sz w:val="24"/>
                <w:highlight w:val="none"/>
                <w:lang w:val="en-US" w:eastAsia="zh-CN"/>
              </w:rPr>
              <w:t>本项目拟</w:t>
            </w:r>
            <w:r>
              <w:rPr>
                <w:rFonts w:hint="eastAsia"/>
                <w:color w:val="auto"/>
                <w:sz w:val="24"/>
                <w:highlight w:val="none"/>
              </w:rPr>
              <w:t>设</w:t>
            </w:r>
            <w:r>
              <w:rPr>
                <w:rFonts w:hint="eastAsia"/>
                <w:color w:val="auto"/>
                <w:sz w:val="24"/>
                <w:highlight w:val="none"/>
                <w:lang w:val="en-US" w:eastAsia="zh-CN"/>
              </w:rPr>
              <w:t>2台空压机</w:t>
            </w:r>
            <w:r>
              <w:rPr>
                <w:rFonts w:hint="eastAsia"/>
                <w:color w:val="auto"/>
                <w:sz w:val="24"/>
                <w:highlight w:val="none"/>
              </w:rPr>
              <w:t>，</w:t>
            </w:r>
            <w:r>
              <w:rPr>
                <w:color w:val="auto"/>
                <w:sz w:val="24"/>
                <w:highlight w:val="none"/>
              </w:rPr>
              <w:t>单台空压机额定排气量为</w:t>
            </w:r>
            <w:r>
              <w:rPr>
                <w:rFonts w:hint="eastAsia"/>
                <w:color w:val="auto"/>
                <w:sz w:val="24"/>
                <w:highlight w:val="none"/>
                <w:lang w:val="en-US" w:eastAsia="zh-CN"/>
              </w:rPr>
              <w:t>3.52</w:t>
            </w:r>
            <w:r>
              <w:rPr>
                <w:color w:val="auto"/>
                <w:sz w:val="24"/>
                <w:highlight w:val="none"/>
              </w:rPr>
              <w:t>Nm</w:t>
            </w:r>
            <w:r>
              <w:rPr>
                <w:color w:val="auto"/>
                <w:sz w:val="24"/>
                <w:highlight w:val="none"/>
                <w:vertAlign w:val="superscript"/>
              </w:rPr>
              <w:t>3</w:t>
            </w:r>
            <w:r>
              <w:rPr>
                <w:color w:val="auto"/>
                <w:sz w:val="24"/>
                <w:highlight w:val="none"/>
              </w:rPr>
              <w:t>/min，排气压力为0.</w:t>
            </w:r>
            <w:r>
              <w:rPr>
                <w:rFonts w:hint="eastAsia"/>
                <w:color w:val="auto"/>
                <w:sz w:val="24"/>
                <w:highlight w:val="none"/>
                <w:lang w:val="en-US" w:eastAsia="zh-CN"/>
              </w:rPr>
              <w:t>8</w:t>
            </w:r>
            <w:r>
              <w:rPr>
                <w:color w:val="auto"/>
                <w:sz w:val="24"/>
                <w:highlight w:val="none"/>
              </w:rPr>
              <w:t>MPa，富余量充足。</w:t>
            </w:r>
            <w:r>
              <w:rPr>
                <w:rFonts w:hint="default" w:ascii="Times New Roman" w:hAnsi="Times New Roman" w:cs="Times New Roman"/>
                <w:color w:val="auto"/>
                <w:sz w:val="24"/>
                <w:highlight w:val="none"/>
              </w:rPr>
              <w:t>为满足对压缩空气气质的要求，在压缩机出口管道相应配上空气后处理装置，其中包括冷冻式干燥机、微热再生干燥机、空气过滤系统等，使空气品质达到无尘、无油、无水（常压露点-40℃），</w:t>
            </w:r>
            <w:r>
              <w:rPr>
                <w:color w:val="auto"/>
                <w:sz w:val="24"/>
                <w:highlight w:val="none"/>
              </w:rPr>
              <w:t>处理后的压缩空气经空气缓冲罐送至工艺</w:t>
            </w:r>
            <w:r>
              <w:rPr>
                <w:rFonts w:hint="eastAsia"/>
                <w:color w:val="auto"/>
                <w:sz w:val="24"/>
                <w:highlight w:val="none"/>
              </w:rPr>
              <w:t>区</w:t>
            </w:r>
            <w:r>
              <w:rPr>
                <w:color w:val="auto"/>
                <w:sz w:val="24"/>
                <w:highlight w:val="none"/>
              </w:rPr>
              <w:t>。</w:t>
            </w:r>
          </w:p>
          <w:p w14:paraId="370E95DF">
            <w:pPr>
              <w:keepNext w:val="0"/>
              <w:keepLines w:val="0"/>
              <w:pageBreakBefore w:val="0"/>
              <w:widowControl w:val="0"/>
              <w:kinsoku/>
              <w:wordWrap/>
              <w:overflowPunct/>
              <w:topLinePunct w:val="0"/>
              <w:autoSpaceDE w:val="0"/>
              <w:autoSpaceDN w:val="0"/>
              <w:bidi w:val="0"/>
              <w:adjustRightInd w:val="0"/>
              <w:snapToGrid w:val="0"/>
              <w:ind w:firstLine="482"/>
              <w:textAlignment w:val="auto"/>
              <w:rPr>
                <w:rFonts w:hint="default"/>
                <w:b/>
                <w:bCs/>
                <w:color w:val="auto"/>
                <w:highlight w:val="none"/>
                <w:lang w:val="en-US" w:eastAsia="zh-CN"/>
              </w:rPr>
            </w:pPr>
            <w:r>
              <w:rPr>
                <w:rFonts w:hint="eastAsia"/>
                <w:b/>
                <w:bCs/>
                <w:color w:val="auto"/>
                <w:sz w:val="24"/>
                <w:szCs w:val="32"/>
                <w:highlight w:val="none"/>
                <w:lang w:val="en-US" w:eastAsia="zh-CN"/>
              </w:rPr>
              <w:t>（3）</w:t>
            </w:r>
            <w:r>
              <w:rPr>
                <w:rFonts w:hint="eastAsia"/>
                <w:b/>
                <w:bCs/>
                <w:color w:val="auto"/>
                <w:highlight w:val="none"/>
                <w:lang w:val="en-US" w:eastAsia="zh-CN"/>
              </w:rPr>
              <w:t>洁净生产及通风</w:t>
            </w:r>
          </w:p>
          <w:p w14:paraId="3DB1D078">
            <w:pPr>
              <w:rPr>
                <w:rFonts w:hint="eastAsia"/>
                <w:color w:val="auto"/>
                <w:highlight w:val="none"/>
                <w:lang w:val="en-US" w:eastAsia="zh-CN"/>
              </w:rPr>
            </w:pPr>
            <w:r>
              <w:rPr>
                <w:rFonts w:hint="eastAsia"/>
                <w:b w:val="0"/>
                <w:bCs/>
                <w:color w:val="auto"/>
                <w:highlight w:val="none"/>
                <w:lang w:val="en-US" w:eastAsia="zh-CN"/>
              </w:rPr>
              <w:t>项目通风拟采用新风系统、机械进排风、冷风机等进行项目车间、办公区域通风。</w:t>
            </w:r>
          </w:p>
          <w:p w14:paraId="75693767">
            <w:pPr>
              <w:rPr>
                <w:rFonts w:hint="eastAsia"/>
                <w:color w:val="auto"/>
                <w:highlight w:val="none"/>
                <w:lang w:val="en-US" w:eastAsia="zh-CN"/>
              </w:rPr>
            </w:pPr>
            <w:r>
              <w:rPr>
                <w:rFonts w:hint="eastAsia"/>
                <w:color w:val="auto"/>
                <w:highlight w:val="none"/>
                <w:lang w:val="en-US" w:eastAsia="zh-CN"/>
              </w:rPr>
              <w:t>项目生产区域拟采用机械进排风+新风系统进行通风；冷藏库拟设置排气扇排风进行通风；办公区域拟采用新风系统进行通风。</w:t>
            </w:r>
          </w:p>
          <w:p w14:paraId="673FC298">
            <w:pPr>
              <w:rPr>
                <w:rFonts w:hint="eastAsia"/>
                <w:color w:val="auto"/>
                <w:highlight w:val="none"/>
              </w:rPr>
            </w:pPr>
            <w:r>
              <w:rPr>
                <w:rFonts w:hint="eastAsia" w:cs="Times New Roman"/>
                <w:b w:val="0"/>
                <w:bCs/>
                <w:color w:val="auto"/>
                <w:sz w:val="24"/>
                <w:szCs w:val="24"/>
                <w:highlight w:val="none"/>
                <w:lang w:val="en-US" w:eastAsia="zh-CN"/>
              </w:rPr>
              <w:t>本项目配料间、食品生产车间、</w:t>
            </w:r>
            <w:r>
              <w:rPr>
                <w:rFonts w:hint="eastAsia"/>
                <w:color w:val="auto"/>
                <w:highlight w:val="none"/>
                <w:lang w:val="en-US" w:eastAsia="zh-CN"/>
              </w:rPr>
              <w:t>包装间、包材杀菌间等</w:t>
            </w:r>
            <w:r>
              <w:rPr>
                <w:rFonts w:hint="eastAsia" w:cs="Times New Roman"/>
                <w:b w:val="0"/>
                <w:bCs/>
                <w:color w:val="auto"/>
                <w:sz w:val="24"/>
                <w:szCs w:val="24"/>
                <w:highlight w:val="none"/>
                <w:lang w:val="en-US" w:eastAsia="zh-CN"/>
              </w:rPr>
              <w:t>为洁净生产区域；</w:t>
            </w:r>
            <w:r>
              <w:rPr>
                <w:rFonts w:hint="eastAsia"/>
                <w:color w:val="auto"/>
                <w:highlight w:val="none"/>
              </w:rPr>
              <w:t>洁净室为10万级，所有人员必须穿戴洁净的工作服、帽子、口罩等，通过</w:t>
            </w:r>
            <w:r>
              <w:rPr>
                <w:rFonts w:hint="eastAsia"/>
                <w:color w:val="auto"/>
                <w:highlight w:val="none"/>
                <w:lang w:val="en-US" w:eastAsia="zh-CN"/>
              </w:rPr>
              <w:t>个人卫生和消毒后</w:t>
            </w:r>
            <w:r>
              <w:rPr>
                <w:rFonts w:hint="eastAsia"/>
                <w:color w:val="auto"/>
                <w:highlight w:val="none"/>
              </w:rPr>
              <w:t>方可进入车间</w:t>
            </w:r>
            <w:r>
              <w:rPr>
                <w:rFonts w:hint="eastAsia"/>
                <w:color w:val="auto"/>
                <w:highlight w:val="none"/>
                <w:lang w:eastAsia="zh-CN"/>
              </w:rPr>
              <w:t>，</w:t>
            </w:r>
            <w:r>
              <w:rPr>
                <w:rFonts w:hint="eastAsia"/>
                <w:color w:val="auto"/>
                <w:highlight w:val="none"/>
                <w:lang w:val="en-US" w:eastAsia="zh-CN"/>
              </w:rPr>
              <w:t>定期对车间进行消毒处理，杀灭潜在的微生物和病原体。</w:t>
            </w:r>
            <w:r>
              <w:rPr>
                <w:rFonts w:hint="eastAsia"/>
                <w:color w:val="auto"/>
                <w:highlight w:val="none"/>
              </w:rPr>
              <w:t>洁净生产区域设置新风、回风系统，气流组织为上</w:t>
            </w:r>
            <w:r>
              <w:rPr>
                <w:color w:val="auto"/>
                <w:highlight w:val="none"/>
              </w:rPr>
              <w:t>送上回</w:t>
            </w:r>
            <w:r>
              <w:rPr>
                <w:rFonts w:hint="eastAsia"/>
                <w:color w:val="auto"/>
                <w:highlight w:val="none"/>
              </w:rPr>
              <w:t>，</w:t>
            </w:r>
            <w:r>
              <w:rPr>
                <w:rFonts w:hint="eastAsia"/>
                <w:color w:val="auto"/>
                <w:highlight w:val="none"/>
                <w:lang w:val="en-US" w:eastAsia="zh-CN"/>
              </w:rPr>
              <w:t>换气频次为20次/h，</w:t>
            </w:r>
            <w:r>
              <w:rPr>
                <w:color w:val="auto"/>
                <w:highlight w:val="none"/>
              </w:rPr>
              <w:t>洁净</w:t>
            </w:r>
            <w:r>
              <w:rPr>
                <w:rFonts w:hint="eastAsia"/>
                <w:color w:val="auto"/>
                <w:highlight w:val="none"/>
              </w:rPr>
              <w:t>室空调系统设置过滤器用于空气中粉尘</w:t>
            </w:r>
            <w:r>
              <w:rPr>
                <w:rFonts w:hint="eastAsia"/>
                <w:color w:val="auto"/>
                <w:highlight w:val="none"/>
                <w:lang w:eastAsia="zh-CN"/>
              </w:rPr>
              <w:t>、</w:t>
            </w:r>
            <w:r>
              <w:rPr>
                <w:rFonts w:hint="eastAsia"/>
                <w:color w:val="auto"/>
                <w:highlight w:val="none"/>
                <w:lang w:val="en-US" w:eastAsia="zh-CN"/>
              </w:rPr>
              <w:t>异味</w:t>
            </w:r>
            <w:r>
              <w:rPr>
                <w:rFonts w:hint="eastAsia"/>
                <w:color w:val="auto"/>
                <w:highlight w:val="none"/>
              </w:rPr>
              <w:t>过滤。</w:t>
            </w:r>
          </w:p>
          <w:p w14:paraId="29E585FE">
            <w:pPr>
              <w:keepNext w:val="0"/>
              <w:keepLines w:val="0"/>
              <w:pageBreakBefore w:val="0"/>
              <w:widowControl w:val="0"/>
              <w:kinsoku/>
              <w:wordWrap/>
              <w:overflowPunct/>
              <w:topLinePunct w:val="0"/>
              <w:autoSpaceDE w:val="0"/>
              <w:autoSpaceDN w:val="0"/>
              <w:bidi w:val="0"/>
              <w:adjustRightInd w:val="0"/>
              <w:snapToGrid w:val="0"/>
              <w:ind w:firstLine="482"/>
              <w:textAlignment w:val="auto"/>
              <w:rPr>
                <w:rFonts w:hint="eastAsia" w:ascii="黑体" w:hAnsi="黑体" w:eastAsia="黑体" w:cs="黑体"/>
                <w:b/>
                <w:bCs/>
                <w:color w:val="auto"/>
                <w:sz w:val="24"/>
                <w:szCs w:val="32"/>
                <w:highlight w:val="none"/>
                <w:lang w:val="en-US" w:eastAsia="zh-CN"/>
              </w:rPr>
            </w:pPr>
            <w:r>
              <w:rPr>
                <w:rFonts w:hint="eastAsia" w:ascii="黑体" w:hAnsi="黑体" w:eastAsia="黑体" w:cs="黑体"/>
                <w:b/>
                <w:bCs/>
                <w:color w:val="auto"/>
                <w:sz w:val="24"/>
                <w:szCs w:val="32"/>
                <w:highlight w:val="none"/>
                <w:lang w:val="en-US" w:eastAsia="zh-CN"/>
              </w:rPr>
              <w:t>9、物料平衡</w:t>
            </w:r>
          </w:p>
          <w:p w14:paraId="637278EC">
            <w:pPr>
              <w:bidi w:val="0"/>
              <w:rPr>
                <w:rFonts w:hint="default"/>
                <w:color w:val="auto"/>
                <w:highlight w:val="none"/>
                <w:lang w:val="en-US" w:eastAsia="zh-CN"/>
              </w:rPr>
            </w:pPr>
            <w:r>
              <w:rPr>
                <w:rFonts w:hint="eastAsia"/>
                <w:color w:val="auto"/>
                <w:highlight w:val="none"/>
                <w:lang w:val="en-US" w:eastAsia="zh-CN"/>
              </w:rPr>
              <w:t>本项目物料平衡表如下：</w:t>
            </w:r>
          </w:p>
          <w:p w14:paraId="4526D49D">
            <w:pPr>
              <w:pStyle w:val="14"/>
              <w:rPr>
                <w:rFonts w:hint="default" w:eastAsia="宋体"/>
                <w:color w:val="auto"/>
                <w:highlight w:val="none"/>
                <w:lang w:val="en-US" w:eastAsia="zh-CN"/>
              </w:rPr>
            </w:pPr>
            <w:r>
              <w:rPr>
                <w:color w:val="auto"/>
                <w:highlight w:val="none"/>
              </w:rPr>
              <w:t xml:space="preserve">表2- </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lang w:val="en-US" w:eastAsia="zh-CN"/>
              </w:rPr>
              <w:t xml:space="preserve">  项目物料平衡表</w:t>
            </w:r>
          </w:p>
          <w:tbl>
            <w:tblPr>
              <w:tblStyle w:val="29"/>
              <w:tblW w:w="91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519"/>
              <w:gridCol w:w="2033"/>
              <w:gridCol w:w="1075"/>
              <w:gridCol w:w="1882"/>
              <w:gridCol w:w="1838"/>
            </w:tblGrid>
            <w:tr w14:paraId="5B2F8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404" w:type="dxa"/>
                  <w:gridSpan w:val="3"/>
                  <w:tcBorders>
                    <w:tl2br w:val="nil"/>
                    <w:tr2bl w:val="nil"/>
                  </w:tcBorders>
                  <w:vAlign w:val="center"/>
                </w:tcPr>
                <w:p w14:paraId="3287B3E3">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输入</w:t>
                  </w:r>
                </w:p>
              </w:tc>
              <w:tc>
                <w:tcPr>
                  <w:tcW w:w="4795" w:type="dxa"/>
                  <w:gridSpan w:val="3"/>
                  <w:tcBorders>
                    <w:tl2br w:val="nil"/>
                    <w:tr2bl w:val="nil"/>
                  </w:tcBorders>
                  <w:vAlign w:val="center"/>
                </w:tcPr>
                <w:p w14:paraId="6FD0EE8A">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输出</w:t>
                  </w:r>
                </w:p>
              </w:tc>
            </w:tr>
            <w:tr w14:paraId="00C15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1" w:type="dxa"/>
                  <w:gridSpan w:val="2"/>
                  <w:tcBorders>
                    <w:bottom w:val="single" w:color="000000" w:sz="4" w:space="0"/>
                    <w:tl2br w:val="nil"/>
                    <w:tr2bl w:val="nil"/>
                  </w:tcBorders>
                  <w:vAlign w:val="center"/>
                </w:tcPr>
                <w:p w14:paraId="5B06084C">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物料名称</w:t>
                  </w:r>
                </w:p>
              </w:tc>
              <w:tc>
                <w:tcPr>
                  <w:tcW w:w="2033" w:type="dxa"/>
                  <w:tcBorders>
                    <w:bottom w:val="single" w:color="000000" w:sz="4" w:space="0"/>
                    <w:tl2br w:val="nil"/>
                    <w:tr2bl w:val="nil"/>
                  </w:tcBorders>
                  <w:vAlign w:val="center"/>
                </w:tcPr>
                <w:p w14:paraId="7048B611">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全厂年消耗量t</w:t>
                  </w:r>
                </w:p>
              </w:tc>
              <w:tc>
                <w:tcPr>
                  <w:tcW w:w="2957" w:type="dxa"/>
                  <w:gridSpan w:val="2"/>
                  <w:tcBorders>
                    <w:bottom w:val="single" w:color="000000" w:sz="4" w:space="0"/>
                    <w:tl2br w:val="nil"/>
                    <w:tr2bl w:val="nil"/>
                  </w:tcBorders>
                  <w:vAlign w:val="center"/>
                </w:tcPr>
                <w:p w14:paraId="0B1368A7">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物料名称</w:t>
                  </w:r>
                </w:p>
              </w:tc>
              <w:tc>
                <w:tcPr>
                  <w:tcW w:w="1838" w:type="dxa"/>
                  <w:tcBorders>
                    <w:bottom w:val="single" w:color="000000" w:sz="4" w:space="0"/>
                    <w:tl2br w:val="nil"/>
                    <w:tr2bl w:val="nil"/>
                  </w:tcBorders>
                  <w:vAlign w:val="center"/>
                </w:tcPr>
                <w:p w14:paraId="3DB04DCB">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全厂年输出量t</w:t>
                  </w:r>
                </w:p>
              </w:tc>
            </w:tr>
            <w:tr w14:paraId="44B1A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restart"/>
                  <w:tcBorders>
                    <w:top w:val="single" w:color="000000" w:sz="4" w:space="0"/>
                    <w:tl2br w:val="nil"/>
                    <w:tr2bl w:val="nil"/>
                  </w:tcBorders>
                  <w:shd w:val="clear" w:color="auto" w:fill="auto"/>
                  <w:vAlign w:val="center"/>
                </w:tcPr>
                <w:p w14:paraId="070E3D1E">
                  <w:pPr>
                    <w:pStyle w:val="106"/>
                    <w:bidi w:val="0"/>
                    <w:rPr>
                      <w:rFonts w:hint="default"/>
                      <w:lang w:val="en-US" w:eastAsia="zh-CN"/>
                    </w:rPr>
                  </w:pPr>
                  <w:r>
                    <w:rPr>
                      <w:rFonts w:hint="eastAsia"/>
                      <w:b/>
                      <w:bCs/>
                      <w:lang w:val="en-US" w:eastAsia="zh-CN"/>
                    </w:rPr>
                    <w:t>冻干生产</w:t>
                  </w:r>
                </w:p>
              </w:tc>
              <w:tc>
                <w:tcPr>
                  <w:tcW w:w="1519" w:type="dxa"/>
                  <w:tcBorders>
                    <w:top w:val="single" w:color="000000" w:sz="4" w:space="0"/>
                    <w:tl2br w:val="nil"/>
                    <w:tr2bl w:val="nil"/>
                  </w:tcBorders>
                  <w:shd w:val="clear" w:color="auto" w:fill="auto"/>
                  <w:vAlign w:val="center"/>
                </w:tcPr>
                <w:p w14:paraId="17C81B3B">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小葱</w:t>
                  </w:r>
                </w:p>
              </w:tc>
              <w:tc>
                <w:tcPr>
                  <w:tcW w:w="2033" w:type="dxa"/>
                  <w:tcBorders>
                    <w:top w:val="single" w:color="000000" w:sz="4" w:space="0"/>
                    <w:tl2br w:val="nil"/>
                    <w:tr2bl w:val="nil"/>
                  </w:tcBorders>
                  <w:shd w:val="clear" w:color="auto" w:fill="auto"/>
                  <w:vAlign w:val="center"/>
                </w:tcPr>
                <w:p w14:paraId="12F74DD5">
                  <w:pPr>
                    <w:pStyle w:val="106"/>
                    <w:bidi w:val="0"/>
                    <w:rPr>
                      <w:rFonts w:hint="default"/>
                      <w:lang w:val="en-US" w:eastAsia="zh-CN"/>
                    </w:rPr>
                  </w:pPr>
                  <w:r>
                    <w:rPr>
                      <w:rFonts w:hint="default"/>
                      <w:lang w:val="en-US" w:eastAsia="zh-CN"/>
                    </w:rPr>
                    <w:t>6000</w:t>
                  </w:r>
                </w:p>
              </w:tc>
              <w:tc>
                <w:tcPr>
                  <w:tcW w:w="2957" w:type="dxa"/>
                  <w:gridSpan w:val="2"/>
                  <w:tcBorders>
                    <w:top w:val="single" w:color="000000" w:sz="4" w:space="0"/>
                    <w:tl2br w:val="nil"/>
                    <w:tr2bl w:val="nil"/>
                  </w:tcBorders>
                  <w:shd w:val="clear" w:color="auto" w:fill="auto"/>
                  <w:vAlign w:val="center"/>
                </w:tcPr>
                <w:p w14:paraId="30580550">
                  <w:pPr>
                    <w:pStyle w:val="106"/>
                    <w:bidi w:val="0"/>
                    <w:rPr>
                      <w:rFonts w:hint="default"/>
                      <w:lang w:val="en-US" w:eastAsia="zh-CN"/>
                    </w:rPr>
                  </w:pPr>
                  <w:r>
                    <w:rPr>
                      <w:rFonts w:hint="eastAsia"/>
                      <w:lang w:val="en-US" w:eastAsia="zh-CN"/>
                    </w:rPr>
                    <w:t>冻干葱葱</w:t>
                  </w:r>
                </w:p>
              </w:tc>
              <w:tc>
                <w:tcPr>
                  <w:tcW w:w="1838" w:type="dxa"/>
                  <w:tcBorders>
                    <w:top w:val="single" w:color="000000" w:sz="4" w:space="0"/>
                    <w:tl2br w:val="nil"/>
                    <w:tr2bl w:val="nil"/>
                  </w:tcBorders>
                  <w:shd w:val="clear" w:color="auto" w:fill="auto"/>
                  <w:vAlign w:val="center"/>
                </w:tcPr>
                <w:p w14:paraId="623247FC">
                  <w:pPr>
                    <w:pStyle w:val="106"/>
                    <w:bidi w:val="0"/>
                    <w:rPr>
                      <w:rFonts w:hint="default"/>
                      <w:lang w:val="en-US" w:eastAsia="zh-CN"/>
                    </w:rPr>
                  </w:pPr>
                  <w:r>
                    <w:rPr>
                      <w:rFonts w:hint="default"/>
                      <w:lang w:val="en-US" w:eastAsia="zh-CN"/>
                    </w:rPr>
                    <w:t>1400</w:t>
                  </w:r>
                </w:p>
              </w:tc>
            </w:tr>
            <w:tr w14:paraId="4B214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1F25FD0D">
                  <w:pPr>
                    <w:pStyle w:val="106"/>
                    <w:bidi w:val="0"/>
                    <w:rPr>
                      <w:rFonts w:hint="default"/>
                      <w:lang w:val="en-US" w:eastAsia="zh-CN"/>
                    </w:rPr>
                  </w:pPr>
                </w:p>
              </w:tc>
              <w:tc>
                <w:tcPr>
                  <w:tcW w:w="1519" w:type="dxa"/>
                  <w:tcBorders>
                    <w:tl2br w:val="nil"/>
                    <w:tr2bl w:val="nil"/>
                  </w:tcBorders>
                  <w:shd w:val="clear" w:color="auto" w:fill="auto"/>
                  <w:vAlign w:val="center"/>
                </w:tcPr>
                <w:p w14:paraId="2FE7303A">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上海青</w:t>
                  </w:r>
                </w:p>
              </w:tc>
              <w:tc>
                <w:tcPr>
                  <w:tcW w:w="2033" w:type="dxa"/>
                  <w:tcBorders>
                    <w:tl2br w:val="nil"/>
                    <w:tr2bl w:val="nil"/>
                  </w:tcBorders>
                  <w:shd w:val="clear" w:color="auto" w:fill="auto"/>
                  <w:vAlign w:val="center"/>
                </w:tcPr>
                <w:p w14:paraId="5FCCEC68">
                  <w:pPr>
                    <w:pStyle w:val="106"/>
                    <w:bidi w:val="0"/>
                    <w:rPr>
                      <w:rFonts w:hint="default"/>
                      <w:lang w:val="en-US" w:eastAsia="zh-CN"/>
                    </w:rPr>
                  </w:pPr>
                  <w:r>
                    <w:rPr>
                      <w:rFonts w:hint="default"/>
                      <w:lang w:val="en-US" w:eastAsia="zh-CN"/>
                    </w:rPr>
                    <w:t>20000</w:t>
                  </w:r>
                </w:p>
              </w:tc>
              <w:tc>
                <w:tcPr>
                  <w:tcW w:w="2957" w:type="dxa"/>
                  <w:gridSpan w:val="2"/>
                  <w:tcBorders>
                    <w:tl2br w:val="nil"/>
                    <w:tr2bl w:val="nil"/>
                  </w:tcBorders>
                  <w:shd w:val="clear" w:color="auto" w:fill="auto"/>
                  <w:vAlign w:val="center"/>
                </w:tcPr>
                <w:p w14:paraId="48D9629B">
                  <w:pPr>
                    <w:pStyle w:val="106"/>
                    <w:bidi w:val="0"/>
                    <w:rPr>
                      <w:rFonts w:hint="default"/>
                      <w:lang w:val="en-US" w:eastAsia="zh-CN"/>
                    </w:rPr>
                  </w:pPr>
                  <w:r>
                    <w:rPr>
                      <w:rFonts w:hint="eastAsia"/>
                      <w:lang w:val="en-US" w:eastAsia="zh-CN"/>
                    </w:rPr>
                    <w:t>冻干上海青</w:t>
                  </w:r>
                </w:p>
              </w:tc>
              <w:tc>
                <w:tcPr>
                  <w:tcW w:w="1838" w:type="dxa"/>
                  <w:tcBorders>
                    <w:tl2br w:val="nil"/>
                    <w:tr2bl w:val="nil"/>
                  </w:tcBorders>
                  <w:shd w:val="clear" w:color="auto" w:fill="auto"/>
                  <w:vAlign w:val="center"/>
                </w:tcPr>
                <w:p w14:paraId="097BB6FF">
                  <w:pPr>
                    <w:pStyle w:val="106"/>
                    <w:bidi w:val="0"/>
                    <w:rPr>
                      <w:rFonts w:hint="default"/>
                      <w:lang w:val="en-US" w:eastAsia="zh-CN"/>
                    </w:rPr>
                  </w:pPr>
                  <w:r>
                    <w:rPr>
                      <w:rFonts w:hint="default"/>
                      <w:lang w:val="en-US" w:eastAsia="zh-CN"/>
                    </w:rPr>
                    <w:t>4000</w:t>
                  </w:r>
                </w:p>
              </w:tc>
            </w:tr>
            <w:tr w14:paraId="49D2A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01EEA901">
                  <w:pPr>
                    <w:pStyle w:val="106"/>
                    <w:bidi w:val="0"/>
                    <w:rPr>
                      <w:rFonts w:hint="default"/>
                      <w:lang w:val="en-US" w:eastAsia="zh-CN"/>
                    </w:rPr>
                  </w:pPr>
                </w:p>
              </w:tc>
              <w:tc>
                <w:tcPr>
                  <w:tcW w:w="1519" w:type="dxa"/>
                  <w:tcBorders>
                    <w:tl2br w:val="nil"/>
                    <w:tr2bl w:val="nil"/>
                  </w:tcBorders>
                  <w:shd w:val="clear" w:color="auto" w:fill="auto"/>
                  <w:vAlign w:val="center"/>
                </w:tcPr>
                <w:p w14:paraId="36C30E0E">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韭菜</w:t>
                  </w:r>
                </w:p>
              </w:tc>
              <w:tc>
                <w:tcPr>
                  <w:tcW w:w="2033" w:type="dxa"/>
                  <w:tcBorders>
                    <w:tl2br w:val="nil"/>
                    <w:tr2bl w:val="nil"/>
                  </w:tcBorders>
                  <w:shd w:val="clear" w:color="auto" w:fill="auto"/>
                  <w:vAlign w:val="center"/>
                </w:tcPr>
                <w:p w14:paraId="3029E115">
                  <w:pPr>
                    <w:pStyle w:val="106"/>
                    <w:bidi w:val="0"/>
                    <w:rPr>
                      <w:rFonts w:hint="default"/>
                      <w:lang w:val="en-US" w:eastAsia="zh-CN"/>
                    </w:rPr>
                  </w:pPr>
                  <w:r>
                    <w:rPr>
                      <w:rFonts w:hint="default"/>
                      <w:lang w:val="en-US" w:eastAsia="zh-CN"/>
                    </w:rPr>
                    <w:t>20000</w:t>
                  </w:r>
                </w:p>
              </w:tc>
              <w:tc>
                <w:tcPr>
                  <w:tcW w:w="2957" w:type="dxa"/>
                  <w:gridSpan w:val="2"/>
                  <w:tcBorders>
                    <w:tl2br w:val="nil"/>
                    <w:tr2bl w:val="nil"/>
                  </w:tcBorders>
                  <w:shd w:val="clear" w:color="auto" w:fill="auto"/>
                  <w:vAlign w:val="center"/>
                </w:tcPr>
                <w:p w14:paraId="53DE564B">
                  <w:pPr>
                    <w:pStyle w:val="106"/>
                    <w:bidi w:val="0"/>
                    <w:rPr>
                      <w:rFonts w:hint="default"/>
                      <w:lang w:val="en-US" w:eastAsia="zh-CN"/>
                    </w:rPr>
                  </w:pPr>
                  <w:r>
                    <w:rPr>
                      <w:rFonts w:hint="eastAsia"/>
                      <w:lang w:val="en-US" w:eastAsia="zh-CN"/>
                    </w:rPr>
                    <w:t>冻干红薯</w:t>
                  </w:r>
                </w:p>
              </w:tc>
              <w:tc>
                <w:tcPr>
                  <w:tcW w:w="1838" w:type="dxa"/>
                  <w:tcBorders>
                    <w:tl2br w:val="nil"/>
                    <w:tr2bl w:val="nil"/>
                  </w:tcBorders>
                  <w:shd w:val="clear" w:color="auto" w:fill="auto"/>
                  <w:vAlign w:val="center"/>
                </w:tcPr>
                <w:p w14:paraId="79629A28">
                  <w:pPr>
                    <w:pStyle w:val="106"/>
                    <w:bidi w:val="0"/>
                    <w:rPr>
                      <w:rFonts w:hint="default"/>
                      <w:lang w:val="en-US" w:eastAsia="zh-CN"/>
                    </w:rPr>
                  </w:pPr>
                  <w:r>
                    <w:rPr>
                      <w:rFonts w:hint="default"/>
                      <w:lang w:val="en-US" w:eastAsia="zh-CN"/>
                    </w:rPr>
                    <w:t>4000</w:t>
                  </w:r>
                </w:p>
              </w:tc>
            </w:tr>
            <w:tr w14:paraId="3E3AD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6A27A944">
                  <w:pPr>
                    <w:pStyle w:val="106"/>
                    <w:bidi w:val="0"/>
                    <w:rPr>
                      <w:rFonts w:hint="default"/>
                      <w:lang w:val="en-US" w:eastAsia="zh-CN"/>
                    </w:rPr>
                  </w:pPr>
                </w:p>
              </w:tc>
              <w:tc>
                <w:tcPr>
                  <w:tcW w:w="1519" w:type="dxa"/>
                  <w:tcBorders>
                    <w:tl2br w:val="nil"/>
                    <w:tr2bl w:val="nil"/>
                  </w:tcBorders>
                  <w:shd w:val="clear" w:color="auto" w:fill="auto"/>
                  <w:vAlign w:val="center"/>
                </w:tcPr>
                <w:p w14:paraId="3F9CCFB8">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红薯</w:t>
                  </w:r>
                </w:p>
              </w:tc>
              <w:tc>
                <w:tcPr>
                  <w:tcW w:w="2033" w:type="dxa"/>
                  <w:tcBorders>
                    <w:tl2br w:val="nil"/>
                    <w:tr2bl w:val="nil"/>
                  </w:tcBorders>
                  <w:shd w:val="clear" w:color="auto" w:fill="auto"/>
                  <w:vAlign w:val="center"/>
                </w:tcPr>
                <w:p w14:paraId="5AFDA9AC">
                  <w:pPr>
                    <w:pStyle w:val="106"/>
                    <w:bidi w:val="0"/>
                    <w:rPr>
                      <w:rFonts w:hint="default"/>
                      <w:lang w:val="en-US" w:eastAsia="zh-CN"/>
                    </w:rPr>
                  </w:pPr>
                  <w:r>
                    <w:rPr>
                      <w:rFonts w:hint="default"/>
                      <w:lang w:val="en-US" w:eastAsia="zh-CN"/>
                    </w:rPr>
                    <w:t>10000</w:t>
                  </w:r>
                </w:p>
              </w:tc>
              <w:tc>
                <w:tcPr>
                  <w:tcW w:w="2957" w:type="dxa"/>
                  <w:gridSpan w:val="2"/>
                  <w:tcBorders>
                    <w:tl2br w:val="nil"/>
                    <w:tr2bl w:val="nil"/>
                  </w:tcBorders>
                  <w:shd w:val="clear" w:color="auto" w:fill="auto"/>
                  <w:vAlign w:val="center"/>
                </w:tcPr>
                <w:p w14:paraId="2A279A47">
                  <w:pPr>
                    <w:pStyle w:val="106"/>
                    <w:bidi w:val="0"/>
                    <w:rPr>
                      <w:rFonts w:hint="default"/>
                      <w:lang w:val="en-US" w:eastAsia="zh-CN"/>
                    </w:rPr>
                  </w:pPr>
                  <w:r>
                    <w:rPr>
                      <w:rFonts w:hint="eastAsia"/>
                      <w:lang w:val="en-US" w:eastAsia="zh-CN"/>
                    </w:rPr>
                    <w:t>冻干韭菜</w:t>
                  </w:r>
                </w:p>
              </w:tc>
              <w:tc>
                <w:tcPr>
                  <w:tcW w:w="1838" w:type="dxa"/>
                  <w:tcBorders>
                    <w:tl2br w:val="nil"/>
                    <w:tr2bl w:val="nil"/>
                  </w:tcBorders>
                  <w:shd w:val="clear" w:color="auto" w:fill="auto"/>
                  <w:vAlign w:val="center"/>
                </w:tcPr>
                <w:p w14:paraId="68A7F699">
                  <w:pPr>
                    <w:pStyle w:val="106"/>
                    <w:bidi w:val="0"/>
                    <w:rPr>
                      <w:rFonts w:hint="default"/>
                      <w:lang w:val="en-US" w:eastAsia="zh-CN"/>
                    </w:rPr>
                  </w:pPr>
                  <w:r>
                    <w:rPr>
                      <w:rFonts w:hint="default"/>
                      <w:lang w:val="en-US" w:eastAsia="zh-CN"/>
                    </w:rPr>
                    <w:t>4000</w:t>
                  </w:r>
                </w:p>
              </w:tc>
            </w:tr>
            <w:tr w14:paraId="5E9EF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4D127F25">
                  <w:pPr>
                    <w:pStyle w:val="106"/>
                    <w:bidi w:val="0"/>
                    <w:rPr>
                      <w:rFonts w:hint="eastAsia"/>
                      <w:lang w:val="en-US" w:eastAsia="zh-CN"/>
                    </w:rPr>
                  </w:pPr>
                </w:p>
              </w:tc>
              <w:tc>
                <w:tcPr>
                  <w:tcW w:w="1519" w:type="dxa"/>
                  <w:tcBorders>
                    <w:tl2br w:val="nil"/>
                    <w:tr2bl w:val="nil"/>
                  </w:tcBorders>
                  <w:shd w:val="clear" w:color="auto" w:fill="auto"/>
                  <w:vAlign w:val="center"/>
                </w:tcPr>
                <w:p w14:paraId="08DFA536">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火龙果</w:t>
                  </w:r>
                </w:p>
              </w:tc>
              <w:tc>
                <w:tcPr>
                  <w:tcW w:w="2033" w:type="dxa"/>
                  <w:tcBorders>
                    <w:tl2br w:val="nil"/>
                    <w:tr2bl w:val="nil"/>
                  </w:tcBorders>
                  <w:shd w:val="clear" w:color="auto" w:fill="auto"/>
                  <w:vAlign w:val="center"/>
                </w:tcPr>
                <w:p w14:paraId="268A9041">
                  <w:pPr>
                    <w:pStyle w:val="106"/>
                    <w:bidi w:val="0"/>
                    <w:rPr>
                      <w:rFonts w:hint="eastAsia"/>
                      <w:lang w:val="en-US" w:eastAsia="zh-CN"/>
                    </w:rPr>
                  </w:pPr>
                  <w:r>
                    <w:rPr>
                      <w:rFonts w:hint="default"/>
                      <w:lang w:val="en-US" w:eastAsia="zh-CN"/>
                    </w:rPr>
                    <w:t>2000</w:t>
                  </w:r>
                </w:p>
              </w:tc>
              <w:tc>
                <w:tcPr>
                  <w:tcW w:w="2957" w:type="dxa"/>
                  <w:gridSpan w:val="2"/>
                  <w:tcBorders>
                    <w:tl2br w:val="nil"/>
                    <w:tr2bl w:val="nil"/>
                  </w:tcBorders>
                  <w:shd w:val="clear" w:color="auto" w:fill="auto"/>
                  <w:vAlign w:val="center"/>
                </w:tcPr>
                <w:p w14:paraId="0CFF2EEA">
                  <w:pPr>
                    <w:pStyle w:val="106"/>
                    <w:bidi w:val="0"/>
                    <w:rPr>
                      <w:rFonts w:hint="default"/>
                      <w:lang w:val="en-US" w:eastAsia="zh-CN"/>
                    </w:rPr>
                  </w:pPr>
                  <w:r>
                    <w:rPr>
                      <w:rFonts w:hint="eastAsia"/>
                      <w:lang w:val="en-US" w:eastAsia="zh-CN"/>
                    </w:rPr>
                    <w:t>冻干火龙果</w:t>
                  </w:r>
                </w:p>
              </w:tc>
              <w:tc>
                <w:tcPr>
                  <w:tcW w:w="1838" w:type="dxa"/>
                  <w:tcBorders>
                    <w:tl2br w:val="nil"/>
                    <w:tr2bl w:val="nil"/>
                  </w:tcBorders>
                  <w:shd w:val="clear" w:color="auto" w:fill="auto"/>
                  <w:vAlign w:val="center"/>
                </w:tcPr>
                <w:p w14:paraId="15DFF96E">
                  <w:pPr>
                    <w:pStyle w:val="106"/>
                    <w:bidi w:val="0"/>
                    <w:rPr>
                      <w:rFonts w:hint="default"/>
                      <w:lang w:val="en-US" w:eastAsia="zh-CN"/>
                    </w:rPr>
                  </w:pPr>
                  <w:r>
                    <w:rPr>
                      <w:rFonts w:hint="default"/>
                      <w:lang w:val="en-US" w:eastAsia="zh-CN"/>
                    </w:rPr>
                    <w:t>500</w:t>
                  </w:r>
                </w:p>
              </w:tc>
            </w:tr>
            <w:tr w14:paraId="36BB4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5785C6B7">
                  <w:pPr>
                    <w:pStyle w:val="106"/>
                    <w:bidi w:val="0"/>
                    <w:ind w:firstLine="0" w:firstLineChars="0"/>
                    <w:rPr>
                      <w:rFonts w:hint="eastAsia"/>
                      <w:lang w:val="en-US" w:eastAsia="zh-CN"/>
                    </w:rPr>
                  </w:pPr>
                </w:p>
              </w:tc>
              <w:tc>
                <w:tcPr>
                  <w:tcW w:w="1519" w:type="dxa"/>
                  <w:tcBorders>
                    <w:tl2br w:val="nil"/>
                    <w:tr2bl w:val="nil"/>
                  </w:tcBorders>
                  <w:shd w:val="clear" w:color="auto" w:fill="auto"/>
                  <w:vAlign w:val="center"/>
                </w:tcPr>
                <w:p w14:paraId="28C4336C">
                  <w:pPr>
                    <w:pStyle w:val="106"/>
                    <w:bidi w:val="0"/>
                    <w:ind w:firstLine="0" w:firstLineChars="0"/>
                    <w:rPr>
                      <w:rFonts w:hint="eastAsia"/>
                      <w:lang w:val="en-US" w:eastAsia="zh-CN"/>
                    </w:rPr>
                  </w:pPr>
                </w:p>
              </w:tc>
              <w:tc>
                <w:tcPr>
                  <w:tcW w:w="2033" w:type="dxa"/>
                  <w:tcBorders>
                    <w:tl2br w:val="nil"/>
                    <w:tr2bl w:val="nil"/>
                  </w:tcBorders>
                  <w:shd w:val="clear" w:color="auto" w:fill="auto"/>
                  <w:vAlign w:val="center"/>
                </w:tcPr>
                <w:p w14:paraId="4485BCEB">
                  <w:pPr>
                    <w:pStyle w:val="106"/>
                    <w:bidi w:val="0"/>
                    <w:rPr>
                      <w:rFonts w:hint="default"/>
                      <w:lang w:val="en-US" w:eastAsia="zh-CN"/>
                    </w:rPr>
                  </w:pPr>
                </w:p>
              </w:tc>
              <w:tc>
                <w:tcPr>
                  <w:tcW w:w="2957" w:type="dxa"/>
                  <w:gridSpan w:val="2"/>
                  <w:tcBorders>
                    <w:tl2br w:val="nil"/>
                    <w:tr2bl w:val="nil"/>
                  </w:tcBorders>
                  <w:shd w:val="clear" w:color="auto" w:fill="auto"/>
                  <w:vAlign w:val="center"/>
                </w:tcPr>
                <w:p w14:paraId="4BB43449">
                  <w:pPr>
                    <w:widowControl w:val="0"/>
                    <w:bidi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原辅料挥发的水分</w:t>
                  </w:r>
                </w:p>
              </w:tc>
              <w:tc>
                <w:tcPr>
                  <w:tcW w:w="1838" w:type="dxa"/>
                  <w:tcBorders>
                    <w:tl2br w:val="nil"/>
                    <w:tr2bl w:val="nil"/>
                  </w:tcBorders>
                  <w:shd w:val="clear" w:color="auto" w:fill="auto"/>
                  <w:vAlign w:val="center"/>
                </w:tcPr>
                <w:p w14:paraId="373DC744">
                  <w:pPr>
                    <w:pStyle w:val="106"/>
                    <w:bidi w:val="0"/>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41784</w:t>
                  </w:r>
                </w:p>
              </w:tc>
            </w:tr>
            <w:tr w14:paraId="5D3E4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7A5D838A">
                  <w:pPr>
                    <w:pStyle w:val="106"/>
                    <w:bidi w:val="0"/>
                    <w:ind w:firstLine="0" w:firstLineChars="0"/>
                    <w:rPr>
                      <w:rFonts w:hint="eastAsia"/>
                      <w:lang w:val="en-US" w:eastAsia="zh-CN"/>
                    </w:rPr>
                  </w:pPr>
                </w:p>
              </w:tc>
              <w:tc>
                <w:tcPr>
                  <w:tcW w:w="1519" w:type="dxa"/>
                  <w:tcBorders>
                    <w:tl2br w:val="nil"/>
                    <w:tr2bl w:val="nil"/>
                  </w:tcBorders>
                  <w:shd w:val="clear" w:color="auto" w:fill="auto"/>
                  <w:vAlign w:val="center"/>
                </w:tcPr>
                <w:p w14:paraId="4925E058">
                  <w:pPr>
                    <w:pStyle w:val="106"/>
                    <w:bidi w:val="0"/>
                    <w:ind w:firstLine="0" w:firstLineChars="0"/>
                    <w:rPr>
                      <w:rFonts w:hint="eastAsia"/>
                      <w:lang w:val="en-US" w:eastAsia="zh-CN"/>
                    </w:rPr>
                  </w:pPr>
                </w:p>
              </w:tc>
              <w:tc>
                <w:tcPr>
                  <w:tcW w:w="2033" w:type="dxa"/>
                  <w:tcBorders>
                    <w:tl2br w:val="nil"/>
                    <w:tr2bl w:val="nil"/>
                  </w:tcBorders>
                  <w:shd w:val="clear" w:color="auto" w:fill="auto"/>
                  <w:vAlign w:val="center"/>
                </w:tcPr>
                <w:p w14:paraId="01B0D772">
                  <w:pPr>
                    <w:pStyle w:val="106"/>
                    <w:bidi w:val="0"/>
                    <w:rPr>
                      <w:rFonts w:hint="default"/>
                      <w:lang w:val="en-US" w:eastAsia="zh-CN"/>
                    </w:rPr>
                  </w:pPr>
                </w:p>
              </w:tc>
              <w:tc>
                <w:tcPr>
                  <w:tcW w:w="1075" w:type="dxa"/>
                  <w:vMerge w:val="restart"/>
                  <w:tcBorders>
                    <w:tl2br w:val="nil"/>
                    <w:tr2bl w:val="nil"/>
                  </w:tcBorders>
                  <w:shd w:val="clear" w:color="auto" w:fill="auto"/>
                  <w:vAlign w:val="center"/>
                </w:tcPr>
                <w:p w14:paraId="702F788E">
                  <w:pPr>
                    <w:pStyle w:val="106"/>
                    <w:bidi w:val="0"/>
                    <w:ind w:firstLine="0" w:firstLineChars="0"/>
                    <w:rPr>
                      <w:rFonts w:hint="default"/>
                      <w:color w:val="auto"/>
                      <w:lang w:val="en-US" w:eastAsia="zh-CN"/>
                    </w:rPr>
                  </w:pPr>
                  <w:r>
                    <w:rPr>
                      <w:rFonts w:hint="eastAsia"/>
                      <w:color w:val="auto"/>
                      <w:lang w:val="en-US" w:eastAsia="zh-CN"/>
                    </w:rPr>
                    <w:t>固废</w:t>
                  </w:r>
                </w:p>
              </w:tc>
              <w:tc>
                <w:tcPr>
                  <w:tcW w:w="1882" w:type="dxa"/>
                  <w:tcBorders>
                    <w:tl2br w:val="nil"/>
                    <w:tr2bl w:val="nil"/>
                  </w:tcBorders>
                  <w:shd w:val="clear" w:color="auto" w:fill="auto"/>
                  <w:vAlign w:val="center"/>
                </w:tcPr>
                <w:p w14:paraId="67DF13E8">
                  <w:pPr>
                    <w:pStyle w:val="106"/>
                    <w:bidi w:val="0"/>
                    <w:ind w:firstLine="0" w:firstLineChars="0"/>
                    <w:rPr>
                      <w:rFonts w:hint="eastAsia"/>
                      <w:color w:val="auto"/>
                      <w:lang w:val="en-US" w:eastAsia="zh-CN"/>
                    </w:rPr>
                  </w:pPr>
                  <w:r>
                    <w:rPr>
                      <w:rFonts w:hint="eastAsia"/>
                      <w:color w:val="auto"/>
                      <w:lang w:val="en-US" w:eastAsia="zh-CN"/>
                    </w:rPr>
                    <w:t>不合格原料</w:t>
                  </w:r>
                </w:p>
              </w:tc>
              <w:tc>
                <w:tcPr>
                  <w:tcW w:w="1838" w:type="dxa"/>
                  <w:tcBorders>
                    <w:tl2br w:val="nil"/>
                    <w:tr2bl w:val="nil"/>
                  </w:tcBorders>
                  <w:shd w:val="clear" w:color="auto" w:fill="auto"/>
                  <w:vAlign w:val="center"/>
                </w:tcPr>
                <w:p w14:paraId="1E81ADAC">
                  <w:pPr>
                    <w:pStyle w:val="106"/>
                    <w:bidi w:val="0"/>
                    <w:ind w:firstLine="0" w:firstLineChars="0"/>
                    <w:rPr>
                      <w:rFonts w:hint="default"/>
                      <w:color w:val="auto"/>
                      <w:lang w:val="en-US" w:eastAsia="zh-CN"/>
                    </w:rPr>
                  </w:pPr>
                  <w:r>
                    <w:rPr>
                      <w:rFonts w:hint="eastAsia"/>
                      <w:color w:val="auto"/>
                      <w:lang w:val="en-US" w:eastAsia="zh-CN"/>
                    </w:rPr>
                    <w:t>58</w:t>
                  </w:r>
                </w:p>
              </w:tc>
            </w:tr>
            <w:tr w14:paraId="38F11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5584843D">
                  <w:pPr>
                    <w:pStyle w:val="106"/>
                    <w:bidi w:val="0"/>
                    <w:ind w:firstLine="0" w:firstLineChars="0"/>
                    <w:rPr>
                      <w:rFonts w:hint="eastAsia"/>
                      <w:lang w:val="en-US" w:eastAsia="zh-CN"/>
                    </w:rPr>
                  </w:pPr>
                </w:p>
              </w:tc>
              <w:tc>
                <w:tcPr>
                  <w:tcW w:w="1519" w:type="dxa"/>
                  <w:tcBorders>
                    <w:tl2br w:val="nil"/>
                    <w:tr2bl w:val="nil"/>
                  </w:tcBorders>
                  <w:shd w:val="clear" w:color="auto" w:fill="auto"/>
                  <w:vAlign w:val="center"/>
                </w:tcPr>
                <w:p w14:paraId="771887FF">
                  <w:pPr>
                    <w:pStyle w:val="106"/>
                    <w:bidi w:val="0"/>
                    <w:ind w:firstLine="0" w:firstLineChars="0"/>
                    <w:rPr>
                      <w:rFonts w:hint="eastAsia"/>
                      <w:lang w:val="en-US" w:eastAsia="zh-CN"/>
                    </w:rPr>
                  </w:pPr>
                </w:p>
              </w:tc>
              <w:tc>
                <w:tcPr>
                  <w:tcW w:w="2033" w:type="dxa"/>
                  <w:tcBorders>
                    <w:tl2br w:val="nil"/>
                    <w:tr2bl w:val="nil"/>
                  </w:tcBorders>
                  <w:shd w:val="clear" w:color="auto" w:fill="auto"/>
                  <w:vAlign w:val="center"/>
                </w:tcPr>
                <w:p w14:paraId="702C7DC6">
                  <w:pPr>
                    <w:pStyle w:val="106"/>
                    <w:bidi w:val="0"/>
                    <w:rPr>
                      <w:rFonts w:hint="default"/>
                      <w:lang w:val="en-US" w:eastAsia="zh-CN"/>
                    </w:rPr>
                  </w:pPr>
                </w:p>
              </w:tc>
              <w:tc>
                <w:tcPr>
                  <w:tcW w:w="1075" w:type="dxa"/>
                  <w:vMerge w:val="continue"/>
                  <w:tcBorders>
                    <w:tl2br w:val="nil"/>
                    <w:tr2bl w:val="nil"/>
                  </w:tcBorders>
                  <w:shd w:val="clear" w:color="auto" w:fill="auto"/>
                  <w:vAlign w:val="center"/>
                </w:tcPr>
                <w:p w14:paraId="55921854">
                  <w:pPr>
                    <w:pStyle w:val="106"/>
                    <w:bidi w:val="0"/>
                    <w:ind w:firstLine="0" w:firstLineChars="0"/>
                    <w:rPr>
                      <w:rFonts w:hint="eastAsia"/>
                      <w:color w:val="auto"/>
                      <w:lang w:val="en-US" w:eastAsia="zh-CN"/>
                    </w:rPr>
                  </w:pPr>
                </w:p>
              </w:tc>
              <w:tc>
                <w:tcPr>
                  <w:tcW w:w="1882" w:type="dxa"/>
                  <w:tcBorders>
                    <w:tl2br w:val="nil"/>
                    <w:tr2bl w:val="nil"/>
                  </w:tcBorders>
                  <w:shd w:val="clear" w:color="auto" w:fill="auto"/>
                  <w:vAlign w:val="center"/>
                </w:tcPr>
                <w:p w14:paraId="4A1F6BC8">
                  <w:pPr>
                    <w:pStyle w:val="106"/>
                    <w:bidi w:val="0"/>
                    <w:ind w:firstLine="0" w:firstLineChars="0"/>
                    <w:rPr>
                      <w:rFonts w:hint="eastAsia"/>
                      <w:color w:val="auto"/>
                      <w:lang w:val="en-US" w:eastAsia="zh-CN"/>
                    </w:rPr>
                  </w:pPr>
                  <w:r>
                    <w:rPr>
                      <w:rFonts w:hint="eastAsia"/>
                      <w:color w:val="auto"/>
                      <w:lang w:val="en-US" w:eastAsia="zh-CN"/>
                    </w:rPr>
                    <w:t>原料皮核</w:t>
                  </w:r>
                </w:p>
              </w:tc>
              <w:tc>
                <w:tcPr>
                  <w:tcW w:w="1838" w:type="dxa"/>
                  <w:tcBorders>
                    <w:tl2br w:val="nil"/>
                    <w:tr2bl w:val="nil"/>
                  </w:tcBorders>
                  <w:shd w:val="clear" w:color="auto" w:fill="auto"/>
                  <w:vAlign w:val="center"/>
                </w:tcPr>
                <w:p w14:paraId="14CA7969">
                  <w:pPr>
                    <w:pStyle w:val="106"/>
                    <w:bidi w:val="0"/>
                    <w:ind w:firstLine="0" w:firstLineChars="0"/>
                    <w:rPr>
                      <w:rFonts w:hint="default"/>
                      <w:color w:val="auto"/>
                      <w:lang w:val="en-US" w:eastAsia="zh-CN"/>
                    </w:rPr>
                  </w:pPr>
                  <w:r>
                    <w:rPr>
                      <w:rFonts w:hint="eastAsia"/>
                      <w:color w:val="auto"/>
                      <w:lang w:val="en-US" w:eastAsia="zh-CN"/>
                    </w:rPr>
                    <w:t>2900</w:t>
                  </w:r>
                </w:p>
              </w:tc>
            </w:tr>
            <w:tr w14:paraId="27763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7975CBFA">
                  <w:pPr>
                    <w:pStyle w:val="106"/>
                    <w:bidi w:val="0"/>
                    <w:ind w:firstLine="0" w:firstLineChars="0"/>
                    <w:rPr>
                      <w:rFonts w:hint="eastAsia"/>
                      <w:lang w:val="en-US" w:eastAsia="zh-CN"/>
                    </w:rPr>
                  </w:pPr>
                </w:p>
              </w:tc>
              <w:tc>
                <w:tcPr>
                  <w:tcW w:w="1519" w:type="dxa"/>
                  <w:tcBorders>
                    <w:tl2br w:val="nil"/>
                    <w:tr2bl w:val="nil"/>
                  </w:tcBorders>
                  <w:shd w:val="clear" w:color="auto" w:fill="auto"/>
                  <w:vAlign w:val="center"/>
                </w:tcPr>
                <w:p w14:paraId="310E531A">
                  <w:pPr>
                    <w:pStyle w:val="106"/>
                    <w:bidi w:val="0"/>
                    <w:ind w:firstLine="0" w:firstLineChars="0"/>
                    <w:rPr>
                      <w:rFonts w:hint="eastAsia"/>
                      <w:lang w:val="en-US" w:eastAsia="zh-CN"/>
                    </w:rPr>
                  </w:pPr>
                </w:p>
              </w:tc>
              <w:tc>
                <w:tcPr>
                  <w:tcW w:w="2033" w:type="dxa"/>
                  <w:tcBorders>
                    <w:tl2br w:val="nil"/>
                    <w:tr2bl w:val="nil"/>
                  </w:tcBorders>
                  <w:shd w:val="clear" w:color="auto" w:fill="auto"/>
                  <w:vAlign w:val="center"/>
                </w:tcPr>
                <w:p w14:paraId="6555DCA8">
                  <w:pPr>
                    <w:pStyle w:val="106"/>
                    <w:bidi w:val="0"/>
                    <w:rPr>
                      <w:rFonts w:hint="default"/>
                      <w:lang w:val="en-US" w:eastAsia="zh-CN"/>
                    </w:rPr>
                  </w:pPr>
                </w:p>
              </w:tc>
              <w:tc>
                <w:tcPr>
                  <w:tcW w:w="1075" w:type="dxa"/>
                  <w:vMerge w:val="continue"/>
                  <w:tcBorders>
                    <w:tl2br w:val="nil"/>
                    <w:tr2bl w:val="nil"/>
                  </w:tcBorders>
                  <w:shd w:val="clear" w:color="auto" w:fill="auto"/>
                  <w:vAlign w:val="center"/>
                </w:tcPr>
                <w:p w14:paraId="5ED6E854">
                  <w:pPr>
                    <w:widowControl w:val="0"/>
                    <w:bidi w:val="0"/>
                    <w:spacing w:line="240" w:lineRule="auto"/>
                    <w:ind w:firstLine="0" w:firstLineChars="0"/>
                    <w:jc w:val="center"/>
                    <w:rPr>
                      <w:rFonts w:hint="eastAsia" w:cs="Times New Roman"/>
                      <w:color w:val="auto"/>
                      <w:kern w:val="2"/>
                      <w:sz w:val="21"/>
                      <w:szCs w:val="24"/>
                      <w:highlight w:val="none"/>
                      <w:lang w:val="en-US" w:eastAsia="zh-CN" w:bidi="ar-SA"/>
                    </w:rPr>
                  </w:pPr>
                </w:p>
              </w:tc>
              <w:tc>
                <w:tcPr>
                  <w:tcW w:w="1882" w:type="dxa"/>
                  <w:tcBorders>
                    <w:tl2br w:val="nil"/>
                    <w:tr2bl w:val="nil"/>
                  </w:tcBorders>
                  <w:shd w:val="clear" w:color="auto" w:fill="auto"/>
                  <w:vAlign w:val="center"/>
                </w:tcPr>
                <w:p w14:paraId="6774F8ED">
                  <w:pPr>
                    <w:pStyle w:val="10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不合格品</w:t>
                  </w:r>
                </w:p>
              </w:tc>
              <w:tc>
                <w:tcPr>
                  <w:tcW w:w="1838" w:type="dxa"/>
                  <w:tcBorders>
                    <w:tl2br w:val="nil"/>
                    <w:tr2bl w:val="nil"/>
                  </w:tcBorders>
                  <w:shd w:val="clear" w:color="auto" w:fill="auto"/>
                  <w:vAlign w:val="center"/>
                </w:tcPr>
                <w:p w14:paraId="066002CC">
                  <w:pPr>
                    <w:pStyle w:val="106"/>
                    <w:bidi w:val="0"/>
                    <w:ind w:firstLine="0" w:firstLineChars="0"/>
                    <w:rPr>
                      <w:rFonts w:hint="default"/>
                      <w:color w:val="auto"/>
                      <w:lang w:val="en-US" w:eastAsia="zh-CN"/>
                    </w:rPr>
                  </w:pPr>
                  <w:r>
                    <w:rPr>
                      <w:rFonts w:hint="eastAsia"/>
                      <w:color w:val="auto"/>
                      <w:lang w:val="en-US" w:eastAsia="zh-CN"/>
                    </w:rPr>
                    <w:t>13.9</w:t>
                  </w:r>
                </w:p>
              </w:tc>
            </w:tr>
            <w:tr w14:paraId="0B45C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7C9FDC57">
                  <w:pPr>
                    <w:pStyle w:val="106"/>
                    <w:bidi w:val="0"/>
                    <w:ind w:firstLine="0" w:firstLineChars="0"/>
                    <w:rPr>
                      <w:rFonts w:hint="eastAsia"/>
                      <w:lang w:val="en-US" w:eastAsia="zh-CN"/>
                    </w:rPr>
                  </w:pPr>
                </w:p>
              </w:tc>
              <w:tc>
                <w:tcPr>
                  <w:tcW w:w="1519" w:type="dxa"/>
                  <w:tcBorders>
                    <w:tl2br w:val="nil"/>
                    <w:tr2bl w:val="nil"/>
                  </w:tcBorders>
                  <w:shd w:val="clear" w:color="auto" w:fill="auto"/>
                  <w:vAlign w:val="center"/>
                </w:tcPr>
                <w:p w14:paraId="4720261A">
                  <w:pPr>
                    <w:pStyle w:val="106"/>
                    <w:bidi w:val="0"/>
                    <w:ind w:firstLine="0" w:firstLineChars="0"/>
                    <w:rPr>
                      <w:rFonts w:hint="eastAsia"/>
                      <w:lang w:val="en-US" w:eastAsia="zh-CN"/>
                    </w:rPr>
                  </w:pPr>
                </w:p>
              </w:tc>
              <w:tc>
                <w:tcPr>
                  <w:tcW w:w="2033" w:type="dxa"/>
                  <w:tcBorders>
                    <w:tl2br w:val="nil"/>
                    <w:tr2bl w:val="nil"/>
                  </w:tcBorders>
                  <w:shd w:val="clear" w:color="auto" w:fill="auto"/>
                  <w:vAlign w:val="center"/>
                </w:tcPr>
                <w:p w14:paraId="1F46F286">
                  <w:pPr>
                    <w:pStyle w:val="106"/>
                    <w:bidi w:val="0"/>
                    <w:rPr>
                      <w:rFonts w:hint="default"/>
                      <w:lang w:val="en-US" w:eastAsia="zh-CN"/>
                    </w:rPr>
                  </w:pPr>
                </w:p>
              </w:tc>
              <w:tc>
                <w:tcPr>
                  <w:tcW w:w="1075" w:type="dxa"/>
                  <w:vMerge w:val="continue"/>
                  <w:tcBorders>
                    <w:tl2br w:val="nil"/>
                    <w:tr2bl w:val="nil"/>
                  </w:tcBorders>
                  <w:shd w:val="clear" w:color="auto" w:fill="auto"/>
                  <w:vAlign w:val="center"/>
                </w:tcPr>
                <w:p w14:paraId="0651EB38">
                  <w:pPr>
                    <w:widowControl w:val="0"/>
                    <w:bidi w:val="0"/>
                    <w:spacing w:line="240" w:lineRule="auto"/>
                    <w:ind w:firstLine="0" w:firstLineChars="0"/>
                    <w:jc w:val="center"/>
                    <w:rPr>
                      <w:rFonts w:hint="eastAsia" w:cs="Times New Roman"/>
                      <w:color w:val="auto"/>
                      <w:kern w:val="2"/>
                      <w:sz w:val="21"/>
                      <w:szCs w:val="24"/>
                      <w:highlight w:val="none"/>
                      <w:lang w:val="en-US" w:eastAsia="zh-CN" w:bidi="ar-SA"/>
                    </w:rPr>
                  </w:pPr>
                </w:p>
              </w:tc>
              <w:tc>
                <w:tcPr>
                  <w:tcW w:w="1882" w:type="dxa"/>
                  <w:tcBorders>
                    <w:tl2br w:val="nil"/>
                    <w:tr2bl w:val="nil"/>
                  </w:tcBorders>
                  <w:shd w:val="clear" w:color="auto" w:fill="auto"/>
                  <w:vAlign w:val="center"/>
                </w:tcPr>
                <w:p w14:paraId="132709E1">
                  <w:pPr>
                    <w:pStyle w:val="10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杂质</w:t>
                  </w:r>
                </w:p>
              </w:tc>
              <w:tc>
                <w:tcPr>
                  <w:tcW w:w="1838" w:type="dxa"/>
                  <w:tcBorders>
                    <w:tl2br w:val="nil"/>
                    <w:tr2bl w:val="nil"/>
                  </w:tcBorders>
                  <w:shd w:val="clear" w:color="auto" w:fill="auto"/>
                  <w:vAlign w:val="center"/>
                </w:tcPr>
                <w:p w14:paraId="1D4347BC">
                  <w:pPr>
                    <w:pStyle w:val="106"/>
                    <w:bidi w:val="0"/>
                    <w:ind w:firstLine="0" w:firstLineChars="0"/>
                    <w:rPr>
                      <w:rFonts w:hint="default"/>
                      <w:color w:val="auto"/>
                      <w:lang w:val="en-US" w:eastAsia="zh-CN"/>
                    </w:rPr>
                  </w:pPr>
                  <w:r>
                    <w:rPr>
                      <w:rFonts w:hint="eastAsia"/>
                      <w:color w:val="auto"/>
                      <w:lang w:val="en-US" w:eastAsia="zh-CN"/>
                    </w:rPr>
                    <w:t>13.9</w:t>
                  </w:r>
                </w:p>
              </w:tc>
            </w:tr>
            <w:tr w14:paraId="427DC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71" w:type="dxa"/>
                  <w:gridSpan w:val="2"/>
                  <w:tcBorders>
                    <w:tl2br w:val="nil"/>
                    <w:tr2bl w:val="nil"/>
                  </w:tcBorders>
                  <w:shd w:val="clear" w:color="auto" w:fill="auto"/>
                  <w:vAlign w:val="center"/>
                </w:tcPr>
                <w:p w14:paraId="4BEFEA88">
                  <w:pPr>
                    <w:pStyle w:val="106"/>
                    <w:bidi w:val="0"/>
                    <w:ind w:firstLine="0" w:firstLineChars="0"/>
                    <w:rPr>
                      <w:rFonts w:hint="default"/>
                      <w:b/>
                      <w:bCs/>
                      <w:lang w:val="en-US" w:eastAsia="zh-CN"/>
                    </w:rPr>
                  </w:pPr>
                  <w:r>
                    <w:rPr>
                      <w:rFonts w:hint="eastAsia"/>
                      <w:b/>
                      <w:bCs/>
                      <w:lang w:val="en-US" w:eastAsia="zh-CN"/>
                    </w:rPr>
                    <w:t>合计</w:t>
                  </w:r>
                </w:p>
              </w:tc>
              <w:tc>
                <w:tcPr>
                  <w:tcW w:w="2033" w:type="dxa"/>
                  <w:tcBorders>
                    <w:tl2br w:val="nil"/>
                    <w:tr2bl w:val="nil"/>
                  </w:tcBorders>
                  <w:shd w:val="clear" w:color="auto" w:fill="auto"/>
                  <w:vAlign w:val="center"/>
                </w:tcPr>
                <w:p w14:paraId="05C5BE1A">
                  <w:pPr>
                    <w:pStyle w:val="106"/>
                    <w:bidi w:val="0"/>
                    <w:rPr>
                      <w:rFonts w:hint="default"/>
                      <w:b/>
                      <w:bCs/>
                      <w:lang w:val="en-US" w:eastAsia="zh-CN"/>
                    </w:rPr>
                  </w:pPr>
                  <w:r>
                    <w:rPr>
                      <w:rFonts w:hint="eastAsia"/>
                      <w:b/>
                      <w:bCs/>
                      <w:lang w:val="en-US" w:eastAsia="zh-CN"/>
                    </w:rPr>
                    <w:t>58000</w:t>
                  </w:r>
                </w:p>
              </w:tc>
              <w:tc>
                <w:tcPr>
                  <w:tcW w:w="2957" w:type="dxa"/>
                  <w:gridSpan w:val="2"/>
                  <w:tcBorders>
                    <w:tl2br w:val="nil"/>
                    <w:tr2bl w:val="nil"/>
                  </w:tcBorders>
                  <w:shd w:val="clear" w:color="auto" w:fill="auto"/>
                  <w:vAlign w:val="center"/>
                </w:tcPr>
                <w:p w14:paraId="10298A27">
                  <w:pPr>
                    <w:pStyle w:val="106"/>
                    <w:bidi w:val="0"/>
                    <w:ind w:firstLine="0" w:firstLineChars="0"/>
                    <w:rPr>
                      <w:rFonts w:hint="default"/>
                      <w:b/>
                      <w:bCs/>
                      <w:color w:val="auto"/>
                      <w:lang w:val="en-US" w:eastAsia="zh-CN"/>
                    </w:rPr>
                  </w:pPr>
                  <w:r>
                    <w:rPr>
                      <w:rFonts w:hint="eastAsia"/>
                      <w:b/>
                      <w:bCs/>
                      <w:color w:val="auto"/>
                      <w:lang w:val="en-US" w:eastAsia="zh-CN"/>
                    </w:rPr>
                    <w:t>合计</w:t>
                  </w:r>
                </w:p>
              </w:tc>
              <w:tc>
                <w:tcPr>
                  <w:tcW w:w="1838" w:type="dxa"/>
                  <w:tcBorders>
                    <w:tl2br w:val="nil"/>
                    <w:tr2bl w:val="nil"/>
                  </w:tcBorders>
                  <w:shd w:val="clear" w:color="auto" w:fill="auto"/>
                  <w:vAlign w:val="center"/>
                </w:tcPr>
                <w:p w14:paraId="7A47DFC3">
                  <w:pPr>
                    <w:pStyle w:val="106"/>
                    <w:bidi w:val="0"/>
                    <w:ind w:firstLine="0" w:firstLineChars="0"/>
                    <w:rPr>
                      <w:rFonts w:hint="default"/>
                      <w:b/>
                      <w:bCs/>
                      <w:color w:val="auto"/>
                      <w:lang w:val="en-US" w:eastAsia="zh-CN"/>
                    </w:rPr>
                  </w:pPr>
                  <w:r>
                    <w:rPr>
                      <w:rFonts w:hint="eastAsia"/>
                      <w:b/>
                      <w:bCs/>
                      <w:color w:val="auto"/>
                      <w:lang w:val="en-US" w:eastAsia="zh-CN"/>
                    </w:rPr>
                    <w:t>58000</w:t>
                  </w:r>
                </w:p>
              </w:tc>
            </w:tr>
            <w:tr w14:paraId="4C930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restart"/>
                  <w:tcBorders>
                    <w:tl2br w:val="nil"/>
                    <w:tr2bl w:val="nil"/>
                  </w:tcBorders>
                  <w:shd w:val="clear" w:color="auto" w:fill="auto"/>
                  <w:vAlign w:val="center"/>
                </w:tcPr>
                <w:p w14:paraId="3705BD1B">
                  <w:pPr>
                    <w:pStyle w:val="106"/>
                    <w:bidi w:val="0"/>
                    <w:rPr>
                      <w:rFonts w:hint="default"/>
                      <w:lang w:val="en-US" w:eastAsia="zh-CN"/>
                    </w:rPr>
                  </w:pPr>
                  <w:r>
                    <w:rPr>
                      <w:rFonts w:hint="eastAsia"/>
                      <w:b/>
                      <w:bCs/>
                      <w:lang w:val="en-US" w:eastAsia="zh-CN"/>
                    </w:rPr>
                    <w:t>午餐肉罐头生产</w:t>
                  </w:r>
                </w:p>
              </w:tc>
              <w:tc>
                <w:tcPr>
                  <w:tcW w:w="1519" w:type="dxa"/>
                  <w:tcBorders>
                    <w:tl2br w:val="nil"/>
                    <w:tr2bl w:val="nil"/>
                  </w:tcBorders>
                  <w:shd w:val="clear" w:color="auto" w:fill="auto"/>
                  <w:vAlign w:val="center"/>
                </w:tcPr>
                <w:p w14:paraId="50A8203D">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猪肉</w:t>
                  </w:r>
                </w:p>
              </w:tc>
              <w:tc>
                <w:tcPr>
                  <w:tcW w:w="2033" w:type="dxa"/>
                  <w:tcBorders>
                    <w:tl2br w:val="nil"/>
                    <w:tr2bl w:val="nil"/>
                  </w:tcBorders>
                  <w:shd w:val="clear" w:color="auto" w:fill="auto"/>
                  <w:vAlign w:val="center"/>
                </w:tcPr>
                <w:p w14:paraId="16F19095">
                  <w:pPr>
                    <w:pStyle w:val="106"/>
                    <w:bidi w:val="0"/>
                    <w:rPr>
                      <w:rFonts w:hint="eastAsia"/>
                      <w:lang w:val="en-US" w:eastAsia="zh-CN"/>
                    </w:rPr>
                  </w:pPr>
                  <w:r>
                    <w:rPr>
                      <w:rFonts w:hint="default"/>
                      <w:lang w:val="en-US" w:eastAsia="zh-CN"/>
                    </w:rPr>
                    <w:t>2500</w:t>
                  </w:r>
                </w:p>
              </w:tc>
              <w:tc>
                <w:tcPr>
                  <w:tcW w:w="2957" w:type="dxa"/>
                  <w:gridSpan w:val="2"/>
                  <w:tcBorders>
                    <w:tl2br w:val="nil"/>
                    <w:tr2bl w:val="nil"/>
                  </w:tcBorders>
                  <w:shd w:val="clear" w:color="auto" w:fill="auto"/>
                  <w:vAlign w:val="center"/>
                </w:tcPr>
                <w:p w14:paraId="644F89D7">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午餐肉罐头</w:t>
                  </w:r>
                </w:p>
              </w:tc>
              <w:tc>
                <w:tcPr>
                  <w:tcW w:w="1838" w:type="dxa"/>
                  <w:tcBorders>
                    <w:tl2br w:val="nil"/>
                    <w:tr2bl w:val="nil"/>
                  </w:tcBorders>
                  <w:shd w:val="clear" w:color="auto" w:fill="auto"/>
                  <w:vAlign w:val="center"/>
                </w:tcPr>
                <w:p w14:paraId="2411D50F">
                  <w:pPr>
                    <w:pStyle w:val="106"/>
                    <w:bidi w:val="0"/>
                    <w:ind w:firstLine="0" w:firstLineChars="0"/>
                    <w:rPr>
                      <w:rFonts w:hint="default" w:ascii="Times New Roman" w:hAnsi="Times New Roman" w:eastAsia="宋体" w:cs="Times New Roman"/>
                      <w:kern w:val="2"/>
                      <w:sz w:val="21"/>
                      <w:szCs w:val="21"/>
                      <w:lang w:val="en-US" w:eastAsia="zh-CN" w:bidi="ar-SA"/>
                    </w:rPr>
                  </w:pPr>
                  <w:r>
                    <w:rPr>
                      <w:rFonts w:hint="default"/>
                      <w:lang w:val="en-US" w:eastAsia="zh-CN"/>
                    </w:rPr>
                    <w:t>3000</w:t>
                  </w:r>
                </w:p>
              </w:tc>
            </w:tr>
            <w:tr w14:paraId="3F395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6D9F12F7">
                  <w:pPr>
                    <w:pStyle w:val="106"/>
                    <w:bidi w:val="0"/>
                    <w:rPr>
                      <w:rFonts w:hint="eastAsia"/>
                      <w:lang w:val="en-US" w:eastAsia="zh-CN"/>
                    </w:rPr>
                  </w:pPr>
                </w:p>
              </w:tc>
              <w:tc>
                <w:tcPr>
                  <w:tcW w:w="1519" w:type="dxa"/>
                  <w:tcBorders>
                    <w:tl2br w:val="nil"/>
                    <w:tr2bl w:val="nil"/>
                  </w:tcBorders>
                  <w:shd w:val="clear" w:color="auto" w:fill="auto"/>
                  <w:vAlign w:val="center"/>
                </w:tcPr>
                <w:p w14:paraId="14C4FC23">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玉米淀粉</w:t>
                  </w:r>
                </w:p>
              </w:tc>
              <w:tc>
                <w:tcPr>
                  <w:tcW w:w="2033" w:type="dxa"/>
                  <w:tcBorders>
                    <w:tl2br w:val="nil"/>
                    <w:tr2bl w:val="nil"/>
                  </w:tcBorders>
                  <w:shd w:val="clear" w:color="auto" w:fill="auto"/>
                  <w:vAlign w:val="center"/>
                </w:tcPr>
                <w:p w14:paraId="1E795665">
                  <w:pPr>
                    <w:pStyle w:val="106"/>
                    <w:bidi w:val="0"/>
                    <w:rPr>
                      <w:rFonts w:hint="eastAsia"/>
                      <w:lang w:val="en-US" w:eastAsia="zh-CN"/>
                    </w:rPr>
                  </w:pPr>
                  <w:r>
                    <w:rPr>
                      <w:rFonts w:hint="default"/>
                      <w:lang w:val="en-US" w:eastAsia="zh-CN"/>
                    </w:rPr>
                    <w:t>1000</w:t>
                  </w:r>
                </w:p>
              </w:tc>
              <w:tc>
                <w:tcPr>
                  <w:tcW w:w="2957" w:type="dxa"/>
                  <w:gridSpan w:val="2"/>
                  <w:tcBorders>
                    <w:tl2br w:val="nil"/>
                    <w:tr2bl w:val="nil"/>
                  </w:tcBorders>
                  <w:shd w:val="clear" w:color="auto" w:fill="auto"/>
                  <w:vAlign w:val="center"/>
                </w:tcPr>
                <w:p w14:paraId="170A13F2">
                  <w:pPr>
                    <w:pStyle w:val="106"/>
                    <w:bidi w:val="0"/>
                    <w:rPr>
                      <w:rFonts w:hint="default"/>
                      <w:lang w:val="en-US" w:eastAsia="zh-CN"/>
                    </w:rPr>
                  </w:pPr>
                  <w:r>
                    <w:rPr>
                      <w:rFonts w:hint="eastAsia"/>
                      <w:lang w:val="en-US" w:eastAsia="zh-CN"/>
                    </w:rPr>
                    <w:t>挥发的水分</w:t>
                  </w:r>
                </w:p>
              </w:tc>
              <w:tc>
                <w:tcPr>
                  <w:tcW w:w="1838" w:type="dxa"/>
                  <w:tcBorders>
                    <w:tl2br w:val="nil"/>
                    <w:tr2bl w:val="nil"/>
                  </w:tcBorders>
                  <w:shd w:val="clear" w:color="auto" w:fill="auto"/>
                  <w:vAlign w:val="center"/>
                </w:tcPr>
                <w:p w14:paraId="29E5BBA4">
                  <w:pPr>
                    <w:pStyle w:val="106"/>
                    <w:bidi w:val="0"/>
                    <w:rPr>
                      <w:rFonts w:hint="default"/>
                      <w:lang w:val="en-US" w:eastAsia="zh-CN"/>
                    </w:rPr>
                  </w:pPr>
                  <w:r>
                    <w:rPr>
                      <w:rFonts w:hint="eastAsia"/>
                      <w:lang w:val="en-US" w:eastAsia="zh-CN"/>
                    </w:rPr>
                    <w:t>1102</w:t>
                  </w:r>
                </w:p>
              </w:tc>
            </w:tr>
            <w:tr w14:paraId="5550B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73D47543">
                  <w:pPr>
                    <w:pStyle w:val="106"/>
                    <w:bidi w:val="0"/>
                    <w:rPr>
                      <w:rFonts w:hint="eastAsia"/>
                      <w:lang w:val="en-US" w:eastAsia="zh-CN"/>
                    </w:rPr>
                  </w:pPr>
                </w:p>
              </w:tc>
              <w:tc>
                <w:tcPr>
                  <w:tcW w:w="1519" w:type="dxa"/>
                  <w:tcBorders>
                    <w:tl2br w:val="nil"/>
                    <w:tr2bl w:val="nil"/>
                  </w:tcBorders>
                  <w:shd w:val="clear" w:color="auto" w:fill="auto"/>
                  <w:vAlign w:val="center"/>
                </w:tcPr>
                <w:p w14:paraId="72BA8DA0">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大豆蛋白粉</w:t>
                  </w:r>
                </w:p>
              </w:tc>
              <w:tc>
                <w:tcPr>
                  <w:tcW w:w="2033" w:type="dxa"/>
                  <w:tcBorders>
                    <w:tl2br w:val="nil"/>
                    <w:tr2bl w:val="nil"/>
                  </w:tcBorders>
                  <w:shd w:val="clear" w:color="auto" w:fill="auto"/>
                  <w:vAlign w:val="center"/>
                </w:tcPr>
                <w:p w14:paraId="746DC344">
                  <w:pPr>
                    <w:pStyle w:val="106"/>
                    <w:bidi w:val="0"/>
                    <w:rPr>
                      <w:rFonts w:hint="eastAsia"/>
                      <w:lang w:val="en-US" w:eastAsia="zh-CN"/>
                    </w:rPr>
                  </w:pPr>
                  <w:r>
                    <w:rPr>
                      <w:rFonts w:hint="default"/>
                      <w:lang w:val="en-US" w:eastAsia="zh-CN"/>
                    </w:rPr>
                    <w:t>100</w:t>
                  </w:r>
                </w:p>
              </w:tc>
              <w:tc>
                <w:tcPr>
                  <w:tcW w:w="1075" w:type="dxa"/>
                  <w:tcBorders>
                    <w:tl2br w:val="nil"/>
                    <w:tr2bl w:val="nil"/>
                  </w:tcBorders>
                  <w:shd w:val="clear" w:color="auto" w:fill="auto"/>
                  <w:vAlign w:val="center"/>
                </w:tcPr>
                <w:p w14:paraId="2FDB32AF">
                  <w:pPr>
                    <w:pStyle w:val="106"/>
                    <w:bidi w:val="0"/>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4"/>
                      <w:highlight w:val="none"/>
                      <w:lang w:val="en-US" w:eastAsia="zh-CN" w:bidi="ar-SA"/>
                    </w:rPr>
                    <w:t>固废</w:t>
                  </w:r>
                </w:p>
              </w:tc>
              <w:tc>
                <w:tcPr>
                  <w:tcW w:w="1882" w:type="dxa"/>
                  <w:tcBorders>
                    <w:tl2br w:val="nil"/>
                    <w:tr2bl w:val="nil"/>
                  </w:tcBorders>
                  <w:shd w:val="clear" w:color="auto" w:fill="auto"/>
                  <w:vAlign w:val="center"/>
                </w:tcPr>
                <w:p w14:paraId="09EE0A5E">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color w:val="auto"/>
                      <w:lang w:val="en-US" w:eastAsia="zh-CN"/>
                    </w:rPr>
                    <w:t>肉类废边角料</w:t>
                  </w:r>
                </w:p>
              </w:tc>
              <w:tc>
                <w:tcPr>
                  <w:tcW w:w="1838" w:type="dxa"/>
                  <w:tcBorders>
                    <w:tl2br w:val="nil"/>
                    <w:tr2bl w:val="nil"/>
                  </w:tcBorders>
                  <w:shd w:val="clear" w:color="auto" w:fill="auto"/>
                  <w:vAlign w:val="center"/>
                </w:tcPr>
                <w:p w14:paraId="6377482E">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25</w:t>
                  </w:r>
                </w:p>
              </w:tc>
            </w:tr>
            <w:tr w14:paraId="2787A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52" w:type="dxa"/>
                  <w:vMerge w:val="continue"/>
                  <w:tcBorders>
                    <w:tl2br w:val="nil"/>
                    <w:tr2bl w:val="nil"/>
                  </w:tcBorders>
                  <w:shd w:val="clear" w:color="auto" w:fill="auto"/>
                  <w:vAlign w:val="center"/>
                </w:tcPr>
                <w:p w14:paraId="4CFEC1C4">
                  <w:pPr>
                    <w:pStyle w:val="106"/>
                    <w:bidi w:val="0"/>
                    <w:rPr>
                      <w:rFonts w:hint="eastAsia"/>
                      <w:color w:val="auto"/>
                      <w:lang w:val="en-US" w:eastAsia="zh-CN"/>
                    </w:rPr>
                  </w:pPr>
                </w:p>
              </w:tc>
              <w:tc>
                <w:tcPr>
                  <w:tcW w:w="1519" w:type="dxa"/>
                  <w:tcBorders>
                    <w:tl2br w:val="nil"/>
                    <w:tr2bl w:val="nil"/>
                  </w:tcBorders>
                  <w:shd w:val="clear" w:color="auto" w:fill="auto"/>
                  <w:vAlign w:val="center"/>
                </w:tcPr>
                <w:p w14:paraId="6F71FE72">
                  <w:pPr>
                    <w:pStyle w:val="10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食用盐</w:t>
                  </w:r>
                </w:p>
              </w:tc>
              <w:tc>
                <w:tcPr>
                  <w:tcW w:w="2033" w:type="dxa"/>
                  <w:tcBorders>
                    <w:tl2br w:val="nil"/>
                    <w:tr2bl w:val="nil"/>
                  </w:tcBorders>
                  <w:shd w:val="clear" w:color="auto" w:fill="auto"/>
                  <w:vAlign w:val="center"/>
                </w:tcPr>
                <w:p w14:paraId="50E930E4">
                  <w:pPr>
                    <w:pStyle w:val="106"/>
                    <w:bidi w:val="0"/>
                    <w:rPr>
                      <w:rFonts w:hint="default"/>
                      <w:color w:val="auto"/>
                      <w:lang w:val="en-US" w:eastAsia="zh-CN"/>
                    </w:rPr>
                  </w:pPr>
                  <w:r>
                    <w:rPr>
                      <w:rFonts w:hint="default"/>
                      <w:color w:val="auto"/>
                      <w:lang w:val="en-US" w:eastAsia="zh-CN"/>
                    </w:rPr>
                    <w:t>50</w:t>
                  </w:r>
                </w:p>
              </w:tc>
              <w:tc>
                <w:tcPr>
                  <w:tcW w:w="2957" w:type="dxa"/>
                  <w:gridSpan w:val="2"/>
                  <w:tcBorders>
                    <w:tl2br w:val="nil"/>
                    <w:tr2bl w:val="nil"/>
                  </w:tcBorders>
                  <w:shd w:val="clear" w:color="auto" w:fill="auto"/>
                  <w:vAlign w:val="center"/>
                </w:tcPr>
                <w:p w14:paraId="3E5B6D28">
                  <w:pPr>
                    <w:pStyle w:val="106"/>
                    <w:bidi w:val="0"/>
                    <w:rPr>
                      <w:rFonts w:hint="default"/>
                      <w:color w:val="auto"/>
                      <w:lang w:val="en-US" w:eastAsia="zh-CN"/>
                    </w:rPr>
                  </w:pPr>
                </w:p>
              </w:tc>
              <w:tc>
                <w:tcPr>
                  <w:tcW w:w="1838" w:type="dxa"/>
                  <w:tcBorders>
                    <w:tl2br w:val="nil"/>
                    <w:tr2bl w:val="nil"/>
                  </w:tcBorders>
                  <w:shd w:val="clear" w:color="auto" w:fill="auto"/>
                  <w:vAlign w:val="center"/>
                </w:tcPr>
                <w:p w14:paraId="7740DB91">
                  <w:pPr>
                    <w:pStyle w:val="106"/>
                    <w:bidi w:val="0"/>
                    <w:rPr>
                      <w:rFonts w:hint="default"/>
                      <w:color w:val="auto"/>
                      <w:lang w:val="en-US" w:eastAsia="zh-CN"/>
                    </w:rPr>
                  </w:pPr>
                </w:p>
              </w:tc>
            </w:tr>
            <w:tr w14:paraId="7C24D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shd w:val="clear" w:color="auto" w:fill="auto"/>
                  <w:vAlign w:val="center"/>
                </w:tcPr>
                <w:p w14:paraId="3054C54E">
                  <w:pPr>
                    <w:pStyle w:val="106"/>
                    <w:bidi w:val="0"/>
                    <w:rPr>
                      <w:rFonts w:hint="eastAsia"/>
                      <w:color w:val="auto"/>
                      <w:lang w:val="en-US" w:eastAsia="zh-CN"/>
                    </w:rPr>
                  </w:pPr>
                </w:p>
              </w:tc>
              <w:tc>
                <w:tcPr>
                  <w:tcW w:w="1519" w:type="dxa"/>
                  <w:tcBorders>
                    <w:tl2br w:val="nil"/>
                    <w:tr2bl w:val="nil"/>
                  </w:tcBorders>
                  <w:shd w:val="clear" w:color="auto" w:fill="auto"/>
                  <w:vAlign w:val="center"/>
                </w:tcPr>
                <w:p w14:paraId="78C82C5D">
                  <w:pPr>
                    <w:pStyle w:val="10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白砂糖</w:t>
                  </w:r>
                </w:p>
              </w:tc>
              <w:tc>
                <w:tcPr>
                  <w:tcW w:w="2033" w:type="dxa"/>
                  <w:tcBorders>
                    <w:tl2br w:val="nil"/>
                    <w:tr2bl w:val="nil"/>
                  </w:tcBorders>
                  <w:shd w:val="clear" w:color="auto" w:fill="auto"/>
                  <w:vAlign w:val="center"/>
                </w:tcPr>
                <w:p w14:paraId="0D02F259">
                  <w:pPr>
                    <w:pStyle w:val="106"/>
                    <w:bidi w:val="0"/>
                    <w:rPr>
                      <w:rFonts w:hint="eastAsia"/>
                      <w:color w:val="auto"/>
                      <w:lang w:val="en-US" w:eastAsia="zh-CN"/>
                    </w:rPr>
                  </w:pPr>
                  <w:r>
                    <w:rPr>
                      <w:rFonts w:hint="default"/>
                      <w:color w:val="auto"/>
                      <w:lang w:val="en-US" w:eastAsia="zh-CN"/>
                    </w:rPr>
                    <w:t>20</w:t>
                  </w:r>
                </w:p>
              </w:tc>
              <w:tc>
                <w:tcPr>
                  <w:tcW w:w="2957" w:type="dxa"/>
                  <w:gridSpan w:val="2"/>
                  <w:tcBorders>
                    <w:tl2br w:val="nil"/>
                    <w:tr2bl w:val="nil"/>
                  </w:tcBorders>
                  <w:shd w:val="clear" w:color="auto" w:fill="auto"/>
                  <w:vAlign w:val="center"/>
                </w:tcPr>
                <w:p w14:paraId="187773C3">
                  <w:pPr>
                    <w:pStyle w:val="106"/>
                    <w:bidi w:val="0"/>
                    <w:rPr>
                      <w:rFonts w:hint="eastAsia"/>
                      <w:color w:val="auto"/>
                      <w:lang w:val="en-US" w:eastAsia="zh-CN"/>
                    </w:rPr>
                  </w:pPr>
                </w:p>
              </w:tc>
              <w:tc>
                <w:tcPr>
                  <w:tcW w:w="1838" w:type="dxa"/>
                  <w:tcBorders>
                    <w:tl2br w:val="nil"/>
                    <w:tr2bl w:val="nil"/>
                  </w:tcBorders>
                  <w:vAlign w:val="center"/>
                </w:tcPr>
                <w:p w14:paraId="25D41B28">
                  <w:pPr>
                    <w:pStyle w:val="106"/>
                    <w:bidi w:val="0"/>
                    <w:rPr>
                      <w:rFonts w:hint="default"/>
                      <w:color w:val="auto"/>
                      <w:lang w:val="en-US" w:eastAsia="zh-CN"/>
                    </w:rPr>
                  </w:pPr>
                </w:p>
              </w:tc>
            </w:tr>
            <w:tr w14:paraId="523D9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Merge w:val="continue"/>
                  <w:tcBorders>
                    <w:tl2br w:val="nil"/>
                    <w:tr2bl w:val="nil"/>
                  </w:tcBorders>
                  <w:shd w:val="clear" w:color="auto" w:fill="auto"/>
                  <w:vAlign w:val="center"/>
                </w:tcPr>
                <w:p w14:paraId="0BA210B8">
                  <w:pPr>
                    <w:pStyle w:val="106"/>
                    <w:bidi w:val="0"/>
                    <w:rPr>
                      <w:rFonts w:hint="eastAsia"/>
                      <w:color w:val="auto"/>
                      <w:lang w:val="en-US" w:eastAsia="zh-CN"/>
                    </w:rPr>
                  </w:pPr>
                </w:p>
              </w:tc>
              <w:tc>
                <w:tcPr>
                  <w:tcW w:w="1519" w:type="dxa"/>
                  <w:tcBorders>
                    <w:tl2br w:val="nil"/>
                    <w:tr2bl w:val="nil"/>
                  </w:tcBorders>
                  <w:shd w:val="clear" w:color="auto" w:fill="auto"/>
                  <w:vAlign w:val="center"/>
                </w:tcPr>
                <w:p w14:paraId="68B5C20C">
                  <w:pPr>
                    <w:pStyle w:val="10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香辛料</w:t>
                  </w:r>
                </w:p>
              </w:tc>
              <w:tc>
                <w:tcPr>
                  <w:tcW w:w="2033" w:type="dxa"/>
                  <w:tcBorders>
                    <w:tl2br w:val="nil"/>
                    <w:tr2bl w:val="nil"/>
                  </w:tcBorders>
                  <w:shd w:val="clear" w:color="auto" w:fill="auto"/>
                  <w:vAlign w:val="center"/>
                </w:tcPr>
                <w:p w14:paraId="6AFFE9BE">
                  <w:pPr>
                    <w:pStyle w:val="106"/>
                    <w:bidi w:val="0"/>
                    <w:rPr>
                      <w:rFonts w:hint="eastAsia"/>
                      <w:color w:val="auto"/>
                      <w:lang w:val="en-US" w:eastAsia="zh-CN"/>
                    </w:rPr>
                  </w:pPr>
                  <w:r>
                    <w:rPr>
                      <w:rFonts w:hint="default"/>
                      <w:color w:val="auto"/>
                      <w:lang w:val="en-US" w:eastAsia="zh-CN"/>
                    </w:rPr>
                    <w:t>5</w:t>
                  </w:r>
                </w:p>
              </w:tc>
              <w:tc>
                <w:tcPr>
                  <w:tcW w:w="2957" w:type="dxa"/>
                  <w:gridSpan w:val="2"/>
                  <w:tcBorders>
                    <w:tl2br w:val="nil"/>
                    <w:tr2bl w:val="nil"/>
                  </w:tcBorders>
                  <w:shd w:val="clear" w:color="auto" w:fill="auto"/>
                  <w:vAlign w:val="center"/>
                </w:tcPr>
                <w:p w14:paraId="744CA618">
                  <w:pPr>
                    <w:pStyle w:val="106"/>
                    <w:bidi w:val="0"/>
                    <w:rPr>
                      <w:rFonts w:hint="eastAsia"/>
                      <w:color w:val="auto"/>
                      <w:lang w:val="en-US" w:eastAsia="zh-CN"/>
                    </w:rPr>
                  </w:pPr>
                </w:p>
              </w:tc>
              <w:tc>
                <w:tcPr>
                  <w:tcW w:w="1838" w:type="dxa"/>
                  <w:tcBorders>
                    <w:tl2br w:val="nil"/>
                    <w:tr2bl w:val="nil"/>
                  </w:tcBorders>
                  <w:vAlign w:val="center"/>
                </w:tcPr>
                <w:p w14:paraId="63B6F672">
                  <w:pPr>
                    <w:pStyle w:val="106"/>
                    <w:bidi w:val="0"/>
                    <w:rPr>
                      <w:rFonts w:hint="default"/>
                      <w:color w:val="auto"/>
                      <w:lang w:val="en-US" w:eastAsia="zh-CN"/>
                    </w:rPr>
                  </w:pPr>
                </w:p>
              </w:tc>
            </w:tr>
            <w:tr w14:paraId="58280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52" w:type="dxa"/>
                  <w:vMerge w:val="continue"/>
                  <w:tcBorders>
                    <w:tl2br w:val="nil"/>
                    <w:tr2bl w:val="nil"/>
                  </w:tcBorders>
                  <w:shd w:val="clear" w:color="auto" w:fill="auto"/>
                  <w:vAlign w:val="center"/>
                </w:tcPr>
                <w:p w14:paraId="3CDC80ED">
                  <w:pPr>
                    <w:pStyle w:val="106"/>
                    <w:bidi w:val="0"/>
                    <w:rPr>
                      <w:rFonts w:hint="default"/>
                      <w:color w:val="auto"/>
                      <w:lang w:val="en-US" w:eastAsia="zh-CN"/>
                    </w:rPr>
                  </w:pPr>
                </w:p>
              </w:tc>
              <w:tc>
                <w:tcPr>
                  <w:tcW w:w="1519" w:type="dxa"/>
                  <w:tcBorders>
                    <w:tl2br w:val="nil"/>
                    <w:tr2bl w:val="nil"/>
                  </w:tcBorders>
                  <w:shd w:val="clear" w:color="auto" w:fill="auto"/>
                  <w:vAlign w:val="center"/>
                </w:tcPr>
                <w:p w14:paraId="3D608ABE">
                  <w:pPr>
                    <w:pStyle w:val="10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复配增稠剂</w:t>
                  </w:r>
                </w:p>
              </w:tc>
              <w:tc>
                <w:tcPr>
                  <w:tcW w:w="2033" w:type="dxa"/>
                  <w:tcBorders>
                    <w:tl2br w:val="nil"/>
                    <w:tr2bl w:val="nil"/>
                  </w:tcBorders>
                  <w:shd w:val="clear" w:color="auto" w:fill="auto"/>
                  <w:vAlign w:val="center"/>
                </w:tcPr>
                <w:p w14:paraId="62DD2E35">
                  <w:pPr>
                    <w:pStyle w:val="106"/>
                    <w:bidi w:val="0"/>
                    <w:rPr>
                      <w:rFonts w:hint="default"/>
                      <w:color w:val="auto"/>
                      <w:lang w:val="en-US" w:eastAsia="zh-CN"/>
                    </w:rPr>
                  </w:pPr>
                  <w:r>
                    <w:rPr>
                      <w:rFonts w:hint="default"/>
                      <w:color w:val="auto"/>
                      <w:lang w:val="en-US" w:eastAsia="zh-CN"/>
                    </w:rPr>
                    <w:t>0.5</w:t>
                  </w:r>
                </w:p>
              </w:tc>
              <w:tc>
                <w:tcPr>
                  <w:tcW w:w="2957" w:type="dxa"/>
                  <w:gridSpan w:val="2"/>
                  <w:tcBorders>
                    <w:tl2br w:val="nil"/>
                    <w:tr2bl w:val="nil"/>
                  </w:tcBorders>
                  <w:shd w:val="clear" w:color="auto" w:fill="auto"/>
                  <w:vAlign w:val="center"/>
                </w:tcPr>
                <w:p w14:paraId="6C5C5E0A">
                  <w:pPr>
                    <w:pStyle w:val="106"/>
                    <w:bidi w:val="0"/>
                    <w:rPr>
                      <w:rFonts w:hint="default"/>
                      <w:color w:val="auto"/>
                      <w:lang w:val="en-US" w:eastAsia="zh-CN"/>
                    </w:rPr>
                  </w:pPr>
                </w:p>
              </w:tc>
              <w:tc>
                <w:tcPr>
                  <w:tcW w:w="1838" w:type="dxa"/>
                  <w:tcBorders>
                    <w:tl2br w:val="nil"/>
                    <w:tr2bl w:val="nil"/>
                  </w:tcBorders>
                  <w:vAlign w:val="center"/>
                </w:tcPr>
                <w:p w14:paraId="1157FF6B">
                  <w:pPr>
                    <w:pStyle w:val="106"/>
                    <w:bidi w:val="0"/>
                    <w:rPr>
                      <w:rFonts w:hint="default"/>
                      <w:color w:val="auto"/>
                      <w:lang w:val="en-US" w:eastAsia="zh-CN"/>
                    </w:rPr>
                  </w:pPr>
                </w:p>
              </w:tc>
            </w:tr>
            <w:tr w14:paraId="09933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3F9835B1">
                  <w:pPr>
                    <w:pStyle w:val="106"/>
                    <w:bidi w:val="0"/>
                    <w:rPr>
                      <w:rFonts w:hint="default"/>
                      <w:color w:val="auto"/>
                      <w:lang w:val="en-US" w:eastAsia="zh-CN"/>
                    </w:rPr>
                  </w:pPr>
                </w:p>
              </w:tc>
              <w:tc>
                <w:tcPr>
                  <w:tcW w:w="1519" w:type="dxa"/>
                  <w:tcBorders>
                    <w:tl2br w:val="nil"/>
                    <w:tr2bl w:val="nil"/>
                  </w:tcBorders>
                  <w:shd w:val="clear" w:color="auto" w:fill="auto"/>
                  <w:vAlign w:val="center"/>
                </w:tcPr>
                <w:p w14:paraId="6E83578E">
                  <w:pPr>
                    <w:pStyle w:val="10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谷氨酸钠</w:t>
                  </w:r>
                </w:p>
              </w:tc>
              <w:tc>
                <w:tcPr>
                  <w:tcW w:w="2033" w:type="dxa"/>
                  <w:tcBorders>
                    <w:tl2br w:val="nil"/>
                    <w:tr2bl w:val="nil"/>
                  </w:tcBorders>
                  <w:shd w:val="clear" w:color="auto" w:fill="auto"/>
                  <w:vAlign w:val="center"/>
                </w:tcPr>
                <w:p w14:paraId="45314382">
                  <w:pPr>
                    <w:pStyle w:val="106"/>
                    <w:bidi w:val="0"/>
                    <w:rPr>
                      <w:rFonts w:hint="default"/>
                      <w:color w:val="auto"/>
                      <w:lang w:val="en-US" w:eastAsia="zh-CN"/>
                    </w:rPr>
                  </w:pPr>
                  <w:r>
                    <w:rPr>
                      <w:rFonts w:hint="default"/>
                      <w:color w:val="auto"/>
                      <w:lang w:val="en-US" w:eastAsia="zh-CN"/>
                    </w:rPr>
                    <w:t>0.5</w:t>
                  </w:r>
                </w:p>
              </w:tc>
              <w:tc>
                <w:tcPr>
                  <w:tcW w:w="2957" w:type="dxa"/>
                  <w:gridSpan w:val="2"/>
                  <w:tcBorders>
                    <w:tl2br w:val="nil"/>
                    <w:tr2bl w:val="nil"/>
                  </w:tcBorders>
                  <w:shd w:val="clear" w:color="auto" w:fill="auto"/>
                  <w:vAlign w:val="center"/>
                </w:tcPr>
                <w:p w14:paraId="3ABE87DE">
                  <w:pPr>
                    <w:pStyle w:val="106"/>
                    <w:bidi w:val="0"/>
                    <w:rPr>
                      <w:rFonts w:hint="default"/>
                      <w:color w:val="auto"/>
                      <w:lang w:val="en-US" w:eastAsia="zh-CN"/>
                    </w:rPr>
                  </w:pPr>
                </w:p>
              </w:tc>
              <w:tc>
                <w:tcPr>
                  <w:tcW w:w="1838" w:type="dxa"/>
                  <w:tcBorders>
                    <w:tl2br w:val="nil"/>
                    <w:tr2bl w:val="nil"/>
                  </w:tcBorders>
                  <w:vAlign w:val="center"/>
                </w:tcPr>
                <w:p w14:paraId="5205C9F3">
                  <w:pPr>
                    <w:pStyle w:val="106"/>
                    <w:bidi w:val="0"/>
                    <w:rPr>
                      <w:rFonts w:hint="default"/>
                      <w:color w:val="auto"/>
                      <w:lang w:val="en-US" w:eastAsia="zh-CN"/>
                    </w:rPr>
                  </w:pPr>
                </w:p>
              </w:tc>
            </w:tr>
            <w:tr w14:paraId="3FF96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162EB279">
                  <w:pPr>
                    <w:pStyle w:val="106"/>
                    <w:bidi w:val="0"/>
                    <w:rPr>
                      <w:rFonts w:hint="default"/>
                      <w:color w:val="auto"/>
                      <w:lang w:val="en-US" w:eastAsia="zh-CN"/>
                    </w:rPr>
                  </w:pPr>
                </w:p>
              </w:tc>
              <w:tc>
                <w:tcPr>
                  <w:tcW w:w="1519" w:type="dxa"/>
                  <w:tcBorders>
                    <w:tl2br w:val="nil"/>
                    <w:tr2bl w:val="nil"/>
                  </w:tcBorders>
                  <w:shd w:val="clear" w:color="auto" w:fill="auto"/>
                  <w:vAlign w:val="center"/>
                </w:tcPr>
                <w:p w14:paraId="3FA18668">
                  <w:pPr>
                    <w:pStyle w:val="10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焦磷酸钠</w:t>
                  </w:r>
                </w:p>
              </w:tc>
              <w:tc>
                <w:tcPr>
                  <w:tcW w:w="2033" w:type="dxa"/>
                  <w:tcBorders>
                    <w:tl2br w:val="nil"/>
                    <w:tr2bl w:val="nil"/>
                  </w:tcBorders>
                  <w:shd w:val="clear" w:color="auto" w:fill="auto"/>
                  <w:vAlign w:val="center"/>
                </w:tcPr>
                <w:p w14:paraId="33B3358F">
                  <w:pPr>
                    <w:pStyle w:val="106"/>
                    <w:bidi w:val="0"/>
                    <w:rPr>
                      <w:rFonts w:hint="default"/>
                      <w:color w:val="auto"/>
                      <w:lang w:val="en-US" w:eastAsia="zh-CN"/>
                    </w:rPr>
                  </w:pPr>
                  <w:r>
                    <w:rPr>
                      <w:rFonts w:hint="default"/>
                      <w:color w:val="auto"/>
                      <w:lang w:val="en-US" w:eastAsia="zh-CN"/>
                    </w:rPr>
                    <w:t>0.5</w:t>
                  </w:r>
                </w:p>
              </w:tc>
              <w:tc>
                <w:tcPr>
                  <w:tcW w:w="2957" w:type="dxa"/>
                  <w:gridSpan w:val="2"/>
                  <w:tcBorders>
                    <w:tl2br w:val="nil"/>
                    <w:tr2bl w:val="nil"/>
                  </w:tcBorders>
                  <w:shd w:val="clear" w:color="auto" w:fill="auto"/>
                  <w:vAlign w:val="center"/>
                </w:tcPr>
                <w:p w14:paraId="015D0229">
                  <w:pPr>
                    <w:pStyle w:val="106"/>
                    <w:bidi w:val="0"/>
                    <w:rPr>
                      <w:rFonts w:hint="default"/>
                      <w:color w:val="auto"/>
                      <w:lang w:val="en-US" w:eastAsia="zh-CN"/>
                    </w:rPr>
                  </w:pPr>
                </w:p>
              </w:tc>
              <w:tc>
                <w:tcPr>
                  <w:tcW w:w="1838" w:type="dxa"/>
                  <w:tcBorders>
                    <w:tl2br w:val="nil"/>
                    <w:tr2bl w:val="nil"/>
                  </w:tcBorders>
                  <w:vAlign w:val="center"/>
                </w:tcPr>
                <w:p w14:paraId="20703510">
                  <w:pPr>
                    <w:pStyle w:val="106"/>
                    <w:bidi w:val="0"/>
                    <w:rPr>
                      <w:rFonts w:hint="default"/>
                      <w:color w:val="auto"/>
                      <w:lang w:val="en-US" w:eastAsia="zh-CN"/>
                    </w:rPr>
                  </w:pPr>
                </w:p>
              </w:tc>
            </w:tr>
            <w:tr w14:paraId="59A8D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43BF8EE3">
                  <w:pPr>
                    <w:pStyle w:val="106"/>
                    <w:bidi w:val="0"/>
                    <w:rPr>
                      <w:rFonts w:hint="default"/>
                      <w:color w:val="auto"/>
                      <w:lang w:val="en-US" w:eastAsia="zh-CN"/>
                    </w:rPr>
                  </w:pPr>
                </w:p>
              </w:tc>
              <w:tc>
                <w:tcPr>
                  <w:tcW w:w="1519" w:type="dxa"/>
                  <w:tcBorders>
                    <w:tl2br w:val="nil"/>
                    <w:tr2bl w:val="nil"/>
                  </w:tcBorders>
                  <w:shd w:val="clear" w:color="auto" w:fill="auto"/>
                  <w:vAlign w:val="center"/>
                </w:tcPr>
                <w:p w14:paraId="110123E3">
                  <w:pPr>
                    <w:pStyle w:val="10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三聚磷酸钠</w:t>
                  </w:r>
                </w:p>
              </w:tc>
              <w:tc>
                <w:tcPr>
                  <w:tcW w:w="2033" w:type="dxa"/>
                  <w:tcBorders>
                    <w:tl2br w:val="nil"/>
                    <w:tr2bl w:val="nil"/>
                  </w:tcBorders>
                  <w:shd w:val="clear" w:color="auto" w:fill="auto"/>
                  <w:vAlign w:val="center"/>
                </w:tcPr>
                <w:p w14:paraId="1DD94A09">
                  <w:pPr>
                    <w:pStyle w:val="106"/>
                    <w:bidi w:val="0"/>
                    <w:rPr>
                      <w:rFonts w:hint="default"/>
                      <w:color w:val="auto"/>
                      <w:lang w:val="en-US" w:eastAsia="zh-CN"/>
                    </w:rPr>
                  </w:pPr>
                  <w:r>
                    <w:rPr>
                      <w:rFonts w:hint="default"/>
                      <w:color w:val="auto"/>
                      <w:lang w:val="en-US" w:eastAsia="zh-CN"/>
                    </w:rPr>
                    <w:t>0.5</w:t>
                  </w:r>
                </w:p>
              </w:tc>
              <w:tc>
                <w:tcPr>
                  <w:tcW w:w="2957" w:type="dxa"/>
                  <w:gridSpan w:val="2"/>
                  <w:tcBorders>
                    <w:tl2br w:val="nil"/>
                    <w:tr2bl w:val="nil"/>
                  </w:tcBorders>
                  <w:vAlign w:val="center"/>
                </w:tcPr>
                <w:p w14:paraId="543950CE">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p>
              </w:tc>
              <w:tc>
                <w:tcPr>
                  <w:tcW w:w="1838" w:type="dxa"/>
                  <w:tcBorders>
                    <w:tl2br w:val="nil"/>
                    <w:tr2bl w:val="nil"/>
                  </w:tcBorders>
                  <w:vAlign w:val="center"/>
                </w:tcPr>
                <w:p w14:paraId="36B96F9F">
                  <w:pPr>
                    <w:pStyle w:val="106"/>
                    <w:bidi w:val="0"/>
                    <w:rPr>
                      <w:rFonts w:hint="default"/>
                      <w:color w:val="auto"/>
                      <w:lang w:val="en-US" w:eastAsia="zh-CN"/>
                    </w:rPr>
                  </w:pPr>
                </w:p>
              </w:tc>
            </w:tr>
            <w:tr w14:paraId="4D3D7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18615F37">
                  <w:pPr>
                    <w:pStyle w:val="106"/>
                    <w:bidi w:val="0"/>
                    <w:rPr>
                      <w:rFonts w:hint="default"/>
                      <w:color w:val="auto"/>
                      <w:lang w:val="en-US" w:eastAsia="zh-CN"/>
                    </w:rPr>
                  </w:pPr>
                </w:p>
              </w:tc>
              <w:tc>
                <w:tcPr>
                  <w:tcW w:w="1519" w:type="dxa"/>
                  <w:tcBorders>
                    <w:tl2br w:val="nil"/>
                    <w:tr2bl w:val="nil"/>
                  </w:tcBorders>
                  <w:shd w:val="clear" w:color="auto" w:fill="auto"/>
                  <w:vAlign w:val="center"/>
                </w:tcPr>
                <w:p w14:paraId="6EAF0BE3">
                  <w:pPr>
                    <w:pStyle w:val="106"/>
                    <w:bidi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赤藓红</w:t>
                  </w:r>
                </w:p>
              </w:tc>
              <w:tc>
                <w:tcPr>
                  <w:tcW w:w="2033" w:type="dxa"/>
                  <w:tcBorders>
                    <w:tl2br w:val="nil"/>
                    <w:tr2bl w:val="nil"/>
                  </w:tcBorders>
                  <w:shd w:val="clear" w:color="auto" w:fill="auto"/>
                  <w:vAlign w:val="center"/>
                </w:tcPr>
                <w:p w14:paraId="3148C586">
                  <w:pPr>
                    <w:pStyle w:val="106"/>
                    <w:bidi w:val="0"/>
                    <w:rPr>
                      <w:rFonts w:hint="default"/>
                      <w:color w:val="auto"/>
                      <w:lang w:val="en-US" w:eastAsia="zh-CN"/>
                    </w:rPr>
                  </w:pPr>
                  <w:r>
                    <w:rPr>
                      <w:rFonts w:hint="default"/>
                      <w:color w:val="auto"/>
                      <w:lang w:val="en-US" w:eastAsia="zh-CN"/>
                    </w:rPr>
                    <w:t>0.1</w:t>
                  </w:r>
                </w:p>
              </w:tc>
              <w:tc>
                <w:tcPr>
                  <w:tcW w:w="2957" w:type="dxa"/>
                  <w:gridSpan w:val="2"/>
                  <w:tcBorders>
                    <w:tl2br w:val="nil"/>
                    <w:tr2bl w:val="nil"/>
                  </w:tcBorders>
                  <w:vAlign w:val="center"/>
                </w:tcPr>
                <w:p w14:paraId="60C6BB77">
                  <w:pPr>
                    <w:pStyle w:val="56"/>
                    <w:spacing w:before="0"/>
                    <w:ind w:right="0" w:rightChars="0" w:firstLine="0" w:firstLineChars="0"/>
                    <w:rPr>
                      <w:rFonts w:hint="default" w:cs="Times New Roman"/>
                      <w:color w:val="auto"/>
                      <w:kern w:val="0"/>
                      <w:sz w:val="21"/>
                      <w:szCs w:val="21"/>
                      <w:highlight w:val="none"/>
                      <w:lang w:val="en-US" w:eastAsia="zh-CN" w:bidi="ar-SA"/>
                    </w:rPr>
                  </w:pPr>
                </w:p>
              </w:tc>
              <w:tc>
                <w:tcPr>
                  <w:tcW w:w="1838" w:type="dxa"/>
                  <w:tcBorders>
                    <w:tl2br w:val="nil"/>
                    <w:tr2bl w:val="nil"/>
                  </w:tcBorders>
                  <w:vAlign w:val="center"/>
                </w:tcPr>
                <w:p w14:paraId="000C9D50">
                  <w:pPr>
                    <w:pStyle w:val="106"/>
                    <w:bidi w:val="0"/>
                    <w:rPr>
                      <w:rFonts w:hint="default"/>
                      <w:color w:val="auto"/>
                      <w:lang w:val="en-US" w:eastAsia="zh-CN"/>
                    </w:rPr>
                  </w:pPr>
                </w:p>
              </w:tc>
            </w:tr>
            <w:tr w14:paraId="0D529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shd w:val="clear" w:color="auto" w:fill="auto"/>
                  <w:vAlign w:val="center"/>
                </w:tcPr>
                <w:p w14:paraId="5F6F1E0C">
                  <w:pPr>
                    <w:pStyle w:val="106"/>
                    <w:bidi w:val="0"/>
                    <w:rPr>
                      <w:rFonts w:hint="default"/>
                      <w:color w:val="auto"/>
                      <w:lang w:val="en-US" w:eastAsia="zh-CN"/>
                    </w:rPr>
                  </w:pPr>
                </w:p>
              </w:tc>
              <w:tc>
                <w:tcPr>
                  <w:tcW w:w="1519" w:type="dxa"/>
                  <w:tcBorders>
                    <w:tl2br w:val="nil"/>
                    <w:tr2bl w:val="nil"/>
                  </w:tcBorders>
                  <w:shd w:val="clear" w:color="auto" w:fill="auto"/>
                  <w:vAlign w:val="center"/>
                </w:tcPr>
                <w:p w14:paraId="4492DEB7">
                  <w:pPr>
                    <w:pStyle w:val="106"/>
                    <w:bidi w:val="0"/>
                    <w:ind w:firstLine="0" w:firstLineChars="0"/>
                    <w:rPr>
                      <w:rFonts w:hint="default"/>
                      <w:color w:val="auto"/>
                      <w:lang w:val="en-US" w:eastAsia="zh-CN"/>
                    </w:rPr>
                  </w:pPr>
                  <w:r>
                    <w:rPr>
                      <w:rFonts w:hint="eastAsia"/>
                      <w:color w:val="auto"/>
                      <w:lang w:val="en-US" w:eastAsia="zh-CN"/>
                    </w:rPr>
                    <w:t>水</w:t>
                  </w:r>
                </w:p>
              </w:tc>
              <w:tc>
                <w:tcPr>
                  <w:tcW w:w="2033" w:type="dxa"/>
                  <w:tcBorders>
                    <w:tl2br w:val="nil"/>
                    <w:tr2bl w:val="nil"/>
                  </w:tcBorders>
                  <w:shd w:val="clear" w:color="auto" w:fill="auto"/>
                  <w:vAlign w:val="center"/>
                </w:tcPr>
                <w:p w14:paraId="0D229C57">
                  <w:pPr>
                    <w:pStyle w:val="106"/>
                    <w:bidi w:val="0"/>
                    <w:rPr>
                      <w:rFonts w:hint="default"/>
                      <w:color w:val="auto"/>
                      <w:lang w:val="en-US" w:eastAsia="zh-CN"/>
                    </w:rPr>
                  </w:pPr>
                  <w:r>
                    <w:rPr>
                      <w:rFonts w:hint="eastAsia"/>
                      <w:color w:val="auto"/>
                      <w:lang w:val="en-US" w:eastAsia="zh-CN"/>
                    </w:rPr>
                    <w:t>1250</w:t>
                  </w:r>
                </w:p>
              </w:tc>
              <w:tc>
                <w:tcPr>
                  <w:tcW w:w="2957" w:type="dxa"/>
                  <w:gridSpan w:val="2"/>
                  <w:tcBorders>
                    <w:tl2br w:val="nil"/>
                    <w:tr2bl w:val="nil"/>
                  </w:tcBorders>
                  <w:vAlign w:val="center"/>
                </w:tcPr>
                <w:p w14:paraId="31F401BD">
                  <w:pPr>
                    <w:pStyle w:val="56"/>
                    <w:spacing w:before="0"/>
                    <w:ind w:right="0" w:rightChars="0" w:firstLine="0" w:firstLineChars="0"/>
                    <w:rPr>
                      <w:rFonts w:hint="default" w:cs="Times New Roman"/>
                      <w:color w:val="auto"/>
                      <w:kern w:val="0"/>
                      <w:sz w:val="21"/>
                      <w:szCs w:val="21"/>
                      <w:highlight w:val="none"/>
                      <w:lang w:val="en-US" w:eastAsia="zh-CN" w:bidi="ar-SA"/>
                    </w:rPr>
                  </w:pPr>
                </w:p>
              </w:tc>
              <w:tc>
                <w:tcPr>
                  <w:tcW w:w="1838" w:type="dxa"/>
                  <w:tcBorders>
                    <w:tl2br w:val="nil"/>
                    <w:tr2bl w:val="nil"/>
                  </w:tcBorders>
                  <w:vAlign w:val="center"/>
                </w:tcPr>
                <w:p w14:paraId="74BB4325">
                  <w:pPr>
                    <w:pStyle w:val="106"/>
                    <w:bidi w:val="0"/>
                    <w:rPr>
                      <w:rFonts w:hint="default"/>
                      <w:color w:val="auto"/>
                      <w:lang w:val="en-US" w:eastAsia="zh-CN"/>
                    </w:rPr>
                  </w:pPr>
                </w:p>
              </w:tc>
            </w:tr>
            <w:tr w14:paraId="43B8C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71" w:type="dxa"/>
                  <w:gridSpan w:val="2"/>
                  <w:tcBorders>
                    <w:tl2br w:val="nil"/>
                    <w:tr2bl w:val="nil"/>
                  </w:tcBorders>
                  <w:shd w:val="clear" w:color="auto" w:fill="auto"/>
                  <w:vAlign w:val="center"/>
                </w:tcPr>
                <w:p w14:paraId="602A19C1">
                  <w:pPr>
                    <w:pStyle w:val="106"/>
                    <w:bidi w:val="0"/>
                    <w:ind w:firstLine="0" w:firstLineChars="0"/>
                    <w:rPr>
                      <w:rFonts w:hint="default"/>
                      <w:b/>
                      <w:bCs/>
                      <w:color w:val="auto"/>
                      <w:lang w:val="en-US" w:eastAsia="zh-CN"/>
                    </w:rPr>
                  </w:pPr>
                  <w:r>
                    <w:rPr>
                      <w:rFonts w:hint="eastAsia"/>
                      <w:b/>
                      <w:bCs/>
                      <w:color w:val="auto"/>
                      <w:lang w:val="en-US" w:eastAsia="zh-CN"/>
                    </w:rPr>
                    <w:t>合计</w:t>
                  </w:r>
                </w:p>
              </w:tc>
              <w:tc>
                <w:tcPr>
                  <w:tcW w:w="2033" w:type="dxa"/>
                  <w:tcBorders>
                    <w:tl2br w:val="nil"/>
                    <w:tr2bl w:val="nil"/>
                  </w:tcBorders>
                  <w:shd w:val="clear" w:color="auto" w:fill="auto"/>
                  <w:vAlign w:val="center"/>
                </w:tcPr>
                <w:p w14:paraId="5E18029D">
                  <w:pPr>
                    <w:pStyle w:val="106"/>
                    <w:bidi w:val="0"/>
                    <w:rPr>
                      <w:rFonts w:hint="default"/>
                      <w:b/>
                      <w:bCs/>
                      <w:color w:val="auto"/>
                      <w:lang w:val="en-US" w:eastAsia="zh-CN"/>
                    </w:rPr>
                  </w:pPr>
                  <w:r>
                    <w:rPr>
                      <w:rFonts w:hint="eastAsia"/>
                      <w:b/>
                      <w:bCs/>
                      <w:color w:val="auto"/>
                      <w:lang w:val="en-US" w:eastAsia="zh-CN"/>
                    </w:rPr>
                    <w:t>4127</w:t>
                  </w:r>
                </w:p>
              </w:tc>
              <w:tc>
                <w:tcPr>
                  <w:tcW w:w="2957" w:type="dxa"/>
                  <w:gridSpan w:val="2"/>
                  <w:tcBorders>
                    <w:tl2br w:val="nil"/>
                    <w:tr2bl w:val="nil"/>
                  </w:tcBorders>
                  <w:vAlign w:val="center"/>
                </w:tcPr>
                <w:p w14:paraId="4EB66E44">
                  <w:pPr>
                    <w:pStyle w:val="56"/>
                    <w:spacing w:before="0"/>
                    <w:ind w:right="0" w:rightChars="0" w:firstLine="0" w:firstLineChars="0"/>
                    <w:rPr>
                      <w:rFonts w:hint="default" w:cs="Times New Roman"/>
                      <w:b/>
                      <w:bCs/>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合计</w:t>
                  </w:r>
                </w:p>
              </w:tc>
              <w:tc>
                <w:tcPr>
                  <w:tcW w:w="1838" w:type="dxa"/>
                  <w:tcBorders>
                    <w:tl2br w:val="nil"/>
                    <w:tr2bl w:val="nil"/>
                  </w:tcBorders>
                  <w:vAlign w:val="center"/>
                </w:tcPr>
                <w:p w14:paraId="5639568C">
                  <w:pPr>
                    <w:pStyle w:val="106"/>
                    <w:bidi w:val="0"/>
                    <w:rPr>
                      <w:rFonts w:hint="default"/>
                      <w:b/>
                      <w:bCs/>
                      <w:color w:val="auto"/>
                      <w:lang w:val="en-US" w:eastAsia="zh-CN"/>
                    </w:rPr>
                  </w:pPr>
                  <w:r>
                    <w:rPr>
                      <w:rFonts w:hint="eastAsia"/>
                      <w:b/>
                      <w:bCs/>
                      <w:color w:val="auto"/>
                      <w:lang w:val="en-US" w:eastAsia="zh-CN"/>
                    </w:rPr>
                    <w:t>4127</w:t>
                  </w:r>
                </w:p>
              </w:tc>
            </w:tr>
            <w:tr w14:paraId="3FA7B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restart"/>
                  <w:tcBorders>
                    <w:tl2br w:val="nil"/>
                    <w:tr2bl w:val="nil"/>
                  </w:tcBorders>
                  <w:vAlign w:val="center"/>
                </w:tcPr>
                <w:p w14:paraId="2868BC2F">
                  <w:pPr>
                    <w:pStyle w:val="106"/>
                    <w:bidi w:val="0"/>
                    <w:rPr>
                      <w:rFonts w:hint="default"/>
                      <w:color w:val="auto"/>
                      <w:lang w:val="en-US" w:eastAsia="zh-CN"/>
                    </w:rPr>
                  </w:pPr>
                  <w:r>
                    <w:rPr>
                      <w:rFonts w:hint="eastAsia"/>
                      <w:b/>
                      <w:bCs/>
                      <w:color w:val="auto"/>
                      <w:lang w:val="en-US" w:eastAsia="zh-CN"/>
                    </w:rPr>
                    <w:t>纸巾生产</w:t>
                  </w:r>
                </w:p>
              </w:tc>
              <w:tc>
                <w:tcPr>
                  <w:tcW w:w="1519" w:type="dxa"/>
                  <w:tcBorders>
                    <w:tl2br w:val="nil"/>
                    <w:tr2bl w:val="nil"/>
                  </w:tcBorders>
                  <w:vAlign w:val="center"/>
                </w:tcPr>
                <w:p w14:paraId="216E007F">
                  <w:pPr>
                    <w:pStyle w:val="106"/>
                    <w:bidi w:val="0"/>
                    <w:rPr>
                      <w:rFonts w:hint="eastAsia"/>
                      <w:color w:val="auto"/>
                      <w:lang w:val="en-US" w:eastAsia="zh-CN"/>
                    </w:rPr>
                  </w:pPr>
                  <w:r>
                    <w:rPr>
                      <w:rFonts w:hint="eastAsia"/>
                      <w:color w:val="auto"/>
                      <w:lang w:val="en-US" w:eastAsia="zh-CN"/>
                    </w:rPr>
                    <w:t>原纸</w:t>
                  </w:r>
                </w:p>
              </w:tc>
              <w:tc>
                <w:tcPr>
                  <w:tcW w:w="2033" w:type="dxa"/>
                  <w:tcBorders>
                    <w:tl2br w:val="nil"/>
                    <w:tr2bl w:val="nil"/>
                  </w:tcBorders>
                  <w:vAlign w:val="center"/>
                </w:tcPr>
                <w:p w14:paraId="4477DBED">
                  <w:pPr>
                    <w:pStyle w:val="106"/>
                    <w:bidi w:val="0"/>
                    <w:rPr>
                      <w:rFonts w:hint="default"/>
                      <w:color w:val="auto"/>
                      <w:lang w:val="en-US" w:eastAsia="zh-CN"/>
                    </w:rPr>
                  </w:pPr>
                  <w:r>
                    <w:rPr>
                      <w:rFonts w:hint="eastAsia"/>
                      <w:color w:val="auto"/>
                      <w:lang w:val="en-US" w:eastAsia="zh-CN"/>
                    </w:rPr>
                    <w:t>5000</w:t>
                  </w:r>
                </w:p>
              </w:tc>
              <w:tc>
                <w:tcPr>
                  <w:tcW w:w="2957" w:type="dxa"/>
                  <w:gridSpan w:val="2"/>
                  <w:tcBorders>
                    <w:tl2br w:val="nil"/>
                    <w:tr2bl w:val="nil"/>
                  </w:tcBorders>
                  <w:shd w:val="clear" w:color="auto" w:fill="auto"/>
                  <w:vAlign w:val="center"/>
                </w:tcPr>
                <w:p w14:paraId="66B84068">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纸巾</w:t>
                  </w:r>
                </w:p>
              </w:tc>
              <w:tc>
                <w:tcPr>
                  <w:tcW w:w="1838" w:type="dxa"/>
                  <w:tcBorders>
                    <w:tl2br w:val="nil"/>
                    <w:tr2bl w:val="nil"/>
                  </w:tcBorders>
                  <w:shd w:val="clear" w:color="auto" w:fill="auto"/>
                  <w:vAlign w:val="center"/>
                </w:tcPr>
                <w:p w14:paraId="35A5D74A">
                  <w:pPr>
                    <w:pStyle w:val="106"/>
                    <w:bidi w:val="0"/>
                    <w:ind w:firstLine="0" w:firstLineChars="0"/>
                    <w:rPr>
                      <w:rFonts w:hint="default" w:ascii="Times New Roman" w:hAnsi="Times New Roman" w:eastAsia="宋体" w:cs="Times New Roman"/>
                      <w:kern w:val="2"/>
                      <w:sz w:val="21"/>
                      <w:szCs w:val="21"/>
                      <w:lang w:val="en-US" w:eastAsia="zh-CN" w:bidi="ar-SA"/>
                    </w:rPr>
                  </w:pPr>
                  <w:r>
                    <w:rPr>
                      <w:rFonts w:hint="default"/>
                      <w:lang w:val="en-US" w:eastAsia="zh-CN"/>
                    </w:rPr>
                    <w:t>4900</w:t>
                  </w:r>
                </w:p>
              </w:tc>
            </w:tr>
            <w:tr w14:paraId="0B9C4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vAlign w:val="center"/>
                </w:tcPr>
                <w:p w14:paraId="679C6CDC">
                  <w:pPr>
                    <w:pStyle w:val="106"/>
                    <w:bidi w:val="0"/>
                    <w:rPr>
                      <w:rFonts w:hint="eastAsia"/>
                      <w:color w:val="auto"/>
                      <w:lang w:val="en-US" w:eastAsia="zh-CN"/>
                    </w:rPr>
                  </w:pPr>
                </w:p>
              </w:tc>
              <w:tc>
                <w:tcPr>
                  <w:tcW w:w="1519" w:type="dxa"/>
                  <w:tcBorders>
                    <w:tl2br w:val="nil"/>
                    <w:tr2bl w:val="nil"/>
                  </w:tcBorders>
                  <w:vAlign w:val="center"/>
                </w:tcPr>
                <w:p w14:paraId="5292643B">
                  <w:pPr>
                    <w:pStyle w:val="106"/>
                    <w:bidi w:val="0"/>
                    <w:rPr>
                      <w:rFonts w:hint="eastAsia"/>
                      <w:color w:val="auto"/>
                      <w:lang w:val="en-US" w:eastAsia="zh-CN"/>
                    </w:rPr>
                  </w:pPr>
                </w:p>
              </w:tc>
              <w:tc>
                <w:tcPr>
                  <w:tcW w:w="2033" w:type="dxa"/>
                  <w:tcBorders>
                    <w:tl2br w:val="nil"/>
                    <w:tr2bl w:val="nil"/>
                  </w:tcBorders>
                  <w:vAlign w:val="center"/>
                </w:tcPr>
                <w:p w14:paraId="200043DA">
                  <w:pPr>
                    <w:pStyle w:val="106"/>
                    <w:bidi w:val="0"/>
                    <w:rPr>
                      <w:rFonts w:hint="eastAsia"/>
                      <w:color w:val="auto"/>
                      <w:lang w:val="en-US" w:eastAsia="zh-CN"/>
                    </w:rPr>
                  </w:pPr>
                </w:p>
              </w:tc>
              <w:tc>
                <w:tcPr>
                  <w:tcW w:w="1075" w:type="dxa"/>
                  <w:vMerge w:val="restart"/>
                  <w:tcBorders>
                    <w:tl2br w:val="nil"/>
                    <w:tr2bl w:val="nil"/>
                  </w:tcBorders>
                  <w:shd w:val="clear" w:color="auto" w:fill="auto"/>
                  <w:vAlign w:val="center"/>
                </w:tcPr>
                <w:p w14:paraId="58B485E3">
                  <w:pPr>
                    <w:pStyle w:val="106"/>
                    <w:bidi w:val="0"/>
                    <w:ind w:firstLine="0" w:firstLineChars="0"/>
                    <w:rPr>
                      <w:rFonts w:hint="default"/>
                      <w:lang w:val="en-US" w:eastAsia="zh-CN"/>
                    </w:rPr>
                  </w:pPr>
                  <w:r>
                    <w:rPr>
                      <w:rFonts w:hint="eastAsia"/>
                      <w:lang w:val="en-US" w:eastAsia="zh-CN"/>
                    </w:rPr>
                    <w:t>固废</w:t>
                  </w:r>
                </w:p>
              </w:tc>
              <w:tc>
                <w:tcPr>
                  <w:tcW w:w="1882" w:type="dxa"/>
                  <w:tcBorders>
                    <w:tl2br w:val="nil"/>
                    <w:tr2bl w:val="nil"/>
                  </w:tcBorders>
                  <w:shd w:val="clear" w:color="auto" w:fill="auto"/>
                  <w:vAlign w:val="center"/>
                </w:tcPr>
                <w:p w14:paraId="43F8B7D1">
                  <w:pPr>
                    <w:pStyle w:val="106"/>
                    <w:bidi w:val="0"/>
                    <w:ind w:firstLine="0" w:firstLineChars="0"/>
                    <w:rPr>
                      <w:rFonts w:hint="eastAsia"/>
                      <w:lang w:val="en-US" w:eastAsia="zh-CN"/>
                    </w:rPr>
                  </w:pPr>
                  <w:r>
                    <w:rPr>
                      <w:rFonts w:hint="eastAsia"/>
                      <w:color w:val="auto"/>
                      <w:lang w:val="en-US" w:eastAsia="zh-CN"/>
                    </w:rPr>
                    <w:t>不合格原料</w:t>
                  </w:r>
                </w:p>
              </w:tc>
              <w:tc>
                <w:tcPr>
                  <w:tcW w:w="1838" w:type="dxa"/>
                  <w:tcBorders>
                    <w:tl2br w:val="nil"/>
                    <w:tr2bl w:val="nil"/>
                  </w:tcBorders>
                  <w:shd w:val="clear" w:color="auto" w:fill="auto"/>
                  <w:vAlign w:val="center"/>
                </w:tcPr>
                <w:p w14:paraId="2F05EBA6">
                  <w:pPr>
                    <w:pStyle w:val="106"/>
                    <w:bidi w:val="0"/>
                    <w:ind w:firstLine="0" w:firstLineChars="0"/>
                    <w:rPr>
                      <w:rFonts w:hint="default"/>
                      <w:lang w:val="en-US" w:eastAsia="zh-CN"/>
                    </w:rPr>
                  </w:pPr>
                  <w:r>
                    <w:rPr>
                      <w:rFonts w:hint="eastAsia"/>
                      <w:lang w:val="en-US" w:eastAsia="zh-CN"/>
                    </w:rPr>
                    <w:t>25</w:t>
                  </w:r>
                </w:p>
              </w:tc>
            </w:tr>
            <w:tr w14:paraId="71510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52" w:type="dxa"/>
                  <w:vMerge w:val="continue"/>
                  <w:tcBorders>
                    <w:tl2br w:val="nil"/>
                    <w:tr2bl w:val="nil"/>
                  </w:tcBorders>
                  <w:vAlign w:val="center"/>
                </w:tcPr>
                <w:p w14:paraId="05887579">
                  <w:pPr>
                    <w:pStyle w:val="106"/>
                    <w:bidi w:val="0"/>
                    <w:rPr>
                      <w:rFonts w:hint="eastAsia"/>
                      <w:color w:val="auto"/>
                      <w:lang w:val="en-US" w:eastAsia="zh-CN"/>
                    </w:rPr>
                  </w:pPr>
                </w:p>
              </w:tc>
              <w:tc>
                <w:tcPr>
                  <w:tcW w:w="1519" w:type="dxa"/>
                  <w:tcBorders>
                    <w:tl2br w:val="nil"/>
                    <w:tr2bl w:val="nil"/>
                  </w:tcBorders>
                  <w:vAlign w:val="center"/>
                </w:tcPr>
                <w:p w14:paraId="437E3EBE">
                  <w:pPr>
                    <w:pStyle w:val="106"/>
                    <w:bidi w:val="0"/>
                    <w:rPr>
                      <w:rFonts w:hint="eastAsia"/>
                      <w:color w:val="auto"/>
                      <w:lang w:val="en-US" w:eastAsia="zh-CN"/>
                    </w:rPr>
                  </w:pPr>
                </w:p>
              </w:tc>
              <w:tc>
                <w:tcPr>
                  <w:tcW w:w="2033" w:type="dxa"/>
                  <w:tcBorders>
                    <w:tl2br w:val="nil"/>
                    <w:tr2bl w:val="nil"/>
                  </w:tcBorders>
                  <w:vAlign w:val="center"/>
                </w:tcPr>
                <w:p w14:paraId="1BCB722A">
                  <w:pPr>
                    <w:pStyle w:val="106"/>
                    <w:bidi w:val="0"/>
                    <w:rPr>
                      <w:rFonts w:hint="eastAsia"/>
                      <w:color w:val="auto"/>
                      <w:lang w:val="en-US" w:eastAsia="zh-CN"/>
                    </w:rPr>
                  </w:pPr>
                </w:p>
              </w:tc>
              <w:tc>
                <w:tcPr>
                  <w:tcW w:w="1075" w:type="dxa"/>
                  <w:vMerge w:val="continue"/>
                  <w:tcBorders>
                    <w:tl2br w:val="nil"/>
                    <w:tr2bl w:val="nil"/>
                  </w:tcBorders>
                  <w:shd w:val="clear" w:color="auto" w:fill="auto"/>
                  <w:vAlign w:val="center"/>
                </w:tcPr>
                <w:p w14:paraId="46AA9FB9">
                  <w:pPr>
                    <w:pStyle w:val="106"/>
                    <w:bidi w:val="0"/>
                    <w:ind w:firstLine="0" w:firstLineChars="0"/>
                    <w:rPr>
                      <w:rFonts w:hint="eastAsia"/>
                      <w:lang w:val="en-US" w:eastAsia="zh-CN"/>
                    </w:rPr>
                  </w:pPr>
                </w:p>
              </w:tc>
              <w:tc>
                <w:tcPr>
                  <w:tcW w:w="1882" w:type="dxa"/>
                  <w:tcBorders>
                    <w:tl2br w:val="nil"/>
                    <w:tr2bl w:val="nil"/>
                  </w:tcBorders>
                  <w:shd w:val="clear" w:color="auto" w:fill="auto"/>
                  <w:vAlign w:val="center"/>
                </w:tcPr>
                <w:p w14:paraId="3A2F90DD">
                  <w:pPr>
                    <w:pStyle w:val="106"/>
                    <w:bidi w:val="0"/>
                    <w:ind w:firstLine="0" w:firstLineChars="0"/>
                    <w:rPr>
                      <w:rFonts w:hint="eastAsia"/>
                      <w:lang w:val="en-US" w:eastAsia="zh-CN"/>
                    </w:rPr>
                  </w:pPr>
                  <w:r>
                    <w:rPr>
                      <w:rFonts w:hint="eastAsia"/>
                      <w:color w:val="auto"/>
                      <w:lang w:val="en-US" w:eastAsia="zh-CN"/>
                    </w:rPr>
                    <w:t>不合格品</w:t>
                  </w:r>
                </w:p>
              </w:tc>
              <w:tc>
                <w:tcPr>
                  <w:tcW w:w="1838" w:type="dxa"/>
                  <w:tcBorders>
                    <w:tl2br w:val="nil"/>
                    <w:tr2bl w:val="nil"/>
                  </w:tcBorders>
                  <w:shd w:val="clear" w:color="auto" w:fill="auto"/>
                  <w:vAlign w:val="center"/>
                </w:tcPr>
                <w:p w14:paraId="101EAE24">
                  <w:pPr>
                    <w:pStyle w:val="106"/>
                    <w:bidi w:val="0"/>
                    <w:ind w:firstLine="0" w:firstLineChars="0"/>
                    <w:rPr>
                      <w:rFonts w:hint="default"/>
                      <w:lang w:val="en-US" w:eastAsia="zh-CN"/>
                    </w:rPr>
                  </w:pPr>
                  <w:r>
                    <w:rPr>
                      <w:rFonts w:hint="eastAsia"/>
                      <w:lang w:val="en-US" w:eastAsia="zh-CN"/>
                    </w:rPr>
                    <w:t>75</w:t>
                  </w:r>
                </w:p>
              </w:tc>
            </w:tr>
            <w:tr w14:paraId="1D30A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371" w:type="dxa"/>
                  <w:gridSpan w:val="2"/>
                  <w:tcBorders>
                    <w:tl2br w:val="nil"/>
                    <w:tr2bl w:val="nil"/>
                  </w:tcBorders>
                  <w:vAlign w:val="center"/>
                </w:tcPr>
                <w:p w14:paraId="71B18DA4">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合计</w:t>
                  </w:r>
                </w:p>
              </w:tc>
              <w:tc>
                <w:tcPr>
                  <w:tcW w:w="2033" w:type="dxa"/>
                  <w:tcBorders>
                    <w:tl2br w:val="nil"/>
                    <w:tr2bl w:val="nil"/>
                  </w:tcBorders>
                  <w:vAlign w:val="center"/>
                </w:tcPr>
                <w:p w14:paraId="6A5D2E4F">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5000</w:t>
                  </w:r>
                </w:p>
              </w:tc>
              <w:tc>
                <w:tcPr>
                  <w:tcW w:w="2957" w:type="dxa"/>
                  <w:gridSpan w:val="2"/>
                  <w:tcBorders>
                    <w:tl2br w:val="nil"/>
                    <w:tr2bl w:val="nil"/>
                  </w:tcBorders>
                  <w:vAlign w:val="center"/>
                </w:tcPr>
                <w:p w14:paraId="755BCF07">
                  <w:pPr>
                    <w:widowControl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合计</w:t>
                  </w:r>
                </w:p>
              </w:tc>
              <w:tc>
                <w:tcPr>
                  <w:tcW w:w="1838" w:type="dxa"/>
                  <w:tcBorders>
                    <w:tl2br w:val="nil"/>
                    <w:tr2bl w:val="nil"/>
                  </w:tcBorders>
                  <w:vAlign w:val="center"/>
                </w:tcPr>
                <w:p w14:paraId="1C5D5067">
                  <w:pPr>
                    <w:widowControl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5000</w:t>
                  </w:r>
                </w:p>
              </w:tc>
            </w:tr>
          </w:tbl>
          <w:p w14:paraId="5451E79B">
            <w:pPr>
              <w:keepNext w:val="0"/>
              <w:keepLines w:val="0"/>
              <w:pageBreakBefore w:val="0"/>
              <w:widowControl w:val="0"/>
              <w:kinsoku/>
              <w:wordWrap/>
              <w:overflowPunct/>
              <w:topLinePunct w:val="0"/>
              <w:autoSpaceDE w:val="0"/>
              <w:autoSpaceDN w:val="0"/>
              <w:bidi w:val="0"/>
              <w:adjustRightInd w:val="0"/>
              <w:snapToGrid w:val="0"/>
              <w:spacing w:before="120"/>
              <w:ind w:firstLine="482"/>
              <w:textAlignment w:val="auto"/>
              <w:rPr>
                <w:rFonts w:hint="eastAsia" w:ascii="黑体" w:hAnsi="黑体" w:eastAsia="黑体" w:cs="黑体"/>
                <w:b/>
                <w:bCs/>
                <w:color w:val="auto"/>
                <w:sz w:val="24"/>
                <w:szCs w:val="32"/>
                <w:highlight w:val="none"/>
              </w:rPr>
            </w:pPr>
            <w:r>
              <w:rPr>
                <w:rFonts w:hint="eastAsia" w:ascii="黑体" w:hAnsi="黑体" w:eastAsia="黑体" w:cs="黑体"/>
                <w:b/>
                <w:bCs/>
                <w:color w:val="auto"/>
                <w:sz w:val="24"/>
                <w:szCs w:val="32"/>
                <w:highlight w:val="none"/>
                <w:lang w:val="en-US" w:eastAsia="zh-CN"/>
              </w:rPr>
              <w:t>10</w:t>
            </w:r>
            <w:r>
              <w:rPr>
                <w:rFonts w:hint="eastAsia" w:ascii="黑体" w:hAnsi="黑体" w:eastAsia="黑体" w:cs="黑体"/>
                <w:b/>
                <w:bCs/>
                <w:color w:val="auto"/>
                <w:sz w:val="24"/>
                <w:szCs w:val="32"/>
                <w:highlight w:val="none"/>
              </w:rPr>
              <w:t>、厂区平面布置</w:t>
            </w:r>
          </w:p>
          <w:p w14:paraId="0970AD59">
            <w:pPr>
              <w:pStyle w:val="51"/>
              <w:kinsoku/>
              <w:spacing w:line="360" w:lineRule="auto"/>
              <w:ind w:firstLine="480" w:firstLineChars="200"/>
              <w:jc w:val="left"/>
              <w:rPr>
                <w:rFonts w:hint="default" w:eastAsia="宋体"/>
                <w:color w:val="auto"/>
                <w:sz w:val="24"/>
                <w:highlight w:val="none"/>
                <w:lang w:val="en-US" w:eastAsia="zh-CN"/>
              </w:rPr>
            </w:pPr>
            <w:r>
              <w:rPr>
                <w:rFonts w:hint="eastAsia"/>
                <w:color w:val="auto"/>
                <w:sz w:val="24"/>
                <w:highlight w:val="none"/>
                <w:lang w:val="en-US" w:eastAsia="zh-CN"/>
              </w:rPr>
              <w:t>本项目厂区主要设一车间（1F）、二车间（2F）、综合楼、停车区等。一车间主要进行纸制品生产，二车间一层主要进行午餐肉罐头生产、二车间二层主要进行冻干食品生产。具体平面布置见附图。</w:t>
            </w:r>
          </w:p>
          <w:p w14:paraId="78684A1D">
            <w:pPr>
              <w:pStyle w:val="51"/>
              <w:kinsoku/>
              <w:spacing w:line="360" w:lineRule="auto"/>
              <w:ind w:firstLine="480" w:firstLineChars="200"/>
              <w:jc w:val="left"/>
              <w:rPr>
                <w:color w:val="auto"/>
                <w:sz w:val="24"/>
                <w:highlight w:val="none"/>
              </w:rPr>
            </w:pPr>
            <w:r>
              <w:rPr>
                <w:rFonts w:hint="eastAsia"/>
                <w:color w:val="auto"/>
                <w:sz w:val="24"/>
                <w:highlight w:val="none"/>
              </w:rPr>
              <w:t>（1）总平面布置合理性</w:t>
            </w:r>
          </w:p>
          <w:p w14:paraId="53F0332B">
            <w:pPr>
              <w:pStyle w:val="51"/>
              <w:kinsoku/>
              <w:spacing w:line="360" w:lineRule="auto"/>
              <w:ind w:firstLine="480" w:firstLineChars="200"/>
              <w:jc w:val="left"/>
              <w:rPr>
                <w:color w:val="auto"/>
                <w:sz w:val="24"/>
                <w:highlight w:val="none"/>
              </w:rPr>
            </w:pPr>
            <w:r>
              <w:rPr>
                <w:rFonts w:hint="eastAsia"/>
                <w:color w:val="auto"/>
                <w:sz w:val="24"/>
                <w:highlight w:val="none"/>
              </w:rPr>
              <w:t>本项目遵循“以生产系统为核心、按功能分区、物流优化和环境美化”的原则，根据生产使用要求，结合场地条件，因地制宜对厂区进行总体规划、合理布置，使厂区总平面布置做到了节约用地，物流顺畅，人流短捷，满足工艺流程需要，运输方便。</w:t>
            </w:r>
          </w:p>
          <w:p w14:paraId="40E7E38B">
            <w:pPr>
              <w:pStyle w:val="51"/>
              <w:kinsoku/>
              <w:spacing w:line="360" w:lineRule="auto"/>
              <w:ind w:firstLine="480" w:firstLineChars="200"/>
              <w:jc w:val="left"/>
              <w:rPr>
                <w:color w:val="auto"/>
                <w:sz w:val="24"/>
                <w:highlight w:val="none"/>
              </w:rPr>
            </w:pPr>
            <w:r>
              <w:rPr>
                <w:rFonts w:hint="eastAsia"/>
                <w:color w:val="auto"/>
                <w:sz w:val="24"/>
                <w:highlight w:val="none"/>
              </w:rPr>
              <w:t>（2）车间布局合理性</w:t>
            </w:r>
          </w:p>
          <w:p w14:paraId="1B112D0E">
            <w:pPr>
              <w:pStyle w:val="51"/>
              <w:kinsoku/>
              <w:spacing w:line="360" w:lineRule="auto"/>
              <w:ind w:firstLine="480" w:firstLineChars="200"/>
              <w:jc w:val="left"/>
              <w:rPr>
                <w:color w:val="auto"/>
                <w:sz w:val="24"/>
                <w:highlight w:val="none"/>
              </w:rPr>
            </w:pPr>
            <w:r>
              <w:rPr>
                <w:rFonts w:hint="eastAsia"/>
                <w:color w:val="auto"/>
                <w:sz w:val="24"/>
                <w:highlight w:val="none"/>
              </w:rPr>
              <w:t>本项目</w:t>
            </w:r>
            <w:r>
              <w:rPr>
                <w:rFonts w:hint="eastAsia"/>
                <w:color w:val="auto"/>
                <w:sz w:val="24"/>
                <w:highlight w:val="none"/>
                <w:lang w:val="en-US" w:eastAsia="zh-CN"/>
              </w:rPr>
              <w:t>拟设各产品</w:t>
            </w:r>
            <w:r>
              <w:rPr>
                <w:rFonts w:hint="eastAsia"/>
                <w:color w:val="auto"/>
                <w:sz w:val="24"/>
                <w:highlight w:val="none"/>
              </w:rPr>
              <w:t>生产</w:t>
            </w:r>
            <w:r>
              <w:rPr>
                <w:rFonts w:hint="eastAsia"/>
                <w:color w:val="auto"/>
                <w:sz w:val="24"/>
                <w:highlight w:val="none"/>
                <w:lang w:val="en-US" w:eastAsia="zh-CN"/>
              </w:rPr>
              <w:t>车间</w:t>
            </w:r>
            <w:r>
              <w:rPr>
                <w:rFonts w:hint="eastAsia"/>
                <w:color w:val="auto"/>
                <w:sz w:val="24"/>
                <w:highlight w:val="none"/>
              </w:rPr>
              <w:t>内加工区均按工序依次设置。各</w:t>
            </w:r>
            <w:r>
              <w:rPr>
                <w:rFonts w:hint="eastAsia"/>
                <w:color w:val="auto"/>
                <w:sz w:val="24"/>
                <w:highlight w:val="none"/>
                <w:lang w:val="en-US" w:eastAsia="zh-CN"/>
              </w:rPr>
              <w:t>原辅料暂存区</w:t>
            </w:r>
            <w:r>
              <w:rPr>
                <w:rFonts w:hint="eastAsia"/>
                <w:color w:val="auto"/>
                <w:sz w:val="24"/>
                <w:highlight w:val="none"/>
              </w:rPr>
              <w:t>靠近生产前段工艺，便于生产物料的运输</w:t>
            </w:r>
            <w:r>
              <w:rPr>
                <w:rFonts w:hint="eastAsia"/>
                <w:color w:val="auto"/>
                <w:sz w:val="24"/>
                <w:highlight w:val="none"/>
                <w:lang w:eastAsia="zh-CN"/>
              </w:rPr>
              <w:t>，</w:t>
            </w:r>
            <w:r>
              <w:rPr>
                <w:rFonts w:hint="eastAsia"/>
                <w:color w:val="auto"/>
                <w:sz w:val="24"/>
                <w:highlight w:val="none"/>
                <w:lang w:val="en-US" w:eastAsia="zh-CN"/>
              </w:rPr>
              <w:t>有利于生产的连续性</w:t>
            </w:r>
            <w:r>
              <w:rPr>
                <w:rFonts w:hint="eastAsia"/>
                <w:color w:val="auto"/>
                <w:sz w:val="24"/>
                <w:highlight w:val="none"/>
              </w:rPr>
              <w:t>。成品</w:t>
            </w:r>
            <w:r>
              <w:rPr>
                <w:rFonts w:hint="eastAsia"/>
                <w:color w:val="auto"/>
                <w:sz w:val="24"/>
                <w:highlight w:val="none"/>
                <w:lang w:val="en-US" w:eastAsia="zh-CN"/>
              </w:rPr>
              <w:t>区</w:t>
            </w:r>
            <w:r>
              <w:rPr>
                <w:rFonts w:hint="eastAsia"/>
                <w:color w:val="auto"/>
                <w:sz w:val="24"/>
                <w:highlight w:val="none"/>
              </w:rPr>
              <w:t>临近</w:t>
            </w:r>
            <w:r>
              <w:rPr>
                <w:rFonts w:hint="eastAsia"/>
                <w:color w:val="auto"/>
                <w:sz w:val="24"/>
                <w:highlight w:val="none"/>
                <w:lang w:val="en-US" w:eastAsia="zh-CN"/>
              </w:rPr>
              <w:t>生产车间货物进出口</w:t>
            </w:r>
            <w:r>
              <w:rPr>
                <w:rFonts w:hint="eastAsia"/>
                <w:color w:val="auto"/>
                <w:sz w:val="24"/>
                <w:highlight w:val="none"/>
              </w:rPr>
              <w:t>。便于</w:t>
            </w:r>
            <w:r>
              <w:rPr>
                <w:rFonts w:hint="eastAsia"/>
                <w:color w:val="auto"/>
                <w:sz w:val="24"/>
                <w:highlight w:val="none"/>
                <w:lang w:val="en-US" w:eastAsia="zh-CN"/>
              </w:rPr>
              <w:t>检验完成后产品</w:t>
            </w:r>
            <w:r>
              <w:rPr>
                <w:rFonts w:hint="eastAsia"/>
                <w:color w:val="auto"/>
                <w:sz w:val="24"/>
                <w:highlight w:val="none"/>
              </w:rPr>
              <w:t>的出厂。</w:t>
            </w:r>
            <w:r>
              <w:rPr>
                <w:rFonts w:hint="eastAsia"/>
                <w:color w:val="auto"/>
                <w:sz w:val="24"/>
                <w:highlight w:val="none"/>
                <w:lang w:val="en-US" w:eastAsia="zh-CN"/>
              </w:rPr>
              <w:t>项目办公楼位于厂区西南侧，紧邻生产车间</w:t>
            </w:r>
            <w:r>
              <w:rPr>
                <w:rFonts w:hint="eastAsia"/>
                <w:color w:val="auto"/>
                <w:sz w:val="24"/>
                <w:highlight w:val="none"/>
              </w:rPr>
              <w:t>，与生产区隔断，受到的影响较小，做到人流、物流各不干扰。</w:t>
            </w:r>
          </w:p>
          <w:p w14:paraId="7CFA3897">
            <w:pPr>
              <w:pStyle w:val="51"/>
              <w:kinsoku/>
              <w:spacing w:line="360" w:lineRule="auto"/>
              <w:ind w:firstLine="480" w:firstLineChars="200"/>
              <w:jc w:val="left"/>
              <w:rPr>
                <w:color w:val="auto"/>
                <w:sz w:val="24"/>
                <w:highlight w:val="none"/>
              </w:rPr>
            </w:pPr>
            <w:r>
              <w:rPr>
                <w:rFonts w:hint="eastAsia"/>
                <w:color w:val="auto"/>
                <w:sz w:val="24"/>
                <w:highlight w:val="none"/>
              </w:rPr>
              <w:t>（3）环保设备布局合理性</w:t>
            </w:r>
          </w:p>
          <w:p w14:paraId="2659F623">
            <w:pPr>
              <w:pStyle w:val="51"/>
              <w:kinsoku/>
              <w:spacing w:line="360" w:lineRule="auto"/>
              <w:ind w:firstLine="480" w:firstLineChars="200"/>
              <w:jc w:val="left"/>
              <w:rPr>
                <w:rFonts w:hint="default"/>
                <w:color w:val="auto"/>
                <w:sz w:val="24"/>
                <w:highlight w:val="none"/>
                <w:lang w:val="en-US"/>
              </w:rPr>
            </w:pPr>
            <w:r>
              <w:rPr>
                <w:rFonts w:hint="eastAsia"/>
                <w:bCs w:val="0"/>
                <w:color w:val="auto"/>
                <w:highlight w:val="none"/>
                <w:lang w:val="en-US" w:eastAsia="zh-CN"/>
              </w:rPr>
              <w:t>本项目生产过程中主要产生天然气燃烧废气、生产废水等。蒸汽发生器天然气拟低氮燃烧处理后经1根15m排气筒DA001排放；纸巾生产过程中切纸等工序会产生少量粉尘，拟直接无组织排放；项目综合废水拟经污水处理池（容积</w:t>
            </w:r>
            <w:r>
              <w:rPr>
                <w:rFonts w:hint="eastAsia" w:cs="Times New Roman"/>
                <w:color w:val="auto"/>
                <w:kern w:val="0"/>
                <w:sz w:val="24"/>
                <w:highlight w:val="none"/>
                <w:lang w:val="en-US" w:eastAsia="zh-CN"/>
              </w:rPr>
              <w:t>60m</w:t>
            </w:r>
            <w:r>
              <w:rPr>
                <w:rFonts w:hint="eastAsia" w:cs="Times New Roman"/>
                <w:color w:val="auto"/>
                <w:kern w:val="0"/>
                <w:sz w:val="24"/>
                <w:highlight w:val="none"/>
                <w:vertAlign w:val="superscript"/>
                <w:lang w:val="en-US" w:eastAsia="zh-CN"/>
              </w:rPr>
              <w:t>3</w:t>
            </w:r>
            <w:r>
              <w:rPr>
                <w:rFonts w:hint="eastAsia"/>
                <w:bCs w:val="0"/>
                <w:color w:val="auto"/>
                <w:highlight w:val="none"/>
                <w:lang w:val="en-US" w:eastAsia="zh-CN"/>
              </w:rPr>
              <w:t>）治理达标后排入园区污水管网；</w:t>
            </w:r>
            <w:r>
              <w:rPr>
                <w:rFonts w:hint="eastAsia"/>
                <w:color w:val="auto"/>
                <w:sz w:val="24"/>
                <w:highlight w:val="none"/>
              </w:rPr>
              <w:t>一般固废暂存</w:t>
            </w:r>
            <w:r>
              <w:rPr>
                <w:rFonts w:hint="eastAsia"/>
                <w:color w:val="auto"/>
                <w:sz w:val="24"/>
                <w:highlight w:val="none"/>
                <w:lang w:val="en-US" w:eastAsia="zh-CN"/>
              </w:rPr>
              <w:t>间拟设置</w:t>
            </w:r>
            <w:r>
              <w:rPr>
                <w:rFonts w:hint="eastAsia"/>
                <w:color w:val="auto"/>
                <w:sz w:val="24"/>
                <w:highlight w:val="none"/>
              </w:rPr>
              <w:t>于</w:t>
            </w:r>
            <w:r>
              <w:rPr>
                <w:rFonts w:hint="eastAsia"/>
                <w:color w:val="auto"/>
                <w:sz w:val="24"/>
                <w:highlight w:val="none"/>
                <w:lang w:val="en-US" w:eastAsia="zh-CN"/>
              </w:rPr>
              <w:t>一车间、二车间一层，</w:t>
            </w:r>
            <w:r>
              <w:rPr>
                <w:rFonts w:hint="eastAsia"/>
                <w:color w:val="auto"/>
                <w:sz w:val="24"/>
                <w:highlight w:val="none"/>
              </w:rPr>
              <w:t>危废暂存间</w:t>
            </w:r>
            <w:r>
              <w:rPr>
                <w:rFonts w:hint="eastAsia"/>
                <w:color w:val="auto"/>
                <w:sz w:val="24"/>
                <w:highlight w:val="none"/>
                <w:lang w:val="en-US" w:eastAsia="zh-CN"/>
              </w:rPr>
              <w:t>拟设于项目综合楼1F</w:t>
            </w:r>
            <w:r>
              <w:rPr>
                <w:rFonts w:hint="eastAsia"/>
                <w:color w:val="auto"/>
                <w:sz w:val="24"/>
                <w:highlight w:val="none"/>
              </w:rPr>
              <w:t>，紧邻通道并直通出口，便于转运</w:t>
            </w:r>
            <w:r>
              <w:rPr>
                <w:rFonts w:hint="eastAsia"/>
                <w:bCs w:val="0"/>
                <w:color w:val="auto"/>
                <w:highlight w:val="none"/>
              </w:rPr>
              <w:t>。</w:t>
            </w:r>
            <w:r>
              <w:rPr>
                <w:rFonts w:hint="eastAsia"/>
                <w:color w:val="auto"/>
                <w:szCs w:val="21"/>
                <w:highlight w:val="none"/>
                <w:lang w:val="en-US" w:eastAsia="zh-CN"/>
              </w:rPr>
              <w:t>项目运营期按照上述措施实施后对环境保护目标的影响较小，项目环保设备布局合理。</w:t>
            </w:r>
          </w:p>
          <w:p w14:paraId="286D6596">
            <w:pPr>
              <w:ind w:firstLine="480"/>
              <w:rPr>
                <w:rFonts w:hint="eastAsia"/>
                <w:color w:val="auto"/>
                <w:sz w:val="24"/>
                <w:highlight w:val="none"/>
                <w:lang w:eastAsia="zh-CN"/>
              </w:rPr>
            </w:pPr>
            <w:r>
              <w:rPr>
                <w:rFonts w:hint="eastAsia"/>
                <w:color w:val="auto"/>
                <w:sz w:val="24"/>
                <w:highlight w:val="none"/>
              </w:rPr>
              <w:t>综上，本项目总平面布置功能分区明确，各项配套设施均于整体布局中充分考虑，总图布置上考虑了环保要求，本项目总平面布置是合理的</w:t>
            </w:r>
            <w:r>
              <w:rPr>
                <w:rFonts w:hint="eastAsia"/>
                <w:color w:val="auto"/>
                <w:sz w:val="24"/>
                <w:highlight w:val="none"/>
                <w:lang w:eastAsia="zh-CN"/>
              </w:rPr>
              <w:t>。</w:t>
            </w:r>
          </w:p>
        </w:tc>
      </w:tr>
      <w:tr w14:paraId="1998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450" w:type="dxa"/>
            <w:vAlign w:val="center"/>
          </w:tcPr>
          <w:p w14:paraId="0859170B">
            <w:pPr>
              <w:pStyle w:val="44"/>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ascii="Times New Roman" w:hAnsi="Times New Roman"/>
                <w:color w:val="auto"/>
                <w:sz w:val="24"/>
                <w:szCs w:val="24"/>
                <w:highlight w:val="none"/>
              </w:rPr>
            </w:pPr>
            <w:r>
              <w:rPr>
                <w:rFonts w:ascii="Times New Roman" w:hAnsi="Times New Roman"/>
                <w:b/>
                <w:bCs/>
                <w:color w:val="auto"/>
                <w:sz w:val="24"/>
                <w:szCs w:val="24"/>
                <w:highlight w:val="none"/>
              </w:rPr>
              <w:t>工艺流程和产排污环节</w:t>
            </w:r>
          </w:p>
        </w:tc>
        <w:tc>
          <w:tcPr>
            <w:tcW w:w="9403" w:type="dxa"/>
          </w:tcPr>
          <w:p w14:paraId="3C2FD3D7">
            <w:pPr>
              <w:bidi w:val="0"/>
              <w:rPr>
                <w:rFonts w:hint="eastAsia" w:ascii="黑体" w:hAnsi="黑体" w:eastAsia="黑体" w:cs="黑体"/>
                <w:b/>
                <w:bCs/>
                <w:color w:val="auto"/>
                <w:highlight w:val="none"/>
              </w:rPr>
            </w:pPr>
            <w:r>
              <w:rPr>
                <w:rFonts w:hint="eastAsia" w:ascii="黑体" w:hAnsi="黑体" w:eastAsia="黑体" w:cs="黑体"/>
                <w:b/>
                <w:bCs/>
                <w:color w:val="auto"/>
                <w:highlight w:val="none"/>
              </w:rPr>
              <w:t>一、施工期工艺流程</w:t>
            </w:r>
          </w:p>
          <w:p w14:paraId="7ECA98A4">
            <w:pPr>
              <w:bidi w:val="0"/>
              <w:rPr>
                <w:rFonts w:hint="default"/>
                <w:b/>
                <w:bCs/>
                <w:color w:val="auto"/>
                <w:highlight w:val="none"/>
                <w:lang w:val="en-US" w:eastAsia="zh-CN"/>
              </w:rPr>
            </w:pPr>
            <w:r>
              <w:rPr>
                <w:rFonts w:hint="eastAsia"/>
                <w:b/>
                <w:bCs/>
                <w:color w:val="auto"/>
                <w:highlight w:val="none"/>
                <w:lang w:val="en-US" w:eastAsia="zh-CN"/>
              </w:rPr>
              <w:t>1、施工期工艺流程</w:t>
            </w:r>
          </w:p>
          <w:p w14:paraId="25030152">
            <w:pPr>
              <w:ind w:firstLine="480" w:firstLineChars="0"/>
              <w:jc w:val="both"/>
              <w:rPr>
                <w:rFonts w:hint="eastAsia"/>
                <w:color w:val="auto"/>
                <w:sz w:val="24"/>
                <w:highlight w:val="none"/>
              </w:rPr>
            </w:pPr>
            <w:r>
              <w:rPr>
                <w:rFonts w:hint="eastAsia"/>
                <w:color w:val="auto"/>
                <w:sz w:val="24"/>
                <w:highlight w:val="none"/>
              </w:rPr>
              <w:t>本项目</w:t>
            </w:r>
            <w:r>
              <w:rPr>
                <w:rFonts w:hint="eastAsia"/>
                <w:color w:val="auto"/>
                <w:sz w:val="24"/>
                <w:highlight w:val="none"/>
                <w:lang w:val="en-US" w:eastAsia="zh-CN"/>
              </w:rPr>
              <w:t>购置遂宁市安居区省级经济开发区现代装备制造产业园区 4-5</w:t>
            </w:r>
            <w:r>
              <w:rPr>
                <w:rFonts w:hint="eastAsia"/>
                <w:color w:val="auto"/>
                <w:sz w:val="24"/>
                <w:highlight w:val="none"/>
              </w:rPr>
              <w:t>空置地块进行项目建设，根据现场勘查，</w:t>
            </w:r>
            <w:r>
              <w:rPr>
                <w:rFonts w:hint="eastAsia"/>
                <w:color w:val="auto"/>
                <w:sz w:val="24"/>
                <w:highlight w:val="none"/>
                <w:lang w:val="en-US" w:eastAsia="zh-CN"/>
              </w:rPr>
              <w:t>现</w:t>
            </w:r>
            <w:r>
              <w:rPr>
                <w:rFonts w:hint="eastAsia"/>
                <w:color w:val="auto"/>
                <w:sz w:val="24"/>
                <w:highlight w:val="none"/>
              </w:rPr>
              <w:t>地块为空置地块。项目施工期主要进行场地平整、基础工程、主体工程、装饰工程、安装工程、工程验收等。施工期具体工艺流程如下。</w:t>
            </w:r>
          </w:p>
          <w:p w14:paraId="047CBF17">
            <w:pPr>
              <w:pStyle w:val="2"/>
              <w:rPr>
                <w:rFonts w:hint="eastAsia"/>
                <w:color w:val="auto"/>
                <w:sz w:val="24"/>
                <w:highlight w:val="none"/>
              </w:rPr>
            </w:pPr>
          </w:p>
          <w:p w14:paraId="7C58B73D">
            <w:pPr>
              <w:pStyle w:val="2"/>
              <w:rPr>
                <w:rFonts w:hint="eastAsia"/>
                <w:color w:val="auto"/>
                <w:sz w:val="24"/>
                <w:highlight w:val="none"/>
              </w:rPr>
            </w:pPr>
          </w:p>
          <w:p w14:paraId="39119DCD">
            <w:pPr>
              <w:pStyle w:val="2"/>
              <w:rPr>
                <w:rFonts w:hint="eastAsia"/>
                <w:color w:val="auto"/>
                <w:sz w:val="24"/>
                <w:highlight w:val="none"/>
              </w:rPr>
            </w:pPr>
          </w:p>
          <w:p w14:paraId="37A380F7">
            <w:pPr>
              <w:pStyle w:val="2"/>
              <w:rPr>
                <w:rFonts w:hint="eastAsia"/>
                <w:color w:val="auto"/>
                <w:sz w:val="24"/>
                <w:highlight w:val="none"/>
              </w:rPr>
            </w:pPr>
          </w:p>
          <w:p w14:paraId="124A8D14">
            <w:pPr>
              <w:ind w:firstLine="0" w:firstLineChars="0"/>
              <w:jc w:val="center"/>
              <w:rPr>
                <w:rFonts w:hint="default" w:ascii="Times New Roman" w:hAnsi="Times New Roman" w:cs="Times New Roman"/>
                <w:color w:val="auto"/>
                <w:sz w:val="24"/>
                <w:highlight w:val="none"/>
              </w:rPr>
            </w:pPr>
            <w:r>
              <w:rPr>
                <w:color w:val="auto"/>
                <w:highlight w:val="none"/>
              </w:rPr>
              <mc:AlternateContent>
                <mc:Choice Requires="wpc">
                  <w:drawing>
                    <wp:inline distT="0" distB="0" distL="114300" distR="114300">
                      <wp:extent cx="5854065" cy="1511935"/>
                      <wp:effectExtent l="0" t="0" r="0" b="0"/>
                      <wp:docPr id="68" name="画布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 name="矩形 23"/>
                              <wps:cNvSpPr/>
                              <wps:spPr>
                                <a:xfrm>
                                  <a:off x="2670175" y="224790"/>
                                  <a:ext cx="2700655" cy="27686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05B67D1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噪声、装修废气、生活污水、生活垃圾、建筑垃圾</w:t>
                                    </w:r>
                                  </w:p>
                                </w:txbxContent>
                              </wps:txbx>
                              <wps:bodyPr upright="1"/>
                            </wps:wsp>
                            <wps:wsp>
                              <wps:cNvPr id="76" name="直接箭头连接符 24"/>
                              <wps:cNvCnPr/>
                              <wps:spPr>
                                <a:xfrm flipH="1" flipV="1">
                                  <a:off x="455295" y="514350"/>
                                  <a:ext cx="635" cy="214630"/>
                                </a:xfrm>
                                <a:prstGeom prst="straightConnector1">
                                  <a:avLst/>
                                </a:prstGeom>
                                <a:ln w="9525" cap="flat" cmpd="sng">
                                  <a:solidFill>
                                    <a:srgbClr val="000000"/>
                                  </a:solidFill>
                                  <a:prstDash val="dashDot"/>
                                  <a:headEnd type="none" w="med" len="med"/>
                                  <a:tailEnd type="triangle" w="med" len="med"/>
                                </a:ln>
                              </wps:spPr>
                              <wps:bodyPr/>
                            </wps:wsp>
                            <wps:wsp>
                              <wps:cNvPr id="80" name="矩形 9"/>
                              <wps:cNvSpPr/>
                              <wps:spPr>
                                <a:xfrm>
                                  <a:off x="112395" y="227330"/>
                                  <a:ext cx="2556510" cy="285115"/>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7074744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噪声、扬尘、生活污水、弃方、弃渣、生活垃圾</w:t>
                                    </w:r>
                                  </w:p>
                                </w:txbxContent>
                              </wps:txbx>
                              <wps:bodyPr upright="1"/>
                            </wps:wsp>
                            <pic:pic xmlns:pic="http://schemas.openxmlformats.org/drawingml/2006/picture">
                              <pic:nvPicPr>
                                <pic:cNvPr id="31" name="图片 3"/>
                                <pic:cNvPicPr>
                                  <a:picLocks noChangeAspect="1"/>
                                </pic:cNvPicPr>
                              </pic:nvPicPr>
                              <pic:blipFill>
                                <a:blip r:embed="rId21"/>
                                <a:stretch>
                                  <a:fillRect/>
                                </a:stretch>
                              </pic:blipFill>
                              <pic:spPr>
                                <a:xfrm>
                                  <a:off x="7620" y="623570"/>
                                  <a:ext cx="5790565" cy="895350"/>
                                </a:xfrm>
                                <a:prstGeom prst="rect">
                                  <a:avLst/>
                                </a:prstGeom>
                                <a:noFill/>
                                <a:ln>
                                  <a:noFill/>
                                </a:ln>
                              </pic:spPr>
                            </pic:pic>
                            <wps:wsp>
                              <wps:cNvPr id="34" name="直接箭头连接符 24"/>
                              <wps:cNvCnPr/>
                              <wps:spPr>
                                <a:xfrm flipH="1" flipV="1">
                                  <a:off x="1209675" y="514350"/>
                                  <a:ext cx="635" cy="214630"/>
                                </a:xfrm>
                                <a:prstGeom prst="straightConnector1">
                                  <a:avLst/>
                                </a:prstGeom>
                                <a:ln w="9525" cap="flat" cmpd="sng">
                                  <a:solidFill>
                                    <a:srgbClr val="000000"/>
                                  </a:solidFill>
                                  <a:prstDash val="dashDot"/>
                                  <a:headEnd type="none" w="med" len="med"/>
                                  <a:tailEnd type="triangle" w="med" len="med"/>
                                </a:ln>
                              </wps:spPr>
                              <wps:bodyPr/>
                            </wps:wsp>
                            <wps:wsp>
                              <wps:cNvPr id="37" name="直接箭头连接符 24"/>
                              <wps:cNvCnPr/>
                              <wps:spPr>
                                <a:xfrm flipH="1" flipV="1">
                                  <a:off x="1979295" y="506095"/>
                                  <a:ext cx="635" cy="214630"/>
                                </a:xfrm>
                                <a:prstGeom prst="straightConnector1">
                                  <a:avLst/>
                                </a:prstGeom>
                                <a:ln w="9525" cap="flat" cmpd="sng">
                                  <a:solidFill>
                                    <a:srgbClr val="000000"/>
                                  </a:solidFill>
                                  <a:prstDash val="dashDot"/>
                                  <a:headEnd type="none" w="med" len="med"/>
                                  <a:tailEnd type="triangle" w="med" len="med"/>
                                </a:ln>
                              </wps:spPr>
                              <wps:bodyPr/>
                            </wps:wsp>
                            <wps:wsp>
                              <wps:cNvPr id="41" name="直接箭头连接符 24"/>
                              <wps:cNvCnPr/>
                              <wps:spPr>
                                <a:xfrm flipH="1" flipV="1">
                                  <a:off x="2844800" y="521970"/>
                                  <a:ext cx="635" cy="214630"/>
                                </a:xfrm>
                                <a:prstGeom prst="straightConnector1">
                                  <a:avLst/>
                                </a:prstGeom>
                                <a:ln w="9525" cap="flat" cmpd="sng">
                                  <a:solidFill>
                                    <a:srgbClr val="000000"/>
                                  </a:solidFill>
                                  <a:prstDash val="dashDot"/>
                                  <a:headEnd type="none" w="med" len="med"/>
                                  <a:tailEnd type="triangle" w="med" len="med"/>
                                </a:ln>
                              </wps:spPr>
                              <wps:bodyPr/>
                            </wps:wsp>
                            <wps:wsp>
                              <wps:cNvPr id="42" name="直接箭头连接符 24"/>
                              <wps:cNvCnPr/>
                              <wps:spPr>
                                <a:xfrm flipH="1" flipV="1">
                                  <a:off x="3662045" y="521970"/>
                                  <a:ext cx="635" cy="214630"/>
                                </a:xfrm>
                                <a:prstGeom prst="straightConnector1">
                                  <a:avLst/>
                                </a:prstGeom>
                                <a:ln w="9525" cap="flat" cmpd="sng">
                                  <a:solidFill>
                                    <a:srgbClr val="000000"/>
                                  </a:solidFill>
                                  <a:prstDash val="dashDot"/>
                                  <a:headEnd type="none" w="med" len="med"/>
                                  <a:tailEnd type="triangle" w="med" len="med"/>
                                </a:ln>
                              </wps:spPr>
                              <wps:bodyPr/>
                            </wps:wsp>
                            <wps:wsp>
                              <wps:cNvPr id="43" name="直接箭头连接符 24"/>
                              <wps:cNvCnPr/>
                              <wps:spPr>
                                <a:xfrm flipH="1" flipV="1">
                                  <a:off x="4503420" y="521970"/>
                                  <a:ext cx="635" cy="214630"/>
                                </a:xfrm>
                                <a:prstGeom prst="straightConnector1">
                                  <a:avLst/>
                                </a:prstGeom>
                                <a:ln w="9525" cap="flat" cmpd="sng">
                                  <a:solidFill>
                                    <a:srgbClr val="000000"/>
                                  </a:solidFill>
                                  <a:prstDash val="dashDot"/>
                                  <a:headEnd type="none" w="med" len="med"/>
                                  <a:tailEnd type="triangle" w="med" len="med"/>
                                </a:ln>
                              </wps:spPr>
                              <wps:bodyPr/>
                            </wps:wsp>
                          </wpc:wpc>
                        </a:graphicData>
                      </a:graphic>
                    </wp:inline>
                  </w:drawing>
                </mc:Choice>
                <mc:Fallback>
                  <w:pict>
                    <v:group id="_x0000_s1026" o:spid="_x0000_s1026" o:spt="203" style="height:119.05pt;width:460.95pt;" coordsize="5854065,1511935" editas="canvas" o:gfxdata="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">
                      <o:lock v:ext="edit" aspectratio="f"/>
                      <v:shape id="_x0000_s1026" o:spid="_x0000_s1026" style="position:absolute;left:0;top:0;height:1511935;width:5854065;" filled="f" stroked="f" coordsize="21600,21600" o:gfxdata="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">
                        <v:fill on="f" focussize="0,0"/>
                        <v:stroke on="f"/>
                        <v:imagedata o:title=""/>
                        <o:lock v:ext="edit" aspectratio="t"/>
                      </v:shape>
                      <v:rect id="矩形 23" o:spid="_x0000_s1026" o:spt="1" style="position:absolute;left:2670175;top:224790;height:276860;width:2700655;" fillcolor="#FFFFFF" filled="t" stroked="t" coordsize="21600,21600" o:gfxdata="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1X8b1gAAAAUBAAAPAAAAAAAAAAEAIAAA&#10;ACIAAABkcnMvZG93bnJldi54bWxQSwECFAAUAAAACACHTuJASEUV8g4CAAA4BAAADgAAAAAAAAAB&#10;ACAAAAAlAQAAZHJzL2Uyb0RvYy54bWxQSwUGAAAAAAYABgBZAQAApQUAAAAA&#10;">
                        <v:fill on="t" focussize="0,0"/>
                        <v:stroke color="#000000" joinstyle="miter" dashstyle="dashDot"/>
                        <v:imagedata o:title=""/>
                        <o:lock v:ext="edit" aspectratio="f"/>
                        <v:textbox>
                          <w:txbxContent>
                            <w:p w14:paraId="05B67D1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噪声、装修废气、生活污水、生活垃圾、建筑垃圾</w:t>
                              </w:r>
                            </w:p>
                          </w:txbxContent>
                        </v:textbox>
                      </v:rect>
                      <v:shape id="直接箭头连接符 24" o:spid="_x0000_s1026" o:spt="32" type="#_x0000_t32" style="position:absolute;left:455295;top:514350;flip:x y;height:214630;width:635;" filled="f" stroked="t" coordsize="21600,21600" o:gfxdata="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qLLTW&#10;AAAABQEAAA8AAAAAAAAAAQAgAAAAIgAAAGRycy9kb3ducmV2LnhtbFBLAQIUABQAAAAIAIdO4kBk&#10;TCrLIgIAABMEAAAOAAAAAAAAAAEAIAAAACUBAABkcnMvZTJvRG9jLnhtbFBLBQYAAAAABgAGAFkB&#10;AAC5BQAAAAA=&#10;">
                        <v:fill on="f" focussize="0,0"/>
                        <v:stroke color="#000000" joinstyle="round" dashstyle="dashDot" endarrow="block"/>
                        <v:imagedata o:title=""/>
                        <o:lock v:ext="edit" aspectratio="f"/>
                      </v:shape>
                      <v:rect id="矩形 9" o:spid="_x0000_s1026" o:spt="1" style="position:absolute;left:112395;top:227330;height:285115;width:2556510;" fillcolor="#FFFFFF" filled="t" stroked="t" coordsize="21600,21600" o:gfxdata="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LVfxvWAAAABQEAAA8AAAAAAAAAAQAgAAAA&#10;IgAAAGRycy9kb3ducmV2LnhtbFBLAQIUABQAAAAIAIdO4kBMYoGNDQIAADYEAAAOAAAAAAAAAAEA&#10;IAAAACUBAABkcnMvZTJvRG9jLnhtbFBLBQYAAAAABgAGAFkBAACkBQAAAAA=&#10;">
                        <v:fill on="t" focussize="0,0"/>
                        <v:stroke color="#000000" joinstyle="miter" dashstyle="dashDot"/>
                        <v:imagedata o:title=""/>
                        <o:lock v:ext="edit" aspectratio="f"/>
                        <v:textbox>
                          <w:txbxContent>
                            <w:p w14:paraId="7074744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sz w:val="18"/>
                                  <w:szCs w:val="18"/>
                                  <w:lang w:val="en-US" w:eastAsia="zh-CN"/>
                                </w:rPr>
                              </w:pPr>
                              <w:r>
                                <w:rPr>
                                  <w:rFonts w:hint="eastAsia"/>
                                  <w:sz w:val="18"/>
                                  <w:szCs w:val="18"/>
                                  <w:lang w:val="en-US" w:eastAsia="zh-CN"/>
                                </w:rPr>
                                <w:t>噪声、扬尘、生活污水、弃方、弃渣、生活垃圾</w:t>
                              </w:r>
                            </w:p>
                          </w:txbxContent>
                        </v:textbox>
                      </v:rect>
                      <v:shape id="图片 3" o:spid="_x0000_s1026" o:spt="75" type="#_x0000_t75" style="position:absolute;left:7620;top:623570;height:895350;width:5790565;" filled="f" o:preferrelative="t" stroked="f" coordsize="21600,21600" o:gfxdata="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">
                        <v:fill on="f" focussize="0,0"/>
                        <v:stroke on="f"/>
                        <v:imagedata r:id="rId21" o:title=""/>
                        <o:lock v:ext="edit" aspectratio="t"/>
                      </v:shape>
                      <v:shape id="直接箭头连接符 24" o:spid="_x0000_s1026" o:spt="32" type="#_x0000_t32" style="position:absolute;left:1209675;top:514350;flip:x y;height:214630;width:635;" filled="f" stroked="t" coordsize="21600,21600" o:gfxdata="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qLLTW&#10;AAAABQEAAA8AAAAAAAAAAQAgAAAAIgAAAGRycy9kb3ducmV2LnhtbFBLAQIUABQAAAAIAIdO4kA3&#10;NCA6IgIAABQEAAAOAAAAAAAAAAEAIAAAACUBAABkcnMvZTJvRG9jLnhtbFBLBQYAAAAABgAGAFkB&#10;AAC5BQAAAAA=&#10;">
                        <v:fill on="f" focussize="0,0"/>
                        <v:stroke color="#000000" joinstyle="round" dashstyle="dashDot" endarrow="block"/>
                        <v:imagedata o:title=""/>
                        <o:lock v:ext="edit" aspectratio="f"/>
                      </v:shape>
                      <v:shape id="直接箭头连接符 24" o:spid="_x0000_s1026" o:spt="32" type="#_x0000_t32" style="position:absolute;left:1979295;top:506095;flip:x y;height:214630;width:635;" filled="f" stroked="t" coordsize="21600,21600" o:gfxdata="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mqLLTW&#10;AAAABQEAAA8AAAAAAAAAAQAgAAAAIgAAAGRycy9kb3ducmV2LnhtbFBLAQIUABQAAAAIAIdO4kB8&#10;abg6IgIAABQEAAAOAAAAAAAAAAEAIAAAACUBAABkcnMvZTJvRG9jLnhtbFBLBQYAAAAABgAGAFkB&#10;AAC5BQAAAAA=&#10;">
                        <v:fill on="f" focussize="0,0"/>
                        <v:stroke color="#000000" joinstyle="round" dashstyle="dashDot" endarrow="block"/>
                        <v:imagedata o:title=""/>
                        <o:lock v:ext="edit" aspectratio="f"/>
                      </v:shape>
                      <v:shape id="直接箭头连接符 24" o:spid="_x0000_s1026" o:spt="32" type="#_x0000_t32" style="position:absolute;left:2844800;top:521970;flip:x y;height:214630;width:635;" filled="f" stroked="t" coordsize="21600,21600" o:gfxdata="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aos&#10;tNYAAAAFAQAADwAAAAAAAAABACAAAAAiAAAAZHJzL2Rvd25yZXYueG1sUEsBAhQAFAAAAAgAh07i&#10;QPwNW80kAgAAFAQAAA4AAAAAAAAAAQAgAAAAJQEAAGRycy9lMm9Eb2MueG1sUEsFBgAAAAAGAAYA&#10;WQEAALsFAAAAAA==&#10;">
                        <v:fill on="f" focussize="0,0"/>
                        <v:stroke color="#000000" joinstyle="round" dashstyle="dashDot" endarrow="block"/>
                        <v:imagedata o:title=""/>
                        <o:lock v:ext="edit" aspectratio="f"/>
                      </v:shape>
                      <v:shape id="直接箭头连接符 24" o:spid="_x0000_s1026" o:spt="32" type="#_x0000_t32" style="position:absolute;left:3662045;top:521970;flip:x y;height:214630;width:635;" filled="f" stroked="t" coordsize="21600,21600" o:gfxdata="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qiy0&#10;1gAAAAUBAAAPAAAAAAAAAAEAIAAAACIAAABkcnMvZG93bnJldi54bWxQSwECFAAUAAAACACHTuJA&#10;fVg+dyMCAAAUBAAADgAAAAAAAAABACAAAAAlAQAAZHJzL2Uyb0RvYy54bWxQSwUGAAAAAAYABgBZ&#10;AQAAugUAAAAA&#10;">
                        <v:fill on="f" focussize="0,0"/>
                        <v:stroke color="#000000" joinstyle="round" dashstyle="dashDot" endarrow="block"/>
                        <v:imagedata o:title=""/>
                        <o:lock v:ext="edit" aspectratio="f"/>
                      </v:shape>
                      <v:shape id="直接箭头连接符 24" o:spid="_x0000_s1026" o:spt="32" type="#_x0000_t32" style="position:absolute;left:4503420;top:521970;flip:x y;height:214630;width:635;" filled="f" stroked="t" coordsize="21600,21600" o:gfxdata="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qiy0&#10;1gAAAAUBAAAPAAAAAAAAAAEAIAAAACIAAABkcnMvZG93bnJldi54bWxQSwECFAAUAAAACACHTuJA&#10;Py675yMCAAAUBAAADgAAAAAAAAABACAAAAAlAQAAZHJzL2Uyb0RvYy54bWxQSwUGAAAAAAYABgBZ&#10;AQAAugUAAAAA&#10;">
                        <v:fill on="f" focussize="0,0"/>
                        <v:stroke color="#000000" joinstyle="round" dashstyle="dashDot" endarrow="block"/>
                        <v:imagedata o:title=""/>
                        <o:lock v:ext="edit" aspectratio="f"/>
                      </v:shape>
                      <w10:wrap type="none"/>
                      <w10:anchorlock/>
                    </v:group>
                  </w:pict>
                </mc:Fallback>
              </mc:AlternateContent>
            </w:r>
          </w:p>
          <w:p w14:paraId="05CA91E3">
            <w:pPr>
              <w:pStyle w:val="14"/>
              <w:bidi w:val="0"/>
              <w:rPr>
                <w:rFonts w:hint="default"/>
                <w:color w:val="auto"/>
                <w:highlight w:val="none"/>
              </w:rPr>
            </w:pPr>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lang w:val="en-US" w:eastAsia="zh-CN"/>
              </w:rPr>
              <w:t xml:space="preserve">  </w:t>
            </w:r>
            <w:r>
              <w:rPr>
                <w:rFonts w:hint="eastAsia"/>
                <w:color w:val="auto"/>
                <w:highlight w:val="none"/>
              </w:rPr>
              <w:t>项目施工期工艺流程图</w:t>
            </w:r>
          </w:p>
          <w:p w14:paraId="350FEE92">
            <w:pPr>
              <w:spacing w:line="360" w:lineRule="auto"/>
              <w:ind w:firstLine="480"/>
              <w:rPr>
                <w:b/>
                <w:bCs/>
                <w:color w:val="auto"/>
                <w:sz w:val="24"/>
                <w:szCs w:val="24"/>
                <w:highlight w:val="none"/>
              </w:rPr>
            </w:pPr>
            <w:r>
              <w:rPr>
                <w:rFonts w:hint="eastAsia"/>
                <w:b/>
                <w:bCs/>
                <w:color w:val="auto"/>
                <w:sz w:val="24"/>
                <w:szCs w:val="24"/>
                <w:highlight w:val="none"/>
              </w:rPr>
              <w:t>2、施工期主要污染工序</w:t>
            </w:r>
          </w:p>
          <w:p w14:paraId="68406B8A">
            <w:pPr>
              <w:bidi w:val="0"/>
              <w:rPr>
                <w:rFonts w:hint="eastAsia"/>
                <w:bCs/>
                <w:color w:val="auto"/>
                <w:highlight w:val="none"/>
              </w:rPr>
            </w:pPr>
            <w:r>
              <w:rPr>
                <w:rFonts w:hint="eastAsia"/>
                <w:bCs/>
                <w:color w:val="auto"/>
                <w:highlight w:val="none"/>
              </w:rPr>
              <w:t>废气：本项目扬尘主要来源于基础开挖、建筑材料和</w:t>
            </w:r>
            <w:r>
              <w:rPr>
                <w:rFonts w:hint="eastAsia"/>
                <w:bCs/>
                <w:color w:val="auto"/>
                <w:highlight w:val="none"/>
                <w:lang w:val="en-US" w:eastAsia="zh-CN"/>
              </w:rPr>
              <w:t>弃方、</w:t>
            </w:r>
            <w:r>
              <w:rPr>
                <w:rFonts w:hint="eastAsia"/>
                <w:bCs/>
                <w:color w:val="auto"/>
                <w:highlight w:val="none"/>
              </w:rPr>
              <w:t>弃渣的堆放及搬运、运输车辆等机械设备携带泥沙等。</w:t>
            </w:r>
          </w:p>
          <w:p w14:paraId="2B189576">
            <w:pPr>
              <w:bidi w:val="0"/>
              <w:rPr>
                <w:rFonts w:hint="eastAsia"/>
                <w:bCs/>
                <w:color w:val="auto"/>
                <w:highlight w:val="none"/>
              </w:rPr>
            </w:pPr>
            <w:r>
              <w:rPr>
                <w:rFonts w:hint="eastAsia"/>
                <w:bCs/>
                <w:color w:val="auto"/>
                <w:highlight w:val="none"/>
              </w:rPr>
              <w:t>废水：主要来源于施工人员生活污水、机械和车辆冲洗、地面的冲洗、构件与建筑材料的保潮、材料的洗刷等。</w:t>
            </w:r>
          </w:p>
          <w:p w14:paraId="73781750">
            <w:pPr>
              <w:bidi w:val="0"/>
              <w:rPr>
                <w:rFonts w:hint="eastAsia"/>
                <w:bCs/>
                <w:color w:val="auto"/>
                <w:highlight w:val="none"/>
              </w:rPr>
            </w:pPr>
            <w:r>
              <w:rPr>
                <w:rFonts w:hint="eastAsia"/>
                <w:bCs/>
                <w:color w:val="auto"/>
                <w:highlight w:val="none"/>
              </w:rPr>
              <w:t>噪声：主要包括挖掘机、混凝土振捣机、电锯、电钻、车辆等施工机械和运输车辆产生的噪声以及设备安装过程中施工机械、运输车辆产生的噪声。</w:t>
            </w:r>
          </w:p>
          <w:p w14:paraId="53F1DE96">
            <w:pPr>
              <w:bidi w:val="0"/>
              <w:rPr>
                <w:rFonts w:hint="eastAsia"/>
                <w:bCs/>
                <w:color w:val="auto"/>
                <w:highlight w:val="none"/>
              </w:rPr>
            </w:pPr>
            <w:r>
              <w:rPr>
                <w:rFonts w:hint="eastAsia"/>
                <w:bCs/>
                <w:color w:val="auto"/>
                <w:highlight w:val="none"/>
              </w:rPr>
              <w:t>固废：主要为基础开挖产生的弃</w:t>
            </w:r>
            <w:r>
              <w:rPr>
                <w:rFonts w:hint="eastAsia"/>
                <w:bCs/>
                <w:color w:val="auto"/>
                <w:highlight w:val="none"/>
                <w:lang w:val="en-US" w:eastAsia="zh-CN"/>
              </w:rPr>
              <w:t>方</w:t>
            </w:r>
            <w:r>
              <w:rPr>
                <w:rFonts w:hint="eastAsia"/>
                <w:bCs/>
                <w:color w:val="auto"/>
                <w:highlight w:val="none"/>
              </w:rPr>
              <w:t>弃渣、建筑施工垃圾和施工人员生活垃圾。</w:t>
            </w:r>
          </w:p>
          <w:p w14:paraId="5CE0EBAC">
            <w:pPr>
              <w:bidi w:val="0"/>
              <w:rPr>
                <w:b/>
                <w:bCs/>
                <w:color w:val="auto"/>
                <w:highlight w:val="none"/>
              </w:rPr>
            </w:pPr>
            <w:r>
              <w:rPr>
                <w:rFonts w:hint="eastAsia"/>
                <w:bCs/>
                <w:color w:val="auto"/>
                <w:highlight w:val="none"/>
              </w:rPr>
              <w:t>施工期的环境影响将随着施工期的结束而消除</w:t>
            </w:r>
            <w:r>
              <w:rPr>
                <w:bCs/>
                <w:color w:val="auto"/>
                <w:highlight w:val="none"/>
              </w:rPr>
              <w:t>。</w:t>
            </w:r>
          </w:p>
          <w:p w14:paraId="7993B5FF">
            <w:pPr>
              <w:bidi w:val="0"/>
              <w:rPr>
                <w:rFonts w:hint="eastAsia" w:ascii="黑体" w:hAnsi="黑体" w:eastAsia="黑体" w:cs="黑体"/>
                <w:b/>
                <w:bCs/>
                <w:color w:val="auto"/>
                <w:highlight w:val="none"/>
              </w:rPr>
            </w:pPr>
            <w:r>
              <w:rPr>
                <w:rFonts w:hint="eastAsia" w:ascii="黑体" w:hAnsi="黑体" w:eastAsia="黑体" w:cs="黑体"/>
                <w:b/>
                <w:bCs/>
                <w:color w:val="auto"/>
                <w:highlight w:val="none"/>
              </w:rPr>
              <w:t>二、营运期工艺流程</w:t>
            </w:r>
          </w:p>
          <w:p w14:paraId="5B402C53">
            <w:pPr>
              <w:pStyle w:val="42"/>
              <w:jc w:val="both"/>
              <w:rPr>
                <w:rFonts w:hint="default" w:ascii="Times New Roman" w:cs="Times New Roman"/>
                <w:b w:val="0"/>
                <w:bCs w:val="0"/>
                <w:color w:val="auto"/>
                <w:highlight w:val="none"/>
                <w:lang w:val="en-US" w:eastAsia="zh-CN"/>
              </w:rPr>
            </w:pPr>
            <w:r>
              <w:rPr>
                <w:rFonts w:hint="eastAsia" w:ascii="Times New Roman" w:cs="Times New Roman"/>
                <w:b w:val="0"/>
                <w:bCs w:val="0"/>
                <w:color w:val="auto"/>
                <w:highlight w:val="none"/>
                <w:lang w:val="en-US" w:eastAsia="zh-CN"/>
              </w:rPr>
              <w:t>本项目主要产品为果蔬冻干、南瓜饼、午餐肉罐头、纸制品（面巾纸、卫生纸）。</w:t>
            </w:r>
          </w:p>
          <w:p w14:paraId="4502554A">
            <w:pPr>
              <w:pStyle w:val="42"/>
              <w:jc w:val="both"/>
              <w:rPr>
                <w:rFonts w:hint="default" w:ascii="Times New Roman" w:cs="Times New Roman"/>
                <w:b/>
                <w:bCs/>
                <w:color w:val="auto"/>
                <w:highlight w:val="none"/>
                <w:lang w:val="en-US" w:eastAsia="zh-CN"/>
              </w:rPr>
            </w:pPr>
            <w:r>
              <w:rPr>
                <w:rFonts w:hint="eastAsia" w:ascii="Times New Roman" w:cs="Times New Roman"/>
                <w:b/>
                <w:bCs/>
                <w:color w:val="auto"/>
                <w:highlight w:val="none"/>
                <w:lang w:val="en-US" w:eastAsia="zh-CN"/>
              </w:rPr>
              <w:t>1、冻干果蔬</w:t>
            </w:r>
          </w:p>
          <w:p w14:paraId="09EF0BC8">
            <w:pPr>
              <w:pStyle w:val="12"/>
              <w:rPr>
                <w:rFonts w:hint="default" w:cs="Arial"/>
                <w:b w:val="0"/>
                <w:bCs w:val="0"/>
                <w:color w:val="auto"/>
                <w:sz w:val="24"/>
                <w:highlight w:val="none"/>
                <w:lang w:val="en-US" w:eastAsia="zh-CN"/>
              </w:rPr>
            </w:pPr>
            <w:r>
              <w:rPr>
                <w:rFonts w:hint="eastAsia" w:cs="Arial"/>
                <w:b w:val="0"/>
                <w:bCs w:val="0"/>
                <w:color w:val="auto"/>
                <w:sz w:val="24"/>
                <w:highlight w:val="none"/>
                <w:lang w:val="en-US" w:eastAsia="zh-CN"/>
              </w:rPr>
              <w:t>冻干产品的生产原理：主要基于真空环境下的低温升华原理，通过控制温度和压力，使果蔬中的水分直接从固态升华为气态，从而避免了传统干燥方法中因液态水蒸发而可能导致的营养成分流失和品质下降。</w:t>
            </w:r>
          </w:p>
          <w:p w14:paraId="78F2DCF9">
            <w:pPr>
              <w:pStyle w:val="42"/>
              <w:jc w:val="both"/>
              <w:rPr>
                <w:rFonts w:hint="eastAsia" w:ascii="Times New Roman" w:cs="Times New Roman"/>
                <w:color w:val="auto"/>
                <w:highlight w:val="none"/>
              </w:rPr>
            </w:pPr>
            <w:r>
              <w:rPr>
                <w:rFonts w:hint="eastAsia" w:ascii="Times New Roman" w:cs="Times New Roman"/>
                <w:color w:val="auto"/>
                <w:highlight w:val="none"/>
                <w:lang w:val="en-US" w:eastAsia="zh-CN"/>
              </w:rPr>
              <w:t>本项目冻干果蔬主要为冻干葱葱、冻干上海青、冻干红薯、冻干韭菜、冻干火龙果。主要工艺流程如下</w:t>
            </w:r>
            <w:r>
              <w:rPr>
                <w:rFonts w:hint="eastAsia" w:ascii="Times New Roman" w:cs="Times New Roman"/>
                <w:color w:val="auto"/>
                <w:highlight w:val="none"/>
              </w:rPr>
              <w:t>：</w:t>
            </w:r>
          </w:p>
          <w:p w14:paraId="79089DB3">
            <w:pPr>
              <w:pStyle w:val="42"/>
              <w:jc w:val="both"/>
              <w:rPr>
                <w:rFonts w:hint="eastAsia" w:ascii="Times New Roman" w:cs="Times New Roman"/>
                <w:color w:val="auto"/>
                <w:highlight w:val="none"/>
              </w:rPr>
            </w:pPr>
          </w:p>
          <w:p w14:paraId="771ADDCC">
            <w:pPr>
              <w:pStyle w:val="42"/>
              <w:jc w:val="both"/>
              <w:rPr>
                <w:rFonts w:hint="eastAsia" w:ascii="Times New Roman" w:cs="Times New Roman"/>
                <w:color w:val="auto"/>
                <w:highlight w:val="none"/>
              </w:rPr>
            </w:pPr>
          </w:p>
          <w:p w14:paraId="11DFACB1">
            <w:pPr>
              <w:pStyle w:val="42"/>
              <w:jc w:val="both"/>
              <w:rPr>
                <w:rFonts w:hint="eastAsia" w:ascii="Times New Roman" w:cs="Times New Roman"/>
                <w:color w:val="auto"/>
                <w:highlight w:val="none"/>
              </w:rPr>
            </w:pPr>
          </w:p>
          <w:p w14:paraId="2AEDAFF3">
            <w:pPr>
              <w:pStyle w:val="42"/>
              <w:jc w:val="both"/>
              <w:rPr>
                <w:rFonts w:hint="eastAsia" w:ascii="Times New Roman" w:cs="Times New Roman"/>
                <w:color w:val="auto"/>
                <w:highlight w:val="none"/>
              </w:rPr>
            </w:pPr>
          </w:p>
          <w:p w14:paraId="197F1782">
            <w:pPr>
              <w:pStyle w:val="42"/>
              <w:jc w:val="both"/>
              <w:rPr>
                <w:rFonts w:hint="eastAsia" w:ascii="Times New Roman" w:cs="Times New Roman"/>
                <w:color w:val="auto"/>
                <w:highlight w:val="none"/>
              </w:rPr>
            </w:pPr>
          </w:p>
          <w:p w14:paraId="0967DD90">
            <w:pPr>
              <w:pStyle w:val="61"/>
              <w:spacing w:line="240" w:lineRule="auto"/>
              <w:ind w:firstLine="0" w:firstLineChars="0"/>
              <w:jc w:val="center"/>
              <w:rPr>
                <w:rFonts w:hint="eastAsia" w:eastAsia="宋体"/>
                <w:b/>
                <w:color w:val="auto"/>
                <w:sz w:val="21"/>
                <w:szCs w:val="21"/>
                <w:highlight w:val="none"/>
                <w:lang w:eastAsia="zh-CN"/>
              </w:rPr>
            </w:pPr>
            <w:r>
              <w:rPr>
                <w:rFonts w:hint="eastAsia" w:eastAsia="宋体"/>
                <w:b/>
                <w:color w:val="auto"/>
                <w:sz w:val="21"/>
                <w:szCs w:val="21"/>
                <w:highlight w:val="none"/>
                <w:lang w:eastAsia="zh-CN"/>
              </w:rPr>
              <w:drawing>
                <wp:inline distT="0" distB="0" distL="114300" distR="114300">
                  <wp:extent cx="5707380" cy="6680835"/>
                  <wp:effectExtent l="0" t="0" r="0" b="0"/>
                  <wp:docPr id="9" name="图片 9" descr="未命名文件(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命名文件(27)(1)"/>
                          <pic:cNvPicPr>
                            <a:picLocks noChangeAspect="1"/>
                          </pic:cNvPicPr>
                        </pic:nvPicPr>
                        <pic:blipFill>
                          <a:blip r:embed="rId22"/>
                          <a:stretch>
                            <a:fillRect/>
                          </a:stretch>
                        </pic:blipFill>
                        <pic:spPr>
                          <a:xfrm>
                            <a:off x="0" y="0"/>
                            <a:ext cx="5707380" cy="6680835"/>
                          </a:xfrm>
                          <a:prstGeom prst="rect">
                            <a:avLst/>
                          </a:prstGeom>
                        </pic:spPr>
                      </pic:pic>
                    </a:graphicData>
                  </a:graphic>
                </wp:inline>
              </w:drawing>
            </w:r>
          </w:p>
          <w:p w14:paraId="16BDBDF5">
            <w:pPr>
              <w:pStyle w:val="14"/>
              <w:bidi w:val="0"/>
              <w:rPr>
                <w:color w:val="auto"/>
                <w:highlight w:val="none"/>
              </w:rPr>
            </w:pPr>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lang w:val="en-US" w:eastAsia="zh-CN"/>
              </w:rPr>
              <w:t xml:space="preserve">  冻干果蔬</w:t>
            </w:r>
            <w:r>
              <w:rPr>
                <w:rFonts w:hint="eastAsia"/>
                <w:color w:val="auto"/>
                <w:highlight w:val="none"/>
              </w:rPr>
              <w:t>工艺流程及产污环节图</w:t>
            </w:r>
          </w:p>
          <w:p w14:paraId="2ECA70A3">
            <w:pPr>
              <w:pStyle w:val="61"/>
              <w:ind w:firstLine="482"/>
              <w:rPr>
                <w:b/>
                <w:bCs/>
                <w:color w:val="auto"/>
                <w:szCs w:val="24"/>
                <w:highlight w:val="none"/>
              </w:rPr>
            </w:pPr>
            <w:r>
              <w:rPr>
                <w:b/>
                <w:bCs/>
                <w:color w:val="auto"/>
                <w:szCs w:val="24"/>
                <w:highlight w:val="none"/>
              </w:rPr>
              <w:t>工艺流程简述：</w:t>
            </w:r>
          </w:p>
          <w:p w14:paraId="56C5E1B9">
            <w:pPr>
              <w:pStyle w:val="12"/>
              <w:rPr>
                <w:rFonts w:hint="default" w:eastAsia="宋体" w:cs="Arial"/>
                <w:b/>
                <w:bCs/>
                <w:color w:val="auto"/>
                <w:sz w:val="24"/>
                <w:highlight w:val="none"/>
                <w:lang w:val="en-US" w:eastAsia="zh-CN"/>
              </w:rPr>
            </w:pPr>
            <w:r>
              <w:rPr>
                <w:rFonts w:hint="eastAsia" w:cs="Arial"/>
                <w:b/>
                <w:bCs/>
                <w:color w:val="auto"/>
                <w:sz w:val="24"/>
                <w:highlight w:val="none"/>
                <w:lang w:eastAsia="zh-CN"/>
              </w:rPr>
              <w:t>（</w:t>
            </w:r>
            <w:r>
              <w:rPr>
                <w:rFonts w:hint="eastAsia" w:cs="Arial"/>
                <w:b/>
                <w:bCs/>
                <w:color w:val="auto"/>
                <w:sz w:val="24"/>
                <w:highlight w:val="none"/>
              </w:rPr>
              <w:t>1）</w:t>
            </w:r>
            <w:r>
              <w:rPr>
                <w:rFonts w:hint="eastAsia" w:cs="Arial"/>
                <w:b/>
                <w:bCs/>
                <w:color w:val="auto"/>
                <w:sz w:val="24"/>
                <w:highlight w:val="none"/>
                <w:lang w:val="en-US" w:eastAsia="zh-CN"/>
              </w:rPr>
              <w:t>原料挑选</w:t>
            </w:r>
          </w:p>
          <w:p w14:paraId="109F49DF">
            <w:pPr>
              <w:pStyle w:val="12"/>
              <w:rPr>
                <w:rFonts w:hint="eastAsia" w:cs="Arial"/>
                <w:color w:val="auto"/>
                <w:sz w:val="24"/>
                <w:highlight w:val="none"/>
              </w:rPr>
            </w:pPr>
            <w:r>
              <w:rPr>
                <w:rFonts w:hint="eastAsia" w:cs="Arial"/>
                <w:color w:val="auto"/>
                <w:sz w:val="24"/>
                <w:highlight w:val="none"/>
                <w:lang w:val="en-US" w:eastAsia="zh-CN"/>
              </w:rPr>
              <w:t>对外购的葱、上海青、红薯、韭菜、火龙果等原料进行人工挑选，选择新鲜、成熟、无病虫害的果蔬作为原料</w:t>
            </w:r>
            <w:r>
              <w:rPr>
                <w:rFonts w:hint="eastAsia" w:cs="Arial"/>
                <w:color w:val="auto"/>
                <w:sz w:val="24"/>
                <w:highlight w:val="none"/>
              </w:rPr>
              <w:t>。</w:t>
            </w:r>
          </w:p>
          <w:p w14:paraId="0F365DD6">
            <w:pPr>
              <w:pStyle w:val="12"/>
              <w:rPr>
                <w:rFonts w:cs="Arial"/>
                <w:color w:val="auto"/>
                <w:sz w:val="24"/>
                <w:highlight w:val="none"/>
                <w:u w:val="single"/>
              </w:rPr>
            </w:pPr>
            <w:r>
              <w:rPr>
                <w:rFonts w:hint="eastAsia" w:cs="Arial"/>
                <w:color w:val="auto"/>
                <w:sz w:val="24"/>
                <w:highlight w:val="none"/>
                <w:u w:val="single"/>
                <w:lang w:val="en-US" w:eastAsia="zh-CN"/>
              </w:rPr>
              <w:t>此工序主要产生不合格原料</w:t>
            </w:r>
            <w:r>
              <w:rPr>
                <w:rFonts w:hint="eastAsia" w:cs="Arial"/>
                <w:color w:val="auto"/>
                <w:sz w:val="24"/>
                <w:highlight w:val="none"/>
                <w:u w:val="single"/>
              </w:rPr>
              <w:t>。</w:t>
            </w:r>
          </w:p>
          <w:p w14:paraId="2C30A6A4">
            <w:pPr>
              <w:pStyle w:val="12"/>
              <w:rPr>
                <w:rFonts w:cs="Arial"/>
                <w:b/>
                <w:bCs/>
                <w:color w:val="auto"/>
                <w:sz w:val="24"/>
                <w:highlight w:val="none"/>
              </w:rPr>
            </w:pPr>
            <w:r>
              <w:rPr>
                <w:rFonts w:hint="eastAsia" w:cs="Arial"/>
                <w:b/>
                <w:bCs/>
                <w:color w:val="auto"/>
                <w:sz w:val="24"/>
                <w:highlight w:val="none"/>
                <w:lang w:eastAsia="zh-CN"/>
              </w:rPr>
              <w:t>（</w:t>
            </w:r>
            <w:r>
              <w:rPr>
                <w:rFonts w:hint="eastAsia" w:cs="Arial"/>
                <w:b/>
                <w:bCs/>
                <w:color w:val="auto"/>
                <w:sz w:val="24"/>
                <w:highlight w:val="none"/>
                <w:lang w:val="en-US" w:eastAsia="zh-CN"/>
              </w:rPr>
              <w:t>2</w:t>
            </w:r>
            <w:r>
              <w:rPr>
                <w:rFonts w:hint="eastAsia" w:cs="Arial"/>
                <w:b/>
                <w:bCs/>
                <w:color w:val="auto"/>
                <w:sz w:val="24"/>
                <w:highlight w:val="none"/>
                <w:lang w:eastAsia="zh-CN"/>
              </w:rPr>
              <w:t>）</w:t>
            </w:r>
            <w:r>
              <w:rPr>
                <w:rFonts w:hint="eastAsia" w:cs="Arial"/>
                <w:b/>
                <w:bCs/>
                <w:color w:val="auto"/>
                <w:sz w:val="24"/>
                <w:highlight w:val="none"/>
                <w:lang w:val="en-US" w:eastAsia="zh-CN"/>
              </w:rPr>
              <w:t>清洗</w:t>
            </w:r>
          </w:p>
          <w:p w14:paraId="519785E2">
            <w:pPr>
              <w:pStyle w:val="12"/>
              <w:rPr>
                <w:rFonts w:hint="default" w:cs="Arial"/>
                <w:color w:val="FF0000"/>
                <w:sz w:val="24"/>
                <w:highlight w:val="none"/>
                <w:lang w:val="en-US" w:eastAsia="zh-CN"/>
              </w:rPr>
            </w:pPr>
            <w:r>
              <w:rPr>
                <w:rFonts w:hint="eastAsia" w:cs="Arial"/>
                <w:color w:val="auto"/>
                <w:sz w:val="24"/>
                <w:highlight w:val="none"/>
                <w:lang w:val="en-US" w:eastAsia="zh-CN"/>
              </w:rPr>
              <w:t>人工挑选好的原料经过传输带将原料匀速匀量地输送至高压喷淋机进行冲洗，高压喷淋冲洗时间因果蔬种类不同而不同，一般在3-5min，本次评价项目果蔬高压喷淋清洗时间按5min计，项目拟设2台高压喷淋清洗机，根据建设单位提供的资料，高压喷淋机出水量均在20L/min左右，高压喷淋清洗废水不间断排放；果蔬经高压喷淋机喷淋后传输至气泡清洗机内进行清洗，清洗时间根据清洗原料种类而定，一般约5min左右，项目拟设2台气泡清洗机，水容量约2m</w:t>
            </w:r>
            <w:r>
              <w:rPr>
                <w:rFonts w:hint="eastAsia" w:cs="Arial"/>
                <w:color w:val="auto"/>
                <w:sz w:val="24"/>
                <w:highlight w:val="none"/>
                <w:vertAlign w:val="superscript"/>
                <w:lang w:val="en-US" w:eastAsia="zh-CN"/>
              </w:rPr>
              <w:t>3</w:t>
            </w:r>
            <w:r>
              <w:rPr>
                <w:rFonts w:hint="eastAsia" w:cs="Arial"/>
                <w:color w:val="auto"/>
                <w:sz w:val="24"/>
                <w:highlight w:val="none"/>
                <w:lang w:val="en-US" w:eastAsia="zh-CN"/>
              </w:rPr>
              <w:t>，预计每天更换1次。清洗后的原料经传输带经过高压喷淋机冲洗，清洗步骤主要去除原料表面的泥土、农药残留等杂质。</w:t>
            </w:r>
          </w:p>
          <w:p w14:paraId="66A63612">
            <w:pPr>
              <w:pStyle w:val="12"/>
              <w:rPr>
                <w:rFonts w:cs="Arial"/>
                <w:color w:val="auto"/>
                <w:sz w:val="24"/>
                <w:highlight w:val="none"/>
                <w:u w:val="single"/>
              </w:rPr>
            </w:pPr>
            <w:r>
              <w:rPr>
                <w:rFonts w:hint="eastAsia" w:cs="Arial"/>
                <w:color w:val="auto"/>
                <w:sz w:val="24"/>
                <w:highlight w:val="none"/>
                <w:u w:val="single"/>
                <w:lang w:val="en-US" w:eastAsia="zh-CN"/>
              </w:rPr>
              <w:t>此工序主要产生原料清洗废水、噪声</w:t>
            </w:r>
            <w:r>
              <w:rPr>
                <w:rFonts w:hint="eastAsia" w:cs="Arial"/>
                <w:color w:val="auto"/>
                <w:sz w:val="24"/>
                <w:highlight w:val="none"/>
                <w:u w:val="single"/>
              </w:rPr>
              <w:t>。</w:t>
            </w:r>
          </w:p>
          <w:p w14:paraId="2EEBCC29">
            <w:pPr>
              <w:pStyle w:val="12"/>
              <w:rPr>
                <w:rFonts w:hint="default" w:cs="Arial"/>
                <w:b/>
                <w:bCs/>
                <w:color w:val="auto"/>
                <w:sz w:val="24"/>
                <w:highlight w:val="none"/>
                <w:lang w:val="en-US" w:eastAsia="zh-CN"/>
              </w:rPr>
            </w:pPr>
            <w:r>
              <w:rPr>
                <w:rFonts w:hint="eastAsia" w:cs="Arial"/>
                <w:b/>
                <w:bCs/>
                <w:color w:val="auto"/>
                <w:sz w:val="24"/>
                <w:highlight w:val="none"/>
                <w:lang w:val="en-US" w:eastAsia="zh-CN"/>
              </w:rPr>
              <w:t>（3）去皮核</w:t>
            </w:r>
          </w:p>
          <w:p w14:paraId="2564AB47">
            <w:pPr>
              <w:pStyle w:val="12"/>
              <w:rPr>
                <w:rFonts w:hint="default" w:eastAsia="宋体" w:cs="Arial"/>
                <w:color w:val="auto"/>
                <w:sz w:val="24"/>
                <w:highlight w:val="yellow"/>
                <w:lang w:val="en-US" w:eastAsia="zh-CN"/>
              </w:rPr>
            </w:pPr>
            <w:r>
              <w:rPr>
                <w:rFonts w:hint="eastAsia" w:cs="Arial"/>
                <w:color w:val="auto"/>
                <w:sz w:val="24"/>
                <w:highlight w:val="none"/>
                <w:lang w:val="en-US" w:eastAsia="zh-CN"/>
              </w:rPr>
              <w:t>清洗后的原料先经过分选机按大小、颜色进行分选分级，再根据果蔬的种类和特性，使用去皮/去核机（如红薯等）进行去皮、去核处理。</w:t>
            </w:r>
          </w:p>
          <w:p w14:paraId="7FDE9032">
            <w:pPr>
              <w:pStyle w:val="12"/>
              <w:rPr>
                <w:rFonts w:cs="Arial"/>
                <w:color w:val="auto"/>
                <w:sz w:val="24"/>
                <w:highlight w:val="none"/>
                <w:u w:val="single"/>
              </w:rPr>
            </w:pPr>
            <w:r>
              <w:rPr>
                <w:rFonts w:hint="eastAsia" w:cs="Arial"/>
                <w:color w:val="auto"/>
                <w:sz w:val="24"/>
                <w:highlight w:val="none"/>
                <w:u w:val="single"/>
                <w:lang w:val="en-US" w:eastAsia="zh-CN"/>
              </w:rPr>
              <w:t>此工序主要产生噪声、原料皮核</w:t>
            </w:r>
            <w:r>
              <w:rPr>
                <w:rFonts w:hint="eastAsia" w:cs="Arial"/>
                <w:color w:val="auto"/>
                <w:sz w:val="24"/>
                <w:highlight w:val="none"/>
                <w:u w:val="single"/>
              </w:rPr>
              <w:t>。</w:t>
            </w:r>
          </w:p>
          <w:p w14:paraId="05A556B9">
            <w:pPr>
              <w:bidi w:val="0"/>
              <w:rPr>
                <w:rFonts w:hint="default"/>
                <w:b/>
                <w:bCs/>
                <w:lang w:val="en-US" w:eastAsia="zh-CN"/>
              </w:rPr>
            </w:pPr>
            <w:r>
              <w:rPr>
                <w:rFonts w:hint="eastAsia"/>
                <w:b/>
                <w:bCs/>
                <w:lang w:eastAsia="zh-CN"/>
              </w:rPr>
              <w:t>（</w:t>
            </w:r>
            <w:r>
              <w:rPr>
                <w:rFonts w:hint="eastAsia"/>
                <w:b/>
                <w:bCs/>
                <w:lang w:val="en-US" w:eastAsia="zh-CN"/>
              </w:rPr>
              <w:t>4</w:t>
            </w:r>
            <w:r>
              <w:rPr>
                <w:rFonts w:hint="eastAsia"/>
                <w:b/>
                <w:bCs/>
                <w:lang w:eastAsia="zh-CN"/>
              </w:rPr>
              <w:t>）</w:t>
            </w:r>
            <w:r>
              <w:rPr>
                <w:rFonts w:hint="eastAsia"/>
                <w:b/>
                <w:bCs/>
                <w:lang w:val="en-US" w:eastAsia="zh-CN"/>
              </w:rPr>
              <w:t>切割</w:t>
            </w:r>
          </w:p>
          <w:p w14:paraId="6B552B0E">
            <w:pPr>
              <w:bidi w:val="0"/>
              <w:rPr>
                <w:rFonts w:hint="eastAsia" w:cs="Arial"/>
                <w:color w:val="auto"/>
                <w:sz w:val="24"/>
                <w:highlight w:val="none"/>
                <w:lang w:val="en-US" w:eastAsia="zh-CN"/>
              </w:rPr>
            </w:pPr>
            <w:r>
              <w:rPr>
                <w:rFonts w:hint="eastAsia" w:cs="Arial"/>
                <w:color w:val="auto"/>
                <w:sz w:val="24"/>
                <w:highlight w:val="none"/>
                <w:lang w:val="en-US" w:eastAsia="zh-CN"/>
              </w:rPr>
              <w:t>经过去皮/去核后的原料使用多功能切菜机、切片机、切丁机等进行切片、切条、切丁等处理，以满足冻干工艺的要求。</w:t>
            </w:r>
          </w:p>
          <w:p w14:paraId="0EF40125">
            <w:pPr>
              <w:pStyle w:val="12"/>
              <w:rPr>
                <w:rFonts w:cs="Arial"/>
                <w:color w:val="auto"/>
                <w:sz w:val="24"/>
                <w:highlight w:val="none"/>
                <w:u w:val="single"/>
              </w:rPr>
            </w:pPr>
            <w:r>
              <w:rPr>
                <w:rFonts w:hint="eastAsia" w:cs="Arial"/>
                <w:color w:val="auto"/>
                <w:sz w:val="24"/>
                <w:highlight w:val="none"/>
                <w:u w:val="single"/>
                <w:lang w:val="en-US" w:eastAsia="zh-CN"/>
              </w:rPr>
              <w:t>此工序主要产生噪声</w:t>
            </w:r>
            <w:r>
              <w:rPr>
                <w:rFonts w:hint="eastAsia" w:cs="Arial"/>
                <w:color w:val="auto"/>
                <w:sz w:val="24"/>
                <w:highlight w:val="none"/>
                <w:u w:val="single"/>
              </w:rPr>
              <w:t>。</w:t>
            </w:r>
          </w:p>
          <w:p w14:paraId="3874D142">
            <w:pPr>
              <w:bidi w:val="0"/>
              <w:rPr>
                <w:rFonts w:hint="default"/>
                <w:b/>
                <w:bCs/>
                <w:lang w:val="en-US" w:eastAsia="zh-CN"/>
              </w:rPr>
            </w:pPr>
            <w:r>
              <w:rPr>
                <w:rFonts w:hint="eastAsia"/>
                <w:b/>
                <w:bCs/>
                <w:lang w:eastAsia="zh-CN"/>
              </w:rPr>
              <w:t>（</w:t>
            </w:r>
            <w:r>
              <w:rPr>
                <w:rFonts w:hint="eastAsia"/>
                <w:b/>
                <w:bCs/>
                <w:lang w:val="en-US" w:eastAsia="zh-CN"/>
              </w:rPr>
              <w:t>5</w:t>
            </w:r>
            <w:r>
              <w:rPr>
                <w:rFonts w:hint="eastAsia"/>
                <w:b/>
                <w:bCs/>
                <w:lang w:eastAsia="zh-CN"/>
              </w:rPr>
              <w:t>）</w:t>
            </w:r>
            <w:r>
              <w:rPr>
                <w:rFonts w:hint="eastAsia"/>
                <w:b/>
                <w:bCs/>
                <w:lang w:val="en-US" w:eastAsia="zh-CN"/>
              </w:rPr>
              <w:t>漂烫</w:t>
            </w:r>
          </w:p>
          <w:p w14:paraId="207C4991">
            <w:pPr>
              <w:bidi w:val="0"/>
              <w:rPr>
                <w:rFonts w:hint="default"/>
                <w:b/>
                <w:bCs/>
                <w:color w:val="auto"/>
                <w:lang w:val="en-US" w:eastAsia="zh-CN"/>
              </w:rPr>
            </w:pPr>
            <w:r>
              <w:rPr>
                <w:rFonts w:hint="eastAsia" w:cs="Arial"/>
                <w:color w:val="auto"/>
                <w:sz w:val="24"/>
                <w:highlight w:val="none"/>
                <w:lang w:val="en-US" w:eastAsia="zh-CN"/>
              </w:rPr>
              <w:t>切片、切条、切丁后的葱葱、上海青、红薯、韭菜等原料通过传输带进入隧道式漂烫机内漂烫进行灭酶，火龙果直接进入预冻结环节。隧道式漂烫机拟使用蒸汽发生器制得的饱和蒸汽进行加热，蒸汽发生器由天然气作为燃料，漂烫温度在100~120℃左右，漂烫时间根据原料种类而定，一般在1~3min，以达到护色、灭菌的作用，使得原料保持原有色泽并延长保质期。漂烫后的原料经传输带进入冷水循环冷却槽内进行迅速降温冷却，冷却至适宜温度后进行预冻结处理。漂烫机水量容积为2m</w:t>
            </w:r>
            <w:r>
              <w:rPr>
                <w:rFonts w:hint="eastAsia" w:cs="Arial"/>
                <w:color w:val="auto"/>
                <w:sz w:val="24"/>
                <w:highlight w:val="none"/>
                <w:vertAlign w:val="superscript"/>
                <w:lang w:val="en-US" w:eastAsia="zh-CN"/>
              </w:rPr>
              <w:t>3</w:t>
            </w:r>
            <w:r>
              <w:rPr>
                <w:rFonts w:hint="eastAsia" w:cs="Arial"/>
                <w:color w:val="auto"/>
                <w:sz w:val="24"/>
                <w:highlight w:val="none"/>
                <w:lang w:val="en-US" w:eastAsia="zh-CN"/>
              </w:rPr>
              <w:t>，漂烫机内用水预计1天更换1次。</w:t>
            </w:r>
          </w:p>
          <w:p w14:paraId="340A6E0B">
            <w:pPr>
              <w:pStyle w:val="12"/>
              <w:rPr>
                <w:rFonts w:cs="Arial"/>
                <w:color w:val="auto"/>
                <w:sz w:val="24"/>
                <w:highlight w:val="none"/>
                <w:u w:val="single"/>
              </w:rPr>
            </w:pPr>
            <w:r>
              <w:rPr>
                <w:rFonts w:hint="eastAsia" w:cs="Arial"/>
                <w:color w:val="auto"/>
                <w:sz w:val="24"/>
                <w:highlight w:val="none"/>
                <w:u w:val="single"/>
                <w:lang w:val="en-US" w:eastAsia="zh-CN"/>
              </w:rPr>
              <w:t>此工序主要产生天然气燃烧废气、蒸汽发生器废水、漂烫废水、噪声</w:t>
            </w:r>
            <w:r>
              <w:rPr>
                <w:rFonts w:hint="eastAsia" w:cs="Arial"/>
                <w:color w:val="auto"/>
                <w:sz w:val="24"/>
                <w:highlight w:val="none"/>
                <w:u w:val="single"/>
              </w:rPr>
              <w:t>。</w:t>
            </w:r>
          </w:p>
          <w:p w14:paraId="0E492E1E">
            <w:pPr>
              <w:bidi w:val="0"/>
              <w:rPr>
                <w:rFonts w:hint="default"/>
                <w:b/>
                <w:bCs/>
                <w:lang w:val="en-US" w:eastAsia="zh-CN"/>
              </w:rPr>
            </w:pPr>
            <w:r>
              <w:rPr>
                <w:rFonts w:hint="eastAsia"/>
                <w:b/>
                <w:bCs/>
                <w:lang w:eastAsia="zh-CN"/>
              </w:rPr>
              <w:t>（</w:t>
            </w:r>
            <w:r>
              <w:rPr>
                <w:rFonts w:hint="eastAsia"/>
                <w:b/>
                <w:bCs/>
                <w:lang w:val="en-US" w:eastAsia="zh-CN"/>
              </w:rPr>
              <w:t>6</w:t>
            </w:r>
            <w:r>
              <w:rPr>
                <w:rFonts w:hint="eastAsia"/>
                <w:b/>
                <w:bCs/>
                <w:lang w:eastAsia="zh-CN"/>
              </w:rPr>
              <w:t>）</w:t>
            </w:r>
            <w:r>
              <w:rPr>
                <w:rFonts w:hint="eastAsia"/>
                <w:b/>
                <w:bCs/>
                <w:lang w:val="en-US" w:eastAsia="zh-CN"/>
              </w:rPr>
              <w:t>预冻结</w:t>
            </w:r>
          </w:p>
          <w:p w14:paraId="6683EDAA">
            <w:pPr>
              <w:bidi w:val="0"/>
              <w:rPr>
                <w:rFonts w:hint="eastAsia" w:cs="Arial"/>
                <w:b/>
                <w:bCs/>
                <w:color w:val="auto"/>
                <w:highlight w:val="none"/>
                <w:lang w:eastAsia="zh-CN"/>
              </w:rPr>
            </w:pPr>
            <w:r>
              <w:rPr>
                <w:rFonts w:hint="eastAsia"/>
                <w:lang w:eastAsia="zh-CN"/>
              </w:rPr>
              <w:t>将</w:t>
            </w:r>
            <w:r>
              <w:rPr>
                <w:rFonts w:hint="eastAsia" w:cs="Arial"/>
                <w:color w:val="auto"/>
                <w:sz w:val="24"/>
                <w:highlight w:val="none"/>
                <w:lang w:val="en-US" w:eastAsia="zh-CN"/>
              </w:rPr>
              <w:t>冷水循环冷却槽内冷却至适宜温度的原料</w:t>
            </w:r>
            <w:r>
              <w:rPr>
                <w:rFonts w:hint="eastAsia"/>
                <w:lang w:eastAsia="zh-CN"/>
              </w:rPr>
              <w:t>放入</w:t>
            </w:r>
            <w:r>
              <w:rPr>
                <w:rFonts w:hint="eastAsia"/>
                <w:lang w:val="en-US" w:eastAsia="zh-CN"/>
              </w:rPr>
              <w:t>螺旋速冻机内</w:t>
            </w:r>
            <w:r>
              <w:rPr>
                <w:rFonts w:hint="eastAsia"/>
                <w:lang w:eastAsia="zh-CN"/>
              </w:rPr>
              <w:t>进行</w:t>
            </w:r>
            <w:r>
              <w:rPr>
                <w:rFonts w:hint="eastAsia"/>
                <w:lang w:val="en-US" w:eastAsia="zh-CN"/>
              </w:rPr>
              <w:t>速冻</w:t>
            </w:r>
            <w:r>
              <w:rPr>
                <w:rFonts w:hint="eastAsia"/>
                <w:lang w:eastAsia="zh-CN"/>
              </w:rPr>
              <w:t>处理，</w:t>
            </w:r>
            <w:r>
              <w:rPr>
                <w:rFonts w:hint="eastAsia"/>
                <w:lang w:val="en-US" w:eastAsia="zh-CN"/>
              </w:rPr>
              <w:t>螺旋速冻机制冷剂为液氮</w:t>
            </w:r>
            <w:r>
              <w:rPr>
                <w:rFonts w:hint="eastAsia"/>
                <w:lang w:eastAsia="zh-CN"/>
              </w:rPr>
              <w:t>。通常，果蔬会被冷冻至-30℃以下的温度，使其内部的水分形成冰晶，为后续的干燥过程做准备。</w:t>
            </w:r>
          </w:p>
          <w:p w14:paraId="43A2C5F9">
            <w:pPr>
              <w:pStyle w:val="12"/>
              <w:rPr>
                <w:rFonts w:cs="Arial"/>
                <w:color w:val="auto"/>
                <w:sz w:val="24"/>
                <w:highlight w:val="none"/>
                <w:u w:val="single"/>
              </w:rPr>
            </w:pPr>
            <w:r>
              <w:rPr>
                <w:rFonts w:hint="eastAsia" w:cs="Arial"/>
                <w:color w:val="auto"/>
                <w:sz w:val="24"/>
                <w:highlight w:val="none"/>
                <w:u w:val="single"/>
                <w:lang w:val="en-US" w:eastAsia="zh-CN"/>
              </w:rPr>
              <w:t>此工序主要产生噪声</w:t>
            </w:r>
            <w:r>
              <w:rPr>
                <w:rFonts w:hint="eastAsia" w:cs="Arial"/>
                <w:color w:val="auto"/>
                <w:sz w:val="24"/>
                <w:highlight w:val="none"/>
                <w:u w:val="single"/>
              </w:rPr>
              <w:t>。</w:t>
            </w:r>
          </w:p>
          <w:p w14:paraId="54BDB974">
            <w:pPr>
              <w:bidi w:val="0"/>
              <w:rPr>
                <w:rFonts w:hint="default"/>
                <w:b/>
                <w:bCs/>
                <w:lang w:val="en-US" w:eastAsia="zh-CN"/>
              </w:rPr>
            </w:pPr>
            <w:r>
              <w:rPr>
                <w:rFonts w:hint="eastAsia"/>
                <w:b/>
                <w:bCs/>
                <w:lang w:eastAsia="zh-CN"/>
              </w:rPr>
              <w:t>（</w:t>
            </w:r>
            <w:r>
              <w:rPr>
                <w:rFonts w:hint="eastAsia"/>
                <w:b/>
                <w:bCs/>
                <w:lang w:val="en-US" w:eastAsia="zh-CN"/>
              </w:rPr>
              <w:t>7</w:t>
            </w:r>
            <w:r>
              <w:rPr>
                <w:rFonts w:hint="eastAsia"/>
                <w:b/>
                <w:bCs/>
                <w:lang w:eastAsia="zh-CN"/>
              </w:rPr>
              <w:t>）</w:t>
            </w:r>
            <w:r>
              <w:rPr>
                <w:rFonts w:hint="eastAsia"/>
                <w:b/>
                <w:bCs/>
                <w:lang w:val="en-US" w:eastAsia="zh-CN"/>
              </w:rPr>
              <w:t>升华干燥</w:t>
            </w:r>
          </w:p>
          <w:p w14:paraId="322345AB">
            <w:pPr>
              <w:bidi w:val="0"/>
              <w:rPr>
                <w:rFonts w:hint="eastAsia"/>
                <w:lang w:eastAsia="zh-CN"/>
              </w:rPr>
            </w:pPr>
            <w:r>
              <w:rPr>
                <w:rFonts w:hint="eastAsia"/>
                <w:lang w:eastAsia="zh-CN"/>
              </w:rPr>
              <w:t>将预冻结后的果蔬放入</w:t>
            </w:r>
            <w:r>
              <w:rPr>
                <w:rFonts w:hint="eastAsia"/>
                <w:color w:val="auto"/>
                <w:lang w:val="en-US" w:eastAsia="zh-CN"/>
              </w:rPr>
              <w:t>连续式</w:t>
            </w:r>
            <w:r>
              <w:rPr>
                <w:rFonts w:hint="eastAsia"/>
                <w:lang w:val="en-US" w:eastAsia="zh-CN"/>
              </w:rPr>
              <w:t>真空冷冻干燥机</w:t>
            </w:r>
            <w:r>
              <w:rPr>
                <w:rFonts w:hint="eastAsia"/>
                <w:lang w:eastAsia="zh-CN"/>
              </w:rPr>
              <w:t>中进行</w:t>
            </w:r>
            <w:r>
              <w:rPr>
                <w:rFonts w:hint="eastAsia"/>
                <w:lang w:val="en-US" w:eastAsia="zh-CN"/>
              </w:rPr>
              <w:t>冻结后</w:t>
            </w:r>
            <w:r>
              <w:rPr>
                <w:rFonts w:hint="eastAsia"/>
                <w:lang w:eastAsia="zh-CN"/>
              </w:rPr>
              <w:t>升华干燥。真空冷冻干燥</w:t>
            </w:r>
            <w:r>
              <w:rPr>
                <w:rFonts w:hint="eastAsia"/>
                <w:lang w:val="en-US" w:eastAsia="zh-CN"/>
              </w:rPr>
              <w:t>机主要包括</w:t>
            </w:r>
            <w:r>
              <w:rPr>
                <w:rFonts w:hint="eastAsia"/>
                <w:lang w:eastAsia="zh-CN"/>
              </w:rPr>
              <w:t>制冷系统、真空系统、导热油加热系统、排湿系统，</w:t>
            </w:r>
            <w:r>
              <w:rPr>
                <w:rFonts w:hint="eastAsia"/>
                <w:lang w:val="en-US" w:eastAsia="zh-CN"/>
              </w:rPr>
              <w:t>果蔬</w:t>
            </w:r>
            <w:r>
              <w:rPr>
                <w:rFonts w:hint="eastAsia"/>
                <w:lang w:eastAsia="zh-CN"/>
              </w:rPr>
              <w:t>投入物料箱内</w:t>
            </w:r>
            <w:r>
              <w:rPr>
                <w:rFonts w:hint="eastAsia"/>
                <w:lang w:val="en-US" w:eastAsia="zh-CN"/>
              </w:rPr>
              <w:t>先进行</w:t>
            </w:r>
            <w:r>
              <w:rPr>
                <w:rFonts w:hint="eastAsia"/>
                <w:lang w:eastAsia="zh-CN"/>
              </w:rPr>
              <w:t>冷冻物料</w:t>
            </w:r>
            <w:r>
              <w:rPr>
                <w:rFonts w:hint="eastAsia"/>
                <w:lang w:val="en-US" w:eastAsia="zh-CN"/>
              </w:rPr>
              <w:t>的冷冻过程</w:t>
            </w:r>
            <w:r>
              <w:rPr>
                <w:rFonts w:hint="eastAsia"/>
                <w:lang w:eastAsia="zh-CN"/>
              </w:rPr>
              <w:t>，一方面是真空系统进行抽真空把一部分水分带走；另一方面是物料受冻时把某些分子中所含水分排到物料的表面冻结，达到冷冻要求后，由加热系统对物料加热干燥，通过抽真空把物料中所含的水分带到冷冻捕集箱结冻，达到物料冷冻干燥要求。</w:t>
            </w:r>
            <w:r>
              <w:rPr>
                <w:rFonts w:hint="eastAsia"/>
                <w:lang w:val="en-US" w:eastAsia="zh-CN"/>
              </w:rPr>
              <w:t>升华干燥后继续对物料进行解析干燥（真空干燥），</w:t>
            </w:r>
            <w:r>
              <w:rPr>
                <w:rFonts w:hint="eastAsia"/>
                <w:lang w:eastAsia="zh-CN"/>
              </w:rPr>
              <w:t>以去除果蔬中残留的水分，提高其干燥度。</w:t>
            </w:r>
          </w:p>
          <w:p w14:paraId="09B7E1B4">
            <w:pPr>
              <w:pStyle w:val="12"/>
              <w:rPr>
                <w:rFonts w:cs="Arial"/>
                <w:color w:val="auto"/>
                <w:sz w:val="24"/>
                <w:highlight w:val="none"/>
                <w:u w:val="single"/>
              </w:rPr>
            </w:pPr>
            <w:r>
              <w:rPr>
                <w:rFonts w:hint="eastAsia" w:cs="Arial"/>
                <w:color w:val="auto"/>
                <w:sz w:val="24"/>
                <w:highlight w:val="none"/>
                <w:u w:val="single"/>
                <w:lang w:val="en-US" w:eastAsia="zh-CN"/>
              </w:rPr>
              <w:t>此工序主要产生噪声</w:t>
            </w:r>
            <w:r>
              <w:rPr>
                <w:rFonts w:hint="eastAsia" w:cs="Arial"/>
                <w:color w:val="auto"/>
                <w:sz w:val="24"/>
                <w:highlight w:val="none"/>
                <w:u w:val="single"/>
              </w:rPr>
              <w:t>。</w:t>
            </w:r>
          </w:p>
          <w:p w14:paraId="756E23E1">
            <w:pPr>
              <w:pStyle w:val="12"/>
              <w:rPr>
                <w:rFonts w:hint="default" w:cs="Arial"/>
                <w:b/>
                <w:bCs/>
                <w:color w:val="auto"/>
                <w:sz w:val="24"/>
                <w:highlight w:val="none"/>
                <w:lang w:val="en-US" w:eastAsia="zh-CN"/>
              </w:rPr>
            </w:pPr>
            <w:r>
              <w:rPr>
                <w:rFonts w:hint="eastAsia" w:cs="Arial"/>
                <w:b/>
                <w:bCs/>
                <w:color w:val="auto"/>
                <w:sz w:val="24"/>
                <w:highlight w:val="none"/>
                <w:lang w:eastAsia="zh-CN"/>
              </w:rPr>
              <w:t>（</w:t>
            </w:r>
            <w:r>
              <w:rPr>
                <w:rFonts w:hint="eastAsia" w:cs="Arial"/>
                <w:b/>
                <w:bCs/>
                <w:color w:val="auto"/>
                <w:sz w:val="24"/>
                <w:highlight w:val="none"/>
                <w:lang w:val="en-US" w:eastAsia="zh-CN"/>
              </w:rPr>
              <w:t>8</w:t>
            </w:r>
            <w:r>
              <w:rPr>
                <w:rFonts w:hint="eastAsia" w:cs="Arial"/>
                <w:b/>
                <w:bCs/>
                <w:color w:val="auto"/>
                <w:sz w:val="24"/>
                <w:highlight w:val="none"/>
                <w:lang w:eastAsia="zh-CN"/>
              </w:rPr>
              <w:t>）</w:t>
            </w:r>
            <w:r>
              <w:rPr>
                <w:rFonts w:hint="eastAsia" w:cs="Arial"/>
                <w:b/>
                <w:bCs/>
                <w:color w:val="auto"/>
                <w:sz w:val="24"/>
                <w:highlight w:val="none"/>
                <w:lang w:val="en-US" w:eastAsia="zh-CN"/>
              </w:rPr>
              <w:t>分拣</w:t>
            </w:r>
          </w:p>
          <w:p w14:paraId="3DA6FF5A">
            <w:pPr>
              <w:bidi w:val="0"/>
              <w:rPr>
                <w:rFonts w:hint="default"/>
                <w:color w:val="FF0000"/>
                <w:lang w:val="en-US" w:eastAsia="zh-CN"/>
              </w:rPr>
            </w:pPr>
            <w:r>
              <w:rPr>
                <w:rFonts w:hint="eastAsia"/>
                <w:lang w:eastAsia="zh-CN"/>
              </w:rPr>
              <w:t>在</w:t>
            </w:r>
            <w:r>
              <w:rPr>
                <w:rFonts w:hint="eastAsia"/>
                <w:lang w:val="en-US" w:eastAsia="zh-CN"/>
              </w:rPr>
              <w:t>物料</w:t>
            </w:r>
            <w:r>
              <w:rPr>
                <w:rFonts w:hint="eastAsia"/>
                <w:lang w:eastAsia="zh-CN"/>
              </w:rPr>
              <w:t>干燥结束后</w:t>
            </w:r>
            <w:r>
              <w:rPr>
                <w:rFonts w:hint="eastAsia"/>
                <w:color w:val="auto"/>
                <w:lang w:eastAsia="zh-CN"/>
              </w:rPr>
              <w:t>，</w:t>
            </w:r>
            <w:r>
              <w:rPr>
                <w:rFonts w:hint="eastAsia"/>
                <w:color w:val="auto"/>
                <w:lang w:val="en-US" w:eastAsia="zh-CN"/>
              </w:rPr>
              <w:t>先经过专用吸料设备将物料吸至振动筛分机内，通过不同目大小的筛孔将物料分为不同粗细的产品，整个输送及筛分过程均为密闭状态，无粉尘产生，筛分后的产品再运输至人工分拣台，由人工进行分拣，主要根据成色将不合格产品分拣出来。</w:t>
            </w:r>
          </w:p>
          <w:p w14:paraId="636E775E">
            <w:pPr>
              <w:pStyle w:val="12"/>
              <w:rPr>
                <w:rFonts w:cs="Arial"/>
                <w:color w:val="auto"/>
                <w:sz w:val="24"/>
                <w:highlight w:val="none"/>
                <w:u w:val="single"/>
              </w:rPr>
            </w:pPr>
            <w:r>
              <w:rPr>
                <w:rFonts w:hint="eastAsia" w:cs="Arial"/>
                <w:color w:val="auto"/>
                <w:sz w:val="24"/>
                <w:highlight w:val="none"/>
                <w:u w:val="single"/>
                <w:lang w:val="en-US" w:eastAsia="zh-CN"/>
              </w:rPr>
              <w:t>此工序主要产生噪声、不合格产品</w:t>
            </w:r>
            <w:r>
              <w:rPr>
                <w:rFonts w:hint="eastAsia" w:cs="Arial"/>
                <w:color w:val="auto"/>
                <w:sz w:val="24"/>
                <w:highlight w:val="none"/>
                <w:u w:val="single"/>
              </w:rPr>
              <w:t>。</w:t>
            </w:r>
          </w:p>
          <w:p w14:paraId="750295EA">
            <w:pPr>
              <w:pStyle w:val="12"/>
              <w:rPr>
                <w:rFonts w:hint="default" w:cs="Arial"/>
                <w:b/>
                <w:bCs/>
                <w:color w:val="auto"/>
                <w:sz w:val="24"/>
                <w:highlight w:val="none"/>
                <w:lang w:val="en-US" w:eastAsia="zh-CN"/>
              </w:rPr>
            </w:pPr>
            <w:r>
              <w:rPr>
                <w:rFonts w:hint="eastAsia" w:cs="Arial"/>
                <w:b/>
                <w:bCs/>
                <w:color w:val="auto"/>
                <w:sz w:val="24"/>
                <w:highlight w:val="none"/>
                <w:lang w:eastAsia="zh-CN"/>
              </w:rPr>
              <w:t>（</w:t>
            </w:r>
            <w:r>
              <w:rPr>
                <w:rFonts w:hint="eastAsia" w:cs="Arial"/>
                <w:b/>
                <w:bCs/>
                <w:color w:val="auto"/>
                <w:sz w:val="24"/>
                <w:highlight w:val="none"/>
                <w:lang w:val="en-US" w:eastAsia="zh-CN"/>
              </w:rPr>
              <w:t>9</w:t>
            </w:r>
            <w:r>
              <w:rPr>
                <w:rFonts w:hint="eastAsia" w:cs="Arial"/>
                <w:b/>
                <w:bCs/>
                <w:color w:val="auto"/>
                <w:sz w:val="24"/>
                <w:highlight w:val="none"/>
                <w:lang w:eastAsia="zh-CN"/>
              </w:rPr>
              <w:t>）</w:t>
            </w:r>
            <w:r>
              <w:rPr>
                <w:rFonts w:hint="eastAsia" w:cs="Arial"/>
                <w:b/>
                <w:bCs/>
                <w:color w:val="auto"/>
                <w:sz w:val="24"/>
                <w:highlight w:val="none"/>
                <w:lang w:val="en-US" w:eastAsia="zh-CN"/>
              </w:rPr>
              <w:t>探检</w:t>
            </w:r>
          </w:p>
          <w:p w14:paraId="08F78F3C">
            <w:pPr>
              <w:spacing w:line="360" w:lineRule="auto"/>
              <w:ind w:firstLine="480" w:firstLineChars="200"/>
              <w:rPr>
                <w:rFonts w:hint="default" w:eastAsia="宋体"/>
                <w:b/>
                <w:bCs w:val="0"/>
                <w:sz w:val="24"/>
                <w:lang w:val="en-US" w:eastAsia="zh-CN"/>
              </w:rPr>
            </w:pPr>
            <w:r>
              <w:rPr>
                <w:rFonts w:hint="eastAsia"/>
                <w:bCs/>
                <w:sz w:val="24"/>
                <w:lang w:val="en-US" w:eastAsia="zh-CN"/>
              </w:rPr>
              <w:t>人工分拣后的产品运输至</w:t>
            </w:r>
            <w:r>
              <w:rPr>
                <w:bCs/>
                <w:sz w:val="24"/>
              </w:rPr>
              <w:t>X</w:t>
            </w:r>
            <w:r>
              <w:rPr>
                <w:rFonts w:hint="eastAsia"/>
                <w:bCs/>
                <w:sz w:val="24"/>
                <w:lang w:val="en-US" w:eastAsia="zh-CN"/>
              </w:rPr>
              <w:t>射线检测仪，主要探检</w:t>
            </w:r>
            <w:r>
              <w:rPr>
                <w:rFonts w:hint="eastAsia"/>
                <w:bCs/>
                <w:sz w:val="24"/>
              </w:rPr>
              <w:t>是否含有金属等杂质并去除这些杂质</w:t>
            </w:r>
            <w:r>
              <w:rPr>
                <w:rFonts w:hint="eastAsia"/>
                <w:b w:val="0"/>
                <w:bCs/>
                <w:sz w:val="24"/>
                <w:lang w:val="en-US" w:eastAsia="zh-CN"/>
              </w:rPr>
              <w:t>。</w:t>
            </w:r>
          </w:p>
          <w:p w14:paraId="72D3EAB3">
            <w:pPr>
              <w:spacing w:line="360" w:lineRule="auto"/>
              <w:ind w:firstLine="480" w:firstLineChars="200"/>
              <w:rPr>
                <w:bCs/>
                <w:sz w:val="24"/>
                <w:szCs w:val="24"/>
                <w:u w:val="single"/>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产生噪声、杂质。</w:t>
            </w:r>
          </w:p>
          <w:p w14:paraId="44D922E2">
            <w:pPr>
              <w:bidi w:val="0"/>
              <w:rPr>
                <w:rFonts w:hint="default"/>
                <w:b/>
                <w:bCs/>
                <w:lang w:val="en-US" w:eastAsia="zh-CN"/>
              </w:rPr>
            </w:pPr>
            <w:r>
              <w:rPr>
                <w:rFonts w:hint="eastAsia"/>
                <w:b/>
                <w:bCs/>
                <w:lang w:eastAsia="zh-CN"/>
              </w:rPr>
              <w:t>（</w:t>
            </w:r>
            <w:r>
              <w:rPr>
                <w:rFonts w:hint="eastAsia"/>
                <w:b/>
                <w:bCs/>
                <w:lang w:val="en-US" w:eastAsia="zh-CN"/>
              </w:rPr>
              <w:t>10</w:t>
            </w:r>
            <w:r>
              <w:rPr>
                <w:rFonts w:hint="eastAsia"/>
                <w:b/>
                <w:bCs/>
                <w:lang w:eastAsia="zh-CN"/>
              </w:rPr>
              <w:t>）</w:t>
            </w:r>
            <w:r>
              <w:rPr>
                <w:rFonts w:hint="eastAsia"/>
                <w:b/>
                <w:bCs/>
                <w:lang w:val="en-US" w:eastAsia="zh-CN"/>
              </w:rPr>
              <w:t>包装</w:t>
            </w:r>
          </w:p>
          <w:p w14:paraId="6BFD163B">
            <w:pPr>
              <w:spacing w:line="360" w:lineRule="auto"/>
              <w:ind w:firstLine="480" w:firstLineChars="200"/>
              <w:rPr>
                <w:rFonts w:hint="default" w:eastAsia="宋体"/>
                <w:bCs/>
                <w:color w:val="auto"/>
                <w:sz w:val="24"/>
                <w:szCs w:val="24"/>
                <w:lang w:val="en-US" w:eastAsia="zh-CN"/>
              </w:rPr>
            </w:pPr>
            <w:r>
              <w:rPr>
                <w:rFonts w:hint="eastAsia"/>
                <w:sz w:val="24"/>
                <w:lang w:val="en-US" w:eastAsia="zh-CN"/>
              </w:rPr>
              <w:t>探检后的</w:t>
            </w:r>
            <w:r>
              <w:rPr>
                <w:rFonts w:hint="eastAsia"/>
                <w:color w:val="auto"/>
                <w:sz w:val="24"/>
                <w:lang w:val="en-US" w:eastAsia="zh-CN"/>
              </w:rPr>
              <w:t>产品运输至包装间后进行产品包装</w:t>
            </w:r>
            <w:r>
              <w:rPr>
                <w:rFonts w:hint="eastAsia"/>
                <w:bCs/>
                <w:color w:val="auto"/>
                <w:sz w:val="24"/>
                <w:szCs w:val="24"/>
              </w:rPr>
              <w:t>。</w:t>
            </w:r>
            <w:r>
              <w:rPr>
                <w:rFonts w:hint="eastAsia"/>
                <w:bCs/>
                <w:color w:val="auto"/>
                <w:sz w:val="24"/>
                <w:szCs w:val="24"/>
                <w:lang w:val="en-US" w:eastAsia="zh-CN"/>
              </w:rPr>
              <w:t>包材由人工进行脱包后进入喷码间使用激光喷码机进行喷码，激光喷码后进入包材杀菌间经过臭氧机制备的臭氧进行杀菌，包材臭氧杀菌后运送至包装间进行内包，包装主要由自动称重充氮包装机、真空封口机进行包装，</w:t>
            </w:r>
            <w:r>
              <w:rPr>
                <w:rFonts w:hint="eastAsia"/>
                <w:bCs/>
                <w:color w:val="auto"/>
                <w:sz w:val="24"/>
                <w:szCs w:val="24"/>
              </w:rPr>
              <w:t>内包装要求称量准确，封口严密</w:t>
            </w:r>
            <w:r>
              <w:rPr>
                <w:rFonts w:hint="eastAsia"/>
                <w:bCs/>
                <w:color w:val="auto"/>
                <w:sz w:val="24"/>
                <w:szCs w:val="24"/>
                <w:lang w:eastAsia="zh-CN"/>
              </w:rPr>
              <w:t>，</w:t>
            </w:r>
            <w:r>
              <w:rPr>
                <w:rFonts w:hint="eastAsia"/>
                <w:bCs/>
                <w:color w:val="auto"/>
                <w:sz w:val="24"/>
                <w:szCs w:val="24"/>
                <w:lang w:val="en-US" w:eastAsia="zh-CN"/>
              </w:rPr>
              <w:t>封口后由贴标机进行贴标</w:t>
            </w:r>
            <w:r>
              <w:rPr>
                <w:rFonts w:hint="eastAsia"/>
                <w:bCs/>
                <w:color w:val="auto"/>
                <w:sz w:val="24"/>
                <w:szCs w:val="24"/>
              </w:rPr>
              <w:t>。</w:t>
            </w:r>
          </w:p>
          <w:p w14:paraId="2796CB12">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产生噪声、废包装材料。</w:t>
            </w:r>
          </w:p>
          <w:p w14:paraId="6EE770E2">
            <w:pPr>
              <w:numPr>
                <w:ilvl w:val="0"/>
                <w:numId w:val="0"/>
              </w:numPr>
              <w:ind w:left="0" w:leftChars="0" w:firstLine="482" w:firstLineChars="200"/>
              <w:rPr>
                <w:rFonts w:hint="eastAsia"/>
                <w:b/>
                <w:bCs/>
                <w:color w:val="auto"/>
                <w:sz w:val="24"/>
                <w:highlight w:val="none"/>
              </w:rPr>
            </w:pPr>
            <w:r>
              <w:rPr>
                <w:rFonts w:hint="eastAsia"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11</w:t>
            </w:r>
            <w:r>
              <w:rPr>
                <w:rFonts w:hint="eastAsia" w:ascii="Times New Roman" w:hAnsi="Times New Roman" w:eastAsia="宋体" w:cs="Times New Roman"/>
                <w:b/>
                <w:bCs/>
                <w:color w:val="auto"/>
                <w:kern w:val="2"/>
                <w:sz w:val="24"/>
                <w:szCs w:val="24"/>
                <w:lang w:val="en-US" w:eastAsia="zh-CN" w:bidi="ar-SA"/>
              </w:rPr>
              <w:t>）</w:t>
            </w:r>
            <w:r>
              <w:rPr>
                <w:rFonts w:hint="eastAsia"/>
                <w:b/>
                <w:bCs/>
                <w:color w:val="auto"/>
                <w:sz w:val="24"/>
                <w:highlight w:val="none"/>
                <w:lang w:val="en-US" w:eastAsia="zh-CN"/>
              </w:rPr>
              <w:t>入库</w:t>
            </w:r>
          </w:p>
          <w:p w14:paraId="7D2A2B3C">
            <w:pPr>
              <w:bidi w:val="0"/>
              <w:rPr>
                <w:rFonts w:hint="eastAsia"/>
                <w:color w:val="auto"/>
                <w:sz w:val="24"/>
                <w:highlight w:val="none"/>
              </w:rPr>
            </w:pPr>
            <w:r>
              <w:rPr>
                <w:rFonts w:hint="eastAsia"/>
                <w:b w:val="0"/>
                <w:bCs w:val="0"/>
                <w:color w:val="auto"/>
                <w:sz w:val="24"/>
                <w:highlight w:val="none"/>
                <w:lang w:val="en-US" w:eastAsia="zh-CN"/>
              </w:rPr>
              <w:t>包装完成后的产品</w:t>
            </w:r>
            <w:r>
              <w:rPr>
                <w:rFonts w:hint="eastAsia"/>
                <w:bCs/>
                <w:sz w:val="24"/>
                <w:szCs w:val="24"/>
              </w:rPr>
              <w:t>放入成品库</w:t>
            </w:r>
            <w:r>
              <w:rPr>
                <w:rFonts w:hint="eastAsia"/>
                <w:bCs/>
                <w:sz w:val="24"/>
                <w:szCs w:val="24"/>
                <w:lang w:val="en-US" w:eastAsia="zh-CN"/>
              </w:rPr>
              <w:t>房</w:t>
            </w:r>
            <w:r>
              <w:rPr>
                <w:rFonts w:hint="eastAsia"/>
                <w:bCs/>
                <w:sz w:val="24"/>
                <w:szCs w:val="24"/>
              </w:rPr>
              <w:t>待售</w:t>
            </w:r>
            <w:r>
              <w:rPr>
                <w:rFonts w:hint="eastAsia"/>
                <w:color w:val="auto"/>
                <w:sz w:val="24"/>
                <w:highlight w:val="none"/>
              </w:rPr>
              <w:t>。</w:t>
            </w:r>
          </w:p>
          <w:p w14:paraId="16F3F5DB">
            <w:pPr>
              <w:rPr>
                <w:rFonts w:hint="default"/>
                <w:b/>
                <w:bCs/>
                <w:color w:val="auto"/>
                <w:sz w:val="24"/>
                <w:highlight w:val="none"/>
                <w:lang w:val="en-US" w:eastAsia="zh-CN"/>
              </w:rPr>
            </w:pPr>
            <w:r>
              <w:rPr>
                <w:rFonts w:hint="eastAsia"/>
                <w:b/>
                <w:bCs/>
                <w:color w:val="auto"/>
                <w:sz w:val="24"/>
                <w:highlight w:val="none"/>
                <w:lang w:val="en-US" w:eastAsia="zh-CN"/>
              </w:rPr>
              <w:t>2、午餐肉罐头</w:t>
            </w:r>
          </w:p>
          <w:p w14:paraId="6957C423">
            <w:pPr>
              <w:pStyle w:val="61"/>
              <w:ind w:left="0" w:leftChars="0" w:firstLine="0" w:firstLineChars="0"/>
              <w:jc w:val="center"/>
              <w:rPr>
                <w:rFonts w:hint="eastAsia" w:eastAsia="宋体"/>
                <w:b/>
                <w:bCs/>
                <w:color w:val="auto"/>
                <w:szCs w:val="24"/>
                <w:highlight w:val="none"/>
                <w:lang w:eastAsia="zh-CN"/>
              </w:rPr>
            </w:pPr>
            <w:r>
              <w:drawing>
                <wp:inline distT="0" distB="0" distL="114300" distR="114300">
                  <wp:extent cx="5444490" cy="684784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3"/>
                          <a:stretch>
                            <a:fillRect/>
                          </a:stretch>
                        </pic:blipFill>
                        <pic:spPr>
                          <a:xfrm>
                            <a:off x="0" y="0"/>
                            <a:ext cx="5444490" cy="6847840"/>
                          </a:xfrm>
                          <a:prstGeom prst="rect">
                            <a:avLst/>
                          </a:prstGeom>
                          <a:noFill/>
                          <a:ln>
                            <a:noFill/>
                          </a:ln>
                        </pic:spPr>
                      </pic:pic>
                    </a:graphicData>
                  </a:graphic>
                </wp:inline>
              </w:drawing>
            </w:r>
          </w:p>
          <w:p w14:paraId="74FA2BEC">
            <w:pPr>
              <w:pStyle w:val="14"/>
              <w:ind w:left="0" w:leftChars="0" w:firstLine="0" w:firstLineChars="0"/>
              <w:rPr>
                <w:rFonts w:hint="default" w:eastAsia="宋体"/>
                <w:b/>
                <w:bCs/>
                <w:color w:val="auto"/>
                <w:szCs w:val="24"/>
                <w:highlight w:val="none"/>
                <w:lang w:val="en-US" w:eastAsia="zh-CN"/>
              </w:rPr>
            </w:pPr>
            <w:r>
              <w:t xml:space="preserve">图2- </w:t>
            </w:r>
            <w:r>
              <w:fldChar w:fldCharType="begin"/>
            </w:r>
            <w:r>
              <w:instrText xml:space="preserve"> SEQ 图2- \* ARABIC </w:instrText>
            </w:r>
            <w:r>
              <w:fldChar w:fldCharType="separate"/>
            </w:r>
            <w:r>
              <w:t>5</w:t>
            </w:r>
            <w:r>
              <w:fldChar w:fldCharType="end"/>
            </w:r>
            <w:r>
              <w:rPr>
                <w:rFonts w:hint="eastAsia"/>
                <w:lang w:val="en-US" w:eastAsia="zh-CN"/>
              </w:rPr>
              <w:t xml:space="preserve">  午餐肉罐头生产工艺流程及产污环节图</w:t>
            </w:r>
          </w:p>
          <w:p w14:paraId="4AF14831">
            <w:pPr>
              <w:pStyle w:val="61"/>
              <w:ind w:firstLine="482"/>
              <w:rPr>
                <w:b/>
                <w:bCs/>
                <w:color w:val="auto"/>
                <w:szCs w:val="24"/>
                <w:highlight w:val="none"/>
              </w:rPr>
            </w:pPr>
            <w:r>
              <w:rPr>
                <w:b/>
                <w:bCs/>
                <w:color w:val="auto"/>
                <w:szCs w:val="24"/>
                <w:highlight w:val="none"/>
              </w:rPr>
              <w:t>工艺流程简述：</w:t>
            </w:r>
          </w:p>
          <w:p w14:paraId="3838092F">
            <w:pPr>
              <w:bidi w:val="0"/>
              <w:rPr>
                <w:rFonts w:hint="default"/>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解冻</w:t>
            </w:r>
          </w:p>
          <w:p w14:paraId="07B629F2">
            <w:pPr>
              <w:bidi w:val="0"/>
              <w:rPr>
                <w:rFonts w:hint="eastAsia"/>
                <w:lang w:val="en-US" w:eastAsia="zh-CN"/>
              </w:rPr>
            </w:pPr>
            <w:r>
              <w:rPr>
                <w:rFonts w:hint="eastAsia"/>
                <w:lang w:val="en-US" w:eastAsia="zh-CN"/>
              </w:rPr>
              <w:t>将冻库内猪肉拿出运送至气泡解冻池内进行解冻。气泡解冻池解冻原理为冷冻食品放入解冻池中，加热系统使水温升高，进而形成气泡，这些气泡在食品表面产生冲击，导致食品表面温度升高并形成对流效应，从而加快食品内部的解冻速度。项目拟使用气泡解冻池水容量约10m</w:t>
            </w:r>
            <w:r>
              <w:rPr>
                <w:rFonts w:hint="eastAsia"/>
                <w:vertAlign w:val="superscript"/>
                <w:lang w:val="en-US" w:eastAsia="zh-CN"/>
              </w:rPr>
              <w:t>3</w:t>
            </w:r>
            <w:r>
              <w:rPr>
                <w:rFonts w:hint="eastAsia"/>
                <w:lang w:val="en-US" w:eastAsia="zh-CN"/>
              </w:rPr>
              <w:t>，设备采用水循环模式，预计每天更换一次解冻用水。</w:t>
            </w:r>
          </w:p>
          <w:p w14:paraId="60F09DD9">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解冻废水、</w:t>
            </w:r>
            <w:r>
              <w:rPr>
                <w:rFonts w:hint="eastAsia"/>
                <w:bCs/>
                <w:sz w:val="24"/>
                <w:szCs w:val="24"/>
                <w:u w:val="single"/>
              </w:rPr>
              <w:t>噪声。</w:t>
            </w:r>
          </w:p>
          <w:p w14:paraId="735E23D8">
            <w:pPr>
              <w:bidi w:val="0"/>
              <w:rPr>
                <w:rFonts w:hint="default"/>
                <w:b/>
                <w:bCs/>
                <w:lang w:val="en-US" w:eastAsia="zh-CN"/>
              </w:rPr>
            </w:pPr>
            <w:r>
              <w:rPr>
                <w:rFonts w:hint="eastAsia"/>
                <w:b/>
                <w:bCs/>
                <w:lang w:val="en-US" w:eastAsia="zh-CN"/>
              </w:rPr>
              <w:t>（2）切分筛选</w:t>
            </w:r>
          </w:p>
          <w:p w14:paraId="371BA8A2">
            <w:pPr>
              <w:bidi w:val="0"/>
              <w:rPr>
                <w:rFonts w:hint="eastAsia"/>
                <w:lang w:val="en-US" w:eastAsia="zh-CN"/>
              </w:rPr>
            </w:pPr>
            <w:r>
              <w:rPr>
                <w:rFonts w:hint="eastAsia"/>
                <w:lang w:val="en-US" w:eastAsia="zh-CN"/>
              </w:rPr>
              <w:t>解冻后的猪肉有人工进行修整，将不合格原料（如油脂、骨头或其他杂质）部分剔除，并将大块的肉切分成小块。</w:t>
            </w:r>
          </w:p>
          <w:p w14:paraId="4D54C26F">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肉类废边角料</w:t>
            </w:r>
            <w:r>
              <w:rPr>
                <w:rFonts w:hint="eastAsia"/>
                <w:bCs/>
                <w:sz w:val="24"/>
                <w:szCs w:val="24"/>
                <w:u w:val="single"/>
              </w:rPr>
              <w:t>。</w:t>
            </w:r>
          </w:p>
          <w:p w14:paraId="398B30FA">
            <w:pPr>
              <w:bidi w:val="0"/>
              <w:rPr>
                <w:rFonts w:hint="default"/>
                <w:lang w:val="en-US" w:eastAsia="zh-CN"/>
              </w:rPr>
            </w:pPr>
            <w:r>
              <w:rPr>
                <w:rFonts w:hint="eastAsia"/>
                <w:b/>
                <w:bCs/>
                <w:lang w:val="en-US" w:eastAsia="zh-CN"/>
              </w:rPr>
              <w:t>（3）预处理</w:t>
            </w:r>
          </w:p>
          <w:p w14:paraId="3C69A837">
            <w:pPr>
              <w:bidi w:val="0"/>
              <w:rPr>
                <w:rFonts w:hint="eastAsia"/>
                <w:lang w:val="en-US" w:eastAsia="zh-CN"/>
              </w:rPr>
            </w:pPr>
            <w:r>
              <w:rPr>
                <w:rFonts w:hint="eastAsia"/>
                <w:lang w:val="en-US" w:eastAsia="zh-CN"/>
              </w:rPr>
              <w:t>猪肉经切分筛选后运送至绞肉机绞成肉糜。</w:t>
            </w:r>
          </w:p>
          <w:p w14:paraId="5BAAEA0C">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w:t>
            </w:r>
          </w:p>
          <w:p w14:paraId="72C65831">
            <w:pPr>
              <w:bidi w:val="0"/>
              <w:rPr>
                <w:rFonts w:hint="default"/>
                <w:lang w:val="en-US" w:eastAsia="zh-CN"/>
              </w:rPr>
            </w:pPr>
            <w:r>
              <w:rPr>
                <w:rFonts w:hint="eastAsia"/>
                <w:b/>
                <w:bCs/>
                <w:lang w:val="en-US" w:eastAsia="zh-CN"/>
              </w:rPr>
              <w:t>（4）宰拌</w:t>
            </w:r>
          </w:p>
          <w:p w14:paraId="04A5CA37">
            <w:pPr>
              <w:bidi w:val="0"/>
              <w:rPr>
                <w:rFonts w:hint="eastAsia"/>
                <w:lang w:val="en-US" w:eastAsia="zh-CN"/>
              </w:rPr>
            </w:pPr>
            <w:r>
              <w:rPr>
                <w:rFonts w:hint="eastAsia"/>
                <w:lang w:val="en-US" w:eastAsia="zh-CN"/>
              </w:rPr>
              <w:t>将绞好的肉送至宰拌机内，再按比例加入玉米淀粉、大豆蛋白粉、香辛料、食用盐、水等辅料，加料完成后使用宰拌机对肉糜进行混合和打磨。</w:t>
            </w:r>
          </w:p>
          <w:p w14:paraId="6EFBF92D">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w:t>
            </w:r>
          </w:p>
          <w:p w14:paraId="5223507A">
            <w:pPr>
              <w:bidi w:val="0"/>
              <w:rPr>
                <w:rFonts w:hint="default"/>
                <w:b/>
                <w:bCs/>
                <w:lang w:val="en-US" w:eastAsia="zh-CN"/>
              </w:rPr>
            </w:pPr>
            <w:r>
              <w:rPr>
                <w:rFonts w:hint="eastAsia"/>
                <w:b/>
                <w:bCs/>
                <w:lang w:val="en-US" w:eastAsia="zh-CN"/>
              </w:rPr>
              <w:t>（5）真空拌料</w:t>
            </w:r>
          </w:p>
          <w:p w14:paraId="47CB6E66">
            <w:pPr>
              <w:bidi w:val="0"/>
              <w:rPr>
                <w:rFonts w:ascii="Arial" w:hAnsi="Arial" w:eastAsia="宋体" w:cs="Arial"/>
                <w:i w:val="0"/>
                <w:iCs w:val="0"/>
                <w:caps w:val="0"/>
                <w:color w:val="000311"/>
                <w:spacing w:val="0"/>
                <w:sz w:val="24"/>
                <w:szCs w:val="24"/>
                <w:shd w:val="clear" w:fill="FFFFFF"/>
              </w:rPr>
            </w:pPr>
            <w:r>
              <w:rPr>
                <w:rFonts w:ascii="Arial" w:hAnsi="Arial" w:eastAsia="宋体" w:cs="Arial"/>
                <w:i w:val="0"/>
                <w:iCs w:val="0"/>
                <w:caps w:val="0"/>
                <w:color w:val="000311"/>
                <w:spacing w:val="0"/>
                <w:sz w:val="24"/>
                <w:szCs w:val="24"/>
                <w:shd w:val="clear" w:fill="FFFFFF"/>
              </w:rPr>
              <w:t>将</w:t>
            </w:r>
            <w:r>
              <w:rPr>
                <w:rFonts w:hint="eastAsia" w:ascii="Arial" w:hAnsi="Arial" w:eastAsia="宋体" w:cs="Arial"/>
                <w:i w:val="0"/>
                <w:iCs w:val="0"/>
                <w:caps w:val="0"/>
                <w:color w:val="000311"/>
                <w:spacing w:val="0"/>
                <w:sz w:val="24"/>
                <w:szCs w:val="24"/>
                <w:shd w:val="clear" w:fill="FFFFFF"/>
                <w:lang w:val="en-US" w:eastAsia="zh-CN"/>
              </w:rPr>
              <w:t>宰</w:t>
            </w:r>
            <w:r>
              <w:rPr>
                <w:rFonts w:ascii="Arial" w:hAnsi="Arial" w:eastAsia="宋体" w:cs="Arial"/>
                <w:i w:val="0"/>
                <w:iCs w:val="0"/>
                <w:caps w:val="0"/>
                <w:color w:val="000311"/>
                <w:spacing w:val="0"/>
                <w:sz w:val="24"/>
                <w:szCs w:val="24"/>
                <w:shd w:val="clear" w:fill="FFFFFF"/>
              </w:rPr>
              <w:t>拌后的</w:t>
            </w:r>
            <w:r>
              <w:rPr>
                <w:rFonts w:hint="eastAsia" w:ascii="Arial" w:hAnsi="Arial" w:eastAsia="宋体" w:cs="Arial"/>
                <w:i w:val="0"/>
                <w:iCs w:val="0"/>
                <w:caps w:val="0"/>
                <w:color w:val="000311"/>
                <w:spacing w:val="0"/>
                <w:sz w:val="24"/>
                <w:szCs w:val="24"/>
                <w:shd w:val="clear" w:fill="FFFFFF"/>
                <w:lang w:val="en-US" w:eastAsia="zh-CN"/>
              </w:rPr>
              <w:t>肉糜</w:t>
            </w:r>
            <w:r>
              <w:rPr>
                <w:rFonts w:ascii="Arial" w:hAnsi="Arial" w:eastAsia="宋体" w:cs="Arial"/>
                <w:i w:val="0"/>
                <w:iCs w:val="0"/>
                <w:caps w:val="0"/>
                <w:color w:val="000311"/>
                <w:spacing w:val="0"/>
                <w:sz w:val="24"/>
                <w:szCs w:val="24"/>
                <w:shd w:val="clear" w:fill="FFFFFF"/>
              </w:rPr>
              <w:t>放入真空</w:t>
            </w:r>
            <w:r>
              <w:rPr>
                <w:rFonts w:hint="eastAsia" w:ascii="Arial" w:hAnsi="Arial" w:eastAsia="宋体" w:cs="Arial"/>
                <w:i w:val="0"/>
                <w:iCs w:val="0"/>
                <w:caps w:val="0"/>
                <w:color w:val="000311"/>
                <w:spacing w:val="0"/>
                <w:sz w:val="24"/>
                <w:szCs w:val="24"/>
                <w:shd w:val="clear" w:fill="FFFFFF"/>
                <w:lang w:val="en-US" w:eastAsia="zh-CN"/>
              </w:rPr>
              <w:t>拌料</w:t>
            </w:r>
            <w:r>
              <w:rPr>
                <w:rFonts w:ascii="Arial" w:hAnsi="Arial" w:eastAsia="宋体" w:cs="Arial"/>
                <w:i w:val="0"/>
                <w:iCs w:val="0"/>
                <w:caps w:val="0"/>
                <w:color w:val="000311"/>
                <w:spacing w:val="0"/>
                <w:sz w:val="24"/>
                <w:szCs w:val="24"/>
                <w:shd w:val="clear" w:fill="FFFFFF"/>
              </w:rPr>
              <w:t>机中，通过排除空气来进一步改善</w:t>
            </w:r>
            <w:r>
              <w:rPr>
                <w:rFonts w:hint="eastAsia" w:ascii="Arial" w:hAnsi="Arial" w:eastAsia="宋体" w:cs="Arial"/>
                <w:i w:val="0"/>
                <w:iCs w:val="0"/>
                <w:caps w:val="0"/>
                <w:color w:val="000311"/>
                <w:spacing w:val="0"/>
                <w:sz w:val="24"/>
                <w:szCs w:val="24"/>
                <w:shd w:val="clear" w:fill="FFFFFF"/>
                <w:lang w:val="en-US" w:eastAsia="zh-CN"/>
              </w:rPr>
              <w:t>产品</w:t>
            </w:r>
            <w:r>
              <w:rPr>
                <w:rFonts w:ascii="Arial" w:hAnsi="Arial" w:eastAsia="宋体" w:cs="Arial"/>
                <w:i w:val="0"/>
                <w:iCs w:val="0"/>
                <w:caps w:val="0"/>
                <w:color w:val="000311"/>
                <w:spacing w:val="0"/>
                <w:sz w:val="24"/>
                <w:szCs w:val="24"/>
                <w:shd w:val="clear" w:fill="FFFFFF"/>
              </w:rPr>
              <w:t>的质地和口感。</w:t>
            </w:r>
          </w:p>
          <w:p w14:paraId="7861D8F1">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w:t>
            </w:r>
          </w:p>
          <w:p w14:paraId="7B9E9D9C">
            <w:pPr>
              <w:bidi w:val="0"/>
              <w:rPr>
                <w:rFonts w:hint="default"/>
                <w:lang w:val="en-US" w:eastAsia="zh-CN"/>
              </w:rPr>
            </w:pPr>
            <w:r>
              <w:rPr>
                <w:rFonts w:hint="eastAsia"/>
                <w:b/>
                <w:bCs/>
                <w:lang w:val="en-US" w:eastAsia="zh-CN"/>
              </w:rPr>
              <w:t>（6）空罐清洗</w:t>
            </w:r>
          </w:p>
          <w:p w14:paraId="24AEF44D">
            <w:pPr>
              <w:bidi w:val="0"/>
              <w:rPr>
                <w:rFonts w:hint="eastAsia"/>
                <w:lang w:val="en-US" w:eastAsia="zh-CN"/>
              </w:rPr>
            </w:pPr>
            <w:r>
              <w:rPr>
                <w:rFonts w:hint="eastAsia"/>
                <w:lang w:val="en-US" w:eastAsia="zh-CN"/>
              </w:rPr>
              <w:t>午餐肉灌装前需将外购铝罐进行清洗。铝罐先经过磁力清洗机进行清洗，磁力清洗机将清水电加热至50℃左右，铝罐经磁吸附着在传输带上，经热水喷淋清洗，清洗后的水循环使用，磁力清洗机水容量预计2m</w:t>
            </w:r>
            <w:r>
              <w:rPr>
                <w:rFonts w:hint="eastAsia"/>
                <w:vertAlign w:val="superscript"/>
                <w:lang w:val="en-US" w:eastAsia="zh-CN"/>
              </w:rPr>
              <w:t>3</w:t>
            </w:r>
            <w:r>
              <w:rPr>
                <w:rFonts w:hint="eastAsia"/>
                <w:lang w:val="en-US" w:eastAsia="zh-CN"/>
              </w:rPr>
              <w:t>，清洗后的水预计每天更换一次；铝罐经磁力清洗机清洗后传输至沥水吹干机进行吹干处理。</w:t>
            </w:r>
          </w:p>
          <w:p w14:paraId="425A6504">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清洗废水、</w:t>
            </w:r>
            <w:r>
              <w:rPr>
                <w:rFonts w:hint="eastAsia"/>
                <w:bCs/>
                <w:sz w:val="24"/>
                <w:szCs w:val="24"/>
                <w:u w:val="single"/>
              </w:rPr>
              <w:t>噪声。</w:t>
            </w:r>
          </w:p>
          <w:p w14:paraId="343F3B38">
            <w:pPr>
              <w:bidi w:val="0"/>
              <w:rPr>
                <w:rFonts w:hint="default"/>
                <w:b/>
                <w:bCs/>
                <w:lang w:val="en-US" w:eastAsia="zh-CN"/>
              </w:rPr>
            </w:pPr>
            <w:r>
              <w:rPr>
                <w:rFonts w:hint="eastAsia"/>
                <w:b/>
                <w:bCs/>
                <w:lang w:val="en-US" w:eastAsia="zh-CN"/>
              </w:rPr>
              <w:t>（7）定量灌装</w:t>
            </w:r>
          </w:p>
          <w:p w14:paraId="18D3A395">
            <w:pPr>
              <w:bidi w:val="0"/>
              <w:rPr>
                <w:rFonts w:hint="eastAsia"/>
                <w:lang w:val="en-US" w:eastAsia="zh-CN"/>
              </w:rPr>
            </w:pPr>
            <w:r>
              <w:rPr>
                <w:rFonts w:hint="eastAsia"/>
                <w:lang w:val="en-US" w:eastAsia="zh-CN"/>
              </w:rPr>
              <w:t>清洗干燥后的铝罐传输至提升定量灌装机处，将真空搅拌后的产品定量灌装至铝罐内。</w:t>
            </w:r>
          </w:p>
          <w:p w14:paraId="7B9CF199">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w:t>
            </w:r>
          </w:p>
          <w:p w14:paraId="448FA15E">
            <w:pPr>
              <w:bidi w:val="0"/>
              <w:rPr>
                <w:rFonts w:hint="default"/>
                <w:b/>
                <w:bCs/>
                <w:lang w:val="en-US" w:eastAsia="zh-CN"/>
              </w:rPr>
            </w:pPr>
            <w:r>
              <w:rPr>
                <w:rFonts w:hint="eastAsia"/>
                <w:b/>
                <w:bCs/>
                <w:lang w:val="en-US" w:eastAsia="zh-CN"/>
              </w:rPr>
              <w:t>（8）封口</w:t>
            </w:r>
          </w:p>
          <w:p w14:paraId="36038AC3">
            <w:pPr>
              <w:bidi w:val="0"/>
              <w:rPr>
                <w:rFonts w:hint="eastAsia"/>
                <w:lang w:val="en-US" w:eastAsia="zh-CN"/>
              </w:rPr>
            </w:pPr>
            <w:r>
              <w:rPr>
                <w:rFonts w:hint="eastAsia"/>
                <w:lang w:val="en-US" w:eastAsia="zh-CN"/>
              </w:rPr>
              <w:t>灌装后传输至封罐机处进行封口处理。</w:t>
            </w:r>
          </w:p>
          <w:p w14:paraId="16EAE889">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w:t>
            </w:r>
          </w:p>
          <w:p w14:paraId="6EBD7DD0">
            <w:pPr>
              <w:bidi w:val="0"/>
              <w:rPr>
                <w:rFonts w:hint="default"/>
                <w:b/>
                <w:bCs/>
                <w:lang w:val="en-US" w:eastAsia="zh-CN"/>
              </w:rPr>
            </w:pPr>
            <w:r>
              <w:rPr>
                <w:rFonts w:hint="eastAsia"/>
                <w:b/>
                <w:bCs/>
                <w:lang w:val="en-US" w:eastAsia="zh-CN"/>
              </w:rPr>
              <w:t>（9）实罐清洗</w:t>
            </w:r>
          </w:p>
          <w:p w14:paraId="3EAD08AF">
            <w:pPr>
              <w:bidi w:val="0"/>
              <w:rPr>
                <w:rFonts w:hint="eastAsia"/>
                <w:lang w:val="en-US" w:eastAsia="zh-CN"/>
              </w:rPr>
            </w:pPr>
            <w:r>
              <w:rPr>
                <w:rFonts w:hint="eastAsia"/>
                <w:lang w:val="en-US" w:eastAsia="zh-CN"/>
              </w:rPr>
              <w:t>封口后产品传输至实罐清洗机内清洗罐头外部，使用电加热至50℃左右的热水进行喷淋清洗，实罐清洗机水容量预计2m</w:t>
            </w:r>
            <w:r>
              <w:rPr>
                <w:rFonts w:hint="eastAsia"/>
                <w:vertAlign w:val="superscript"/>
                <w:lang w:val="en-US" w:eastAsia="zh-CN"/>
              </w:rPr>
              <w:t>3</w:t>
            </w:r>
            <w:r>
              <w:rPr>
                <w:rFonts w:hint="eastAsia"/>
                <w:lang w:val="en-US" w:eastAsia="zh-CN"/>
              </w:rPr>
              <w:t>，清洗后的水预计每天更换一次。</w:t>
            </w:r>
          </w:p>
          <w:p w14:paraId="59DF3488">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清洗废水、</w:t>
            </w:r>
            <w:r>
              <w:rPr>
                <w:rFonts w:hint="eastAsia"/>
                <w:bCs/>
                <w:sz w:val="24"/>
                <w:szCs w:val="24"/>
                <w:u w:val="single"/>
              </w:rPr>
              <w:t>噪声。</w:t>
            </w:r>
          </w:p>
          <w:p w14:paraId="5DA524D5">
            <w:pPr>
              <w:bidi w:val="0"/>
              <w:rPr>
                <w:rFonts w:hint="default"/>
                <w:b/>
                <w:bCs/>
                <w:lang w:val="en-US" w:eastAsia="zh-CN"/>
              </w:rPr>
            </w:pPr>
            <w:r>
              <w:rPr>
                <w:rFonts w:hint="eastAsia"/>
                <w:b/>
                <w:bCs/>
                <w:lang w:val="en-US" w:eastAsia="zh-CN"/>
              </w:rPr>
              <w:t>（10）杀菌熟化</w:t>
            </w:r>
          </w:p>
          <w:p w14:paraId="37F51D5B">
            <w:pPr>
              <w:bidi w:val="0"/>
              <w:rPr>
                <w:rFonts w:hint="eastAsia"/>
                <w:lang w:val="en-US" w:eastAsia="zh-CN"/>
              </w:rPr>
            </w:pPr>
            <w:r>
              <w:rPr>
                <w:rFonts w:hint="eastAsia"/>
                <w:lang w:val="en-US" w:eastAsia="zh-CN"/>
              </w:rPr>
              <w:t>实罐清洗后由半自动装卸笼机将实罐放入杀菌锅内进行杀菌熟化处理，杀菌锅由1台1t/h的蒸汽发生器提供蒸汽，蒸汽发生器为天然气加热制备蒸汽。</w:t>
            </w:r>
          </w:p>
          <w:p w14:paraId="3D522E78">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天然气燃烧废气、蒸汽发生器废水、</w:t>
            </w:r>
            <w:r>
              <w:rPr>
                <w:rFonts w:hint="eastAsia"/>
                <w:bCs/>
                <w:sz w:val="24"/>
                <w:szCs w:val="24"/>
                <w:u w:val="single"/>
              </w:rPr>
              <w:t>噪声。</w:t>
            </w:r>
          </w:p>
          <w:p w14:paraId="3B563406">
            <w:pPr>
              <w:bidi w:val="0"/>
              <w:rPr>
                <w:rFonts w:hint="default"/>
                <w:b/>
                <w:bCs/>
                <w:lang w:val="en-US" w:eastAsia="zh-CN"/>
              </w:rPr>
            </w:pPr>
            <w:r>
              <w:rPr>
                <w:rFonts w:hint="eastAsia"/>
                <w:b/>
                <w:bCs/>
                <w:lang w:val="en-US" w:eastAsia="zh-CN"/>
              </w:rPr>
              <w:t>（11）自然冷却</w:t>
            </w:r>
          </w:p>
          <w:p w14:paraId="61350E98">
            <w:pPr>
              <w:bidi w:val="0"/>
              <w:rPr>
                <w:rFonts w:hint="eastAsia"/>
                <w:lang w:val="en-US" w:eastAsia="zh-CN"/>
              </w:rPr>
            </w:pPr>
            <w:r>
              <w:rPr>
                <w:rFonts w:hint="eastAsia"/>
                <w:lang w:val="en-US" w:eastAsia="zh-CN"/>
              </w:rPr>
              <w:t>杀菌熟化后的罐头经半自动装卸笼机搬运至吹干机内将罐头外部表面水分催干，并加速罐头冷却速度，罐头表面水分吹干后放置一旁自然冷却。</w:t>
            </w:r>
          </w:p>
          <w:p w14:paraId="58675445">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w:t>
            </w:r>
          </w:p>
          <w:p w14:paraId="62ED0FED">
            <w:pPr>
              <w:bidi w:val="0"/>
              <w:rPr>
                <w:rFonts w:hint="default"/>
                <w:b/>
                <w:bCs/>
                <w:lang w:val="en-US" w:eastAsia="zh-CN"/>
              </w:rPr>
            </w:pPr>
            <w:r>
              <w:rPr>
                <w:rFonts w:hint="eastAsia"/>
                <w:b/>
                <w:bCs/>
                <w:lang w:val="en-US" w:eastAsia="zh-CN"/>
              </w:rPr>
              <w:t>（12）贴标喷码</w:t>
            </w:r>
          </w:p>
          <w:p w14:paraId="2F018A22">
            <w:pPr>
              <w:bidi w:val="0"/>
              <w:rPr>
                <w:rFonts w:hint="eastAsia"/>
                <w:lang w:val="en-US" w:eastAsia="zh-CN"/>
              </w:rPr>
            </w:pPr>
            <w:r>
              <w:rPr>
                <w:rFonts w:hint="eastAsia"/>
                <w:lang w:val="en-US" w:eastAsia="zh-CN"/>
              </w:rPr>
              <w:t>冷切后的罐头运送至贴标喷码处经贴标喷码机进行贴标及喷码。贴标主要采用擦贴、吹贴以及吸贴等方法将标签纸贴附在产品表面；喷码拟使用激光喷码处理。</w:t>
            </w:r>
          </w:p>
          <w:p w14:paraId="62A44ABB">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w:t>
            </w:r>
          </w:p>
          <w:p w14:paraId="466A6731">
            <w:pPr>
              <w:bidi w:val="0"/>
              <w:rPr>
                <w:rFonts w:hint="default"/>
                <w:b/>
                <w:bCs/>
                <w:lang w:val="en-US" w:eastAsia="zh-CN"/>
              </w:rPr>
            </w:pPr>
            <w:r>
              <w:rPr>
                <w:rFonts w:hint="eastAsia"/>
                <w:b/>
                <w:bCs/>
                <w:lang w:val="en-US" w:eastAsia="zh-CN"/>
              </w:rPr>
              <w:t>（13）包装</w:t>
            </w:r>
          </w:p>
          <w:p w14:paraId="521BD039">
            <w:pPr>
              <w:bidi w:val="0"/>
              <w:rPr>
                <w:rFonts w:hint="eastAsia"/>
                <w:lang w:val="en-US" w:eastAsia="zh-CN"/>
              </w:rPr>
            </w:pPr>
            <w:r>
              <w:rPr>
                <w:rFonts w:hint="eastAsia"/>
                <w:lang w:val="en-US" w:eastAsia="zh-CN"/>
              </w:rPr>
              <w:t>贴标喷码后的罐头经过装箱机、码垛机等设备进行装箱处理，码垛等待入库。</w:t>
            </w:r>
          </w:p>
          <w:p w14:paraId="71791C59">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产生噪声、废包装材料。</w:t>
            </w:r>
          </w:p>
          <w:p w14:paraId="5DBC0CC4">
            <w:pPr>
              <w:bidi w:val="0"/>
              <w:rPr>
                <w:rFonts w:hint="default"/>
                <w:b/>
                <w:bCs/>
                <w:lang w:val="en-US" w:eastAsia="zh-CN"/>
              </w:rPr>
            </w:pPr>
            <w:r>
              <w:rPr>
                <w:rFonts w:hint="eastAsia"/>
                <w:b/>
                <w:bCs/>
                <w:lang w:val="en-US" w:eastAsia="zh-CN"/>
              </w:rPr>
              <w:t>（14）入库</w:t>
            </w:r>
          </w:p>
          <w:p w14:paraId="5CF8A637">
            <w:pPr>
              <w:bidi w:val="0"/>
              <w:rPr>
                <w:rFonts w:hint="eastAsia"/>
              </w:rPr>
            </w:pPr>
            <w:r>
              <w:rPr>
                <w:rFonts w:hint="eastAsia"/>
                <w:b w:val="0"/>
                <w:bCs w:val="0"/>
                <w:color w:val="auto"/>
                <w:sz w:val="24"/>
                <w:highlight w:val="none"/>
                <w:lang w:val="en-US" w:eastAsia="zh-CN"/>
              </w:rPr>
              <w:t>包装完成后的产品</w:t>
            </w:r>
            <w:r>
              <w:rPr>
                <w:rFonts w:hint="eastAsia"/>
                <w:bCs/>
                <w:sz w:val="24"/>
                <w:szCs w:val="24"/>
              </w:rPr>
              <w:t>放入成品库</w:t>
            </w:r>
            <w:r>
              <w:rPr>
                <w:rFonts w:hint="eastAsia"/>
                <w:bCs/>
                <w:sz w:val="24"/>
                <w:szCs w:val="24"/>
                <w:lang w:val="en-US" w:eastAsia="zh-CN"/>
              </w:rPr>
              <w:t>房</w:t>
            </w:r>
            <w:r>
              <w:rPr>
                <w:rFonts w:hint="eastAsia"/>
                <w:bCs/>
                <w:sz w:val="24"/>
                <w:szCs w:val="24"/>
              </w:rPr>
              <w:t>待售</w:t>
            </w:r>
            <w:r>
              <w:rPr>
                <w:rFonts w:hint="eastAsia"/>
                <w:color w:val="auto"/>
                <w:sz w:val="24"/>
                <w:highlight w:val="none"/>
              </w:rPr>
              <w:t>。</w:t>
            </w:r>
          </w:p>
          <w:p w14:paraId="1E06A890">
            <w:pPr>
              <w:rPr>
                <w:rFonts w:hint="default"/>
                <w:b/>
                <w:bCs/>
                <w:color w:val="auto"/>
                <w:sz w:val="24"/>
                <w:highlight w:val="none"/>
                <w:lang w:val="en-US" w:eastAsia="zh-CN"/>
              </w:rPr>
            </w:pPr>
            <w:r>
              <w:rPr>
                <w:rFonts w:hint="eastAsia"/>
                <w:b/>
                <w:bCs/>
                <w:color w:val="auto"/>
                <w:sz w:val="24"/>
                <w:highlight w:val="none"/>
                <w:lang w:val="en-US" w:eastAsia="zh-CN"/>
              </w:rPr>
              <w:t>3.卫生纸</w:t>
            </w:r>
          </w:p>
          <w:p w14:paraId="36D75CAB">
            <w:pPr>
              <w:ind w:left="0" w:leftChars="0" w:firstLine="0" w:firstLineChars="0"/>
              <w:jc w:val="center"/>
              <w:rPr>
                <w:rFonts w:hint="eastAsia"/>
                <w:b/>
                <w:bCs/>
                <w:color w:val="auto"/>
                <w:sz w:val="24"/>
                <w:highlight w:val="none"/>
                <w:lang w:val="en-US" w:eastAsia="zh-CN"/>
              </w:rPr>
            </w:pPr>
            <w:r>
              <w:rPr>
                <w:rFonts w:hint="eastAsia"/>
                <w:b/>
                <w:bCs/>
                <w:color w:val="auto"/>
                <w:sz w:val="24"/>
                <w:highlight w:val="none"/>
                <w:lang w:val="en-US" w:eastAsia="zh-CN"/>
              </w:rPr>
              <w:drawing>
                <wp:inline distT="0" distB="0" distL="114300" distR="114300">
                  <wp:extent cx="3763010" cy="3542030"/>
                  <wp:effectExtent l="0" t="0" r="0" b="0"/>
                  <wp:docPr id="10" name="图片 10" descr="未命名文件(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文件(27)"/>
                          <pic:cNvPicPr>
                            <a:picLocks noChangeAspect="1"/>
                          </pic:cNvPicPr>
                        </pic:nvPicPr>
                        <pic:blipFill>
                          <a:blip r:embed="rId24"/>
                          <a:stretch>
                            <a:fillRect/>
                          </a:stretch>
                        </pic:blipFill>
                        <pic:spPr>
                          <a:xfrm>
                            <a:off x="0" y="0"/>
                            <a:ext cx="3763010" cy="3542030"/>
                          </a:xfrm>
                          <a:prstGeom prst="rect">
                            <a:avLst/>
                          </a:prstGeom>
                        </pic:spPr>
                      </pic:pic>
                    </a:graphicData>
                  </a:graphic>
                </wp:inline>
              </w:drawing>
            </w:r>
          </w:p>
          <w:p w14:paraId="63C0B699">
            <w:pPr>
              <w:pStyle w:val="14"/>
              <w:ind w:left="0" w:leftChars="0" w:firstLine="0" w:firstLineChars="0"/>
              <w:jc w:val="center"/>
              <w:rPr>
                <w:rFonts w:hint="default" w:eastAsia="宋体"/>
                <w:b/>
                <w:bCs/>
                <w:color w:val="auto"/>
                <w:sz w:val="24"/>
                <w:highlight w:val="none"/>
                <w:lang w:val="en-US" w:eastAsia="zh-CN"/>
              </w:rPr>
            </w:pPr>
            <w:r>
              <w:t xml:space="preserve">图2- </w:t>
            </w:r>
            <w:r>
              <w:fldChar w:fldCharType="begin"/>
            </w:r>
            <w:r>
              <w:instrText xml:space="preserve"> SEQ 图2- \* ARABIC </w:instrText>
            </w:r>
            <w:r>
              <w:fldChar w:fldCharType="separate"/>
            </w:r>
            <w:r>
              <w:t>6</w:t>
            </w:r>
            <w:r>
              <w:fldChar w:fldCharType="end"/>
            </w:r>
            <w:r>
              <w:rPr>
                <w:rFonts w:hint="eastAsia"/>
                <w:lang w:val="en-US" w:eastAsia="zh-CN"/>
              </w:rPr>
              <w:t xml:space="preserve">  卫生纸生产工艺流程及产污环节图</w:t>
            </w:r>
          </w:p>
          <w:p w14:paraId="6F792E9C">
            <w:pPr>
              <w:pStyle w:val="61"/>
              <w:ind w:firstLine="482"/>
              <w:rPr>
                <w:b/>
                <w:bCs/>
                <w:color w:val="auto"/>
                <w:szCs w:val="24"/>
                <w:highlight w:val="none"/>
              </w:rPr>
            </w:pPr>
            <w:r>
              <w:rPr>
                <w:b/>
                <w:bCs/>
                <w:color w:val="auto"/>
                <w:szCs w:val="24"/>
                <w:highlight w:val="none"/>
              </w:rPr>
              <w:t>工艺流程简述：</w:t>
            </w:r>
          </w:p>
          <w:p w14:paraId="5E54F559">
            <w:pPr>
              <w:bidi w:val="0"/>
              <w:rPr>
                <w:rFonts w:hint="default"/>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原料检验</w:t>
            </w:r>
          </w:p>
          <w:p w14:paraId="14035BEC">
            <w:pPr>
              <w:rPr>
                <w:rFonts w:hint="eastAsia"/>
                <w:lang w:val="en-US" w:eastAsia="zh-CN"/>
              </w:rPr>
            </w:pPr>
            <w:r>
              <w:rPr>
                <w:rFonts w:hint="eastAsia"/>
                <w:lang w:val="en-US" w:eastAsia="zh-CN"/>
              </w:rPr>
              <w:t>外购原纸在经过下一工序前先经过人工检验，检验原料有无损坏。</w:t>
            </w:r>
          </w:p>
          <w:p w14:paraId="61EB5BD9">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不合格原料</w:t>
            </w:r>
            <w:r>
              <w:rPr>
                <w:rFonts w:hint="eastAsia"/>
                <w:bCs/>
                <w:sz w:val="24"/>
                <w:szCs w:val="24"/>
                <w:u w:val="single"/>
              </w:rPr>
              <w:t>。</w:t>
            </w:r>
          </w:p>
          <w:p w14:paraId="7F1D0F38">
            <w:pPr>
              <w:rPr>
                <w:rFonts w:hint="default"/>
                <w:b/>
                <w:bCs/>
                <w:color w:val="auto"/>
                <w:sz w:val="24"/>
                <w:highlight w:val="none"/>
                <w:lang w:val="en-US" w:eastAsia="zh-CN"/>
              </w:rPr>
            </w:pPr>
            <w:r>
              <w:rPr>
                <w:rFonts w:hint="eastAsia"/>
                <w:b/>
                <w:bCs/>
                <w:color w:val="auto"/>
                <w:sz w:val="24"/>
                <w:highlight w:val="none"/>
                <w:lang w:val="en-US" w:eastAsia="zh-CN"/>
              </w:rPr>
              <w:t>（2）复卷</w:t>
            </w:r>
          </w:p>
          <w:p w14:paraId="71BEFF62">
            <w:pPr>
              <w:rPr>
                <w:rFonts w:hint="eastAsia"/>
                <w:b w:val="0"/>
                <w:bCs w:val="0"/>
                <w:color w:val="auto"/>
                <w:sz w:val="24"/>
                <w:highlight w:val="none"/>
                <w:lang w:val="en-US" w:eastAsia="zh-CN"/>
              </w:rPr>
            </w:pPr>
            <w:r>
              <w:rPr>
                <w:rFonts w:hint="eastAsia"/>
                <w:b w:val="0"/>
                <w:bCs w:val="0"/>
                <w:color w:val="auto"/>
                <w:sz w:val="24"/>
                <w:highlight w:val="none"/>
                <w:lang w:val="en-US" w:eastAsia="zh-CN"/>
              </w:rPr>
              <w:t>分切复卷后的纸卷根据产品需要经过原卷或扁卷无芯复卷生产线将产品复卷成成品大小。</w:t>
            </w:r>
          </w:p>
          <w:p w14:paraId="0C7F3A26">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w:t>
            </w:r>
          </w:p>
          <w:p w14:paraId="398685DF">
            <w:pPr>
              <w:rPr>
                <w:rFonts w:hint="default"/>
                <w:b/>
                <w:bCs/>
                <w:color w:val="auto"/>
                <w:sz w:val="24"/>
                <w:highlight w:val="none"/>
                <w:lang w:val="en-US" w:eastAsia="zh-CN"/>
              </w:rPr>
            </w:pPr>
            <w:r>
              <w:rPr>
                <w:rFonts w:hint="eastAsia"/>
                <w:b/>
                <w:bCs/>
                <w:color w:val="auto"/>
                <w:sz w:val="24"/>
                <w:highlight w:val="none"/>
                <w:lang w:val="en-US" w:eastAsia="zh-CN"/>
              </w:rPr>
              <w:t>（3）切纸</w:t>
            </w:r>
          </w:p>
          <w:p w14:paraId="25651A0B">
            <w:pPr>
              <w:rPr>
                <w:rFonts w:hint="eastAsia"/>
                <w:b w:val="0"/>
                <w:bCs w:val="0"/>
                <w:color w:val="auto"/>
                <w:sz w:val="24"/>
                <w:highlight w:val="none"/>
                <w:lang w:val="en-US" w:eastAsia="zh-CN"/>
              </w:rPr>
            </w:pPr>
            <w:r>
              <w:rPr>
                <w:rFonts w:hint="eastAsia"/>
                <w:b w:val="0"/>
                <w:bCs w:val="0"/>
                <w:color w:val="auto"/>
                <w:sz w:val="24"/>
                <w:highlight w:val="none"/>
                <w:lang w:val="en-US" w:eastAsia="zh-CN"/>
              </w:rPr>
              <w:t>卷纸到规定规格后进行切纸，为刀片切割，切割过程中因破坏纸张纤维结构会产生少量粉尘。</w:t>
            </w:r>
          </w:p>
          <w:p w14:paraId="344E6BA5">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粉尘、</w:t>
            </w:r>
            <w:r>
              <w:rPr>
                <w:rFonts w:hint="eastAsia"/>
                <w:bCs/>
                <w:sz w:val="24"/>
                <w:szCs w:val="24"/>
                <w:u w:val="single"/>
              </w:rPr>
              <w:t>噪声。</w:t>
            </w:r>
          </w:p>
          <w:p w14:paraId="6026A5DA">
            <w:pPr>
              <w:rPr>
                <w:rFonts w:hint="default"/>
                <w:b/>
                <w:bCs/>
                <w:color w:val="auto"/>
                <w:sz w:val="24"/>
                <w:highlight w:val="none"/>
                <w:lang w:val="en-US" w:eastAsia="zh-CN"/>
              </w:rPr>
            </w:pPr>
            <w:r>
              <w:rPr>
                <w:rFonts w:hint="eastAsia"/>
                <w:b/>
                <w:bCs/>
                <w:color w:val="auto"/>
                <w:sz w:val="24"/>
                <w:highlight w:val="none"/>
                <w:lang w:val="en-US" w:eastAsia="zh-CN"/>
              </w:rPr>
              <w:t>（4）包装喷码</w:t>
            </w:r>
          </w:p>
          <w:p w14:paraId="2BF1E6B7">
            <w:pPr>
              <w:rPr>
                <w:rFonts w:hint="default"/>
                <w:b w:val="0"/>
                <w:bCs w:val="0"/>
                <w:color w:val="auto"/>
                <w:sz w:val="24"/>
                <w:highlight w:val="none"/>
                <w:lang w:val="en-US" w:eastAsia="zh-CN"/>
              </w:rPr>
            </w:pPr>
            <w:r>
              <w:rPr>
                <w:rFonts w:hint="eastAsia"/>
                <w:b w:val="0"/>
                <w:bCs w:val="0"/>
                <w:color w:val="auto"/>
                <w:sz w:val="24"/>
                <w:highlight w:val="none"/>
                <w:lang w:val="en-US" w:eastAsia="zh-CN"/>
              </w:rPr>
              <w:t>复卷后的成品经过包装机进行单个纸卷包装，包装后经过激光喷码机进行喷码。</w:t>
            </w:r>
          </w:p>
          <w:p w14:paraId="37AC8855">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产生噪声、废包装材料。</w:t>
            </w:r>
          </w:p>
          <w:p w14:paraId="311D0FBD">
            <w:pPr>
              <w:rPr>
                <w:rFonts w:hint="default"/>
                <w:b/>
                <w:bCs/>
                <w:color w:val="auto"/>
                <w:sz w:val="24"/>
                <w:highlight w:val="none"/>
                <w:lang w:val="en-US" w:eastAsia="zh-CN"/>
              </w:rPr>
            </w:pPr>
            <w:r>
              <w:rPr>
                <w:rFonts w:hint="eastAsia"/>
                <w:b/>
                <w:bCs/>
                <w:color w:val="auto"/>
                <w:sz w:val="24"/>
                <w:highlight w:val="none"/>
                <w:lang w:val="en-US" w:eastAsia="zh-CN"/>
              </w:rPr>
              <w:t>（5）产品检验</w:t>
            </w:r>
          </w:p>
          <w:p w14:paraId="48757359">
            <w:pPr>
              <w:rPr>
                <w:rFonts w:hint="eastAsia"/>
                <w:b w:val="0"/>
                <w:bCs w:val="0"/>
                <w:color w:val="auto"/>
                <w:sz w:val="24"/>
                <w:highlight w:val="none"/>
                <w:lang w:val="en-US" w:eastAsia="zh-CN"/>
              </w:rPr>
            </w:pPr>
            <w:r>
              <w:rPr>
                <w:rFonts w:hint="eastAsia"/>
                <w:b w:val="0"/>
                <w:bCs w:val="0"/>
                <w:color w:val="auto"/>
                <w:sz w:val="24"/>
                <w:highlight w:val="none"/>
                <w:lang w:val="en-US" w:eastAsia="zh-CN"/>
              </w:rPr>
              <w:t>包装后的产品经过人工检验检查是否有破包或者其他生产过程中导致的不合格。</w:t>
            </w:r>
          </w:p>
          <w:p w14:paraId="47F53548">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不合格品</w:t>
            </w:r>
            <w:r>
              <w:rPr>
                <w:rFonts w:hint="eastAsia"/>
                <w:bCs/>
                <w:sz w:val="24"/>
                <w:szCs w:val="24"/>
                <w:u w:val="single"/>
              </w:rPr>
              <w:t>。</w:t>
            </w:r>
          </w:p>
          <w:p w14:paraId="3C36E542">
            <w:pPr>
              <w:rPr>
                <w:rFonts w:hint="default"/>
                <w:b/>
                <w:bCs/>
                <w:color w:val="auto"/>
                <w:sz w:val="24"/>
                <w:highlight w:val="none"/>
                <w:lang w:val="en-US" w:eastAsia="zh-CN"/>
              </w:rPr>
            </w:pPr>
            <w:r>
              <w:rPr>
                <w:rFonts w:hint="eastAsia"/>
                <w:b/>
                <w:bCs/>
                <w:color w:val="auto"/>
                <w:sz w:val="24"/>
                <w:highlight w:val="none"/>
                <w:lang w:val="en-US" w:eastAsia="zh-CN"/>
              </w:rPr>
              <w:t>（6）装箱/装袋</w:t>
            </w:r>
          </w:p>
          <w:p w14:paraId="751CD5ED">
            <w:pPr>
              <w:rPr>
                <w:rFonts w:hint="eastAsia"/>
                <w:b w:val="0"/>
                <w:bCs w:val="0"/>
                <w:color w:val="auto"/>
                <w:sz w:val="24"/>
                <w:highlight w:val="none"/>
                <w:lang w:val="en-US" w:eastAsia="zh-CN"/>
              </w:rPr>
            </w:pPr>
            <w:r>
              <w:rPr>
                <w:rFonts w:hint="eastAsia"/>
                <w:b w:val="0"/>
                <w:bCs w:val="0"/>
                <w:color w:val="auto"/>
                <w:sz w:val="24"/>
                <w:highlight w:val="none"/>
                <w:lang w:val="en-US" w:eastAsia="zh-CN"/>
              </w:rPr>
              <w:t>产品检验合格后经过装箱装袋机进行装袋处理。</w:t>
            </w:r>
          </w:p>
          <w:p w14:paraId="1ED86E0E">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产生噪声、废包装材料。</w:t>
            </w:r>
          </w:p>
          <w:p w14:paraId="4FE346A3">
            <w:pPr>
              <w:rPr>
                <w:rFonts w:hint="default"/>
                <w:b/>
                <w:bCs/>
                <w:color w:val="auto"/>
                <w:sz w:val="24"/>
                <w:highlight w:val="none"/>
                <w:lang w:val="en-US" w:eastAsia="zh-CN"/>
              </w:rPr>
            </w:pPr>
            <w:r>
              <w:rPr>
                <w:rFonts w:hint="eastAsia"/>
                <w:b/>
                <w:bCs/>
                <w:color w:val="auto"/>
                <w:sz w:val="24"/>
                <w:highlight w:val="none"/>
                <w:lang w:val="en-US" w:eastAsia="zh-CN"/>
              </w:rPr>
              <w:t>（7）入库</w:t>
            </w:r>
          </w:p>
          <w:p w14:paraId="31BD2CF1">
            <w:pPr>
              <w:rPr>
                <w:rFonts w:hint="eastAsia" w:eastAsia="宋体"/>
                <w:b w:val="0"/>
                <w:bCs w:val="0"/>
                <w:color w:val="auto"/>
                <w:sz w:val="24"/>
                <w:highlight w:val="none"/>
                <w:lang w:val="en-US" w:eastAsia="zh-CN"/>
              </w:rPr>
            </w:pPr>
            <w:r>
              <w:rPr>
                <w:rFonts w:hint="eastAsia"/>
                <w:b w:val="0"/>
                <w:bCs w:val="0"/>
                <w:color w:val="auto"/>
                <w:sz w:val="24"/>
                <w:highlight w:val="none"/>
                <w:lang w:val="en-US" w:eastAsia="zh-CN"/>
              </w:rPr>
              <w:t>装箱/装袋后的产品</w:t>
            </w:r>
            <w:r>
              <w:rPr>
                <w:rFonts w:hint="eastAsia"/>
                <w:bCs/>
                <w:sz w:val="24"/>
                <w:szCs w:val="24"/>
              </w:rPr>
              <w:t>放入成品库</w:t>
            </w:r>
            <w:r>
              <w:rPr>
                <w:rFonts w:hint="eastAsia"/>
                <w:bCs/>
                <w:sz w:val="24"/>
                <w:szCs w:val="24"/>
                <w:lang w:val="en-US" w:eastAsia="zh-CN"/>
              </w:rPr>
              <w:t>房</w:t>
            </w:r>
            <w:r>
              <w:rPr>
                <w:rFonts w:hint="eastAsia"/>
                <w:bCs/>
                <w:sz w:val="24"/>
                <w:szCs w:val="24"/>
              </w:rPr>
              <w:t>待售</w:t>
            </w:r>
            <w:r>
              <w:rPr>
                <w:rFonts w:hint="eastAsia"/>
                <w:bCs/>
                <w:sz w:val="24"/>
                <w:szCs w:val="24"/>
                <w:lang w:eastAsia="zh-CN"/>
              </w:rPr>
              <w:t>。</w:t>
            </w:r>
          </w:p>
          <w:p w14:paraId="49AA670B">
            <w:pPr>
              <w:rPr>
                <w:rFonts w:hint="default"/>
                <w:b/>
                <w:bCs/>
                <w:color w:val="auto"/>
                <w:sz w:val="24"/>
                <w:highlight w:val="none"/>
                <w:lang w:val="en-US" w:eastAsia="zh-CN"/>
              </w:rPr>
            </w:pPr>
            <w:r>
              <w:rPr>
                <w:rFonts w:hint="eastAsia"/>
                <w:b/>
                <w:bCs/>
                <w:color w:val="auto"/>
                <w:sz w:val="24"/>
                <w:highlight w:val="none"/>
                <w:lang w:val="en-US" w:eastAsia="zh-CN"/>
              </w:rPr>
              <w:t>4、面巾纸</w:t>
            </w:r>
          </w:p>
          <w:p w14:paraId="00ACAE69">
            <w:pPr>
              <w:ind w:left="0" w:leftChars="0" w:firstLine="0" w:firstLineChars="0"/>
              <w:jc w:val="center"/>
              <w:rPr>
                <w:rFonts w:hint="eastAsia"/>
                <w:b/>
                <w:bCs/>
                <w:color w:val="auto"/>
                <w:sz w:val="24"/>
                <w:highlight w:val="none"/>
                <w:lang w:val="en-US" w:eastAsia="zh-CN"/>
              </w:rPr>
            </w:pPr>
            <w:r>
              <w:rPr>
                <w:rFonts w:hint="eastAsia"/>
                <w:b/>
                <w:bCs/>
                <w:color w:val="auto"/>
                <w:sz w:val="24"/>
                <w:highlight w:val="none"/>
                <w:lang w:val="en-US" w:eastAsia="zh-CN"/>
              </w:rPr>
              <w:drawing>
                <wp:inline distT="0" distB="0" distL="114300" distR="114300">
                  <wp:extent cx="3786505" cy="4693920"/>
                  <wp:effectExtent l="0" t="0" r="0" b="0"/>
                  <wp:docPr id="11" name="图片 11" descr="未命名文件(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命名文件(27)1"/>
                          <pic:cNvPicPr>
                            <a:picLocks noChangeAspect="1"/>
                          </pic:cNvPicPr>
                        </pic:nvPicPr>
                        <pic:blipFill>
                          <a:blip r:embed="rId25"/>
                          <a:stretch>
                            <a:fillRect/>
                          </a:stretch>
                        </pic:blipFill>
                        <pic:spPr>
                          <a:xfrm>
                            <a:off x="0" y="0"/>
                            <a:ext cx="3786505" cy="4693920"/>
                          </a:xfrm>
                          <a:prstGeom prst="rect">
                            <a:avLst/>
                          </a:prstGeom>
                        </pic:spPr>
                      </pic:pic>
                    </a:graphicData>
                  </a:graphic>
                </wp:inline>
              </w:drawing>
            </w:r>
          </w:p>
          <w:p w14:paraId="3A9458C9">
            <w:pPr>
              <w:pStyle w:val="14"/>
              <w:ind w:left="0" w:leftChars="0" w:firstLine="0" w:firstLineChars="0"/>
              <w:jc w:val="center"/>
              <w:rPr>
                <w:rFonts w:hint="default" w:eastAsia="宋体"/>
                <w:b/>
                <w:bCs/>
                <w:color w:val="auto"/>
                <w:sz w:val="24"/>
                <w:highlight w:val="none"/>
                <w:lang w:val="en-US" w:eastAsia="zh-CN"/>
              </w:rPr>
            </w:pPr>
            <w:r>
              <w:t xml:space="preserve">图2- </w:t>
            </w:r>
            <w:r>
              <w:fldChar w:fldCharType="begin"/>
            </w:r>
            <w:r>
              <w:instrText xml:space="preserve"> SEQ 图2- \* ARABIC </w:instrText>
            </w:r>
            <w:r>
              <w:fldChar w:fldCharType="separate"/>
            </w:r>
            <w:r>
              <w:t>7</w:t>
            </w:r>
            <w:r>
              <w:fldChar w:fldCharType="end"/>
            </w:r>
            <w:r>
              <w:rPr>
                <w:rFonts w:hint="eastAsia"/>
                <w:lang w:val="en-US" w:eastAsia="zh-CN"/>
              </w:rPr>
              <w:t xml:space="preserve">  面巾纸生产工艺流程及产污环节图</w:t>
            </w:r>
          </w:p>
          <w:p w14:paraId="70397CFF">
            <w:pPr>
              <w:pStyle w:val="61"/>
              <w:ind w:firstLine="482"/>
              <w:rPr>
                <w:b/>
                <w:bCs/>
                <w:color w:val="auto"/>
                <w:szCs w:val="24"/>
                <w:highlight w:val="none"/>
              </w:rPr>
            </w:pPr>
            <w:r>
              <w:rPr>
                <w:b/>
                <w:bCs/>
                <w:color w:val="auto"/>
                <w:szCs w:val="24"/>
                <w:highlight w:val="none"/>
              </w:rPr>
              <w:t>工艺流程简述：</w:t>
            </w:r>
          </w:p>
          <w:p w14:paraId="1AFE96D0">
            <w:pPr>
              <w:bidi w:val="0"/>
              <w:rPr>
                <w:rFonts w:hint="default"/>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原料检验</w:t>
            </w:r>
          </w:p>
          <w:p w14:paraId="3C27A11C">
            <w:pPr>
              <w:rPr>
                <w:rFonts w:hint="eastAsia"/>
                <w:lang w:val="en-US" w:eastAsia="zh-CN"/>
              </w:rPr>
            </w:pPr>
            <w:r>
              <w:rPr>
                <w:rFonts w:hint="eastAsia"/>
                <w:lang w:val="en-US" w:eastAsia="zh-CN"/>
              </w:rPr>
              <w:t>外购原纸在经过下一工序前先经过人工检验，检验原料有无损坏。</w:t>
            </w:r>
          </w:p>
          <w:p w14:paraId="0EB4BCCD">
            <w:pPr>
              <w:bidi w:val="0"/>
              <w:rPr>
                <w:rFonts w:hint="eastAsia"/>
                <w:bCs/>
                <w:sz w:val="24"/>
                <w:szCs w:val="24"/>
                <w:u w:val="single"/>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不合格原料</w:t>
            </w:r>
            <w:r>
              <w:rPr>
                <w:rFonts w:hint="eastAsia"/>
                <w:bCs/>
                <w:sz w:val="24"/>
                <w:szCs w:val="24"/>
                <w:u w:val="single"/>
              </w:rPr>
              <w:t>。</w:t>
            </w:r>
          </w:p>
          <w:p w14:paraId="4FC6BB4C">
            <w:pPr>
              <w:bidi w:val="0"/>
              <w:rPr>
                <w:rFonts w:hint="default"/>
                <w:b/>
                <w:bCs/>
                <w:lang w:val="en-US" w:eastAsia="zh-CN"/>
              </w:rPr>
            </w:pPr>
            <w:r>
              <w:rPr>
                <w:rFonts w:hint="eastAsia"/>
                <w:b/>
                <w:bCs/>
                <w:lang w:eastAsia="zh-CN"/>
              </w:rPr>
              <w:t>（</w:t>
            </w:r>
            <w:r>
              <w:rPr>
                <w:rFonts w:hint="eastAsia"/>
                <w:b/>
                <w:bCs/>
                <w:lang w:val="en-US" w:eastAsia="zh-CN"/>
              </w:rPr>
              <w:t>2</w:t>
            </w:r>
            <w:r>
              <w:rPr>
                <w:rFonts w:hint="eastAsia"/>
                <w:b/>
                <w:bCs/>
                <w:lang w:eastAsia="zh-CN"/>
              </w:rPr>
              <w:t>）</w:t>
            </w:r>
            <w:r>
              <w:rPr>
                <w:rFonts w:hint="eastAsia"/>
                <w:b/>
                <w:bCs/>
                <w:lang w:val="en-US" w:eastAsia="zh-CN"/>
              </w:rPr>
              <w:t>初步分切</w:t>
            </w:r>
          </w:p>
          <w:p w14:paraId="750705F5">
            <w:pPr>
              <w:rPr>
                <w:rFonts w:hint="eastAsia"/>
                <w:b w:val="0"/>
                <w:bCs w:val="0"/>
                <w:color w:val="auto"/>
                <w:sz w:val="24"/>
                <w:highlight w:val="none"/>
                <w:lang w:val="en-US" w:eastAsia="zh-CN"/>
              </w:rPr>
            </w:pPr>
            <w:r>
              <w:rPr>
                <w:rFonts w:hint="eastAsia"/>
                <w:b w:val="0"/>
                <w:bCs w:val="0"/>
                <w:color w:val="auto"/>
                <w:sz w:val="24"/>
                <w:highlight w:val="none"/>
                <w:lang w:val="en-US" w:eastAsia="zh-CN"/>
              </w:rPr>
              <w:t>原料检验合格后经过高速盘纸分切复卷机分切成一定大小，为刀片切割，切割过程中因破坏纸张纤维结构会产生少量粉尘。</w:t>
            </w:r>
          </w:p>
          <w:p w14:paraId="34759086">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粉尘、</w:t>
            </w:r>
            <w:r>
              <w:rPr>
                <w:rFonts w:hint="eastAsia"/>
                <w:bCs/>
                <w:sz w:val="24"/>
                <w:szCs w:val="24"/>
                <w:u w:val="single"/>
              </w:rPr>
              <w:t>噪声。</w:t>
            </w:r>
          </w:p>
          <w:p w14:paraId="330173E9">
            <w:pPr>
              <w:rPr>
                <w:rFonts w:hint="default"/>
                <w:b/>
                <w:bCs/>
                <w:color w:val="auto"/>
                <w:sz w:val="24"/>
                <w:highlight w:val="none"/>
                <w:lang w:val="en-US" w:eastAsia="zh-CN"/>
              </w:rPr>
            </w:pPr>
            <w:r>
              <w:rPr>
                <w:rFonts w:hint="eastAsia"/>
                <w:b/>
                <w:bCs/>
                <w:color w:val="auto"/>
                <w:sz w:val="24"/>
                <w:highlight w:val="none"/>
                <w:lang w:val="en-US" w:eastAsia="zh-CN"/>
              </w:rPr>
              <w:t>（3）打纸</w:t>
            </w:r>
          </w:p>
          <w:p w14:paraId="67BC0AD2">
            <w:pPr>
              <w:rPr>
                <w:rFonts w:hint="default"/>
                <w:b/>
                <w:bCs/>
                <w:color w:val="auto"/>
                <w:sz w:val="24"/>
                <w:highlight w:val="none"/>
                <w:lang w:val="en-US" w:eastAsia="zh-CN"/>
              </w:rPr>
            </w:pPr>
            <w:r>
              <w:rPr>
                <w:rFonts w:hint="eastAsia"/>
                <w:b w:val="0"/>
                <w:bCs w:val="0"/>
                <w:color w:val="auto"/>
                <w:sz w:val="24"/>
                <w:highlight w:val="none"/>
                <w:lang w:val="en-US" w:eastAsia="zh-CN"/>
              </w:rPr>
              <w:t>分切后的原纸经过打纸机进行初步折叠处理。</w:t>
            </w:r>
          </w:p>
          <w:p w14:paraId="23D74A32">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w:t>
            </w:r>
          </w:p>
          <w:p w14:paraId="0E10F476">
            <w:pPr>
              <w:rPr>
                <w:rFonts w:hint="default"/>
                <w:b/>
                <w:bCs/>
                <w:color w:val="auto"/>
                <w:sz w:val="24"/>
                <w:highlight w:val="none"/>
                <w:lang w:val="en-US" w:eastAsia="zh-CN"/>
              </w:rPr>
            </w:pPr>
            <w:r>
              <w:rPr>
                <w:rFonts w:hint="eastAsia"/>
                <w:b/>
                <w:bCs/>
                <w:color w:val="auto"/>
                <w:sz w:val="24"/>
                <w:highlight w:val="none"/>
                <w:lang w:val="en-US" w:eastAsia="zh-CN"/>
              </w:rPr>
              <w:t>（4）切纸</w:t>
            </w:r>
          </w:p>
          <w:p w14:paraId="44BE12E0">
            <w:pPr>
              <w:rPr>
                <w:rFonts w:hint="eastAsia"/>
                <w:b w:val="0"/>
                <w:bCs w:val="0"/>
                <w:color w:val="auto"/>
                <w:sz w:val="24"/>
                <w:highlight w:val="none"/>
                <w:lang w:val="en-US" w:eastAsia="zh-CN"/>
              </w:rPr>
            </w:pPr>
            <w:r>
              <w:rPr>
                <w:rFonts w:hint="eastAsia"/>
                <w:b w:val="0"/>
                <w:bCs w:val="0"/>
                <w:color w:val="auto"/>
                <w:sz w:val="24"/>
                <w:highlight w:val="none"/>
                <w:lang w:val="en-US" w:eastAsia="zh-CN"/>
              </w:rPr>
              <w:t>打纸处理后原纸经过分切机分切成一定大小，为刀片切割，切割过程中因破坏纸张纤维结构会产生少量粉尘。</w:t>
            </w:r>
          </w:p>
          <w:p w14:paraId="550292B9">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粉尘、</w:t>
            </w:r>
            <w:r>
              <w:rPr>
                <w:rFonts w:hint="eastAsia"/>
                <w:bCs/>
                <w:sz w:val="24"/>
                <w:szCs w:val="24"/>
                <w:u w:val="single"/>
              </w:rPr>
              <w:t>噪声。</w:t>
            </w:r>
          </w:p>
          <w:p w14:paraId="3C5B7460">
            <w:pPr>
              <w:rPr>
                <w:rFonts w:hint="default"/>
                <w:b/>
                <w:bCs/>
                <w:color w:val="auto"/>
                <w:sz w:val="24"/>
                <w:highlight w:val="none"/>
                <w:lang w:val="en-US" w:eastAsia="zh-CN"/>
              </w:rPr>
            </w:pPr>
            <w:r>
              <w:rPr>
                <w:rFonts w:hint="eastAsia"/>
                <w:b/>
                <w:bCs/>
                <w:color w:val="auto"/>
                <w:sz w:val="24"/>
                <w:highlight w:val="none"/>
                <w:lang w:val="en-US" w:eastAsia="zh-CN"/>
              </w:rPr>
              <w:t>（5）折叠</w:t>
            </w:r>
          </w:p>
          <w:p w14:paraId="6867F833">
            <w:pPr>
              <w:rPr>
                <w:rFonts w:hint="eastAsia"/>
                <w:b w:val="0"/>
                <w:bCs w:val="0"/>
                <w:color w:val="auto"/>
                <w:sz w:val="24"/>
                <w:highlight w:val="none"/>
                <w:lang w:val="en-US" w:eastAsia="zh-CN"/>
              </w:rPr>
            </w:pPr>
            <w:r>
              <w:rPr>
                <w:rFonts w:hint="eastAsia"/>
                <w:b w:val="0"/>
                <w:bCs w:val="0"/>
                <w:color w:val="auto"/>
                <w:sz w:val="24"/>
                <w:highlight w:val="none"/>
                <w:lang w:val="en-US" w:eastAsia="zh-CN"/>
              </w:rPr>
              <w:t>切纸后通过折叠机将纸张折叠处理。</w:t>
            </w:r>
          </w:p>
          <w:p w14:paraId="0ED1C527">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w:t>
            </w:r>
          </w:p>
          <w:p w14:paraId="3B6ED6A0">
            <w:pPr>
              <w:rPr>
                <w:rFonts w:hint="default"/>
                <w:b/>
                <w:bCs/>
                <w:color w:val="auto"/>
                <w:sz w:val="24"/>
                <w:highlight w:val="none"/>
                <w:lang w:val="en-US" w:eastAsia="zh-CN"/>
              </w:rPr>
            </w:pPr>
            <w:r>
              <w:rPr>
                <w:rFonts w:hint="eastAsia"/>
                <w:b/>
                <w:bCs/>
                <w:color w:val="auto"/>
                <w:sz w:val="24"/>
                <w:highlight w:val="none"/>
                <w:lang w:val="en-US" w:eastAsia="zh-CN"/>
              </w:rPr>
              <w:t>（6）包装</w:t>
            </w:r>
          </w:p>
          <w:p w14:paraId="08382D61">
            <w:pPr>
              <w:rPr>
                <w:rFonts w:hint="default"/>
                <w:b w:val="0"/>
                <w:bCs w:val="0"/>
                <w:color w:val="auto"/>
                <w:sz w:val="24"/>
                <w:highlight w:val="none"/>
                <w:lang w:val="en-US" w:eastAsia="zh-CN"/>
              </w:rPr>
            </w:pPr>
            <w:r>
              <w:rPr>
                <w:rFonts w:hint="eastAsia"/>
                <w:b w:val="0"/>
                <w:bCs w:val="0"/>
                <w:color w:val="auto"/>
                <w:sz w:val="24"/>
                <w:highlight w:val="none"/>
                <w:lang w:val="en-US" w:eastAsia="zh-CN"/>
              </w:rPr>
              <w:t>复卷后的成品经过包装机进行单个纸卷包装。</w:t>
            </w:r>
          </w:p>
          <w:p w14:paraId="5112B833">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产生噪声、废包装材料。</w:t>
            </w:r>
          </w:p>
          <w:p w14:paraId="7B87F585">
            <w:pPr>
              <w:rPr>
                <w:rFonts w:hint="default"/>
                <w:b/>
                <w:bCs/>
                <w:color w:val="auto"/>
                <w:sz w:val="24"/>
                <w:highlight w:val="none"/>
                <w:lang w:val="en-US" w:eastAsia="zh-CN"/>
              </w:rPr>
            </w:pPr>
            <w:r>
              <w:rPr>
                <w:rFonts w:hint="eastAsia"/>
                <w:b/>
                <w:bCs/>
                <w:color w:val="auto"/>
                <w:sz w:val="24"/>
                <w:highlight w:val="none"/>
                <w:lang w:val="en-US" w:eastAsia="zh-CN"/>
              </w:rPr>
              <w:t>（7）产品检验</w:t>
            </w:r>
          </w:p>
          <w:p w14:paraId="6695F252">
            <w:pPr>
              <w:rPr>
                <w:rFonts w:hint="eastAsia"/>
                <w:b w:val="0"/>
                <w:bCs w:val="0"/>
                <w:color w:val="auto"/>
                <w:sz w:val="24"/>
                <w:highlight w:val="none"/>
                <w:lang w:val="en-US" w:eastAsia="zh-CN"/>
              </w:rPr>
            </w:pPr>
            <w:r>
              <w:rPr>
                <w:rFonts w:hint="eastAsia"/>
                <w:b w:val="0"/>
                <w:bCs w:val="0"/>
                <w:color w:val="auto"/>
                <w:sz w:val="24"/>
                <w:highlight w:val="none"/>
                <w:lang w:val="en-US" w:eastAsia="zh-CN"/>
              </w:rPr>
              <w:t>包装后的产品经过人工检验检查是否有破包或者其他生产过程中导致的不合格。</w:t>
            </w:r>
          </w:p>
          <w:p w14:paraId="7E3FB20B">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w:t>
            </w:r>
            <w:r>
              <w:rPr>
                <w:rFonts w:hint="eastAsia"/>
                <w:bCs/>
                <w:sz w:val="24"/>
                <w:szCs w:val="24"/>
                <w:u w:val="single"/>
                <w:lang w:val="en-US" w:eastAsia="zh-CN"/>
              </w:rPr>
              <w:t>不合格品</w:t>
            </w:r>
            <w:r>
              <w:rPr>
                <w:rFonts w:hint="eastAsia"/>
                <w:bCs/>
                <w:sz w:val="24"/>
                <w:szCs w:val="24"/>
                <w:u w:val="single"/>
              </w:rPr>
              <w:t>。</w:t>
            </w:r>
          </w:p>
          <w:p w14:paraId="5BA35786">
            <w:pPr>
              <w:rPr>
                <w:rFonts w:hint="default"/>
                <w:b/>
                <w:bCs/>
                <w:color w:val="auto"/>
                <w:sz w:val="24"/>
                <w:highlight w:val="none"/>
                <w:lang w:val="en-US" w:eastAsia="zh-CN"/>
              </w:rPr>
            </w:pPr>
            <w:r>
              <w:rPr>
                <w:rFonts w:hint="eastAsia"/>
                <w:b/>
                <w:bCs/>
                <w:color w:val="auto"/>
                <w:sz w:val="24"/>
                <w:highlight w:val="none"/>
                <w:lang w:val="en-US" w:eastAsia="zh-CN"/>
              </w:rPr>
              <w:t>（8）装箱/装袋</w:t>
            </w:r>
          </w:p>
          <w:p w14:paraId="7F12F45D">
            <w:pPr>
              <w:rPr>
                <w:rFonts w:hint="eastAsia"/>
                <w:b w:val="0"/>
                <w:bCs w:val="0"/>
                <w:color w:val="auto"/>
                <w:sz w:val="24"/>
                <w:highlight w:val="none"/>
                <w:lang w:val="en-US" w:eastAsia="zh-CN"/>
              </w:rPr>
            </w:pPr>
            <w:r>
              <w:rPr>
                <w:rFonts w:hint="eastAsia"/>
                <w:b w:val="0"/>
                <w:bCs w:val="0"/>
                <w:color w:val="auto"/>
                <w:sz w:val="24"/>
                <w:highlight w:val="none"/>
                <w:lang w:val="en-US" w:eastAsia="zh-CN"/>
              </w:rPr>
              <w:t>产品检验合格后经过装箱装袋机进行装袋处理。</w:t>
            </w:r>
          </w:p>
          <w:p w14:paraId="3AC78D1E">
            <w:pPr>
              <w:bidi w:val="0"/>
              <w:rPr>
                <w:rFonts w:hint="eastAsia"/>
                <w:lang w:eastAsia="zh-CN"/>
              </w:rPr>
            </w:pPr>
            <w:r>
              <w:rPr>
                <w:rFonts w:hint="eastAsia"/>
                <w:bCs/>
                <w:sz w:val="24"/>
                <w:szCs w:val="24"/>
                <w:u w:val="single"/>
              </w:rPr>
              <w:t>此工序</w:t>
            </w:r>
            <w:r>
              <w:rPr>
                <w:rFonts w:hint="eastAsia"/>
                <w:bCs/>
                <w:sz w:val="24"/>
                <w:szCs w:val="24"/>
                <w:u w:val="single"/>
                <w:lang w:val="en-US" w:eastAsia="zh-CN"/>
              </w:rPr>
              <w:t>主要</w:t>
            </w:r>
            <w:r>
              <w:rPr>
                <w:rFonts w:hint="eastAsia"/>
                <w:bCs/>
                <w:sz w:val="24"/>
                <w:szCs w:val="24"/>
                <w:u w:val="single"/>
              </w:rPr>
              <w:t>产生噪声、废包装材料。</w:t>
            </w:r>
          </w:p>
          <w:p w14:paraId="0CCBC5EA">
            <w:pPr>
              <w:rPr>
                <w:rFonts w:hint="default"/>
                <w:b/>
                <w:bCs/>
                <w:color w:val="auto"/>
                <w:sz w:val="24"/>
                <w:highlight w:val="none"/>
                <w:lang w:val="en-US" w:eastAsia="zh-CN"/>
              </w:rPr>
            </w:pPr>
            <w:r>
              <w:rPr>
                <w:rFonts w:hint="eastAsia"/>
                <w:b/>
                <w:bCs/>
                <w:color w:val="auto"/>
                <w:sz w:val="24"/>
                <w:highlight w:val="none"/>
                <w:lang w:val="en-US" w:eastAsia="zh-CN"/>
              </w:rPr>
              <w:t>（9）入库</w:t>
            </w:r>
          </w:p>
          <w:p w14:paraId="46C4F75C">
            <w:pPr>
              <w:rPr>
                <w:rFonts w:hint="eastAsia" w:eastAsia="宋体"/>
                <w:b w:val="0"/>
                <w:bCs w:val="0"/>
                <w:color w:val="auto"/>
                <w:sz w:val="24"/>
                <w:highlight w:val="none"/>
                <w:lang w:val="en-US" w:eastAsia="zh-CN"/>
              </w:rPr>
            </w:pPr>
            <w:r>
              <w:rPr>
                <w:rFonts w:hint="eastAsia"/>
                <w:b w:val="0"/>
                <w:bCs w:val="0"/>
                <w:color w:val="auto"/>
                <w:sz w:val="24"/>
                <w:highlight w:val="none"/>
                <w:lang w:val="en-US" w:eastAsia="zh-CN"/>
              </w:rPr>
              <w:t>装箱/装袋后的产品</w:t>
            </w:r>
            <w:r>
              <w:rPr>
                <w:rFonts w:hint="eastAsia"/>
                <w:bCs/>
                <w:sz w:val="24"/>
                <w:szCs w:val="24"/>
              </w:rPr>
              <w:t>放入成品库</w:t>
            </w:r>
            <w:r>
              <w:rPr>
                <w:rFonts w:hint="eastAsia"/>
                <w:bCs/>
                <w:sz w:val="24"/>
                <w:szCs w:val="24"/>
                <w:lang w:val="en-US" w:eastAsia="zh-CN"/>
              </w:rPr>
              <w:t>房</w:t>
            </w:r>
            <w:r>
              <w:rPr>
                <w:rFonts w:hint="eastAsia"/>
                <w:bCs/>
                <w:sz w:val="24"/>
                <w:szCs w:val="24"/>
              </w:rPr>
              <w:t>待售</w:t>
            </w:r>
            <w:r>
              <w:rPr>
                <w:rFonts w:hint="eastAsia"/>
                <w:bCs/>
                <w:sz w:val="24"/>
                <w:szCs w:val="24"/>
                <w:lang w:eastAsia="zh-CN"/>
              </w:rPr>
              <w:t>。</w:t>
            </w:r>
          </w:p>
          <w:p w14:paraId="7ECA1422">
            <w:pPr>
              <w:rPr>
                <w:rFonts w:hint="default" w:eastAsia="宋体"/>
                <w:b/>
                <w:bCs/>
                <w:color w:val="auto"/>
                <w:sz w:val="24"/>
                <w:highlight w:val="none"/>
                <w:lang w:val="en-US" w:eastAsia="zh-CN"/>
              </w:rPr>
            </w:pPr>
            <w:r>
              <w:rPr>
                <w:rFonts w:hint="eastAsia"/>
                <w:b/>
                <w:bCs/>
                <w:color w:val="auto"/>
                <w:sz w:val="24"/>
                <w:highlight w:val="none"/>
                <w:lang w:val="en-US" w:eastAsia="zh-CN"/>
              </w:rPr>
              <w:t>5、产品检验</w:t>
            </w:r>
          </w:p>
          <w:p w14:paraId="4368A333">
            <w:pPr>
              <w:bidi w:val="0"/>
              <w:rPr>
                <w:rFonts w:hint="default" w:eastAsia="宋体"/>
                <w:color w:val="auto"/>
                <w:highlight w:val="none"/>
                <w:lang w:val="en-US" w:eastAsia="zh-CN"/>
              </w:rPr>
            </w:pPr>
            <w:r>
              <w:rPr>
                <w:rFonts w:hint="eastAsia"/>
                <w:color w:val="auto"/>
                <w:highlight w:val="none"/>
              </w:rPr>
              <w:t>本项目属于食品加工类项目，产品质量检验要求较高，项目设置有产品质量相关指标检验的</w:t>
            </w:r>
            <w:r>
              <w:rPr>
                <w:rFonts w:hint="eastAsia"/>
                <w:color w:val="auto"/>
                <w:highlight w:val="none"/>
                <w:lang w:val="en-US" w:eastAsia="zh-CN"/>
              </w:rPr>
              <w:t>实验室</w:t>
            </w:r>
            <w:r>
              <w:rPr>
                <w:rFonts w:hint="eastAsia"/>
                <w:color w:val="auto"/>
                <w:highlight w:val="none"/>
              </w:rPr>
              <w:t>，主要</w:t>
            </w:r>
            <w:r>
              <w:rPr>
                <w:rFonts w:hint="eastAsia"/>
                <w:color w:val="auto"/>
                <w:highlight w:val="none"/>
                <w:lang w:eastAsia="zh-CN"/>
              </w:rPr>
              <w:t>对</w:t>
            </w:r>
            <w:r>
              <w:rPr>
                <w:rFonts w:hint="eastAsia"/>
                <w:color w:val="auto"/>
                <w:highlight w:val="none"/>
              </w:rPr>
              <w:t>产品</w:t>
            </w:r>
            <w:r>
              <w:rPr>
                <w:rFonts w:hint="eastAsia"/>
                <w:color w:val="auto"/>
                <w:highlight w:val="none"/>
                <w:lang w:val="en-US" w:eastAsia="zh-CN"/>
              </w:rPr>
              <w:t>进行感官</w:t>
            </w:r>
            <w:r>
              <w:rPr>
                <w:rFonts w:hint="eastAsia"/>
                <w:color w:val="auto"/>
                <w:highlight w:val="none"/>
              </w:rPr>
              <w:t>、水分等进行抽样检测，检测频率为每批次产品检测一次。</w:t>
            </w:r>
            <w:r>
              <w:rPr>
                <w:rFonts w:hint="eastAsia"/>
                <w:b/>
                <w:bCs/>
                <w:color w:val="auto"/>
                <w:highlight w:val="none"/>
              </w:rPr>
              <w:t>微生物（菌落总数、</w:t>
            </w:r>
            <w:r>
              <w:rPr>
                <w:rFonts w:hint="eastAsia"/>
                <w:b/>
                <w:bCs/>
                <w:color w:val="auto"/>
                <w:highlight w:val="none"/>
                <w:lang w:eastAsia="zh-CN"/>
              </w:rPr>
              <w:t>大肠菌数</w:t>
            </w:r>
            <w:r>
              <w:rPr>
                <w:rFonts w:hint="eastAsia"/>
                <w:b/>
                <w:bCs/>
                <w:color w:val="auto"/>
                <w:highlight w:val="none"/>
              </w:rPr>
              <w:t>）</w:t>
            </w:r>
            <w:r>
              <w:rPr>
                <w:rFonts w:hint="eastAsia"/>
                <w:b/>
                <w:bCs/>
                <w:color w:val="auto"/>
                <w:highlight w:val="none"/>
                <w:lang w:val="en-US" w:eastAsia="zh-CN"/>
              </w:rPr>
              <w:t>及其他理化指标检验均外委进行。</w:t>
            </w:r>
          </w:p>
          <w:p w14:paraId="3C0E1444">
            <w:pPr>
              <w:bidi w:val="0"/>
              <w:rPr>
                <w:rFonts w:hint="default"/>
                <w:color w:val="auto"/>
                <w:highlight w:val="none"/>
                <w:lang w:val="en-US" w:eastAsia="zh-CN"/>
              </w:rPr>
            </w:pPr>
            <w:r>
              <w:rPr>
                <w:rFonts w:hint="eastAsia"/>
                <w:b/>
                <w:bCs/>
                <w:color w:val="auto"/>
                <w:highlight w:val="none"/>
                <w:lang w:val="en-US" w:eastAsia="zh-CN"/>
              </w:rPr>
              <w:t>产品感官：</w:t>
            </w:r>
            <w:r>
              <w:rPr>
                <w:rFonts w:hint="eastAsia"/>
                <w:color w:val="auto"/>
                <w:highlight w:val="none"/>
                <w:lang w:val="en-US" w:eastAsia="zh-CN"/>
              </w:rPr>
              <w:t>使用观察包装、检查色泽、闻味道、检查质地和表面状态等检测方法。检查产品不合格则将产品再次返回生产车间加工。此过程不产生污染物。</w:t>
            </w:r>
          </w:p>
          <w:p w14:paraId="4F31772B">
            <w:pPr>
              <w:bidi w:val="0"/>
              <w:rPr>
                <w:rFonts w:hint="eastAsia"/>
                <w:color w:val="auto"/>
                <w:highlight w:val="none"/>
                <w:lang w:val="en-US" w:eastAsia="zh-CN"/>
              </w:rPr>
            </w:pPr>
            <w:r>
              <w:rPr>
                <w:rFonts w:hint="eastAsia"/>
                <w:b/>
                <w:bCs/>
                <w:color w:val="auto"/>
                <w:highlight w:val="none"/>
                <w:lang w:val="en-US" w:eastAsia="zh-CN"/>
              </w:rPr>
              <w:t>水分：</w:t>
            </w:r>
            <w:r>
              <w:rPr>
                <w:rFonts w:hint="eastAsia"/>
                <w:color w:val="auto"/>
                <w:highlight w:val="none"/>
                <w:lang w:val="en-US" w:eastAsia="zh-CN"/>
              </w:rPr>
              <w:t>使用减压干燥法，主要使用真空干燥箱、干燥器、分析天平等。实验检测后的固体作一般固废处置。</w:t>
            </w:r>
          </w:p>
          <w:p w14:paraId="44C594B4">
            <w:pPr>
              <w:bidi w:val="0"/>
              <w:rPr>
                <w:rFonts w:hint="default"/>
                <w:color w:val="auto"/>
                <w:highlight w:val="none"/>
                <w:lang w:val="en-US" w:eastAsia="zh-CN"/>
              </w:rPr>
            </w:pPr>
            <w:r>
              <w:rPr>
                <w:rFonts w:hint="eastAsia"/>
                <w:color w:val="auto"/>
                <w:highlight w:val="none"/>
                <w:u w:val="single"/>
                <w:lang w:val="en-US" w:eastAsia="zh-CN"/>
              </w:rPr>
              <w:t>检验过程中主要产生实验器皿清洗废水、噪声、实验固废。</w:t>
            </w:r>
          </w:p>
          <w:p w14:paraId="56B192E2">
            <w:pPr>
              <w:pStyle w:val="61"/>
              <w:ind w:firstLine="482"/>
              <w:jc w:val="both"/>
              <w:rPr>
                <w:rFonts w:hint="eastAsia" w:ascii="黑体" w:hAnsi="黑体" w:eastAsia="黑体" w:cs="黑体"/>
                <w:b/>
                <w:bCs/>
                <w:color w:val="auto"/>
                <w:szCs w:val="24"/>
                <w:highlight w:val="none"/>
              </w:rPr>
            </w:pPr>
            <w:r>
              <w:rPr>
                <w:rFonts w:hint="eastAsia" w:ascii="黑体" w:hAnsi="黑体" w:eastAsia="黑体" w:cs="黑体"/>
                <w:b/>
                <w:bCs/>
                <w:color w:val="auto"/>
                <w:szCs w:val="24"/>
                <w:highlight w:val="none"/>
              </w:rPr>
              <w:t>三、产污工序</w:t>
            </w:r>
          </w:p>
          <w:p w14:paraId="4493852C">
            <w:pPr>
              <w:pStyle w:val="52"/>
              <w:ind w:firstLine="480"/>
              <w:rPr>
                <w:color w:val="auto"/>
                <w:sz w:val="24"/>
                <w:szCs w:val="24"/>
                <w:highlight w:val="none"/>
              </w:rPr>
            </w:pPr>
            <w:r>
              <w:rPr>
                <w:rFonts w:hint="eastAsia"/>
                <w:color w:val="auto"/>
                <w:sz w:val="24"/>
                <w:szCs w:val="24"/>
                <w:highlight w:val="none"/>
                <w:lang w:val="en-US" w:eastAsia="zh-CN"/>
              </w:rPr>
              <w:t>综合</w:t>
            </w:r>
            <w:r>
              <w:rPr>
                <w:color w:val="auto"/>
                <w:sz w:val="24"/>
                <w:szCs w:val="24"/>
                <w:highlight w:val="none"/>
              </w:rPr>
              <w:t>对项目</w:t>
            </w:r>
            <w:r>
              <w:rPr>
                <w:rFonts w:hint="eastAsia"/>
                <w:color w:val="auto"/>
                <w:sz w:val="24"/>
                <w:szCs w:val="24"/>
                <w:highlight w:val="none"/>
                <w:lang w:val="en-US" w:eastAsia="zh-CN"/>
              </w:rPr>
              <w:t>工艺</w:t>
            </w:r>
            <w:r>
              <w:rPr>
                <w:color w:val="auto"/>
                <w:sz w:val="24"/>
                <w:szCs w:val="24"/>
                <w:highlight w:val="none"/>
              </w:rPr>
              <w:t>流程的分析，项目产污工序见</w:t>
            </w:r>
            <w:r>
              <w:rPr>
                <w:rFonts w:hint="eastAsia"/>
                <w:color w:val="auto"/>
                <w:sz w:val="24"/>
                <w:szCs w:val="24"/>
                <w:highlight w:val="none"/>
                <w:lang w:val="en-US" w:eastAsia="zh-CN"/>
              </w:rPr>
              <w:t>下表</w:t>
            </w:r>
            <w:r>
              <w:rPr>
                <w:color w:val="auto"/>
                <w:sz w:val="24"/>
                <w:szCs w:val="24"/>
                <w:highlight w:val="none"/>
              </w:rPr>
              <w:t>。</w:t>
            </w:r>
          </w:p>
          <w:p w14:paraId="532367BA">
            <w:pPr>
              <w:pStyle w:val="14"/>
              <w:bidi w:val="0"/>
              <w:rPr>
                <w:rFonts w:hint="eastAsia"/>
                <w:color w:val="auto"/>
                <w:highlight w:val="none"/>
              </w:rPr>
            </w:pPr>
            <w:r>
              <w:rPr>
                <w:color w:val="auto"/>
                <w:highlight w:val="none"/>
              </w:rPr>
              <w:t>表2-</w:t>
            </w:r>
            <w:r>
              <w:rPr>
                <w:color w:val="auto"/>
                <w:highlight w:val="none"/>
              </w:rPr>
              <w:fldChar w:fldCharType="begin"/>
            </w:r>
            <w:r>
              <w:rPr>
                <w:color w:val="auto"/>
                <w:highlight w:val="none"/>
              </w:rPr>
              <w:instrText xml:space="preserve"> SEQ 表2- \* ARABIC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lang w:val="en-US" w:eastAsia="zh-CN"/>
              </w:rPr>
              <w:t xml:space="preserve">  </w:t>
            </w:r>
            <w:r>
              <w:rPr>
                <w:rFonts w:hint="eastAsia"/>
                <w:color w:val="auto"/>
                <w:highlight w:val="none"/>
              </w:rPr>
              <w:t>主要污染工序一览表</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3"/>
              <w:gridCol w:w="2319"/>
              <w:gridCol w:w="2035"/>
              <w:gridCol w:w="4050"/>
            </w:tblGrid>
            <w:tr w14:paraId="69848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tcBorders>
                    <w:bottom w:val="single" w:color="000000" w:sz="4" w:space="0"/>
                    <w:tl2br w:val="nil"/>
                    <w:tr2bl w:val="nil"/>
                  </w:tcBorders>
                  <w:vAlign w:val="center"/>
                </w:tcPr>
                <w:p w14:paraId="6814C190">
                  <w:pPr>
                    <w:pStyle w:val="106"/>
                    <w:bidi w:val="0"/>
                    <w:rPr>
                      <w:b/>
                      <w:bCs/>
                      <w:color w:val="auto"/>
                      <w:highlight w:val="none"/>
                    </w:rPr>
                  </w:pPr>
                  <w:r>
                    <w:rPr>
                      <w:b/>
                      <w:bCs/>
                      <w:color w:val="auto"/>
                      <w:highlight w:val="none"/>
                    </w:rPr>
                    <w:t>类型</w:t>
                  </w:r>
                </w:p>
              </w:tc>
              <w:tc>
                <w:tcPr>
                  <w:tcW w:w="1262" w:type="pct"/>
                  <w:tcBorders>
                    <w:bottom w:val="single" w:color="000000" w:sz="4" w:space="0"/>
                    <w:tl2br w:val="nil"/>
                    <w:tr2bl w:val="nil"/>
                  </w:tcBorders>
                  <w:vAlign w:val="center"/>
                </w:tcPr>
                <w:p w14:paraId="1FD044E4">
                  <w:pPr>
                    <w:pStyle w:val="106"/>
                    <w:bidi w:val="0"/>
                    <w:rPr>
                      <w:b/>
                      <w:bCs/>
                      <w:color w:val="auto"/>
                      <w:highlight w:val="none"/>
                    </w:rPr>
                  </w:pPr>
                  <w:r>
                    <w:rPr>
                      <w:b/>
                      <w:bCs/>
                      <w:color w:val="auto"/>
                      <w:highlight w:val="none"/>
                    </w:rPr>
                    <w:t>污染物类型</w:t>
                  </w:r>
                </w:p>
              </w:tc>
              <w:tc>
                <w:tcPr>
                  <w:tcW w:w="1107" w:type="pct"/>
                  <w:tcBorders>
                    <w:bottom w:val="single" w:color="000000" w:sz="4" w:space="0"/>
                    <w:tl2br w:val="nil"/>
                    <w:tr2bl w:val="nil"/>
                  </w:tcBorders>
                  <w:vAlign w:val="center"/>
                </w:tcPr>
                <w:p w14:paraId="40AD509F">
                  <w:pPr>
                    <w:pStyle w:val="106"/>
                    <w:bidi w:val="0"/>
                    <w:rPr>
                      <w:b/>
                      <w:bCs/>
                      <w:color w:val="auto"/>
                      <w:highlight w:val="none"/>
                    </w:rPr>
                  </w:pPr>
                  <w:r>
                    <w:rPr>
                      <w:b/>
                      <w:bCs/>
                      <w:color w:val="auto"/>
                      <w:highlight w:val="none"/>
                    </w:rPr>
                    <w:t>产排污环节</w:t>
                  </w:r>
                </w:p>
              </w:tc>
              <w:tc>
                <w:tcPr>
                  <w:tcW w:w="2204" w:type="pct"/>
                  <w:tcBorders>
                    <w:bottom w:val="single" w:color="000000" w:sz="4" w:space="0"/>
                    <w:tl2br w:val="nil"/>
                    <w:tr2bl w:val="nil"/>
                  </w:tcBorders>
                  <w:vAlign w:val="center"/>
                </w:tcPr>
                <w:p w14:paraId="13EF971A">
                  <w:pPr>
                    <w:pStyle w:val="106"/>
                    <w:bidi w:val="0"/>
                    <w:rPr>
                      <w:b/>
                      <w:bCs/>
                      <w:color w:val="auto"/>
                      <w:highlight w:val="none"/>
                    </w:rPr>
                  </w:pPr>
                  <w:r>
                    <w:rPr>
                      <w:rFonts w:hint="eastAsia"/>
                      <w:b/>
                      <w:bCs/>
                      <w:color w:val="auto"/>
                      <w:highlight w:val="none"/>
                    </w:rPr>
                    <w:t>污染物</w:t>
                  </w:r>
                  <w:r>
                    <w:rPr>
                      <w:rFonts w:hint="eastAsia"/>
                      <w:b/>
                      <w:bCs/>
                      <w:color w:val="auto"/>
                      <w:highlight w:val="none"/>
                      <w:lang w:val="en-US" w:eastAsia="zh-CN"/>
                    </w:rPr>
                    <w:t>因子</w:t>
                  </w:r>
                  <w:r>
                    <w:rPr>
                      <w:rFonts w:hint="eastAsia"/>
                      <w:b/>
                      <w:bCs/>
                      <w:color w:val="auto"/>
                      <w:highlight w:val="none"/>
                    </w:rPr>
                    <w:t>/废物类别</w:t>
                  </w:r>
                </w:p>
              </w:tc>
            </w:tr>
            <w:tr w14:paraId="34D09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restart"/>
                  <w:tcBorders>
                    <w:top w:val="single" w:color="000000" w:sz="4" w:space="0"/>
                    <w:tl2br w:val="nil"/>
                    <w:tr2bl w:val="nil"/>
                  </w:tcBorders>
                  <w:vAlign w:val="center"/>
                </w:tcPr>
                <w:p w14:paraId="1BBE7B1F">
                  <w:pPr>
                    <w:pStyle w:val="106"/>
                    <w:bidi w:val="0"/>
                    <w:rPr>
                      <w:color w:val="auto"/>
                      <w:highlight w:val="none"/>
                    </w:rPr>
                  </w:pPr>
                  <w:r>
                    <w:rPr>
                      <w:rFonts w:hint="eastAsia"/>
                      <w:color w:val="auto"/>
                      <w:highlight w:val="none"/>
                    </w:rPr>
                    <w:t>废气</w:t>
                  </w:r>
                </w:p>
              </w:tc>
              <w:tc>
                <w:tcPr>
                  <w:tcW w:w="1262" w:type="pct"/>
                  <w:tcBorders>
                    <w:top w:val="single" w:color="000000" w:sz="4" w:space="0"/>
                    <w:tl2br w:val="nil"/>
                    <w:tr2bl w:val="nil"/>
                  </w:tcBorders>
                  <w:vAlign w:val="center"/>
                </w:tcPr>
                <w:p w14:paraId="33BDF9FF">
                  <w:pPr>
                    <w:pStyle w:val="106"/>
                    <w:bidi w:val="0"/>
                    <w:rPr>
                      <w:rFonts w:hint="default" w:eastAsia="宋体"/>
                      <w:color w:val="auto"/>
                      <w:highlight w:val="none"/>
                      <w:lang w:val="en-US" w:eastAsia="zh-CN"/>
                    </w:rPr>
                  </w:pPr>
                  <w:r>
                    <w:rPr>
                      <w:rFonts w:hint="eastAsia"/>
                      <w:color w:val="auto"/>
                      <w:highlight w:val="none"/>
                      <w:lang w:val="en-US" w:eastAsia="zh-CN"/>
                    </w:rPr>
                    <w:t>天然气燃烧废气</w:t>
                  </w:r>
                </w:p>
              </w:tc>
              <w:tc>
                <w:tcPr>
                  <w:tcW w:w="1107" w:type="pct"/>
                  <w:tcBorders>
                    <w:top w:val="single" w:color="000000" w:sz="4" w:space="0"/>
                    <w:tl2br w:val="nil"/>
                    <w:tr2bl w:val="nil"/>
                  </w:tcBorders>
                  <w:vAlign w:val="center"/>
                </w:tcPr>
                <w:p w14:paraId="4D9D3434">
                  <w:pPr>
                    <w:pStyle w:val="106"/>
                    <w:bidi w:val="0"/>
                    <w:rPr>
                      <w:rFonts w:hint="default"/>
                      <w:color w:val="auto"/>
                      <w:highlight w:val="none"/>
                      <w:lang w:val="en-US" w:eastAsia="zh-CN"/>
                    </w:rPr>
                  </w:pPr>
                  <w:r>
                    <w:rPr>
                      <w:rFonts w:hint="eastAsia"/>
                      <w:color w:val="auto"/>
                      <w:highlight w:val="none"/>
                      <w:lang w:val="en-US" w:eastAsia="zh-CN"/>
                    </w:rPr>
                    <w:t>蒸汽制备</w:t>
                  </w:r>
                </w:p>
              </w:tc>
              <w:tc>
                <w:tcPr>
                  <w:tcW w:w="2204" w:type="pct"/>
                  <w:tcBorders>
                    <w:top w:val="single" w:color="000000" w:sz="4" w:space="0"/>
                    <w:tl2br w:val="nil"/>
                    <w:tr2bl w:val="nil"/>
                  </w:tcBorders>
                  <w:vAlign w:val="center"/>
                </w:tcPr>
                <w:p w14:paraId="1A2C694E">
                  <w:pPr>
                    <w:pStyle w:val="106"/>
                    <w:bidi w:val="0"/>
                    <w:rPr>
                      <w:rFonts w:hint="default" w:eastAsia="宋体"/>
                      <w:color w:val="auto"/>
                      <w:highlight w:val="none"/>
                      <w:lang w:val="en-US" w:eastAsia="zh-CN"/>
                    </w:rPr>
                  </w:pPr>
                  <w:r>
                    <w:rPr>
                      <w:color w:val="auto"/>
                      <w:highlight w:val="none"/>
                    </w:rPr>
                    <w:t>NOx</w:t>
                  </w:r>
                  <w:r>
                    <w:rPr>
                      <w:rFonts w:hint="eastAsia"/>
                      <w:color w:val="auto"/>
                      <w:highlight w:val="none"/>
                    </w:rPr>
                    <w:t>、</w:t>
                  </w:r>
                  <w:r>
                    <w:rPr>
                      <w:color w:val="auto"/>
                      <w:highlight w:val="none"/>
                    </w:rPr>
                    <w:t>SO</w:t>
                  </w:r>
                  <w:r>
                    <w:rPr>
                      <w:color w:val="auto"/>
                      <w:highlight w:val="none"/>
                      <w:vertAlign w:val="subscript"/>
                    </w:rPr>
                    <w:t>2</w:t>
                  </w:r>
                  <w:r>
                    <w:rPr>
                      <w:rFonts w:hint="eastAsia"/>
                      <w:color w:val="auto"/>
                      <w:highlight w:val="none"/>
                    </w:rPr>
                    <w:t>和</w:t>
                  </w:r>
                  <w:r>
                    <w:rPr>
                      <w:rFonts w:hint="eastAsia"/>
                      <w:color w:val="auto"/>
                      <w:highlight w:val="none"/>
                      <w:lang w:val="en-US" w:eastAsia="zh-CN"/>
                    </w:rPr>
                    <w:t>颗粒物</w:t>
                  </w:r>
                </w:p>
              </w:tc>
            </w:tr>
            <w:tr w14:paraId="7962A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426" w:type="pct"/>
                  <w:vMerge w:val="continue"/>
                  <w:tcBorders>
                    <w:tl2br w:val="nil"/>
                    <w:tr2bl w:val="nil"/>
                  </w:tcBorders>
                  <w:vAlign w:val="center"/>
                </w:tcPr>
                <w:p w14:paraId="7FE5E0F3">
                  <w:pPr>
                    <w:pStyle w:val="106"/>
                    <w:bidi w:val="0"/>
                    <w:rPr>
                      <w:rFonts w:hint="eastAsia"/>
                      <w:color w:val="auto"/>
                      <w:highlight w:val="none"/>
                    </w:rPr>
                  </w:pPr>
                </w:p>
              </w:tc>
              <w:tc>
                <w:tcPr>
                  <w:tcW w:w="1262" w:type="pct"/>
                  <w:tcBorders>
                    <w:tl2br w:val="nil"/>
                    <w:tr2bl w:val="nil"/>
                  </w:tcBorders>
                  <w:vAlign w:val="center"/>
                </w:tcPr>
                <w:p w14:paraId="68571565">
                  <w:pPr>
                    <w:pStyle w:val="106"/>
                    <w:bidi w:val="0"/>
                    <w:rPr>
                      <w:rFonts w:hint="default"/>
                      <w:color w:val="auto"/>
                      <w:highlight w:val="none"/>
                      <w:lang w:val="en-US" w:eastAsia="zh-CN"/>
                    </w:rPr>
                  </w:pPr>
                  <w:r>
                    <w:rPr>
                      <w:rFonts w:hint="eastAsia"/>
                      <w:color w:val="auto"/>
                      <w:highlight w:val="none"/>
                      <w:lang w:val="en-US" w:eastAsia="zh-CN"/>
                    </w:rPr>
                    <w:t>粉尘</w:t>
                  </w:r>
                </w:p>
              </w:tc>
              <w:tc>
                <w:tcPr>
                  <w:tcW w:w="1107" w:type="pct"/>
                  <w:tcBorders>
                    <w:tl2br w:val="nil"/>
                    <w:tr2bl w:val="nil"/>
                  </w:tcBorders>
                  <w:vAlign w:val="center"/>
                </w:tcPr>
                <w:p w14:paraId="2BCA125D">
                  <w:pPr>
                    <w:pStyle w:val="106"/>
                    <w:bidi w:val="0"/>
                    <w:rPr>
                      <w:rFonts w:hint="default"/>
                      <w:color w:val="auto"/>
                      <w:highlight w:val="none"/>
                      <w:lang w:val="en-US" w:eastAsia="zh-CN"/>
                    </w:rPr>
                  </w:pPr>
                  <w:r>
                    <w:rPr>
                      <w:rFonts w:hint="eastAsia"/>
                      <w:color w:val="auto"/>
                      <w:highlight w:val="none"/>
                      <w:lang w:val="en-US" w:eastAsia="zh-CN"/>
                    </w:rPr>
                    <w:t>初步分切、切纸</w:t>
                  </w:r>
                </w:p>
              </w:tc>
              <w:tc>
                <w:tcPr>
                  <w:tcW w:w="2204" w:type="pct"/>
                  <w:tcBorders>
                    <w:tl2br w:val="nil"/>
                    <w:tr2bl w:val="nil"/>
                  </w:tcBorders>
                  <w:vAlign w:val="center"/>
                </w:tcPr>
                <w:p w14:paraId="19B302FE">
                  <w:pPr>
                    <w:pStyle w:val="106"/>
                    <w:bidi w:val="0"/>
                    <w:rPr>
                      <w:color w:val="auto"/>
                      <w:highlight w:val="none"/>
                    </w:rPr>
                  </w:pPr>
                  <w:r>
                    <w:rPr>
                      <w:rFonts w:hint="eastAsia"/>
                      <w:color w:val="auto"/>
                      <w:highlight w:val="none"/>
                      <w:lang w:val="en-US" w:eastAsia="zh-CN"/>
                    </w:rPr>
                    <w:t>颗粒物</w:t>
                  </w:r>
                </w:p>
              </w:tc>
            </w:tr>
            <w:tr w14:paraId="1DA50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426" w:type="pct"/>
                  <w:vMerge w:val="continue"/>
                  <w:tcBorders>
                    <w:tl2br w:val="nil"/>
                    <w:tr2bl w:val="nil"/>
                  </w:tcBorders>
                  <w:vAlign w:val="center"/>
                </w:tcPr>
                <w:p w14:paraId="09C3CC3E">
                  <w:pPr>
                    <w:pStyle w:val="106"/>
                    <w:bidi w:val="0"/>
                    <w:rPr>
                      <w:rFonts w:hint="eastAsia"/>
                      <w:color w:val="auto"/>
                      <w:highlight w:val="none"/>
                    </w:rPr>
                  </w:pPr>
                </w:p>
              </w:tc>
              <w:tc>
                <w:tcPr>
                  <w:tcW w:w="1262" w:type="pct"/>
                  <w:tcBorders>
                    <w:tl2br w:val="nil"/>
                    <w:tr2bl w:val="nil"/>
                  </w:tcBorders>
                  <w:vAlign w:val="center"/>
                </w:tcPr>
                <w:p w14:paraId="2A797E38">
                  <w:pPr>
                    <w:pStyle w:val="106"/>
                    <w:bidi w:val="0"/>
                    <w:rPr>
                      <w:rFonts w:hint="default"/>
                      <w:color w:val="auto"/>
                      <w:highlight w:val="none"/>
                      <w:lang w:val="en-US" w:eastAsia="zh-CN"/>
                    </w:rPr>
                  </w:pPr>
                  <w:r>
                    <w:rPr>
                      <w:rFonts w:hint="eastAsia"/>
                      <w:color w:val="auto"/>
                      <w:highlight w:val="none"/>
                      <w:lang w:val="en-US" w:eastAsia="zh-CN"/>
                    </w:rPr>
                    <w:t>恶臭</w:t>
                  </w:r>
                </w:p>
              </w:tc>
              <w:tc>
                <w:tcPr>
                  <w:tcW w:w="1107" w:type="pct"/>
                  <w:tcBorders>
                    <w:tl2br w:val="nil"/>
                    <w:tr2bl w:val="nil"/>
                  </w:tcBorders>
                  <w:vAlign w:val="center"/>
                </w:tcPr>
                <w:p w14:paraId="67DB21FA">
                  <w:pPr>
                    <w:pStyle w:val="106"/>
                    <w:bidi w:val="0"/>
                    <w:rPr>
                      <w:rFonts w:hint="default"/>
                      <w:color w:val="auto"/>
                      <w:highlight w:val="none"/>
                      <w:lang w:val="en-US" w:eastAsia="zh-CN"/>
                    </w:rPr>
                  </w:pPr>
                  <w:r>
                    <w:rPr>
                      <w:rFonts w:hint="eastAsia"/>
                      <w:color w:val="auto"/>
                      <w:highlight w:val="none"/>
                      <w:lang w:val="en-US" w:eastAsia="zh-CN"/>
                    </w:rPr>
                    <w:t>污水处理</w:t>
                  </w:r>
                </w:p>
              </w:tc>
              <w:tc>
                <w:tcPr>
                  <w:tcW w:w="2204" w:type="pct"/>
                  <w:tcBorders>
                    <w:tl2br w:val="nil"/>
                    <w:tr2bl w:val="nil"/>
                  </w:tcBorders>
                  <w:vAlign w:val="center"/>
                </w:tcPr>
                <w:p w14:paraId="106899FF">
                  <w:pPr>
                    <w:pStyle w:val="106"/>
                    <w:bidi w:val="0"/>
                    <w:rPr>
                      <w:rFonts w:hint="default"/>
                      <w:color w:val="auto"/>
                      <w:highlight w:val="none"/>
                      <w:lang w:val="en-US" w:eastAsia="zh-CN"/>
                    </w:rPr>
                  </w:pPr>
                  <w:r>
                    <w:rPr>
                      <w:rFonts w:hint="eastAsia"/>
                      <w:color w:val="auto"/>
                      <w:highlight w:val="none"/>
                      <w:lang w:val="en-US" w:eastAsia="zh-CN"/>
                    </w:rPr>
                    <w:t>氨、硫化氢、臭气浓度</w:t>
                  </w:r>
                </w:p>
              </w:tc>
            </w:tr>
            <w:tr w14:paraId="383C9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26" w:type="pct"/>
                  <w:vMerge w:val="restart"/>
                  <w:tcBorders>
                    <w:tl2br w:val="nil"/>
                    <w:tr2bl w:val="nil"/>
                  </w:tcBorders>
                  <w:vAlign w:val="center"/>
                </w:tcPr>
                <w:p w14:paraId="55C05254">
                  <w:pPr>
                    <w:pStyle w:val="106"/>
                    <w:bidi w:val="0"/>
                    <w:rPr>
                      <w:color w:val="auto"/>
                      <w:highlight w:val="none"/>
                    </w:rPr>
                  </w:pPr>
                  <w:r>
                    <w:rPr>
                      <w:color w:val="auto"/>
                      <w:highlight w:val="none"/>
                    </w:rPr>
                    <w:t>废水</w:t>
                  </w:r>
                </w:p>
              </w:tc>
              <w:tc>
                <w:tcPr>
                  <w:tcW w:w="1262" w:type="pct"/>
                  <w:tcBorders>
                    <w:tl2br w:val="nil"/>
                    <w:tr2bl w:val="nil"/>
                  </w:tcBorders>
                  <w:vAlign w:val="center"/>
                </w:tcPr>
                <w:p w14:paraId="380CAC09">
                  <w:pPr>
                    <w:pStyle w:val="106"/>
                    <w:bidi w:val="0"/>
                    <w:rPr>
                      <w:rFonts w:hint="default" w:eastAsia="宋体"/>
                      <w:color w:val="auto"/>
                      <w:highlight w:val="none"/>
                      <w:lang w:val="en-US" w:eastAsia="zh-CN"/>
                    </w:rPr>
                  </w:pPr>
                  <w:r>
                    <w:rPr>
                      <w:rFonts w:hint="eastAsia"/>
                      <w:color w:val="auto"/>
                      <w:highlight w:val="none"/>
                    </w:rPr>
                    <w:t>生活污水</w:t>
                  </w:r>
                </w:p>
              </w:tc>
              <w:tc>
                <w:tcPr>
                  <w:tcW w:w="1107" w:type="pct"/>
                  <w:tcBorders>
                    <w:tl2br w:val="nil"/>
                    <w:tr2bl w:val="nil"/>
                  </w:tcBorders>
                  <w:vAlign w:val="center"/>
                </w:tcPr>
                <w:p w14:paraId="0461A828">
                  <w:pPr>
                    <w:pStyle w:val="106"/>
                    <w:bidi w:val="0"/>
                    <w:rPr>
                      <w:rFonts w:hint="eastAsia"/>
                      <w:color w:val="auto"/>
                      <w:highlight w:val="none"/>
                    </w:rPr>
                  </w:pPr>
                  <w:r>
                    <w:rPr>
                      <w:rFonts w:hint="eastAsia"/>
                      <w:color w:val="auto"/>
                      <w:highlight w:val="none"/>
                      <w:lang w:val="en-US" w:eastAsia="zh-CN"/>
                    </w:rPr>
                    <w:t>办公、生活</w:t>
                  </w:r>
                </w:p>
              </w:tc>
              <w:tc>
                <w:tcPr>
                  <w:tcW w:w="2204" w:type="pct"/>
                  <w:tcBorders>
                    <w:tl2br w:val="nil"/>
                    <w:tr2bl w:val="nil"/>
                  </w:tcBorders>
                  <w:vAlign w:val="center"/>
                </w:tcPr>
                <w:p w14:paraId="593097CE">
                  <w:pPr>
                    <w:pStyle w:val="106"/>
                    <w:bidi w:val="0"/>
                    <w:rPr>
                      <w:rFonts w:hint="default" w:eastAsia="宋体"/>
                      <w:color w:val="auto"/>
                      <w:highlight w:val="none"/>
                      <w:lang w:val="en-US" w:eastAsia="zh-CN"/>
                    </w:rPr>
                  </w:pPr>
                  <w:r>
                    <w:rPr>
                      <w:rFonts w:hint="eastAsia"/>
                      <w:color w:val="auto"/>
                      <w:highlight w:val="none"/>
                    </w:rPr>
                    <w:t>COD、BOD</w:t>
                  </w:r>
                  <w:r>
                    <w:rPr>
                      <w:rFonts w:hint="eastAsia"/>
                      <w:color w:val="auto"/>
                      <w:highlight w:val="none"/>
                      <w:vertAlign w:val="subscript"/>
                    </w:rPr>
                    <w:t>5</w:t>
                  </w:r>
                  <w:r>
                    <w:rPr>
                      <w:rFonts w:hint="eastAsia"/>
                      <w:color w:val="auto"/>
                      <w:highlight w:val="none"/>
                    </w:rPr>
                    <w:t>、SS、</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-N、TP</w:t>
                  </w:r>
                </w:p>
              </w:tc>
            </w:tr>
            <w:tr w14:paraId="7C1A0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34D13BC0">
                  <w:pPr>
                    <w:pStyle w:val="106"/>
                    <w:bidi w:val="0"/>
                    <w:rPr>
                      <w:color w:val="auto"/>
                      <w:highlight w:val="none"/>
                    </w:rPr>
                  </w:pPr>
                </w:p>
              </w:tc>
              <w:tc>
                <w:tcPr>
                  <w:tcW w:w="1262" w:type="pct"/>
                  <w:tcBorders>
                    <w:tl2br w:val="nil"/>
                    <w:tr2bl w:val="nil"/>
                  </w:tcBorders>
                  <w:vAlign w:val="center"/>
                </w:tcPr>
                <w:p w14:paraId="669565DE">
                  <w:pPr>
                    <w:pStyle w:val="106"/>
                    <w:bidi w:val="0"/>
                    <w:rPr>
                      <w:rFonts w:hint="default" w:eastAsia="宋体"/>
                      <w:color w:val="auto"/>
                      <w:highlight w:val="none"/>
                      <w:lang w:val="en-US" w:eastAsia="zh-CN"/>
                    </w:rPr>
                  </w:pPr>
                  <w:r>
                    <w:rPr>
                      <w:rFonts w:hint="eastAsia"/>
                      <w:color w:val="auto"/>
                      <w:highlight w:val="none"/>
                      <w:lang w:val="en-US" w:eastAsia="zh-CN"/>
                    </w:rPr>
                    <w:t>原料清洗废水</w:t>
                  </w:r>
                </w:p>
              </w:tc>
              <w:tc>
                <w:tcPr>
                  <w:tcW w:w="1107" w:type="pct"/>
                  <w:tcBorders>
                    <w:tl2br w:val="nil"/>
                    <w:tr2bl w:val="nil"/>
                  </w:tcBorders>
                  <w:vAlign w:val="center"/>
                </w:tcPr>
                <w:p w14:paraId="520B6BE3">
                  <w:pPr>
                    <w:pStyle w:val="106"/>
                    <w:bidi w:val="0"/>
                    <w:rPr>
                      <w:rFonts w:hint="default"/>
                      <w:color w:val="auto"/>
                      <w:highlight w:val="none"/>
                      <w:lang w:val="en-US" w:eastAsia="zh-CN"/>
                    </w:rPr>
                  </w:pPr>
                  <w:r>
                    <w:rPr>
                      <w:rFonts w:hint="eastAsia"/>
                      <w:color w:val="auto"/>
                      <w:highlight w:val="none"/>
                      <w:lang w:val="en-US" w:eastAsia="zh-CN"/>
                    </w:rPr>
                    <w:t>清洗</w:t>
                  </w:r>
                </w:p>
              </w:tc>
              <w:tc>
                <w:tcPr>
                  <w:tcW w:w="2204" w:type="pct"/>
                  <w:tcBorders>
                    <w:tl2br w:val="nil"/>
                    <w:tr2bl w:val="nil"/>
                  </w:tcBorders>
                  <w:vAlign w:val="center"/>
                </w:tcPr>
                <w:p w14:paraId="4E286BEF">
                  <w:pPr>
                    <w:pStyle w:val="106"/>
                    <w:bidi w:val="0"/>
                    <w:rPr>
                      <w:rFonts w:hint="default" w:eastAsia="宋体"/>
                      <w:color w:val="auto"/>
                      <w:highlight w:val="none"/>
                      <w:lang w:val="en-US" w:eastAsia="zh-CN"/>
                    </w:rPr>
                  </w:pPr>
                  <w:r>
                    <w:rPr>
                      <w:rFonts w:hint="eastAsia"/>
                      <w:color w:val="auto"/>
                      <w:highlight w:val="none"/>
                    </w:rPr>
                    <w:t>COD、BOD</w:t>
                  </w:r>
                  <w:r>
                    <w:rPr>
                      <w:rFonts w:hint="eastAsia"/>
                      <w:color w:val="auto"/>
                      <w:highlight w:val="none"/>
                      <w:vertAlign w:val="subscript"/>
                    </w:rPr>
                    <w:t>5</w:t>
                  </w:r>
                  <w:r>
                    <w:rPr>
                      <w:rFonts w:hint="eastAsia"/>
                      <w:color w:val="auto"/>
                      <w:highlight w:val="none"/>
                      <w:lang w:eastAsia="zh-CN"/>
                    </w:rPr>
                    <w:t>、</w:t>
                  </w:r>
                  <w:r>
                    <w:rPr>
                      <w:rFonts w:hint="eastAsia"/>
                      <w:color w:val="auto"/>
                      <w:highlight w:val="none"/>
                    </w:rPr>
                    <w:t>SS</w:t>
                  </w:r>
                  <w:r>
                    <w:rPr>
                      <w:rFonts w:hint="eastAsia"/>
                      <w:color w:val="auto"/>
                      <w:highlight w:val="none"/>
                      <w:lang w:eastAsia="zh-CN"/>
                    </w:rPr>
                    <w:t>、</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-N、TP</w:t>
                  </w:r>
                </w:p>
              </w:tc>
            </w:tr>
            <w:tr w14:paraId="4DEE6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7A93FE93">
                  <w:pPr>
                    <w:pStyle w:val="106"/>
                    <w:bidi w:val="0"/>
                    <w:rPr>
                      <w:color w:val="auto"/>
                      <w:highlight w:val="none"/>
                    </w:rPr>
                  </w:pPr>
                </w:p>
              </w:tc>
              <w:tc>
                <w:tcPr>
                  <w:tcW w:w="1262" w:type="pct"/>
                  <w:tcBorders>
                    <w:tl2br w:val="nil"/>
                    <w:tr2bl w:val="nil"/>
                  </w:tcBorders>
                  <w:shd w:val="clear" w:color="auto" w:fill="auto"/>
                  <w:vAlign w:val="center"/>
                </w:tcPr>
                <w:p w14:paraId="3352ED9C">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设备清洗废水</w:t>
                  </w:r>
                </w:p>
              </w:tc>
              <w:tc>
                <w:tcPr>
                  <w:tcW w:w="1107" w:type="pct"/>
                  <w:tcBorders>
                    <w:tl2br w:val="nil"/>
                    <w:tr2bl w:val="nil"/>
                  </w:tcBorders>
                  <w:shd w:val="clear" w:color="auto" w:fill="auto"/>
                  <w:vAlign w:val="center"/>
                </w:tcPr>
                <w:p w14:paraId="22FC0704">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w:t>
                  </w:r>
                </w:p>
              </w:tc>
              <w:tc>
                <w:tcPr>
                  <w:tcW w:w="2204" w:type="pct"/>
                  <w:tcBorders>
                    <w:tl2br w:val="nil"/>
                    <w:tr2bl w:val="nil"/>
                  </w:tcBorders>
                  <w:shd w:val="clear" w:color="auto" w:fill="auto"/>
                  <w:vAlign w:val="center"/>
                </w:tcPr>
                <w:p w14:paraId="2DF0D2FF">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COD、BOD</w:t>
                  </w:r>
                  <w:r>
                    <w:rPr>
                      <w:rFonts w:hint="eastAsia"/>
                      <w:color w:val="auto"/>
                      <w:highlight w:val="none"/>
                      <w:vertAlign w:val="subscript"/>
                    </w:rPr>
                    <w:t>5</w:t>
                  </w:r>
                  <w:r>
                    <w:rPr>
                      <w:rFonts w:hint="eastAsia"/>
                      <w:color w:val="auto"/>
                      <w:highlight w:val="none"/>
                      <w:lang w:eastAsia="zh-CN"/>
                    </w:rPr>
                    <w:t>、</w:t>
                  </w:r>
                  <w:r>
                    <w:rPr>
                      <w:rFonts w:hint="eastAsia"/>
                      <w:color w:val="auto"/>
                      <w:highlight w:val="none"/>
                    </w:rPr>
                    <w:t>SS</w:t>
                  </w:r>
                  <w:r>
                    <w:rPr>
                      <w:rFonts w:hint="eastAsia"/>
                      <w:color w:val="auto"/>
                      <w:highlight w:val="none"/>
                      <w:lang w:eastAsia="zh-CN"/>
                    </w:rPr>
                    <w:t>、</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-N、TP</w:t>
                  </w:r>
                  <w:r>
                    <w:rPr>
                      <w:rFonts w:hint="eastAsia"/>
                      <w:color w:val="auto"/>
                      <w:highlight w:val="none"/>
                      <w:lang w:eastAsia="zh-CN"/>
                    </w:rPr>
                    <w:t>、</w:t>
                  </w:r>
                  <w:r>
                    <w:rPr>
                      <w:rFonts w:hint="eastAsia"/>
                      <w:color w:val="auto"/>
                      <w:highlight w:val="none"/>
                      <w:lang w:val="en-US" w:eastAsia="zh-CN"/>
                    </w:rPr>
                    <w:t>动植物油</w:t>
                  </w:r>
                </w:p>
              </w:tc>
            </w:tr>
            <w:tr w14:paraId="03F35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1A72A378">
                  <w:pPr>
                    <w:pStyle w:val="106"/>
                    <w:bidi w:val="0"/>
                    <w:rPr>
                      <w:color w:val="auto"/>
                      <w:highlight w:val="none"/>
                    </w:rPr>
                  </w:pPr>
                </w:p>
              </w:tc>
              <w:tc>
                <w:tcPr>
                  <w:tcW w:w="1262" w:type="pct"/>
                  <w:tcBorders>
                    <w:tl2br w:val="nil"/>
                    <w:tr2bl w:val="nil"/>
                  </w:tcBorders>
                  <w:vAlign w:val="center"/>
                </w:tcPr>
                <w:p w14:paraId="6B6F40FA">
                  <w:pPr>
                    <w:pStyle w:val="106"/>
                    <w:bidi w:val="0"/>
                    <w:rPr>
                      <w:rFonts w:hint="default"/>
                      <w:color w:val="auto"/>
                      <w:highlight w:val="none"/>
                      <w:lang w:val="en-US" w:eastAsia="zh-CN"/>
                    </w:rPr>
                  </w:pPr>
                  <w:r>
                    <w:rPr>
                      <w:rFonts w:hint="eastAsia"/>
                      <w:color w:val="auto"/>
                      <w:highlight w:val="none"/>
                      <w:lang w:val="en-US" w:eastAsia="zh-CN"/>
                    </w:rPr>
                    <w:t>漂烫废水</w:t>
                  </w:r>
                </w:p>
              </w:tc>
              <w:tc>
                <w:tcPr>
                  <w:tcW w:w="1107" w:type="pct"/>
                  <w:tcBorders>
                    <w:tl2br w:val="nil"/>
                    <w:tr2bl w:val="nil"/>
                  </w:tcBorders>
                  <w:vAlign w:val="center"/>
                </w:tcPr>
                <w:p w14:paraId="525B4D4F">
                  <w:pPr>
                    <w:pStyle w:val="106"/>
                    <w:bidi w:val="0"/>
                    <w:rPr>
                      <w:rFonts w:hint="default"/>
                      <w:color w:val="auto"/>
                      <w:highlight w:val="none"/>
                      <w:lang w:val="en-US" w:eastAsia="zh-CN"/>
                    </w:rPr>
                  </w:pPr>
                  <w:r>
                    <w:rPr>
                      <w:rFonts w:hint="eastAsia"/>
                      <w:color w:val="auto"/>
                      <w:highlight w:val="none"/>
                      <w:lang w:val="en-US" w:eastAsia="zh-CN"/>
                    </w:rPr>
                    <w:t>漂烫</w:t>
                  </w:r>
                </w:p>
              </w:tc>
              <w:tc>
                <w:tcPr>
                  <w:tcW w:w="2204" w:type="pct"/>
                  <w:tcBorders>
                    <w:tl2br w:val="nil"/>
                    <w:tr2bl w:val="nil"/>
                  </w:tcBorders>
                  <w:vAlign w:val="center"/>
                </w:tcPr>
                <w:p w14:paraId="1BE0C880">
                  <w:pPr>
                    <w:pStyle w:val="106"/>
                    <w:bidi w:val="0"/>
                    <w:rPr>
                      <w:rFonts w:hint="default" w:eastAsia="宋体"/>
                      <w:color w:val="auto"/>
                      <w:highlight w:val="none"/>
                      <w:lang w:val="en-US" w:eastAsia="zh-CN"/>
                    </w:rPr>
                  </w:pPr>
                  <w:r>
                    <w:rPr>
                      <w:rFonts w:hint="eastAsia"/>
                      <w:color w:val="auto"/>
                      <w:highlight w:val="none"/>
                    </w:rPr>
                    <w:t>COD</w:t>
                  </w:r>
                  <w:r>
                    <w:rPr>
                      <w:rFonts w:hint="eastAsia"/>
                      <w:color w:val="auto"/>
                      <w:highlight w:val="none"/>
                      <w:lang w:eastAsia="zh-CN"/>
                    </w:rPr>
                    <w:t>、</w:t>
                  </w:r>
                  <w:r>
                    <w:rPr>
                      <w:rFonts w:hint="eastAsia"/>
                      <w:color w:val="auto"/>
                      <w:highlight w:val="none"/>
                    </w:rPr>
                    <w:t>BOD</w:t>
                  </w:r>
                  <w:r>
                    <w:rPr>
                      <w:rFonts w:hint="eastAsia"/>
                      <w:color w:val="auto"/>
                      <w:highlight w:val="none"/>
                      <w:vertAlign w:val="subscript"/>
                    </w:rPr>
                    <w:t>5</w:t>
                  </w:r>
                  <w:r>
                    <w:rPr>
                      <w:rFonts w:hint="eastAsia"/>
                      <w:color w:val="auto"/>
                      <w:highlight w:val="none"/>
                    </w:rPr>
                    <w:t>、SS</w:t>
                  </w:r>
                  <w:r>
                    <w:rPr>
                      <w:rFonts w:hint="eastAsia"/>
                      <w:color w:val="auto"/>
                      <w:highlight w:val="none"/>
                      <w:lang w:eastAsia="zh-CN"/>
                    </w:rPr>
                    <w:t>、</w:t>
                  </w:r>
                  <w:r>
                    <w:rPr>
                      <w:rFonts w:hint="eastAsia"/>
                      <w:color w:val="auto"/>
                      <w:highlight w:val="none"/>
                      <w:lang w:val="en-US" w:eastAsia="zh-CN"/>
                    </w:rPr>
                    <w:t>pH</w:t>
                  </w:r>
                </w:p>
              </w:tc>
            </w:tr>
            <w:tr w14:paraId="762FC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58B87041">
                  <w:pPr>
                    <w:pStyle w:val="106"/>
                    <w:bidi w:val="0"/>
                    <w:rPr>
                      <w:color w:val="auto"/>
                      <w:highlight w:val="none"/>
                    </w:rPr>
                  </w:pPr>
                </w:p>
              </w:tc>
              <w:tc>
                <w:tcPr>
                  <w:tcW w:w="1262" w:type="pct"/>
                  <w:tcBorders>
                    <w:tl2br w:val="nil"/>
                    <w:tr2bl w:val="nil"/>
                  </w:tcBorders>
                  <w:shd w:val="clear" w:color="auto" w:fill="auto"/>
                  <w:vAlign w:val="center"/>
                </w:tcPr>
                <w:p w14:paraId="54480967">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猪肉解冻废水</w:t>
                  </w:r>
                </w:p>
              </w:tc>
              <w:tc>
                <w:tcPr>
                  <w:tcW w:w="1107" w:type="pct"/>
                  <w:tcBorders>
                    <w:tl2br w:val="nil"/>
                    <w:tr2bl w:val="nil"/>
                  </w:tcBorders>
                  <w:shd w:val="clear" w:color="auto" w:fill="auto"/>
                  <w:vAlign w:val="center"/>
                </w:tcPr>
                <w:p w14:paraId="4B379594">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解冻</w:t>
                  </w:r>
                </w:p>
              </w:tc>
              <w:tc>
                <w:tcPr>
                  <w:tcW w:w="2204" w:type="pct"/>
                  <w:tcBorders>
                    <w:tl2br w:val="nil"/>
                    <w:tr2bl w:val="nil"/>
                  </w:tcBorders>
                  <w:shd w:val="clear" w:color="auto" w:fill="auto"/>
                  <w:vAlign w:val="center"/>
                </w:tcPr>
                <w:p w14:paraId="3F58AA99">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COD、BOD</w:t>
                  </w:r>
                  <w:r>
                    <w:rPr>
                      <w:rFonts w:hint="eastAsia"/>
                      <w:color w:val="auto"/>
                      <w:highlight w:val="none"/>
                      <w:vertAlign w:val="subscript"/>
                    </w:rPr>
                    <w:t>5</w:t>
                  </w:r>
                  <w:r>
                    <w:rPr>
                      <w:rFonts w:hint="eastAsia"/>
                      <w:color w:val="auto"/>
                      <w:highlight w:val="none"/>
                      <w:lang w:eastAsia="zh-CN"/>
                    </w:rPr>
                    <w:t>、</w:t>
                  </w:r>
                  <w:r>
                    <w:rPr>
                      <w:rFonts w:hint="eastAsia"/>
                      <w:color w:val="auto"/>
                      <w:highlight w:val="none"/>
                    </w:rPr>
                    <w:t>SS</w:t>
                  </w:r>
                  <w:r>
                    <w:rPr>
                      <w:rFonts w:hint="eastAsia"/>
                      <w:color w:val="auto"/>
                      <w:highlight w:val="none"/>
                      <w:lang w:eastAsia="zh-CN"/>
                    </w:rPr>
                    <w:t>、</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-N、动植物油</w:t>
                  </w:r>
                </w:p>
              </w:tc>
            </w:tr>
            <w:tr w14:paraId="6BD67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65202EDA">
                  <w:pPr>
                    <w:pStyle w:val="106"/>
                    <w:bidi w:val="0"/>
                    <w:rPr>
                      <w:color w:val="auto"/>
                      <w:highlight w:val="none"/>
                    </w:rPr>
                  </w:pPr>
                </w:p>
              </w:tc>
              <w:tc>
                <w:tcPr>
                  <w:tcW w:w="1262" w:type="pct"/>
                  <w:tcBorders>
                    <w:tl2br w:val="nil"/>
                    <w:tr2bl w:val="nil"/>
                  </w:tcBorders>
                  <w:shd w:val="clear" w:color="auto" w:fill="auto"/>
                  <w:vAlign w:val="center"/>
                </w:tcPr>
                <w:p w14:paraId="363ADAED">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空罐及实罐清洗废水</w:t>
                  </w:r>
                </w:p>
              </w:tc>
              <w:tc>
                <w:tcPr>
                  <w:tcW w:w="1107" w:type="pct"/>
                  <w:tcBorders>
                    <w:tl2br w:val="nil"/>
                    <w:tr2bl w:val="nil"/>
                  </w:tcBorders>
                  <w:shd w:val="clear" w:color="auto" w:fill="auto"/>
                  <w:vAlign w:val="center"/>
                </w:tcPr>
                <w:p w14:paraId="2AD549CA">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空罐清洗、实罐清洗</w:t>
                  </w:r>
                </w:p>
              </w:tc>
              <w:tc>
                <w:tcPr>
                  <w:tcW w:w="2204" w:type="pct"/>
                  <w:tcBorders>
                    <w:tl2br w:val="nil"/>
                    <w:tr2bl w:val="nil"/>
                  </w:tcBorders>
                  <w:shd w:val="clear" w:color="auto" w:fill="auto"/>
                  <w:vAlign w:val="center"/>
                </w:tcPr>
                <w:p w14:paraId="55E13E56">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COD、BOD</w:t>
                  </w:r>
                  <w:r>
                    <w:rPr>
                      <w:rFonts w:hint="eastAsia"/>
                      <w:color w:val="auto"/>
                      <w:highlight w:val="none"/>
                      <w:vertAlign w:val="subscript"/>
                    </w:rPr>
                    <w:t>5</w:t>
                  </w:r>
                  <w:r>
                    <w:rPr>
                      <w:rFonts w:hint="eastAsia"/>
                      <w:color w:val="auto"/>
                      <w:highlight w:val="none"/>
                      <w:lang w:eastAsia="zh-CN"/>
                    </w:rPr>
                    <w:t>、</w:t>
                  </w:r>
                  <w:r>
                    <w:rPr>
                      <w:rFonts w:hint="eastAsia"/>
                      <w:color w:val="auto"/>
                      <w:highlight w:val="none"/>
                      <w:lang w:val="en-US" w:eastAsia="zh-CN"/>
                    </w:rPr>
                    <w:t>动植物油</w:t>
                  </w:r>
                </w:p>
              </w:tc>
            </w:tr>
            <w:tr w14:paraId="4F024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6A6B2F09">
                  <w:pPr>
                    <w:pStyle w:val="106"/>
                    <w:bidi w:val="0"/>
                    <w:rPr>
                      <w:color w:val="auto"/>
                      <w:highlight w:val="none"/>
                    </w:rPr>
                  </w:pPr>
                </w:p>
              </w:tc>
              <w:tc>
                <w:tcPr>
                  <w:tcW w:w="1262" w:type="pct"/>
                  <w:tcBorders>
                    <w:tl2br w:val="nil"/>
                    <w:tr2bl w:val="nil"/>
                  </w:tcBorders>
                  <w:shd w:val="clear" w:color="auto" w:fill="auto"/>
                  <w:vAlign w:val="center"/>
                </w:tcPr>
                <w:p w14:paraId="449B055D">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蒸汽发生器废水</w:t>
                  </w:r>
                </w:p>
              </w:tc>
              <w:tc>
                <w:tcPr>
                  <w:tcW w:w="1107" w:type="pct"/>
                  <w:tcBorders>
                    <w:tl2br w:val="nil"/>
                    <w:tr2bl w:val="nil"/>
                  </w:tcBorders>
                  <w:shd w:val="clear" w:color="auto" w:fill="auto"/>
                  <w:vAlign w:val="center"/>
                </w:tcPr>
                <w:p w14:paraId="1D9FBD86">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蒸汽制备</w:t>
                  </w:r>
                </w:p>
              </w:tc>
              <w:tc>
                <w:tcPr>
                  <w:tcW w:w="2204" w:type="pct"/>
                  <w:tcBorders>
                    <w:tl2br w:val="nil"/>
                    <w:tr2bl w:val="nil"/>
                  </w:tcBorders>
                  <w:shd w:val="clear" w:color="auto" w:fill="auto"/>
                  <w:vAlign w:val="center"/>
                </w:tcPr>
                <w:p w14:paraId="5D15B1F3">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COD、BOD</w:t>
                  </w:r>
                  <w:r>
                    <w:rPr>
                      <w:rFonts w:hint="eastAsia"/>
                      <w:color w:val="auto"/>
                      <w:highlight w:val="none"/>
                      <w:vertAlign w:val="subscript"/>
                    </w:rPr>
                    <w:t>5</w:t>
                  </w:r>
                  <w:r>
                    <w:rPr>
                      <w:rFonts w:hint="eastAsia"/>
                      <w:color w:val="auto"/>
                      <w:highlight w:val="none"/>
                    </w:rPr>
                    <w:t>、SS</w:t>
                  </w:r>
                  <w:r>
                    <w:rPr>
                      <w:rFonts w:hint="eastAsia"/>
                      <w:color w:val="auto"/>
                      <w:highlight w:val="none"/>
                      <w:lang w:eastAsia="zh-CN"/>
                    </w:rPr>
                    <w:t>、</w:t>
                  </w:r>
                  <w:r>
                    <w:rPr>
                      <w:rFonts w:hint="eastAsia"/>
                      <w:color w:val="auto"/>
                      <w:highlight w:val="none"/>
                      <w:lang w:val="en-US" w:eastAsia="zh-CN"/>
                    </w:rPr>
                    <w:t>pH</w:t>
                  </w:r>
                </w:p>
              </w:tc>
            </w:tr>
            <w:tr w14:paraId="2EB20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0831D29A">
                  <w:pPr>
                    <w:pStyle w:val="106"/>
                    <w:bidi w:val="0"/>
                    <w:rPr>
                      <w:color w:val="auto"/>
                      <w:highlight w:val="none"/>
                    </w:rPr>
                  </w:pPr>
                </w:p>
              </w:tc>
              <w:tc>
                <w:tcPr>
                  <w:tcW w:w="1262" w:type="pct"/>
                  <w:tcBorders>
                    <w:tl2br w:val="nil"/>
                    <w:tr2bl w:val="nil"/>
                  </w:tcBorders>
                  <w:shd w:val="clear" w:color="auto" w:fill="auto"/>
                  <w:vAlign w:val="center"/>
                </w:tcPr>
                <w:p w14:paraId="08D9D48C">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地面清洗废水</w:t>
                  </w:r>
                </w:p>
              </w:tc>
              <w:tc>
                <w:tcPr>
                  <w:tcW w:w="1107" w:type="pct"/>
                  <w:tcBorders>
                    <w:tl2br w:val="nil"/>
                    <w:tr2bl w:val="nil"/>
                  </w:tcBorders>
                  <w:shd w:val="clear" w:color="auto" w:fill="auto"/>
                  <w:vAlign w:val="center"/>
                </w:tcPr>
                <w:p w14:paraId="6C92C46A">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地面清洁</w:t>
                  </w:r>
                </w:p>
              </w:tc>
              <w:tc>
                <w:tcPr>
                  <w:tcW w:w="2204" w:type="pct"/>
                  <w:tcBorders>
                    <w:tl2br w:val="nil"/>
                    <w:tr2bl w:val="nil"/>
                  </w:tcBorders>
                  <w:shd w:val="clear" w:color="auto" w:fill="auto"/>
                  <w:vAlign w:val="center"/>
                </w:tcPr>
                <w:p w14:paraId="6FFF45FC">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COD、BOD</w:t>
                  </w:r>
                  <w:r>
                    <w:rPr>
                      <w:rFonts w:hint="eastAsia"/>
                      <w:color w:val="auto"/>
                      <w:highlight w:val="none"/>
                      <w:vertAlign w:val="subscript"/>
                    </w:rPr>
                    <w:t>5</w:t>
                  </w:r>
                  <w:r>
                    <w:rPr>
                      <w:rFonts w:hint="eastAsia"/>
                      <w:color w:val="auto"/>
                      <w:highlight w:val="none"/>
                      <w:lang w:eastAsia="zh-CN"/>
                    </w:rPr>
                    <w:t>、</w:t>
                  </w:r>
                  <w:r>
                    <w:rPr>
                      <w:rFonts w:hint="eastAsia"/>
                      <w:color w:val="auto"/>
                      <w:highlight w:val="none"/>
                    </w:rPr>
                    <w:t>SS</w:t>
                  </w:r>
                </w:p>
              </w:tc>
            </w:tr>
            <w:tr w14:paraId="4D9EA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5D21330E">
                  <w:pPr>
                    <w:pStyle w:val="106"/>
                    <w:bidi w:val="0"/>
                    <w:rPr>
                      <w:color w:val="auto"/>
                      <w:highlight w:val="none"/>
                    </w:rPr>
                  </w:pPr>
                </w:p>
              </w:tc>
              <w:tc>
                <w:tcPr>
                  <w:tcW w:w="1262" w:type="pct"/>
                  <w:tcBorders>
                    <w:tl2br w:val="nil"/>
                    <w:tr2bl w:val="nil"/>
                  </w:tcBorders>
                  <w:vAlign w:val="center"/>
                </w:tcPr>
                <w:p w14:paraId="207EEEF8">
                  <w:pPr>
                    <w:pStyle w:val="106"/>
                    <w:bidi w:val="0"/>
                    <w:rPr>
                      <w:rFonts w:hint="default"/>
                      <w:color w:val="auto"/>
                      <w:highlight w:val="none"/>
                      <w:lang w:val="en-US" w:eastAsia="zh-CN"/>
                    </w:rPr>
                  </w:pPr>
                  <w:r>
                    <w:rPr>
                      <w:rFonts w:hint="eastAsia"/>
                      <w:color w:val="auto"/>
                      <w:highlight w:val="none"/>
                      <w:lang w:val="en-US" w:eastAsia="zh-CN"/>
                    </w:rPr>
                    <w:t>实验器皿清洗废水</w:t>
                  </w:r>
                </w:p>
              </w:tc>
              <w:tc>
                <w:tcPr>
                  <w:tcW w:w="1107" w:type="pct"/>
                  <w:tcBorders>
                    <w:tl2br w:val="nil"/>
                    <w:tr2bl w:val="nil"/>
                  </w:tcBorders>
                  <w:vAlign w:val="center"/>
                </w:tcPr>
                <w:p w14:paraId="417016DB">
                  <w:pPr>
                    <w:pStyle w:val="106"/>
                    <w:bidi w:val="0"/>
                    <w:rPr>
                      <w:rFonts w:hint="default"/>
                      <w:color w:val="auto"/>
                      <w:highlight w:val="none"/>
                      <w:lang w:val="en-US" w:eastAsia="zh-CN"/>
                    </w:rPr>
                  </w:pPr>
                  <w:r>
                    <w:rPr>
                      <w:rFonts w:hint="eastAsia"/>
                      <w:color w:val="auto"/>
                      <w:highlight w:val="none"/>
                      <w:lang w:val="en-US" w:eastAsia="zh-CN"/>
                    </w:rPr>
                    <w:t>质检</w:t>
                  </w:r>
                </w:p>
              </w:tc>
              <w:tc>
                <w:tcPr>
                  <w:tcW w:w="2204" w:type="pct"/>
                  <w:tcBorders>
                    <w:tl2br w:val="nil"/>
                    <w:tr2bl w:val="nil"/>
                  </w:tcBorders>
                  <w:vAlign w:val="center"/>
                </w:tcPr>
                <w:p w14:paraId="182DE705">
                  <w:pPr>
                    <w:pStyle w:val="106"/>
                    <w:bidi w:val="0"/>
                    <w:rPr>
                      <w:rFonts w:hint="eastAsia"/>
                      <w:color w:val="auto"/>
                      <w:highlight w:val="none"/>
                    </w:rPr>
                  </w:pPr>
                  <w:r>
                    <w:rPr>
                      <w:rFonts w:hint="eastAsia"/>
                      <w:color w:val="auto"/>
                      <w:highlight w:val="none"/>
                    </w:rPr>
                    <w:t>COD、BOD</w:t>
                  </w:r>
                  <w:r>
                    <w:rPr>
                      <w:rFonts w:hint="eastAsia"/>
                      <w:color w:val="auto"/>
                      <w:highlight w:val="none"/>
                      <w:vertAlign w:val="subscript"/>
                    </w:rPr>
                    <w:t>5</w:t>
                  </w:r>
                  <w:r>
                    <w:rPr>
                      <w:rFonts w:hint="eastAsia"/>
                      <w:color w:val="auto"/>
                      <w:highlight w:val="none"/>
                      <w:lang w:eastAsia="zh-CN"/>
                    </w:rPr>
                    <w:t>、</w:t>
                  </w:r>
                  <w:r>
                    <w:rPr>
                      <w:rFonts w:hint="eastAsia"/>
                      <w:color w:val="auto"/>
                      <w:highlight w:val="none"/>
                    </w:rPr>
                    <w:t>SS</w:t>
                  </w:r>
                </w:p>
              </w:tc>
            </w:tr>
            <w:tr w14:paraId="64132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pct"/>
                  <w:tcBorders>
                    <w:tl2br w:val="nil"/>
                    <w:tr2bl w:val="nil"/>
                  </w:tcBorders>
                  <w:vAlign w:val="center"/>
                </w:tcPr>
                <w:p w14:paraId="007B14AF">
                  <w:pPr>
                    <w:pStyle w:val="106"/>
                    <w:bidi w:val="0"/>
                    <w:rPr>
                      <w:color w:val="auto"/>
                      <w:highlight w:val="none"/>
                    </w:rPr>
                  </w:pPr>
                  <w:r>
                    <w:rPr>
                      <w:color w:val="auto"/>
                      <w:highlight w:val="none"/>
                    </w:rPr>
                    <w:t>噪声</w:t>
                  </w:r>
                </w:p>
              </w:tc>
              <w:tc>
                <w:tcPr>
                  <w:tcW w:w="1262" w:type="pct"/>
                  <w:tcBorders>
                    <w:tl2br w:val="nil"/>
                    <w:tr2bl w:val="nil"/>
                  </w:tcBorders>
                  <w:vAlign w:val="center"/>
                </w:tcPr>
                <w:p w14:paraId="6BB31B47">
                  <w:pPr>
                    <w:pStyle w:val="106"/>
                    <w:bidi w:val="0"/>
                    <w:rPr>
                      <w:color w:val="auto"/>
                      <w:highlight w:val="none"/>
                    </w:rPr>
                  </w:pPr>
                  <w:r>
                    <w:rPr>
                      <w:color w:val="auto"/>
                      <w:highlight w:val="none"/>
                    </w:rPr>
                    <w:t>设备噪声</w:t>
                  </w:r>
                </w:p>
              </w:tc>
              <w:tc>
                <w:tcPr>
                  <w:tcW w:w="1107" w:type="pct"/>
                  <w:tcBorders>
                    <w:tl2br w:val="nil"/>
                    <w:tr2bl w:val="nil"/>
                  </w:tcBorders>
                  <w:vAlign w:val="center"/>
                </w:tcPr>
                <w:p w14:paraId="35E4E4F5">
                  <w:pPr>
                    <w:pStyle w:val="106"/>
                    <w:bidi w:val="0"/>
                    <w:rPr>
                      <w:color w:val="auto"/>
                      <w:highlight w:val="none"/>
                    </w:rPr>
                  </w:pPr>
                  <w:r>
                    <w:rPr>
                      <w:rFonts w:hint="eastAsia"/>
                      <w:color w:val="auto"/>
                      <w:highlight w:val="none"/>
                    </w:rPr>
                    <w:t>生产设备</w:t>
                  </w:r>
                </w:p>
              </w:tc>
              <w:tc>
                <w:tcPr>
                  <w:tcW w:w="2204" w:type="pct"/>
                  <w:tcBorders>
                    <w:tl2br w:val="nil"/>
                    <w:tr2bl w:val="nil"/>
                  </w:tcBorders>
                  <w:vAlign w:val="center"/>
                </w:tcPr>
                <w:p w14:paraId="512A6FE3">
                  <w:pPr>
                    <w:pStyle w:val="106"/>
                    <w:bidi w:val="0"/>
                    <w:rPr>
                      <w:color w:val="auto"/>
                      <w:highlight w:val="none"/>
                    </w:rPr>
                  </w:pPr>
                  <w:r>
                    <w:rPr>
                      <w:color w:val="auto"/>
                      <w:highlight w:val="none"/>
                    </w:rPr>
                    <w:t>等效连续A声级</w:t>
                  </w:r>
                </w:p>
              </w:tc>
            </w:tr>
            <w:tr w14:paraId="39386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restart"/>
                  <w:tcBorders>
                    <w:tl2br w:val="nil"/>
                    <w:tr2bl w:val="nil"/>
                  </w:tcBorders>
                  <w:vAlign w:val="center"/>
                </w:tcPr>
                <w:p w14:paraId="4DE75F90">
                  <w:pPr>
                    <w:pStyle w:val="106"/>
                    <w:bidi w:val="0"/>
                    <w:rPr>
                      <w:color w:val="auto"/>
                      <w:highlight w:val="none"/>
                    </w:rPr>
                  </w:pPr>
                  <w:r>
                    <w:rPr>
                      <w:color w:val="auto"/>
                      <w:highlight w:val="none"/>
                    </w:rPr>
                    <w:t>固体废物</w:t>
                  </w:r>
                </w:p>
              </w:tc>
              <w:tc>
                <w:tcPr>
                  <w:tcW w:w="1262" w:type="pct"/>
                  <w:tcBorders>
                    <w:tl2br w:val="nil"/>
                    <w:tr2bl w:val="nil"/>
                  </w:tcBorders>
                  <w:vAlign w:val="center"/>
                </w:tcPr>
                <w:p w14:paraId="6E34082B">
                  <w:pPr>
                    <w:pStyle w:val="106"/>
                    <w:bidi w:val="0"/>
                    <w:rPr>
                      <w:rFonts w:hint="default" w:eastAsia="宋体"/>
                      <w:color w:val="auto"/>
                      <w:highlight w:val="none"/>
                      <w:lang w:val="en-US" w:eastAsia="zh-CN"/>
                    </w:rPr>
                  </w:pPr>
                  <w:r>
                    <w:rPr>
                      <w:rFonts w:hint="eastAsia"/>
                      <w:color w:val="auto"/>
                      <w:highlight w:val="none"/>
                      <w:lang w:val="en-US" w:eastAsia="zh-CN"/>
                    </w:rPr>
                    <w:t>不合格原料</w:t>
                  </w:r>
                </w:p>
              </w:tc>
              <w:tc>
                <w:tcPr>
                  <w:tcW w:w="1107" w:type="pct"/>
                  <w:tcBorders>
                    <w:tl2br w:val="nil"/>
                    <w:tr2bl w:val="nil"/>
                  </w:tcBorders>
                  <w:vAlign w:val="center"/>
                </w:tcPr>
                <w:p w14:paraId="49DE3A71">
                  <w:pPr>
                    <w:pStyle w:val="106"/>
                    <w:bidi w:val="0"/>
                    <w:rPr>
                      <w:rFonts w:hint="default"/>
                      <w:color w:val="auto"/>
                      <w:highlight w:val="none"/>
                      <w:lang w:val="en-US" w:eastAsia="zh-CN"/>
                    </w:rPr>
                  </w:pPr>
                  <w:r>
                    <w:rPr>
                      <w:rFonts w:hint="eastAsia"/>
                      <w:color w:val="auto"/>
                      <w:highlight w:val="none"/>
                      <w:lang w:val="en-US" w:eastAsia="zh-CN"/>
                    </w:rPr>
                    <w:t>原料挑选、原料检验</w:t>
                  </w:r>
                </w:p>
              </w:tc>
              <w:tc>
                <w:tcPr>
                  <w:tcW w:w="2204" w:type="pct"/>
                  <w:tcBorders>
                    <w:tl2br w:val="nil"/>
                    <w:tr2bl w:val="nil"/>
                  </w:tcBorders>
                  <w:vAlign w:val="center"/>
                </w:tcPr>
                <w:p w14:paraId="5D2A4225">
                  <w:pPr>
                    <w:pStyle w:val="106"/>
                    <w:bidi w:val="0"/>
                    <w:rPr>
                      <w:color w:val="auto"/>
                      <w:highlight w:val="none"/>
                    </w:rPr>
                  </w:pPr>
                  <w:r>
                    <w:rPr>
                      <w:color w:val="auto"/>
                      <w:highlight w:val="none"/>
                    </w:rPr>
                    <w:t>一般</w:t>
                  </w:r>
                  <w:r>
                    <w:rPr>
                      <w:rFonts w:hint="eastAsia"/>
                      <w:color w:val="auto"/>
                      <w:highlight w:val="none"/>
                    </w:rPr>
                    <w:t>固体</w:t>
                  </w:r>
                  <w:r>
                    <w:rPr>
                      <w:color w:val="auto"/>
                      <w:highlight w:val="none"/>
                    </w:rPr>
                    <w:t>废物</w:t>
                  </w:r>
                </w:p>
              </w:tc>
            </w:tr>
            <w:tr w14:paraId="346E0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0AB8F249">
                  <w:pPr>
                    <w:pStyle w:val="106"/>
                    <w:bidi w:val="0"/>
                    <w:rPr>
                      <w:color w:val="auto"/>
                      <w:highlight w:val="none"/>
                    </w:rPr>
                  </w:pPr>
                </w:p>
              </w:tc>
              <w:tc>
                <w:tcPr>
                  <w:tcW w:w="1262" w:type="pct"/>
                  <w:tcBorders>
                    <w:tl2br w:val="nil"/>
                    <w:tr2bl w:val="nil"/>
                  </w:tcBorders>
                  <w:vAlign w:val="center"/>
                </w:tcPr>
                <w:p w14:paraId="78B5E2FD">
                  <w:pPr>
                    <w:pStyle w:val="106"/>
                    <w:bidi w:val="0"/>
                    <w:rPr>
                      <w:rFonts w:hint="default" w:eastAsia="宋体"/>
                      <w:color w:val="auto"/>
                      <w:highlight w:val="none"/>
                      <w:lang w:val="en-US" w:eastAsia="zh-CN"/>
                    </w:rPr>
                  </w:pPr>
                  <w:r>
                    <w:rPr>
                      <w:rFonts w:hint="eastAsia"/>
                      <w:color w:val="auto"/>
                      <w:highlight w:val="none"/>
                      <w:lang w:val="en-US" w:eastAsia="zh-CN"/>
                    </w:rPr>
                    <w:t>原料皮核</w:t>
                  </w:r>
                </w:p>
              </w:tc>
              <w:tc>
                <w:tcPr>
                  <w:tcW w:w="1107" w:type="pct"/>
                  <w:tcBorders>
                    <w:tl2br w:val="nil"/>
                    <w:tr2bl w:val="nil"/>
                  </w:tcBorders>
                  <w:vAlign w:val="center"/>
                </w:tcPr>
                <w:p w14:paraId="33C27696">
                  <w:pPr>
                    <w:pStyle w:val="106"/>
                    <w:bidi w:val="0"/>
                    <w:rPr>
                      <w:rFonts w:hint="default"/>
                      <w:color w:val="auto"/>
                      <w:highlight w:val="none"/>
                      <w:lang w:val="en-US" w:eastAsia="zh-CN"/>
                    </w:rPr>
                  </w:pPr>
                  <w:r>
                    <w:rPr>
                      <w:rFonts w:hint="eastAsia"/>
                      <w:color w:val="auto"/>
                      <w:highlight w:val="none"/>
                      <w:lang w:val="en-US" w:eastAsia="zh-CN"/>
                    </w:rPr>
                    <w:t>去皮核</w:t>
                  </w:r>
                </w:p>
              </w:tc>
              <w:tc>
                <w:tcPr>
                  <w:tcW w:w="2204" w:type="pct"/>
                  <w:tcBorders>
                    <w:tl2br w:val="nil"/>
                    <w:tr2bl w:val="nil"/>
                  </w:tcBorders>
                </w:tcPr>
                <w:p w14:paraId="74D1EC95">
                  <w:pPr>
                    <w:pStyle w:val="106"/>
                    <w:bidi w:val="0"/>
                    <w:rPr>
                      <w:color w:val="auto"/>
                      <w:highlight w:val="none"/>
                    </w:rPr>
                  </w:pPr>
                  <w:r>
                    <w:rPr>
                      <w:color w:val="auto"/>
                      <w:highlight w:val="none"/>
                    </w:rPr>
                    <w:t>一般</w:t>
                  </w:r>
                  <w:r>
                    <w:rPr>
                      <w:rFonts w:hint="eastAsia"/>
                      <w:color w:val="auto"/>
                      <w:highlight w:val="none"/>
                    </w:rPr>
                    <w:t>固体</w:t>
                  </w:r>
                  <w:r>
                    <w:rPr>
                      <w:color w:val="auto"/>
                      <w:highlight w:val="none"/>
                    </w:rPr>
                    <w:t>废物</w:t>
                  </w:r>
                </w:p>
              </w:tc>
            </w:tr>
            <w:tr w14:paraId="1036B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426" w:type="pct"/>
                  <w:vMerge w:val="continue"/>
                  <w:tcBorders>
                    <w:tl2br w:val="nil"/>
                    <w:tr2bl w:val="nil"/>
                  </w:tcBorders>
                  <w:vAlign w:val="center"/>
                </w:tcPr>
                <w:p w14:paraId="3A4DB10B">
                  <w:pPr>
                    <w:pStyle w:val="106"/>
                    <w:bidi w:val="0"/>
                    <w:rPr>
                      <w:color w:val="auto"/>
                      <w:highlight w:val="none"/>
                    </w:rPr>
                  </w:pPr>
                </w:p>
              </w:tc>
              <w:tc>
                <w:tcPr>
                  <w:tcW w:w="1262" w:type="pct"/>
                  <w:tcBorders>
                    <w:tl2br w:val="nil"/>
                    <w:tr2bl w:val="nil"/>
                  </w:tcBorders>
                  <w:vAlign w:val="center"/>
                </w:tcPr>
                <w:p w14:paraId="150BD277">
                  <w:pPr>
                    <w:pStyle w:val="106"/>
                    <w:bidi w:val="0"/>
                    <w:rPr>
                      <w:rFonts w:hint="default"/>
                      <w:color w:val="auto"/>
                      <w:highlight w:val="none"/>
                      <w:lang w:val="en-US" w:eastAsia="zh-CN"/>
                    </w:rPr>
                  </w:pPr>
                  <w:r>
                    <w:rPr>
                      <w:rFonts w:hint="eastAsia"/>
                      <w:color w:val="auto"/>
                      <w:highlight w:val="none"/>
                      <w:lang w:val="en-US" w:eastAsia="zh-CN"/>
                    </w:rPr>
                    <w:t>不合格品</w:t>
                  </w:r>
                </w:p>
              </w:tc>
              <w:tc>
                <w:tcPr>
                  <w:tcW w:w="1107" w:type="pct"/>
                  <w:tcBorders>
                    <w:tl2br w:val="nil"/>
                    <w:tr2bl w:val="nil"/>
                  </w:tcBorders>
                  <w:vAlign w:val="center"/>
                </w:tcPr>
                <w:p w14:paraId="328ECA5D">
                  <w:pPr>
                    <w:pStyle w:val="106"/>
                    <w:bidi w:val="0"/>
                    <w:rPr>
                      <w:rFonts w:hint="default"/>
                      <w:color w:val="auto"/>
                      <w:highlight w:val="none"/>
                      <w:lang w:val="en-US" w:eastAsia="zh-CN"/>
                    </w:rPr>
                  </w:pPr>
                  <w:r>
                    <w:rPr>
                      <w:rFonts w:hint="eastAsia"/>
                      <w:color w:val="auto"/>
                      <w:highlight w:val="none"/>
                      <w:lang w:val="en-US" w:eastAsia="zh-CN"/>
                    </w:rPr>
                    <w:t>分拣</w:t>
                  </w:r>
                </w:p>
              </w:tc>
              <w:tc>
                <w:tcPr>
                  <w:tcW w:w="2204" w:type="pct"/>
                  <w:tcBorders>
                    <w:tl2br w:val="nil"/>
                    <w:tr2bl w:val="nil"/>
                  </w:tcBorders>
                </w:tcPr>
                <w:p w14:paraId="746D569A">
                  <w:pPr>
                    <w:pStyle w:val="106"/>
                    <w:bidi w:val="0"/>
                    <w:rPr>
                      <w:color w:val="auto"/>
                      <w:highlight w:val="none"/>
                    </w:rPr>
                  </w:pPr>
                  <w:r>
                    <w:rPr>
                      <w:color w:val="auto"/>
                      <w:highlight w:val="none"/>
                    </w:rPr>
                    <w:t>一般</w:t>
                  </w:r>
                  <w:r>
                    <w:rPr>
                      <w:rFonts w:hint="eastAsia"/>
                      <w:color w:val="auto"/>
                      <w:highlight w:val="none"/>
                    </w:rPr>
                    <w:t>固体</w:t>
                  </w:r>
                  <w:r>
                    <w:rPr>
                      <w:color w:val="auto"/>
                      <w:highlight w:val="none"/>
                    </w:rPr>
                    <w:t>废物</w:t>
                  </w:r>
                </w:p>
              </w:tc>
            </w:tr>
            <w:tr w14:paraId="1402F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635D3A95">
                  <w:pPr>
                    <w:pStyle w:val="106"/>
                    <w:bidi w:val="0"/>
                    <w:rPr>
                      <w:color w:val="auto"/>
                      <w:highlight w:val="none"/>
                    </w:rPr>
                  </w:pPr>
                </w:p>
              </w:tc>
              <w:tc>
                <w:tcPr>
                  <w:tcW w:w="1262" w:type="pct"/>
                  <w:tcBorders>
                    <w:tl2br w:val="nil"/>
                    <w:tr2bl w:val="nil"/>
                  </w:tcBorders>
                  <w:vAlign w:val="center"/>
                </w:tcPr>
                <w:p w14:paraId="66FB2A28">
                  <w:pPr>
                    <w:pStyle w:val="106"/>
                    <w:bidi w:val="0"/>
                    <w:rPr>
                      <w:rFonts w:hint="default"/>
                      <w:color w:val="auto"/>
                      <w:highlight w:val="none"/>
                      <w:lang w:val="en-US" w:eastAsia="zh-CN"/>
                    </w:rPr>
                  </w:pPr>
                  <w:r>
                    <w:rPr>
                      <w:rFonts w:hint="eastAsia"/>
                      <w:color w:val="auto"/>
                      <w:highlight w:val="none"/>
                      <w:lang w:val="en-US" w:eastAsia="zh-CN"/>
                    </w:rPr>
                    <w:t>杂质</w:t>
                  </w:r>
                </w:p>
              </w:tc>
              <w:tc>
                <w:tcPr>
                  <w:tcW w:w="1107" w:type="pct"/>
                  <w:tcBorders>
                    <w:tl2br w:val="nil"/>
                    <w:tr2bl w:val="nil"/>
                  </w:tcBorders>
                  <w:vAlign w:val="center"/>
                </w:tcPr>
                <w:p w14:paraId="2C68C6B5">
                  <w:pPr>
                    <w:pStyle w:val="106"/>
                    <w:bidi w:val="0"/>
                    <w:rPr>
                      <w:rFonts w:hint="default"/>
                      <w:color w:val="auto"/>
                      <w:highlight w:val="none"/>
                      <w:lang w:val="en-US" w:eastAsia="zh-CN"/>
                    </w:rPr>
                  </w:pPr>
                  <w:r>
                    <w:rPr>
                      <w:rFonts w:hint="eastAsia"/>
                      <w:color w:val="auto"/>
                      <w:highlight w:val="none"/>
                      <w:lang w:val="en-US" w:eastAsia="zh-CN"/>
                    </w:rPr>
                    <w:t>探检</w:t>
                  </w:r>
                </w:p>
              </w:tc>
              <w:tc>
                <w:tcPr>
                  <w:tcW w:w="2204" w:type="pct"/>
                  <w:tcBorders>
                    <w:tl2br w:val="nil"/>
                    <w:tr2bl w:val="nil"/>
                  </w:tcBorders>
                </w:tcPr>
                <w:p w14:paraId="78BBC6AF">
                  <w:pPr>
                    <w:pStyle w:val="106"/>
                    <w:bidi w:val="0"/>
                    <w:rPr>
                      <w:color w:val="auto"/>
                      <w:highlight w:val="none"/>
                    </w:rPr>
                  </w:pPr>
                  <w:r>
                    <w:rPr>
                      <w:color w:val="auto"/>
                      <w:highlight w:val="none"/>
                    </w:rPr>
                    <w:t>一般</w:t>
                  </w:r>
                  <w:r>
                    <w:rPr>
                      <w:rFonts w:hint="eastAsia"/>
                      <w:color w:val="auto"/>
                      <w:highlight w:val="none"/>
                    </w:rPr>
                    <w:t>固体</w:t>
                  </w:r>
                  <w:r>
                    <w:rPr>
                      <w:color w:val="auto"/>
                      <w:highlight w:val="none"/>
                    </w:rPr>
                    <w:t>废物</w:t>
                  </w:r>
                </w:p>
              </w:tc>
            </w:tr>
            <w:tr w14:paraId="7B080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5C559E40">
                  <w:pPr>
                    <w:pStyle w:val="106"/>
                    <w:bidi w:val="0"/>
                    <w:rPr>
                      <w:color w:val="auto"/>
                      <w:highlight w:val="none"/>
                    </w:rPr>
                  </w:pPr>
                </w:p>
              </w:tc>
              <w:tc>
                <w:tcPr>
                  <w:tcW w:w="1262" w:type="pct"/>
                  <w:tcBorders>
                    <w:tl2br w:val="nil"/>
                    <w:tr2bl w:val="nil"/>
                  </w:tcBorders>
                  <w:vAlign w:val="center"/>
                </w:tcPr>
                <w:p w14:paraId="45F90E7E">
                  <w:pPr>
                    <w:pStyle w:val="106"/>
                    <w:bidi w:val="0"/>
                    <w:rPr>
                      <w:rFonts w:hint="default" w:eastAsia="宋体"/>
                      <w:color w:val="auto"/>
                      <w:highlight w:val="none"/>
                      <w:lang w:val="en-US" w:eastAsia="zh-CN"/>
                    </w:rPr>
                  </w:pPr>
                  <w:r>
                    <w:rPr>
                      <w:rFonts w:hint="eastAsia"/>
                      <w:color w:val="auto"/>
                      <w:highlight w:val="none"/>
                      <w:lang w:val="en-US" w:eastAsia="zh-CN"/>
                    </w:rPr>
                    <w:t>废包装材料</w:t>
                  </w:r>
                </w:p>
              </w:tc>
              <w:tc>
                <w:tcPr>
                  <w:tcW w:w="1107" w:type="pct"/>
                  <w:tcBorders>
                    <w:tl2br w:val="nil"/>
                    <w:tr2bl w:val="nil"/>
                  </w:tcBorders>
                  <w:vAlign w:val="center"/>
                </w:tcPr>
                <w:p w14:paraId="01EE4FBD">
                  <w:pPr>
                    <w:pStyle w:val="106"/>
                    <w:bidi w:val="0"/>
                    <w:rPr>
                      <w:rFonts w:hint="default"/>
                      <w:color w:val="auto"/>
                      <w:highlight w:val="none"/>
                      <w:lang w:val="en-US" w:eastAsia="zh-CN"/>
                    </w:rPr>
                  </w:pPr>
                  <w:r>
                    <w:rPr>
                      <w:rFonts w:hint="eastAsia"/>
                      <w:color w:val="auto"/>
                      <w:highlight w:val="none"/>
                      <w:lang w:val="en-US" w:eastAsia="zh-CN"/>
                    </w:rPr>
                    <w:t>脱包、包装、装箱/装袋</w:t>
                  </w:r>
                </w:p>
              </w:tc>
              <w:tc>
                <w:tcPr>
                  <w:tcW w:w="2204" w:type="pct"/>
                  <w:tcBorders>
                    <w:tl2br w:val="nil"/>
                    <w:tr2bl w:val="nil"/>
                  </w:tcBorders>
                  <w:vAlign w:val="center"/>
                </w:tcPr>
                <w:p w14:paraId="18948F3B">
                  <w:pPr>
                    <w:pStyle w:val="106"/>
                    <w:bidi w:val="0"/>
                    <w:rPr>
                      <w:rFonts w:hint="default" w:eastAsia="宋体"/>
                      <w:color w:val="auto"/>
                      <w:highlight w:val="none"/>
                      <w:lang w:val="en-US" w:eastAsia="zh-CN"/>
                    </w:rPr>
                  </w:pPr>
                  <w:r>
                    <w:rPr>
                      <w:color w:val="auto"/>
                      <w:highlight w:val="none"/>
                    </w:rPr>
                    <w:t>一般</w:t>
                  </w:r>
                  <w:r>
                    <w:rPr>
                      <w:rFonts w:hint="eastAsia"/>
                      <w:color w:val="auto"/>
                      <w:highlight w:val="none"/>
                    </w:rPr>
                    <w:t>固体</w:t>
                  </w:r>
                  <w:r>
                    <w:rPr>
                      <w:color w:val="auto"/>
                      <w:highlight w:val="none"/>
                    </w:rPr>
                    <w:t>废物</w:t>
                  </w:r>
                </w:p>
              </w:tc>
            </w:tr>
            <w:tr w14:paraId="67907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5936D371">
                  <w:pPr>
                    <w:pStyle w:val="106"/>
                    <w:bidi w:val="0"/>
                    <w:rPr>
                      <w:color w:val="auto"/>
                      <w:highlight w:val="none"/>
                    </w:rPr>
                  </w:pPr>
                </w:p>
              </w:tc>
              <w:tc>
                <w:tcPr>
                  <w:tcW w:w="1262" w:type="pct"/>
                  <w:tcBorders>
                    <w:tl2br w:val="nil"/>
                    <w:tr2bl w:val="nil"/>
                  </w:tcBorders>
                  <w:vAlign w:val="center"/>
                </w:tcPr>
                <w:p w14:paraId="672BED76">
                  <w:pPr>
                    <w:pStyle w:val="106"/>
                    <w:bidi w:val="0"/>
                    <w:rPr>
                      <w:rFonts w:hint="default"/>
                      <w:color w:val="auto"/>
                      <w:highlight w:val="none"/>
                      <w:lang w:val="en-US" w:eastAsia="zh-CN"/>
                    </w:rPr>
                  </w:pPr>
                  <w:r>
                    <w:rPr>
                      <w:rFonts w:hint="eastAsia"/>
                      <w:color w:val="auto"/>
                      <w:highlight w:val="none"/>
                      <w:lang w:val="en-US" w:eastAsia="zh-CN"/>
                    </w:rPr>
                    <w:t>肉类废边角料</w:t>
                  </w:r>
                </w:p>
              </w:tc>
              <w:tc>
                <w:tcPr>
                  <w:tcW w:w="1107" w:type="pct"/>
                  <w:tcBorders>
                    <w:tl2br w:val="nil"/>
                    <w:tr2bl w:val="nil"/>
                  </w:tcBorders>
                  <w:vAlign w:val="center"/>
                </w:tcPr>
                <w:p w14:paraId="1B53EFA5">
                  <w:pPr>
                    <w:pStyle w:val="106"/>
                    <w:bidi w:val="0"/>
                    <w:rPr>
                      <w:rFonts w:hint="default"/>
                      <w:color w:val="auto"/>
                      <w:highlight w:val="none"/>
                      <w:lang w:val="en-US" w:eastAsia="zh-CN"/>
                    </w:rPr>
                  </w:pPr>
                  <w:r>
                    <w:rPr>
                      <w:rFonts w:hint="eastAsia"/>
                      <w:color w:val="auto"/>
                      <w:highlight w:val="none"/>
                      <w:lang w:val="en-US" w:eastAsia="zh-CN"/>
                    </w:rPr>
                    <w:t>切分筛选</w:t>
                  </w:r>
                </w:p>
              </w:tc>
              <w:tc>
                <w:tcPr>
                  <w:tcW w:w="2204" w:type="pct"/>
                  <w:tcBorders>
                    <w:tl2br w:val="nil"/>
                    <w:tr2bl w:val="nil"/>
                  </w:tcBorders>
                  <w:shd w:val="clear" w:color="auto" w:fill="auto"/>
                  <w:vAlign w:val="center"/>
                </w:tcPr>
                <w:p w14:paraId="5488A934">
                  <w:pPr>
                    <w:pStyle w:val="106"/>
                    <w:bidi w:val="0"/>
                    <w:ind w:firstLine="0" w:firstLineChars="0"/>
                    <w:rPr>
                      <w:color w:val="auto"/>
                      <w:highlight w:val="none"/>
                    </w:rPr>
                  </w:pPr>
                  <w:r>
                    <w:rPr>
                      <w:color w:val="auto"/>
                      <w:highlight w:val="none"/>
                    </w:rPr>
                    <w:t>一般</w:t>
                  </w:r>
                  <w:r>
                    <w:rPr>
                      <w:rFonts w:hint="eastAsia"/>
                      <w:color w:val="auto"/>
                      <w:highlight w:val="none"/>
                    </w:rPr>
                    <w:t>固体</w:t>
                  </w:r>
                  <w:r>
                    <w:rPr>
                      <w:color w:val="auto"/>
                      <w:highlight w:val="none"/>
                    </w:rPr>
                    <w:t>废物</w:t>
                  </w:r>
                </w:p>
              </w:tc>
            </w:tr>
            <w:tr w14:paraId="16BD6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5295596D">
                  <w:pPr>
                    <w:pStyle w:val="106"/>
                    <w:bidi w:val="0"/>
                    <w:rPr>
                      <w:color w:val="auto"/>
                      <w:highlight w:val="none"/>
                    </w:rPr>
                  </w:pPr>
                </w:p>
              </w:tc>
              <w:tc>
                <w:tcPr>
                  <w:tcW w:w="1262" w:type="pct"/>
                  <w:tcBorders>
                    <w:tl2br w:val="nil"/>
                    <w:tr2bl w:val="nil"/>
                  </w:tcBorders>
                  <w:vAlign w:val="center"/>
                </w:tcPr>
                <w:p w14:paraId="2632E4A3">
                  <w:pPr>
                    <w:pStyle w:val="106"/>
                    <w:bidi w:val="0"/>
                    <w:rPr>
                      <w:rFonts w:hint="default"/>
                      <w:color w:val="auto"/>
                      <w:highlight w:val="none"/>
                      <w:lang w:val="en-US" w:eastAsia="zh-CN"/>
                    </w:rPr>
                  </w:pPr>
                  <w:r>
                    <w:rPr>
                      <w:rFonts w:hint="eastAsia"/>
                      <w:color w:val="auto"/>
                      <w:highlight w:val="none"/>
                      <w:lang w:val="en-US" w:eastAsia="zh-CN"/>
                    </w:rPr>
                    <w:t>废机油、废机油桶、废沾油手套</w:t>
                  </w:r>
                </w:p>
              </w:tc>
              <w:tc>
                <w:tcPr>
                  <w:tcW w:w="1107" w:type="pct"/>
                  <w:tcBorders>
                    <w:tl2br w:val="nil"/>
                    <w:tr2bl w:val="nil"/>
                  </w:tcBorders>
                  <w:vAlign w:val="center"/>
                </w:tcPr>
                <w:p w14:paraId="3F2FAE80">
                  <w:pPr>
                    <w:pStyle w:val="106"/>
                    <w:bidi w:val="0"/>
                    <w:rPr>
                      <w:rFonts w:hint="default"/>
                      <w:color w:val="auto"/>
                      <w:highlight w:val="none"/>
                      <w:lang w:val="en-US" w:eastAsia="zh-CN"/>
                    </w:rPr>
                  </w:pPr>
                  <w:r>
                    <w:rPr>
                      <w:rFonts w:hint="eastAsia"/>
                      <w:color w:val="auto"/>
                      <w:highlight w:val="none"/>
                      <w:lang w:val="en-US" w:eastAsia="zh-CN"/>
                    </w:rPr>
                    <w:t>机械维修</w:t>
                  </w:r>
                </w:p>
              </w:tc>
              <w:tc>
                <w:tcPr>
                  <w:tcW w:w="2204" w:type="pct"/>
                  <w:tcBorders>
                    <w:tl2br w:val="nil"/>
                    <w:tr2bl w:val="nil"/>
                  </w:tcBorders>
                  <w:vAlign w:val="center"/>
                </w:tcPr>
                <w:p w14:paraId="46B2A56F">
                  <w:pPr>
                    <w:pStyle w:val="106"/>
                    <w:bidi w:val="0"/>
                    <w:rPr>
                      <w:rFonts w:hint="eastAsia"/>
                      <w:color w:val="auto"/>
                      <w:highlight w:val="none"/>
                    </w:rPr>
                  </w:pPr>
                  <w:r>
                    <w:rPr>
                      <w:rFonts w:hint="eastAsia"/>
                      <w:color w:val="auto"/>
                      <w:highlight w:val="none"/>
                    </w:rPr>
                    <w:t>危险</w:t>
                  </w:r>
                  <w:r>
                    <w:rPr>
                      <w:color w:val="auto"/>
                      <w:highlight w:val="none"/>
                    </w:rPr>
                    <w:t>废物</w:t>
                  </w:r>
                </w:p>
              </w:tc>
            </w:tr>
            <w:tr w14:paraId="1DDA5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pct"/>
                  <w:vMerge w:val="continue"/>
                  <w:tcBorders>
                    <w:tl2br w:val="nil"/>
                    <w:tr2bl w:val="nil"/>
                  </w:tcBorders>
                  <w:vAlign w:val="center"/>
                </w:tcPr>
                <w:p w14:paraId="3891BFE4">
                  <w:pPr>
                    <w:pStyle w:val="106"/>
                    <w:bidi w:val="0"/>
                    <w:rPr>
                      <w:color w:val="auto"/>
                      <w:highlight w:val="none"/>
                    </w:rPr>
                  </w:pPr>
                </w:p>
              </w:tc>
              <w:tc>
                <w:tcPr>
                  <w:tcW w:w="1262" w:type="pct"/>
                  <w:tcBorders>
                    <w:tl2br w:val="nil"/>
                    <w:tr2bl w:val="nil"/>
                  </w:tcBorders>
                  <w:vAlign w:val="center"/>
                </w:tcPr>
                <w:p w14:paraId="7A155E59">
                  <w:pPr>
                    <w:pStyle w:val="106"/>
                    <w:bidi w:val="0"/>
                    <w:rPr>
                      <w:color w:val="auto"/>
                      <w:highlight w:val="none"/>
                    </w:rPr>
                  </w:pPr>
                  <w:r>
                    <w:rPr>
                      <w:rFonts w:hint="eastAsia"/>
                      <w:color w:val="auto"/>
                      <w:highlight w:val="none"/>
                    </w:rPr>
                    <w:t>生活垃圾</w:t>
                  </w:r>
                </w:p>
              </w:tc>
              <w:tc>
                <w:tcPr>
                  <w:tcW w:w="1107" w:type="pct"/>
                  <w:tcBorders>
                    <w:tl2br w:val="nil"/>
                    <w:tr2bl w:val="nil"/>
                  </w:tcBorders>
                  <w:vAlign w:val="center"/>
                </w:tcPr>
                <w:p w14:paraId="32020021">
                  <w:pPr>
                    <w:pStyle w:val="106"/>
                    <w:bidi w:val="0"/>
                    <w:rPr>
                      <w:rFonts w:hint="eastAsia"/>
                      <w:color w:val="auto"/>
                      <w:highlight w:val="none"/>
                    </w:rPr>
                  </w:pPr>
                  <w:r>
                    <w:rPr>
                      <w:rFonts w:hint="eastAsia"/>
                      <w:color w:val="auto"/>
                      <w:highlight w:val="none"/>
                      <w:lang w:val="en-US" w:eastAsia="zh-CN"/>
                    </w:rPr>
                    <w:t>办公、生活</w:t>
                  </w:r>
                </w:p>
              </w:tc>
              <w:tc>
                <w:tcPr>
                  <w:tcW w:w="2204" w:type="pct"/>
                  <w:tcBorders>
                    <w:tl2br w:val="nil"/>
                    <w:tr2bl w:val="nil"/>
                  </w:tcBorders>
                  <w:vAlign w:val="center"/>
                </w:tcPr>
                <w:p w14:paraId="20D1709F">
                  <w:pPr>
                    <w:pStyle w:val="106"/>
                    <w:bidi w:val="0"/>
                    <w:rPr>
                      <w:color w:val="auto"/>
                      <w:highlight w:val="none"/>
                    </w:rPr>
                  </w:pPr>
                  <w:r>
                    <w:rPr>
                      <w:rFonts w:hint="eastAsia"/>
                      <w:color w:val="auto"/>
                      <w:highlight w:val="none"/>
                    </w:rPr>
                    <w:t>/</w:t>
                  </w:r>
                </w:p>
              </w:tc>
            </w:tr>
          </w:tbl>
          <w:p w14:paraId="0967FA23">
            <w:pPr>
              <w:pStyle w:val="61"/>
              <w:ind w:firstLine="480"/>
              <w:jc w:val="both"/>
              <w:rPr>
                <w:color w:val="auto"/>
                <w:szCs w:val="24"/>
                <w:highlight w:val="none"/>
              </w:rPr>
            </w:pPr>
          </w:p>
        </w:tc>
      </w:tr>
      <w:tr w14:paraId="0CA9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dxa"/>
            <w:vAlign w:val="center"/>
          </w:tcPr>
          <w:p w14:paraId="32DFCAB7">
            <w:pPr>
              <w:pStyle w:val="44"/>
              <w:keepNext w:val="0"/>
              <w:keepLines w:val="0"/>
              <w:pageBreakBefore w:val="0"/>
              <w:kinsoku/>
              <w:wordWrap/>
              <w:overflowPunct/>
              <w:topLinePunct w:val="0"/>
              <w:bidi w:val="0"/>
              <w:adjustRightInd w:val="0"/>
              <w:snapToGrid w:val="0"/>
              <w:spacing w:line="240" w:lineRule="auto"/>
              <w:ind w:firstLine="0" w:firstLineChars="0"/>
              <w:textAlignment w:val="auto"/>
              <w:rPr>
                <w:color w:val="auto"/>
                <w:highlight w:val="none"/>
              </w:rPr>
            </w:pPr>
            <w:r>
              <w:rPr>
                <w:rFonts w:ascii="Times New Roman" w:hAnsi="Times New Roman"/>
                <w:b/>
                <w:bCs/>
                <w:color w:val="auto"/>
                <w:sz w:val="24"/>
                <w:szCs w:val="24"/>
                <w:highlight w:val="none"/>
              </w:rPr>
              <w:t>与项目有关的原有环境污染问题</w:t>
            </w:r>
          </w:p>
        </w:tc>
        <w:tc>
          <w:tcPr>
            <w:tcW w:w="9403" w:type="dxa"/>
          </w:tcPr>
          <w:p w14:paraId="3955B5EE">
            <w:pPr>
              <w:pStyle w:val="102"/>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本项目为新建项目，位于</w:t>
            </w:r>
            <w:r>
              <w:rPr>
                <w:rFonts w:hint="eastAsia" w:cs="Times New Roman"/>
                <w:color w:val="auto"/>
                <w:highlight w:val="none"/>
                <w:lang w:val="en-US" w:eastAsia="zh-CN"/>
              </w:rPr>
              <w:t>四川省遂宁市安居区省级经济开发区现代装备制造产业园区 4-5</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本项目</w:t>
            </w:r>
            <w:r>
              <w:rPr>
                <w:rFonts w:hint="eastAsia" w:cs="Times New Roman"/>
                <w:color w:val="auto"/>
                <w:highlight w:val="none"/>
                <w:lang w:val="en-US" w:eastAsia="zh-CN"/>
              </w:rPr>
              <w:t>购置该地块</w:t>
            </w:r>
            <w:r>
              <w:rPr>
                <w:rFonts w:hint="eastAsia" w:ascii="Times New Roman" w:hAnsi="Times New Roman" w:cs="Times New Roman"/>
                <w:color w:val="auto"/>
                <w:highlight w:val="none"/>
                <w:lang w:val="en-US" w:eastAsia="zh-CN"/>
              </w:rPr>
              <w:t>进行</w:t>
            </w:r>
            <w:r>
              <w:rPr>
                <w:rFonts w:hint="eastAsia" w:cs="Times New Roman"/>
                <w:color w:val="auto"/>
                <w:highlight w:val="none"/>
                <w:lang w:val="en-US" w:eastAsia="zh-CN"/>
              </w:rPr>
              <w:t>本项目的</w:t>
            </w:r>
            <w:r>
              <w:rPr>
                <w:rFonts w:hint="eastAsia" w:ascii="Times New Roman" w:hAnsi="Times New Roman" w:cs="Times New Roman"/>
                <w:color w:val="auto"/>
                <w:highlight w:val="none"/>
                <w:lang w:val="en-US" w:eastAsia="zh-CN"/>
              </w:rPr>
              <w:t>建设</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根据</w:t>
            </w:r>
            <w:r>
              <w:rPr>
                <w:rFonts w:hint="eastAsia" w:cs="Times New Roman"/>
                <w:color w:val="auto"/>
                <w:highlight w:val="none"/>
                <w:lang w:val="en-US" w:eastAsia="zh-CN"/>
              </w:rPr>
              <w:t>现场勘查</w:t>
            </w:r>
            <w:r>
              <w:rPr>
                <w:rFonts w:hint="default" w:ascii="Times New Roman" w:hAnsi="Times New Roman" w:cs="Times New Roman"/>
                <w:color w:val="auto"/>
                <w:highlight w:val="none"/>
                <w:lang w:val="en-US" w:eastAsia="zh-CN"/>
              </w:rPr>
              <w:t>，</w:t>
            </w:r>
            <w:r>
              <w:rPr>
                <w:rFonts w:hint="eastAsia"/>
                <w:color w:val="auto"/>
                <w:highlight w:val="none"/>
                <w:lang w:val="en-US" w:eastAsia="zh-CN"/>
              </w:rPr>
              <w:t>现本项目购置地块为空地，</w:t>
            </w:r>
            <w:r>
              <w:rPr>
                <w:rFonts w:hint="default" w:ascii="Times New Roman" w:hAnsi="Times New Roman" w:cs="Times New Roman"/>
                <w:color w:val="auto"/>
                <w:highlight w:val="none"/>
              </w:rPr>
              <w:t>不存在</w:t>
            </w:r>
            <w:r>
              <w:rPr>
                <w:rFonts w:hint="eastAsia"/>
                <w:color w:val="auto"/>
                <w:highlight w:val="none"/>
              </w:rPr>
              <w:t>原有污染物和环境遗留问题</w:t>
            </w:r>
            <w:r>
              <w:rPr>
                <w:rFonts w:hint="default" w:ascii="Times New Roman" w:hAnsi="Times New Roman" w:cs="Times New Roman"/>
                <w:color w:val="auto"/>
                <w:highlight w:val="none"/>
              </w:rPr>
              <w:t>。</w:t>
            </w:r>
            <w:r>
              <w:rPr>
                <w:rFonts w:hint="eastAsia" w:cs="Times New Roman"/>
                <w:color w:val="auto"/>
                <w:highlight w:val="none"/>
                <w:lang w:val="en-US" w:eastAsia="zh-CN"/>
              </w:rPr>
              <w:t>本项目购置地块</w:t>
            </w:r>
            <w:r>
              <w:rPr>
                <w:rFonts w:hint="default" w:ascii="Times New Roman" w:hAnsi="Times New Roman" w:cs="Times New Roman"/>
                <w:color w:val="auto"/>
                <w:highlight w:val="none"/>
                <w:lang w:val="en-US" w:eastAsia="zh-CN"/>
              </w:rPr>
              <w:t>情况</w:t>
            </w:r>
            <w:r>
              <w:rPr>
                <w:rFonts w:hint="default" w:ascii="Times New Roman" w:hAnsi="Times New Roman" w:cs="Times New Roman"/>
                <w:color w:val="auto"/>
                <w:highlight w:val="none"/>
              </w:rPr>
              <w:t>如下：</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1"/>
            </w:tblGrid>
            <w:tr w14:paraId="5B9B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6" w:hRule="atLeast"/>
              </w:trPr>
              <w:tc>
                <w:tcPr>
                  <w:tcW w:w="9171" w:type="dxa"/>
                </w:tcPr>
                <w:p w14:paraId="5F617150">
                  <w:pPr>
                    <w:ind w:firstLine="0" w:firstLineChars="0"/>
                    <w:jc w:val="both"/>
                    <w:rPr>
                      <w:rFonts w:hint="eastAsia" w:eastAsia="宋体"/>
                      <w:color w:val="auto"/>
                      <w:highlight w:val="none"/>
                      <w:lang w:eastAsia="zh-CN"/>
                    </w:rPr>
                  </w:pPr>
                  <w:r>
                    <w:rPr>
                      <w:rFonts w:hint="eastAsia" w:eastAsiaTheme="minorEastAsia"/>
                      <w:lang w:eastAsia="zh-CN"/>
                    </w:rPr>
                    <w:drawing>
                      <wp:inline distT="0" distB="0" distL="114300" distR="114300">
                        <wp:extent cx="5748020" cy="2886710"/>
                        <wp:effectExtent l="0" t="0" r="5080" b="8890"/>
                        <wp:docPr id="4" name="图片 4" descr="06d18343235c64d23d72ae7add7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6d18343235c64d23d72ae7add73980"/>
                                <pic:cNvPicPr>
                                  <a:picLocks noChangeAspect="1"/>
                                </pic:cNvPicPr>
                              </pic:nvPicPr>
                              <pic:blipFill>
                                <a:blip r:embed="rId26"/>
                                <a:srcRect t="23047"/>
                                <a:stretch>
                                  <a:fillRect/>
                                </a:stretch>
                              </pic:blipFill>
                              <pic:spPr>
                                <a:xfrm>
                                  <a:off x="0" y="0"/>
                                  <a:ext cx="5748020" cy="2886710"/>
                                </a:xfrm>
                                <a:prstGeom prst="rect">
                                  <a:avLst/>
                                </a:prstGeom>
                              </pic:spPr>
                            </pic:pic>
                          </a:graphicData>
                        </a:graphic>
                      </wp:inline>
                    </w:drawing>
                  </w:r>
                </w:p>
              </w:tc>
            </w:tr>
            <w:tr w14:paraId="066F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1" w:type="dxa"/>
                </w:tcPr>
                <w:p w14:paraId="1B9D151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highlight w:val="none"/>
                    </w:rPr>
                  </w:pPr>
                  <w:r>
                    <w:rPr>
                      <w:rFonts w:hint="eastAsia"/>
                      <w:color w:val="auto"/>
                      <w:sz w:val="21"/>
                      <w:szCs w:val="21"/>
                      <w:highlight w:val="none"/>
                      <w:lang w:val="en-US" w:eastAsia="zh-CN"/>
                    </w:rPr>
                    <w:t>地块现状</w:t>
                  </w:r>
                  <w:r>
                    <w:rPr>
                      <w:rFonts w:hint="eastAsia"/>
                      <w:color w:val="auto"/>
                      <w:sz w:val="21"/>
                      <w:szCs w:val="21"/>
                      <w:highlight w:val="none"/>
                    </w:rPr>
                    <w:t>图片</w:t>
                  </w:r>
                </w:p>
              </w:tc>
            </w:tr>
          </w:tbl>
          <w:p w14:paraId="5C3BEC01">
            <w:pPr>
              <w:pStyle w:val="14"/>
              <w:bidi w:val="0"/>
              <w:rPr>
                <w:rFonts w:hint="eastAsia"/>
                <w:color w:val="auto"/>
                <w:highlight w:val="none"/>
                <w:lang w:val="en-US" w:eastAsia="zh-CN"/>
              </w:rPr>
            </w:pPr>
            <w:r>
              <w:rPr>
                <w:color w:val="auto"/>
                <w:highlight w:val="none"/>
              </w:rPr>
              <w:t>图2-</w:t>
            </w:r>
            <w:r>
              <w:rPr>
                <w:color w:val="auto"/>
                <w:highlight w:val="none"/>
              </w:rPr>
              <w:fldChar w:fldCharType="begin"/>
            </w:r>
            <w:r>
              <w:rPr>
                <w:color w:val="auto"/>
                <w:highlight w:val="none"/>
              </w:rPr>
              <w:instrText xml:space="preserve"> SEQ 图2- \* ARABIC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lang w:val="en-US" w:eastAsia="zh-CN"/>
              </w:rPr>
              <w:t xml:space="preserve">  项目购置地块现状</w:t>
            </w:r>
          </w:p>
          <w:p w14:paraId="409A6A2F">
            <w:pPr>
              <w:rPr>
                <w:rFonts w:hint="eastAsia"/>
                <w:color w:val="auto"/>
                <w:highlight w:val="none"/>
                <w:lang w:val="en-US" w:eastAsia="zh-CN"/>
              </w:rPr>
            </w:pPr>
          </w:p>
          <w:p w14:paraId="0B107FF5">
            <w:pPr>
              <w:pStyle w:val="27"/>
              <w:rPr>
                <w:rFonts w:hint="eastAsia"/>
                <w:color w:val="auto"/>
                <w:highlight w:val="none"/>
                <w:lang w:val="en-US" w:eastAsia="zh-CN"/>
              </w:rPr>
            </w:pPr>
          </w:p>
          <w:p w14:paraId="5E5C89A5">
            <w:pPr>
              <w:rPr>
                <w:rFonts w:hint="eastAsia"/>
                <w:color w:val="auto"/>
                <w:highlight w:val="none"/>
                <w:lang w:val="en-US" w:eastAsia="zh-CN"/>
              </w:rPr>
            </w:pPr>
          </w:p>
          <w:p w14:paraId="1CB8AEE2">
            <w:pPr>
              <w:rPr>
                <w:rFonts w:hint="eastAsia"/>
                <w:color w:val="auto"/>
                <w:highlight w:val="none"/>
                <w:lang w:val="en-US" w:eastAsia="zh-CN"/>
              </w:rPr>
            </w:pPr>
          </w:p>
          <w:p w14:paraId="0F5EA290">
            <w:pPr>
              <w:rPr>
                <w:rFonts w:hint="eastAsia"/>
                <w:color w:val="auto"/>
                <w:highlight w:val="none"/>
                <w:lang w:val="en-US" w:eastAsia="zh-CN"/>
              </w:rPr>
            </w:pPr>
          </w:p>
          <w:p w14:paraId="50DDFDC0">
            <w:pPr>
              <w:rPr>
                <w:rFonts w:hint="eastAsia"/>
                <w:color w:val="auto"/>
                <w:highlight w:val="none"/>
                <w:lang w:val="en-US" w:eastAsia="zh-CN"/>
              </w:rPr>
            </w:pPr>
          </w:p>
          <w:p w14:paraId="7FFB889A">
            <w:pPr>
              <w:rPr>
                <w:rFonts w:hint="eastAsia"/>
                <w:color w:val="auto"/>
                <w:highlight w:val="none"/>
                <w:lang w:val="en-US" w:eastAsia="zh-CN"/>
              </w:rPr>
            </w:pPr>
          </w:p>
          <w:p w14:paraId="3095E02A">
            <w:pPr>
              <w:rPr>
                <w:rFonts w:hint="eastAsia"/>
                <w:color w:val="auto"/>
                <w:highlight w:val="none"/>
                <w:lang w:val="en-US" w:eastAsia="zh-CN"/>
              </w:rPr>
            </w:pPr>
          </w:p>
          <w:p w14:paraId="178D2D10">
            <w:pPr>
              <w:rPr>
                <w:rFonts w:hint="eastAsia"/>
                <w:color w:val="auto"/>
                <w:highlight w:val="none"/>
                <w:lang w:val="en-US" w:eastAsia="zh-CN"/>
              </w:rPr>
            </w:pPr>
          </w:p>
          <w:p w14:paraId="6BC8EB85">
            <w:pPr>
              <w:rPr>
                <w:rFonts w:hint="eastAsia"/>
                <w:color w:val="auto"/>
                <w:highlight w:val="none"/>
                <w:lang w:val="en-US" w:eastAsia="zh-CN"/>
              </w:rPr>
            </w:pPr>
          </w:p>
          <w:p w14:paraId="45AAE5BF">
            <w:pPr>
              <w:rPr>
                <w:rFonts w:hint="eastAsia"/>
                <w:color w:val="auto"/>
                <w:highlight w:val="none"/>
                <w:lang w:val="en-US" w:eastAsia="zh-CN"/>
              </w:rPr>
            </w:pPr>
          </w:p>
          <w:p w14:paraId="1FC35433">
            <w:pPr>
              <w:rPr>
                <w:rFonts w:hint="eastAsia"/>
                <w:color w:val="auto"/>
                <w:highlight w:val="none"/>
                <w:lang w:val="en-US" w:eastAsia="zh-CN"/>
              </w:rPr>
            </w:pPr>
          </w:p>
          <w:p w14:paraId="76E4BF68">
            <w:pPr>
              <w:rPr>
                <w:rFonts w:hint="eastAsia"/>
                <w:color w:val="auto"/>
                <w:highlight w:val="none"/>
                <w:lang w:val="en-US" w:eastAsia="zh-CN"/>
              </w:rPr>
            </w:pPr>
          </w:p>
          <w:p w14:paraId="7695EA74">
            <w:pPr>
              <w:rPr>
                <w:rFonts w:hint="eastAsia"/>
                <w:color w:val="auto"/>
                <w:highlight w:val="none"/>
                <w:lang w:val="en-US" w:eastAsia="zh-CN"/>
              </w:rPr>
            </w:pPr>
          </w:p>
          <w:p w14:paraId="2A12A2E5">
            <w:pPr>
              <w:rPr>
                <w:rFonts w:hint="eastAsia"/>
                <w:color w:val="auto"/>
                <w:highlight w:val="none"/>
                <w:lang w:val="en-US" w:eastAsia="zh-CN"/>
              </w:rPr>
            </w:pPr>
          </w:p>
          <w:p w14:paraId="7D851F56">
            <w:pPr>
              <w:rPr>
                <w:rFonts w:hint="eastAsia"/>
                <w:color w:val="auto"/>
                <w:highlight w:val="none"/>
                <w:lang w:val="en-US" w:eastAsia="zh-CN"/>
              </w:rPr>
            </w:pPr>
          </w:p>
          <w:p w14:paraId="4AC7BCE2">
            <w:pPr>
              <w:rPr>
                <w:rFonts w:hint="default"/>
                <w:color w:val="auto"/>
                <w:highlight w:val="none"/>
                <w:lang w:val="en-US" w:eastAsia="zh-CN"/>
              </w:rPr>
            </w:pPr>
          </w:p>
        </w:tc>
      </w:tr>
    </w:tbl>
    <w:p w14:paraId="42F0F7B8">
      <w:pPr>
        <w:ind w:firstLine="420"/>
        <w:rPr>
          <w:color w:val="auto"/>
          <w:highlight w:val="none"/>
        </w:rPr>
        <w:sectPr>
          <w:pgSz w:w="11905" w:h="16838"/>
          <w:pgMar w:top="1701" w:right="1134" w:bottom="1701" w:left="1134" w:header="851" w:footer="1077" w:gutter="0"/>
          <w:pgBorders>
            <w:top w:val="none" w:sz="0" w:space="0"/>
            <w:left w:val="none" w:sz="0" w:space="0"/>
            <w:bottom w:val="none" w:sz="0" w:space="0"/>
            <w:right w:val="none" w:sz="0" w:space="0"/>
          </w:pgBorders>
          <w:pgNumType w:fmt="decimal"/>
          <w:cols w:space="720" w:num="1"/>
          <w:docGrid w:linePitch="312" w:charSpace="0"/>
        </w:sectPr>
      </w:pPr>
    </w:p>
    <w:p w14:paraId="2C597D8B">
      <w:pPr>
        <w:pStyle w:val="25"/>
        <w:spacing w:beforeAutospacing="0" w:after="0" w:afterAutospacing="0"/>
        <w:ind w:firstLine="600"/>
        <w:jc w:val="center"/>
        <w:outlineLvl w:val="0"/>
        <w:rPr>
          <w:rFonts w:ascii="Times New Roman" w:hAnsi="Times New Roman" w:eastAsia="黑体"/>
          <w:snapToGrid w:val="0"/>
          <w:color w:val="auto"/>
          <w:sz w:val="28"/>
          <w:szCs w:val="28"/>
          <w:highlight w:val="none"/>
        </w:rPr>
      </w:pPr>
      <w:bookmarkStart w:id="13" w:name="_Toc28932"/>
      <w:bookmarkStart w:id="14" w:name="_Toc10183"/>
      <w:bookmarkStart w:id="15" w:name="_Toc13498"/>
      <w:r>
        <w:rPr>
          <w:rFonts w:ascii="Times New Roman" w:hAnsi="Times New Roman" w:eastAsia="黑体"/>
          <w:snapToGrid w:val="0"/>
          <w:color w:val="auto"/>
          <w:sz w:val="28"/>
          <w:szCs w:val="28"/>
          <w:highlight w:val="none"/>
        </w:rPr>
        <w:t>三、区域环境质量现状、环境保护目标及评价标准</w:t>
      </w:r>
      <w:bookmarkEnd w:id="13"/>
      <w:bookmarkEnd w:id="14"/>
      <w:bookmarkEnd w:id="15"/>
    </w:p>
    <w:tbl>
      <w:tblPr>
        <w:tblStyle w:val="28"/>
        <w:tblW w:w="98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397"/>
        <w:gridCol w:w="14"/>
      </w:tblGrid>
      <w:tr w14:paraId="30838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3808" w:hRule="atLeast"/>
          <w:jc w:val="center"/>
        </w:trPr>
        <w:tc>
          <w:tcPr>
            <w:tcW w:w="456" w:type="dxa"/>
            <w:vAlign w:val="center"/>
          </w:tcPr>
          <w:p w14:paraId="7B0F7761">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b/>
                <w:bCs/>
                <w:color w:val="auto"/>
                <w:highlight w:val="none"/>
              </w:rPr>
            </w:pPr>
            <w:r>
              <w:rPr>
                <w:rFonts w:ascii="Times New Roman" w:hAnsi="Times New Roman"/>
                <w:b/>
                <w:bCs/>
                <w:color w:val="auto"/>
                <w:sz w:val="24"/>
                <w:szCs w:val="24"/>
                <w:highlight w:val="none"/>
              </w:rPr>
              <w:t>区域环境质量现状</w:t>
            </w:r>
          </w:p>
        </w:tc>
        <w:tc>
          <w:tcPr>
            <w:tcW w:w="9397" w:type="dxa"/>
            <w:vAlign w:val="center"/>
          </w:tcPr>
          <w:p w14:paraId="33255392">
            <w:pPr>
              <w:ind w:firstLine="482"/>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1、大气环境</w:t>
            </w:r>
          </w:p>
          <w:p w14:paraId="1964A4A8">
            <w:pPr>
              <w:ind w:firstLine="482"/>
              <w:rPr>
                <w:b/>
                <w:bCs/>
                <w:color w:val="auto"/>
                <w:sz w:val="24"/>
                <w:highlight w:val="none"/>
              </w:rPr>
            </w:pPr>
            <w:r>
              <w:rPr>
                <w:rFonts w:hint="eastAsia"/>
                <w:b/>
                <w:bCs/>
                <w:color w:val="auto"/>
                <w:sz w:val="24"/>
                <w:highlight w:val="none"/>
              </w:rPr>
              <w:t>（1）</w:t>
            </w:r>
            <w:r>
              <w:rPr>
                <w:b/>
                <w:bCs/>
                <w:color w:val="auto"/>
                <w:sz w:val="24"/>
                <w:highlight w:val="none"/>
              </w:rPr>
              <w:t>基本污染物环境质量现状</w:t>
            </w:r>
          </w:p>
          <w:p w14:paraId="21F7B0A3">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本项目位于四川省</w:t>
            </w:r>
            <w:r>
              <w:rPr>
                <w:rFonts w:hint="eastAsia" w:cs="Times New Roman"/>
                <w:color w:val="auto"/>
                <w:sz w:val="24"/>
                <w:highlight w:val="none"/>
                <w:lang w:eastAsia="zh-CN"/>
              </w:rPr>
              <w:t>遂宁市</w:t>
            </w:r>
            <w:r>
              <w:rPr>
                <w:rFonts w:hint="default" w:ascii="Times New Roman" w:hAnsi="Times New Roman" w:cs="Times New Roman"/>
                <w:color w:val="auto"/>
                <w:sz w:val="24"/>
                <w:highlight w:val="none"/>
              </w:rPr>
              <w:t>，为反映项目建设区域环境空气质量现状，本项目引用</w:t>
            </w:r>
            <w:r>
              <w:rPr>
                <w:rFonts w:hint="eastAsia" w:cs="Times New Roman"/>
                <w:color w:val="auto"/>
                <w:sz w:val="24"/>
                <w:highlight w:val="none"/>
                <w:lang w:eastAsia="zh-CN"/>
              </w:rPr>
              <w:t>遂宁市</w:t>
            </w:r>
            <w:r>
              <w:rPr>
                <w:rFonts w:hint="default" w:ascii="Times New Roman" w:hAnsi="Times New Roman" w:cs="Times New Roman"/>
                <w:color w:val="auto"/>
                <w:sz w:val="24"/>
                <w:highlight w:val="none"/>
              </w:rPr>
              <w:t>生态环境局公布的评价基准年为202</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年的《</w:t>
            </w:r>
            <w:r>
              <w:rPr>
                <w:rFonts w:hint="eastAsia" w:cs="Times New Roman"/>
                <w:color w:val="auto"/>
                <w:sz w:val="24"/>
                <w:highlight w:val="none"/>
                <w:lang w:eastAsia="zh-CN"/>
              </w:rPr>
              <w:t>2024年遂宁市环境质量公告</w:t>
            </w:r>
            <w:r>
              <w:rPr>
                <w:rFonts w:hint="default" w:ascii="Times New Roman" w:hAnsi="Times New Roman" w:cs="Times New Roman"/>
                <w:color w:val="auto"/>
                <w:sz w:val="24"/>
                <w:highlight w:val="none"/>
              </w:rPr>
              <w:t>》中的数据和结论作为空气质量达标区的判定依据。</w:t>
            </w:r>
          </w:p>
          <w:p w14:paraId="5F316387">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eastAsia" w:cs="Times New Roman"/>
                <w:color w:val="auto"/>
                <w:sz w:val="24"/>
                <w:highlight w:val="none"/>
                <w:lang w:eastAsia="zh-CN"/>
              </w:rPr>
              <w:t>遂宁市</w:t>
            </w:r>
            <w:r>
              <w:rPr>
                <w:rFonts w:hint="default" w:ascii="Times New Roman" w:hAnsi="Times New Roman" w:cs="Times New Roman"/>
                <w:color w:val="auto"/>
                <w:sz w:val="24"/>
                <w:highlight w:val="none"/>
              </w:rPr>
              <w:t>生态环境局发布的《</w:t>
            </w:r>
            <w:r>
              <w:rPr>
                <w:rFonts w:hint="eastAsia" w:cs="Times New Roman"/>
                <w:color w:val="auto"/>
                <w:sz w:val="24"/>
                <w:highlight w:val="none"/>
                <w:lang w:eastAsia="zh-CN"/>
              </w:rPr>
              <w:t>2024年遂宁市环境质量公告</w:t>
            </w:r>
            <w:r>
              <w:rPr>
                <w:rFonts w:hint="default" w:ascii="Times New Roman" w:hAnsi="Times New Roman" w:cs="Times New Roman"/>
                <w:color w:val="auto"/>
                <w:sz w:val="24"/>
                <w:highlight w:val="none"/>
              </w:rPr>
              <w:t>》，具体内容为：2024年，遂宁市城区环境空气质量155天优、188天良、20天轻度污染、1天中度污染、2天重度污染，空气质量达标率为93.7%，主要污染物SO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、CO和O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的月均值分别为9.6微克/立方米、20.5微克/立方米、46.0微克/立方米、26.5微克/立方米、0.8毫克/立方米和143.5微克/立方米。同比NO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、CO、O</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浓度分别下降16.7%、11.0%、11.7%、20.0%、0.6%，SO</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浓度升24.7%。</w:t>
            </w:r>
          </w:p>
          <w:p w14:paraId="7CF801CF">
            <w:pPr>
              <w:autoSpaceDE/>
              <w:autoSpaceDN/>
              <w:adjustRightInd/>
              <w:snapToGrid/>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202</w:t>
            </w:r>
            <w:r>
              <w:rPr>
                <w:rFonts w:hint="eastAsia" w:cs="Times New Roman"/>
                <w:color w:val="auto"/>
                <w:kern w:val="0"/>
                <w:sz w:val="24"/>
                <w:highlight w:val="none"/>
                <w:lang w:val="en-US" w:eastAsia="zh-CN" w:bidi="ar"/>
              </w:rPr>
              <w:t>4</w:t>
            </w:r>
            <w:r>
              <w:rPr>
                <w:rFonts w:hint="default" w:ascii="Times New Roman" w:hAnsi="Times New Roman" w:cs="Times New Roman"/>
                <w:color w:val="auto"/>
                <w:kern w:val="0"/>
                <w:sz w:val="24"/>
                <w:highlight w:val="none"/>
                <w:lang w:bidi="ar"/>
              </w:rPr>
              <w:t>年</w:t>
            </w:r>
            <w:r>
              <w:rPr>
                <w:rFonts w:hint="eastAsia" w:cs="Times New Roman"/>
                <w:color w:val="auto"/>
                <w:kern w:val="0"/>
                <w:sz w:val="24"/>
                <w:highlight w:val="none"/>
                <w:lang w:eastAsia="zh-CN" w:bidi="ar"/>
              </w:rPr>
              <w:t>遂宁市</w:t>
            </w:r>
            <w:r>
              <w:rPr>
                <w:rFonts w:hint="default" w:ascii="Times New Roman" w:hAnsi="Times New Roman" w:cs="Times New Roman"/>
                <w:color w:val="auto"/>
                <w:kern w:val="0"/>
                <w:sz w:val="24"/>
                <w:highlight w:val="none"/>
                <w:lang w:bidi="ar"/>
              </w:rPr>
              <w:t>环境空气质量如下：</w:t>
            </w:r>
          </w:p>
          <w:p w14:paraId="3BE25B13">
            <w:pPr>
              <w:pStyle w:val="14"/>
              <w:bidi w:val="0"/>
              <w:rPr>
                <w:rFonts w:hint="default"/>
                <w:lang w:val="en-US" w:eastAsia="zh-CN"/>
              </w:rPr>
            </w:pPr>
            <w:r>
              <w:rPr>
                <w:rFonts w:hint="default"/>
                <w:lang w:val="en-US" w:eastAsia="zh-CN"/>
              </w:rPr>
              <w:t>表3-</w:t>
            </w:r>
            <w:r>
              <w:rPr>
                <w:rFonts w:hint="default"/>
                <w:lang w:val="en-US" w:eastAsia="zh-CN"/>
              </w:rPr>
              <w:fldChar w:fldCharType="begin"/>
            </w:r>
            <w:r>
              <w:rPr>
                <w:rFonts w:hint="default"/>
                <w:lang w:val="en-US" w:eastAsia="zh-CN"/>
              </w:rPr>
              <w:instrText xml:space="preserve"> SEQ 表3- \* ARABIC </w:instrText>
            </w:r>
            <w:r>
              <w:rPr>
                <w:rFonts w:hint="default"/>
                <w:lang w:val="en-US" w:eastAsia="zh-CN"/>
              </w:rPr>
              <w:fldChar w:fldCharType="separate"/>
            </w:r>
            <w:r>
              <w:rPr>
                <w:rFonts w:hint="default"/>
                <w:lang w:val="en-US" w:eastAsia="zh-CN"/>
              </w:rPr>
              <w:t>1</w:t>
            </w:r>
            <w:r>
              <w:rPr>
                <w:rFonts w:hint="default"/>
                <w:lang w:val="en-US" w:eastAsia="zh-CN"/>
              </w:rPr>
              <w:fldChar w:fldCharType="end"/>
            </w:r>
            <w:r>
              <w:rPr>
                <w:rFonts w:hint="eastAsia"/>
                <w:lang w:val="en-US" w:eastAsia="zh-CN"/>
              </w:rPr>
              <w:t xml:space="preserve">  </w:t>
            </w:r>
            <w:r>
              <w:rPr>
                <w:rFonts w:hint="default"/>
                <w:lang w:val="en-US" w:eastAsia="zh-CN"/>
              </w:rPr>
              <w:t>202</w:t>
            </w:r>
            <w:r>
              <w:rPr>
                <w:rFonts w:hint="eastAsia"/>
                <w:lang w:val="en-US" w:eastAsia="zh-CN"/>
              </w:rPr>
              <w:t>4</w:t>
            </w:r>
            <w:r>
              <w:rPr>
                <w:rFonts w:hint="default"/>
                <w:lang w:val="en-US" w:eastAsia="zh-CN"/>
              </w:rPr>
              <w:t>年</w:t>
            </w:r>
            <w:r>
              <w:rPr>
                <w:rFonts w:hint="eastAsia"/>
                <w:lang w:val="en-US" w:eastAsia="zh-CN"/>
              </w:rPr>
              <w:t>遂宁市</w:t>
            </w:r>
            <w:r>
              <w:rPr>
                <w:rFonts w:hint="default"/>
                <w:lang w:val="en-US" w:eastAsia="zh-CN"/>
              </w:rPr>
              <w:t>城市环境空气质量达标判断结果</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840"/>
              <w:gridCol w:w="3134"/>
              <w:gridCol w:w="1230"/>
              <w:gridCol w:w="1199"/>
              <w:gridCol w:w="960"/>
              <w:gridCol w:w="1049"/>
            </w:tblGrid>
            <w:tr w14:paraId="43291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68" w:type="dxa"/>
                  <w:tcBorders>
                    <w:bottom w:val="single" w:color="000000" w:sz="4" w:space="0"/>
                    <w:tl2br w:val="nil"/>
                    <w:tr2bl w:val="nil"/>
                  </w:tcBorders>
                  <w:noWrap w:val="0"/>
                  <w:vAlign w:val="center"/>
                </w:tcPr>
                <w:p w14:paraId="51CC15D1">
                  <w:pPr>
                    <w:keepNext/>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评价区域</w:t>
                  </w:r>
                </w:p>
              </w:tc>
              <w:tc>
                <w:tcPr>
                  <w:tcW w:w="3974" w:type="dxa"/>
                  <w:gridSpan w:val="2"/>
                  <w:tcBorders>
                    <w:bottom w:val="single" w:color="000000" w:sz="4" w:space="0"/>
                    <w:tl2br w:val="nil"/>
                    <w:tr2bl w:val="nil"/>
                  </w:tcBorders>
                  <w:noWrap w:val="0"/>
                  <w:vAlign w:val="center"/>
                </w:tcPr>
                <w:p w14:paraId="344BF182">
                  <w:pPr>
                    <w:keepNext/>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w:t>
                  </w:r>
                  <w:r>
                    <w:rPr>
                      <w:rFonts w:hint="default" w:ascii="Times New Roman" w:hAnsi="Times New Roman" w:cs="Times New Roman"/>
                      <w:b/>
                      <w:bCs/>
                      <w:color w:val="auto"/>
                      <w:sz w:val="21"/>
                      <w:szCs w:val="21"/>
                      <w:highlight w:val="none"/>
                      <w:lang w:val="en-US" w:eastAsia="zh-CN"/>
                    </w:rPr>
                    <w:t>因子</w:t>
                  </w:r>
                </w:p>
              </w:tc>
              <w:tc>
                <w:tcPr>
                  <w:tcW w:w="1230" w:type="dxa"/>
                  <w:tcBorders>
                    <w:bottom w:val="single" w:color="000000" w:sz="4" w:space="0"/>
                    <w:tl2br w:val="nil"/>
                    <w:tr2bl w:val="nil"/>
                  </w:tcBorders>
                  <w:noWrap w:val="0"/>
                  <w:vAlign w:val="center"/>
                </w:tcPr>
                <w:p w14:paraId="42116960">
                  <w:pPr>
                    <w:keepNext/>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年平均浓度</w:t>
                  </w:r>
                </w:p>
              </w:tc>
              <w:tc>
                <w:tcPr>
                  <w:tcW w:w="1199" w:type="dxa"/>
                  <w:tcBorders>
                    <w:bottom w:val="single" w:color="000000" w:sz="4" w:space="0"/>
                    <w:tl2br w:val="nil"/>
                    <w:tr2bl w:val="nil"/>
                  </w:tcBorders>
                  <w:noWrap w:val="0"/>
                  <w:vAlign w:val="center"/>
                </w:tcPr>
                <w:p w14:paraId="7EF7FF68">
                  <w:pPr>
                    <w:keepNext/>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c>
                <w:tcPr>
                  <w:tcW w:w="960" w:type="dxa"/>
                  <w:tcBorders>
                    <w:bottom w:val="single" w:color="000000" w:sz="4" w:space="0"/>
                    <w:tl2br w:val="nil"/>
                    <w:tr2bl w:val="nil"/>
                  </w:tcBorders>
                  <w:noWrap w:val="0"/>
                  <w:vAlign w:val="center"/>
                </w:tcPr>
                <w:p w14:paraId="753F1FAF">
                  <w:pPr>
                    <w:keepNext/>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占标率（%）</w:t>
                  </w:r>
                </w:p>
              </w:tc>
              <w:tc>
                <w:tcPr>
                  <w:tcW w:w="1049" w:type="dxa"/>
                  <w:tcBorders>
                    <w:bottom w:val="single" w:color="000000" w:sz="4" w:space="0"/>
                    <w:tl2br w:val="nil"/>
                    <w:tr2bl w:val="nil"/>
                  </w:tcBorders>
                  <w:noWrap w:val="0"/>
                  <w:vAlign w:val="center"/>
                </w:tcPr>
                <w:p w14:paraId="01DF3217">
                  <w:pPr>
                    <w:keepNext/>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达标情况</w:t>
                  </w:r>
                </w:p>
              </w:tc>
            </w:tr>
            <w:tr w14:paraId="759AF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68" w:type="dxa"/>
                  <w:vMerge w:val="restart"/>
                  <w:tcBorders>
                    <w:top w:val="single" w:color="000000" w:sz="4" w:space="0"/>
                    <w:tl2br w:val="nil"/>
                    <w:tr2bl w:val="nil"/>
                  </w:tcBorders>
                  <w:noWrap w:val="0"/>
                  <w:vAlign w:val="center"/>
                </w:tcPr>
                <w:p w14:paraId="2E191362">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遂宁市</w:t>
                  </w:r>
                </w:p>
              </w:tc>
              <w:tc>
                <w:tcPr>
                  <w:tcW w:w="840" w:type="dxa"/>
                  <w:tcBorders>
                    <w:top w:val="single" w:color="000000" w:sz="4" w:space="0"/>
                    <w:tl2br w:val="nil"/>
                    <w:tr2bl w:val="nil"/>
                  </w:tcBorders>
                  <w:noWrap w:val="0"/>
                  <w:vAlign w:val="center"/>
                </w:tcPr>
                <w:p w14:paraId="2ABA71BB">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3134" w:type="dxa"/>
                  <w:tcBorders>
                    <w:top w:val="single" w:color="000000" w:sz="4" w:space="0"/>
                    <w:tl2br w:val="nil"/>
                    <w:tr2bl w:val="nil"/>
                  </w:tcBorders>
                  <w:noWrap w:val="0"/>
                  <w:vAlign w:val="center"/>
                </w:tcPr>
                <w:p w14:paraId="44C3B85D">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年均值</w:t>
                  </w:r>
                </w:p>
              </w:tc>
              <w:tc>
                <w:tcPr>
                  <w:tcW w:w="1230" w:type="dxa"/>
                  <w:tcBorders>
                    <w:top w:val="single" w:color="000000" w:sz="4" w:space="0"/>
                    <w:tl2br w:val="nil"/>
                    <w:tr2bl w:val="nil"/>
                  </w:tcBorders>
                  <w:noWrap w:val="0"/>
                  <w:vAlign w:val="center"/>
                </w:tcPr>
                <w:p w14:paraId="4F72B009">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9.6</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199" w:type="dxa"/>
                  <w:tcBorders>
                    <w:top w:val="single" w:color="000000" w:sz="4" w:space="0"/>
                    <w:tl2br w:val="nil"/>
                    <w:tr2bl w:val="nil"/>
                  </w:tcBorders>
                  <w:noWrap w:val="0"/>
                  <w:vAlign w:val="center"/>
                </w:tcPr>
                <w:p w14:paraId="2428E866">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60μg/m</w:t>
                  </w:r>
                  <w:r>
                    <w:rPr>
                      <w:rFonts w:hint="default" w:ascii="Times New Roman" w:hAnsi="Times New Roman" w:cs="Times New Roman"/>
                      <w:color w:val="auto"/>
                      <w:sz w:val="21"/>
                      <w:szCs w:val="21"/>
                      <w:highlight w:val="none"/>
                      <w:vertAlign w:val="superscript"/>
                    </w:rPr>
                    <w:t>3</w:t>
                  </w:r>
                </w:p>
              </w:tc>
              <w:tc>
                <w:tcPr>
                  <w:tcW w:w="960" w:type="dxa"/>
                  <w:tcBorders>
                    <w:top w:val="single" w:color="000000" w:sz="4" w:space="0"/>
                    <w:tl2br w:val="nil"/>
                    <w:tr2bl w:val="nil"/>
                  </w:tcBorders>
                  <w:noWrap w:val="0"/>
                  <w:vAlign w:val="center"/>
                </w:tcPr>
                <w:p w14:paraId="78491648">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049" w:type="dxa"/>
                  <w:tcBorders>
                    <w:top w:val="single" w:color="000000" w:sz="4" w:space="0"/>
                    <w:tl2br w:val="nil"/>
                    <w:tr2bl w:val="nil"/>
                  </w:tcBorders>
                  <w:noWrap w:val="0"/>
                  <w:vAlign w:val="center"/>
                </w:tcPr>
                <w:p w14:paraId="0747156C">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7C1DE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68" w:type="dxa"/>
                  <w:vMerge w:val="continue"/>
                  <w:tcBorders>
                    <w:tl2br w:val="nil"/>
                    <w:tr2bl w:val="nil"/>
                  </w:tcBorders>
                  <w:noWrap w:val="0"/>
                  <w:vAlign w:val="center"/>
                </w:tcPr>
                <w:p w14:paraId="0F6F8C97">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840" w:type="dxa"/>
                  <w:tcBorders>
                    <w:tl2br w:val="nil"/>
                    <w:tr2bl w:val="nil"/>
                  </w:tcBorders>
                  <w:noWrap w:val="0"/>
                  <w:vAlign w:val="center"/>
                </w:tcPr>
                <w:p w14:paraId="4D7F6B3F">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3134" w:type="dxa"/>
                  <w:tcBorders>
                    <w:tl2br w:val="nil"/>
                    <w:tr2bl w:val="nil"/>
                  </w:tcBorders>
                  <w:noWrap w:val="0"/>
                  <w:vAlign w:val="center"/>
                </w:tcPr>
                <w:p w14:paraId="5A91FC0C">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年均值</w:t>
                  </w:r>
                </w:p>
              </w:tc>
              <w:tc>
                <w:tcPr>
                  <w:tcW w:w="1230" w:type="dxa"/>
                  <w:tcBorders>
                    <w:tl2br w:val="nil"/>
                    <w:tr2bl w:val="nil"/>
                  </w:tcBorders>
                  <w:noWrap w:val="0"/>
                  <w:vAlign w:val="center"/>
                </w:tcPr>
                <w:p w14:paraId="651104D4">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20.5</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199" w:type="dxa"/>
                  <w:tcBorders>
                    <w:tl2br w:val="nil"/>
                    <w:tr2bl w:val="nil"/>
                  </w:tcBorders>
                  <w:noWrap w:val="0"/>
                  <w:vAlign w:val="center"/>
                </w:tcPr>
                <w:p w14:paraId="3337DEC2">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40μg/m</w:t>
                  </w:r>
                  <w:r>
                    <w:rPr>
                      <w:rFonts w:hint="default" w:ascii="Times New Roman" w:hAnsi="Times New Roman" w:cs="Times New Roman"/>
                      <w:color w:val="auto"/>
                      <w:sz w:val="21"/>
                      <w:szCs w:val="21"/>
                      <w:highlight w:val="none"/>
                      <w:vertAlign w:val="superscript"/>
                    </w:rPr>
                    <w:t>3</w:t>
                  </w:r>
                </w:p>
              </w:tc>
              <w:tc>
                <w:tcPr>
                  <w:tcW w:w="960" w:type="dxa"/>
                  <w:tcBorders>
                    <w:tl2br w:val="nil"/>
                    <w:tr2bl w:val="nil"/>
                  </w:tcBorders>
                  <w:noWrap w:val="0"/>
                  <w:vAlign w:val="center"/>
                </w:tcPr>
                <w:p w14:paraId="48D1256E">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1049" w:type="dxa"/>
                  <w:tcBorders>
                    <w:tl2br w:val="nil"/>
                    <w:tr2bl w:val="nil"/>
                  </w:tcBorders>
                  <w:noWrap w:val="0"/>
                  <w:vAlign w:val="center"/>
                </w:tcPr>
                <w:p w14:paraId="3A734274">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7AFB7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68" w:type="dxa"/>
                  <w:vMerge w:val="continue"/>
                  <w:tcBorders>
                    <w:tl2br w:val="nil"/>
                    <w:tr2bl w:val="nil"/>
                  </w:tcBorders>
                  <w:noWrap w:val="0"/>
                  <w:vAlign w:val="center"/>
                </w:tcPr>
                <w:p w14:paraId="59A35E38">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840" w:type="dxa"/>
                  <w:tcBorders>
                    <w:tl2br w:val="nil"/>
                    <w:tr2bl w:val="nil"/>
                  </w:tcBorders>
                  <w:noWrap w:val="0"/>
                  <w:vAlign w:val="center"/>
                </w:tcPr>
                <w:p w14:paraId="6EFAFF66">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3134" w:type="dxa"/>
                  <w:tcBorders>
                    <w:tl2br w:val="nil"/>
                    <w:tr2bl w:val="nil"/>
                  </w:tcBorders>
                  <w:noWrap w:val="0"/>
                  <w:vAlign w:val="center"/>
                </w:tcPr>
                <w:p w14:paraId="0B86DFEC">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24小时平均第95百分位数</w:t>
                  </w:r>
                </w:p>
              </w:tc>
              <w:tc>
                <w:tcPr>
                  <w:tcW w:w="1230" w:type="dxa"/>
                  <w:tcBorders>
                    <w:tl2br w:val="nil"/>
                    <w:tr2bl w:val="nil"/>
                  </w:tcBorders>
                  <w:noWrap w:val="0"/>
                  <w:vAlign w:val="center"/>
                </w:tcPr>
                <w:p w14:paraId="174BA8E1">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0.8</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1199" w:type="dxa"/>
                  <w:tcBorders>
                    <w:tl2br w:val="nil"/>
                    <w:tr2bl w:val="nil"/>
                  </w:tcBorders>
                  <w:noWrap w:val="0"/>
                  <w:vAlign w:val="center"/>
                </w:tcPr>
                <w:p w14:paraId="3345EB05">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4mg/m</w:t>
                  </w:r>
                  <w:r>
                    <w:rPr>
                      <w:rFonts w:hint="default" w:ascii="Times New Roman" w:hAnsi="Times New Roman" w:cs="Times New Roman"/>
                      <w:color w:val="auto"/>
                      <w:sz w:val="21"/>
                      <w:szCs w:val="21"/>
                      <w:highlight w:val="none"/>
                      <w:vertAlign w:val="superscript"/>
                    </w:rPr>
                    <w:t>3</w:t>
                  </w:r>
                </w:p>
              </w:tc>
              <w:tc>
                <w:tcPr>
                  <w:tcW w:w="960" w:type="dxa"/>
                  <w:tcBorders>
                    <w:tl2br w:val="nil"/>
                    <w:tr2bl w:val="nil"/>
                  </w:tcBorders>
                  <w:noWrap w:val="0"/>
                  <w:vAlign w:val="center"/>
                </w:tcPr>
                <w:p w14:paraId="5C94826C">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049" w:type="dxa"/>
                  <w:tcBorders>
                    <w:tl2br w:val="nil"/>
                    <w:tr2bl w:val="nil"/>
                  </w:tcBorders>
                  <w:noWrap w:val="0"/>
                  <w:vAlign w:val="center"/>
                </w:tcPr>
                <w:p w14:paraId="3F35DDB2">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6C6E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68" w:type="dxa"/>
                  <w:vMerge w:val="continue"/>
                  <w:tcBorders>
                    <w:tl2br w:val="nil"/>
                    <w:tr2bl w:val="nil"/>
                  </w:tcBorders>
                  <w:noWrap w:val="0"/>
                  <w:vAlign w:val="center"/>
                </w:tcPr>
                <w:p w14:paraId="66660806">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840" w:type="dxa"/>
                  <w:tcBorders>
                    <w:tl2br w:val="nil"/>
                    <w:tr2bl w:val="nil"/>
                  </w:tcBorders>
                  <w:noWrap w:val="0"/>
                  <w:vAlign w:val="center"/>
                </w:tcPr>
                <w:p w14:paraId="7AF9ECCA">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3134" w:type="dxa"/>
                  <w:tcBorders>
                    <w:tl2br w:val="nil"/>
                    <w:tr2bl w:val="nil"/>
                  </w:tcBorders>
                  <w:noWrap w:val="0"/>
                  <w:vAlign w:val="center"/>
                </w:tcPr>
                <w:p w14:paraId="0A9DD480">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日最大8小时滑动平均第90百分位数</w:t>
                  </w:r>
                </w:p>
              </w:tc>
              <w:tc>
                <w:tcPr>
                  <w:tcW w:w="1230" w:type="dxa"/>
                  <w:tcBorders>
                    <w:tl2br w:val="nil"/>
                    <w:tr2bl w:val="nil"/>
                  </w:tcBorders>
                  <w:noWrap w:val="0"/>
                  <w:vAlign w:val="center"/>
                </w:tcPr>
                <w:p w14:paraId="45DEA843">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143.5</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199" w:type="dxa"/>
                  <w:tcBorders>
                    <w:tl2br w:val="nil"/>
                    <w:tr2bl w:val="nil"/>
                  </w:tcBorders>
                  <w:noWrap w:val="0"/>
                  <w:vAlign w:val="center"/>
                </w:tcPr>
                <w:p w14:paraId="6AFF6A48">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160μg/m</w:t>
                  </w:r>
                  <w:r>
                    <w:rPr>
                      <w:rFonts w:hint="default" w:ascii="Times New Roman" w:hAnsi="Times New Roman" w:cs="Times New Roman"/>
                      <w:color w:val="auto"/>
                      <w:sz w:val="21"/>
                      <w:szCs w:val="21"/>
                      <w:highlight w:val="none"/>
                      <w:vertAlign w:val="superscript"/>
                    </w:rPr>
                    <w:t>3</w:t>
                  </w:r>
                </w:p>
              </w:tc>
              <w:tc>
                <w:tcPr>
                  <w:tcW w:w="960" w:type="dxa"/>
                  <w:tcBorders>
                    <w:tl2br w:val="nil"/>
                    <w:tr2bl w:val="nil"/>
                  </w:tcBorders>
                  <w:noWrap w:val="0"/>
                  <w:vAlign w:val="center"/>
                </w:tcPr>
                <w:p w14:paraId="322BCE53">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89</w:t>
                  </w:r>
                </w:p>
              </w:tc>
              <w:tc>
                <w:tcPr>
                  <w:tcW w:w="1049" w:type="dxa"/>
                  <w:tcBorders>
                    <w:tl2br w:val="nil"/>
                    <w:tr2bl w:val="nil"/>
                  </w:tcBorders>
                  <w:noWrap w:val="0"/>
                  <w:vAlign w:val="center"/>
                </w:tcPr>
                <w:p w14:paraId="216840C5">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4DB6C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68" w:type="dxa"/>
                  <w:vMerge w:val="continue"/>
                  <w:tcBorders>
                    <w:tl2br w:val="nil"/>
                    <w:tr2bl w:val="nil"/>
                  </w:tcBorders>
                  <w:noWrap w:val="0"/>
                  <w:vAlign w:val="center"/>
                </w:tcPr>
                <w:p w14:paraId="68BC59AC">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840" w:type="dxa"/>
                  <w:tcBorders>
                    <w:tl2br w:val="nil"/>
                    <w:tr2bl w:val="nil"/>
                  </w:tcBorders>
                  <w:noWrap w:val="0"/>
                  <w:vAlign w:val="center"/>
                </w:tcPr>
                <w:p w14:paraId="74BF500C">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3134" w:type="dxa"/>
                  <w:tcBorders>
                    <w:tl2br w:val="nil"/>
                    <w:tr2bl w:val="nil"/>
                  </w:tcBorders>
                  <w:noWrap w:val="0"/>
                  <w:vAlign w:val="center"/>
                </w:tcPr>
                <w:p w14:paraId="02D2ECF9">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年均值</w:t>
                  </w:r>
                </w:p>
              </w:tc>
              <w:tc>
                <w:tcPr>
                  <w:tcW w:w="1230" w:type="dxa"/>
                  <w:tcBorders>
                    <w:tl2br w:val="nil"/>
                    <w:tr2bl w:val="nil"/>
                  </w:tcBorders>
                  <w:noWrap w:val="0"/>
                  <w:vAlign w:val="center"/>
                </w:tcPr>
                <w:p w14:paraId="790D7484">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46</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199" w:type="dxa"/>
                  <w:tcBorders>
                    <w:tl2br w:val="nil"/>
                    <w:tr2bl w:val="nil"/>
                  </w:tcBorders>
                  <w:noWrap w:val="0"/>
                  <w:vAlign w:val="center"/>
                </w:tcPr>
                <w:p w14:paraId="14D5324E">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70μg/m</w:t>
                  </w:r>
                  <w:r>
                    <w:rPr>
                      <w:rFonts w:hint="default" w:ascii="Times New Roman" w:hAnsi="Times New Roman" w:cs="Times New Roman"/>
                      <w:color w:val="auto"/>
                      <w:sz w:val="21"/>
                      <w:szCs w:val="21"/>
                      <w:highlight w:val="none"/>
                      <w:vertAlign w:val="superscript"/>
                    </w:rPr>
                    <w:t>3</w:t>
                  </w:r>
                </w:p>
              </w:tc>
              <w:tc>
                <w:tcPr>
                  <w:tcW w:w="960" w:type="dxa"/>
                  <w:tcBorders>
                    <w:tl2br w:val="nil"/>
                    <w:tr2bl w:val="nil"/>
                  </w:tcBorders>
                  <w:noWrap w:val="0"/>
                  <w:vAlign w:val="center"/>
                </w:tcPr>
                <w:p w14:paraId="336037B6">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66</w:t>
                  </w:r>
                </w:p>
              </w:tc>
              <w:tc>
                <w:tcPr>
                  <w:tcW w:w="1049" w:type="dxa"/>
                  <w:tcBorders>
                    <w:tl2br w:val="nil"/>
                    <w:tr2bl w:val="nil"/>
                  </w:tcBorders>
                  <w:noWrap w:val="0"/>
                  <w:vAlign w:val="center"/>
                </w:tcPr>
                <w:p w14:paraId="24D2353D">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43285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68" w:type="dxa"/>
                  <w:vMerge w:val="continue"/>
                  <w:tcBorders>
                    <w:tl2br w:val="nil"/>
                    <w:tr2bl w:val="nil"/>
                  </w:tcBorders>
                  <w:noWrap w:val="0"/>
                  <w:vAlign w:val="center"/>
                </w:tcPr>
                <w:p w14:paraId="5009F84D">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840" w:type="dxa"/>
                  <w:tcBorders>
                    <w:tl2br w:val="nil"/>
                    <w:tr2bl w:val="nil"/>
                  </w:tcBorders>
                  <w:noWrap w:val="0"/>
                  <w:vAlign w:val="center"/>
                </w:tcPr>
                <w:p w14:paraId="3616B76C">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3134" w:type="dxa"/>
                  <w:tcBorders>
                    <w:tl2br w:val="nil"/>
                    <w:tr2bl w:val="nil"/>
                  </w:tcBorders>
                  <w:noWrap w:val="0"/>
                  <w:vAlign w:val="center"/>
                </w:tcPr>
                <w:p w14:paraId="5221119C">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年均值</w:t>
                  </w:r>
                </w:p>
              </w:tc>
              <w:tc>
                <w:tcPr>
                  <w:tcW w:w="1230" w:type="dxa"/>
                  <w:tcBorders>
                    <w:tl2br w:val="nil"/>
                    <w:tr2bl w:val="nil"/>
                  </w:tcBorders>
                  <w:noWrap w:val="0"/>
                  <w:vAlign w:val="center"/>
                </w:tcPr>
                <w:p w14:paraId="3FE7E58B">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26.5</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199" w:type="dxa"/>
                  <w:tcBorders>
                    <w:tl2br w:val="nil"/>
                    <w:tr2bl w:val="nil"/>
                  </w:tcBorders>
                  <w:noWrap w:val="0"/>
                  <w:vAlign w:val="center"/>
                </w:tcPr>
                <w:p w14:paraId="07F20640">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35μg/m</w:t>
                  </w:r>
                  <w:r>
                    <w:rPr>
                      <w:rFonts w:hint="default" w:ascii="Times New Roman" w:hAnsi="Times New Roman" w:cs="Times New Roman"/>
                      <w:color w:val="auto"/>
                      <w:sz w:val="21"/>
                      <w:szCs w:val="21"/>
                      <w:highlight w:val="none"/>
                      <w:vertAlign w:val="superscript"/>
                    </w:rPr>
                    <w:t>3</w:t>
                  </w:r>
                </w:p>
              </w:tc>
              <w:tc>
                <w:tcPr>
                  <w:tcW w:w="960" w:type="dxa"/>
                  <w:tcBorders>
                    <w:tl2br w:val="nil"/>
                    <w:tr2bl w:val="nil"/>
                  </w:tcBorders>
                  <w:noWrap w:val="0"/>
                  <w:vAlign w:val="center"/>
                </w:tcPr>
                <w:p w14:paraId="14CB391F">
                  <w:pPr>
                    <w:keepNext/>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76</w:t>
                  </w:r>
                </w:p>
              </w:tc>
              <w:tc>
                <w:tcPr>
                  <w:tcW w:w="1049" w:type="dxa"/>
                  <w:tcBorders>
                    <w:tl2br w:val="nil"/>
                    <w:tr2bl w:val="nil"/>
                  </w:tcBorders>
                  <w:noWrap w:val="0"/>
                  <w:vAlign w:val="center"/>
                </w:tcPr>
                <w:p w14:paraId="5CA99BC5">
                  <w:pPr>
                    <w:keepNext/>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rPr>
                    <w:t>达标</w:t>
                  </w:r>
                </w:p>
              </w:tc>
            </w:tr>
          </w:tbl>
          <w:p w14:paraId="74753859">
            <w:pPr>
              <w:keepNext/>
              <w:autoSpaceDE/>
              <w:autoSpaceDN/>
              <w:adjustRightInd w:val="0"/>
              <w:snapToGrid w:val="0"/>
              <w:spacing w:before="120" w:beforeLines="5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bidi="ar"/>
              </w:rPr>
              <w:t>本项目所在区域为</w:t>
            </w:r>
            <w:r>
              <w:rPr>
                <w:rFonts w:hint="eastAsia" w:cs="Times New Roman"/>
                <w:color w:val="auto"/>
                <w:kern w:val="0"/>
                <w:sz w:val="24"/>
                <w:highlight w:val="none"/>
                <w:lang w:eastAsia="zh-CN" w:bidi="ar"/>
              </w:rPr>
              <w:t>遂宁市</w:t>
            </w:r>
            <w:r>
              <w:rPr>
                <w:rFonts w:hint="default" w:ascii="Times New Roman" w:hAnsi="Times New Roman" w:eastAsia="宋体" w:cs="Times New Roman"/>
                <w:color w:val="auto"/>
                <w:kern w:val="0"/>
                <w:sz w:val="24"/>
                <w:highlight w:val="none"/>
                <w:lang w:bidi="ar"/>
              </w:rPr>
              <w:t>，所在环境功能区为二类</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cs="Times New Roman"/>
                <w:color w:val="auto"/>
                <w:kern w:val="0"/>
                <w:sz w:val="24"/>
                <w:highlight w:val="none"/>
              </w:rPr>
              <w:t>根据质量公报所描述，</w:t>
            </w:r>
            <w:r>
              <w:rPr>
                <w:rFonts w:hint="eastAsia" w:cs="Times New Roman"/>
                <w:color w:val="auto"/>
                <w:kern w:val="0"/>
                <w:sz w:val="24"/>
                <w:highlight w:val="none"/>
                <w:lang w:val="en-US" w:eastAsia="zh-CN"/>
              </w:rPr>
              <w:t>遂宁市</w:t>
            </w:r>
            <w:r>
              <w:rPr>
                <w:rFonts w:hint="default" w:ascii="Times New Roman" w:hAnsi="Times New Roman" w:cs="Times New Roman"/>
                <w:color w:val="auto"/>
                <w:kern w:val="0"/>
                <w:sz w:val="24"/>
                <w:highlight w:val="none"/>
                <w:lang w:val="en-US" w:eastAsia="zh-CN"/>
              </w:rPr>
              <w:t>属于达标区</w:t>
            </w:r>
            <w:r>
              <w:rPr>
                <w:rFonts w:hint="default" w:ascii="Times New Roman" w:hAnsi="Times New Roman" w:cs="Times New Roman"/>
                <w:color w:val="auto"/>
                <w:kern w:val="0"/>
                <w:sz w:val="24"/>
                <w:highlight w:val="none"/>
              </w:rPr>
              <w:t>。</w:t>
            </w:r>
          </w:p>
          <w:p w14:paraId="6864535F">
            <w:pPr>
              <w:keepNext/>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w:t>
            </w:r>
            <w:r>
              <w:rPr>
                <w:rFonts w:hint="eastAsia" w:cs="Times New Roman"/>
                <w:b/>
                <w:bCs/>
                <w:color w:val="auto"/>
                <w:kern w:val="0"/>
                <w:sz w:val="24"/>
                <w:highlight w:val="none"/>
                <w:lang w:val="en-US" w:eastAsia="zh-CN"/>
              </w:rPr>
              <w:t>2</w:t>
            </w:r>
            <w:r>
              <w:rPr>
                <w:rFonts w:hint="default" w:ascii="Times New Roman" w:hAnsi="Times New Roman" w:cs="Times New Roman"/>
                <w:b/>
                <w:bCs/>
                <w:color w:val="auto"/>
                <w:kern w:val="0"/>
                <w:sz w:val="24"/>
                <w:highlight w:val="none"/>
              </w:rPr>
              <w:t>）特征污染物</w:t>
            </w:r>
          </w:p>
          <w:p w14:paraId="174A7E99">
            <w:pPr>
              <w:pStyle w:val="100"/>
              <w:autoSpaceDE/>
              <w:autoSpaceDN/>
              <w:adjustRightInd/>
              <w:snapToGrid/>
              <w:ind w:firstLine="480"/>
              <w:rPr>
                <w:rFonts w:hint="default" w:cs="Times New Roman"/>
                <w:color w:val="auto"/>
                <w:highlight w:val="none"/>
                <w:lang w:val="en-US" w:eastAsia="zh-CN"/>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特征因子为</w:t>
            </w:r>
            <w:r>
              <w:rPr>
                <w:rFonts w:hint="eastAsia" w:cs="Times New Roman"/>
                <w:color w:val="auto"/>
                <w:highlight w:val="none"/>
                <w:lang w:val="en-US" w:eastAsia="zh-CN"/>
              </w:rPr>
              <w:t>TSP。</w:t>
            </w:r>
          </w:p>
          <w:p w14:paraId="0932226B">
            <w:pPr>
              <w:pStyle w:val="100"/>
              <w:autoSpaceDE/>
              <w:autoSpaceDN/>
              <w:adjustRightInd/>
              <w:snapToGrid/>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报告表编制技术指南（污染影响类）（试行）》中有关特征污染物环境质量现状数据的规定：排放国家、地方环境空气质量标准中有标准限值要求的特征污染物时，引用建设项目周边5千米范围内近3年的现有监测数据，无相关数据的选择当季主导风向下风向1个点位补充不少于3天的监测数据。</w:t>
            </w:r>
          </w:p>
          <w:p w14:paraId="4234041B">
            <w:pPr>
              <w:pStyle w:val="100"/>
              <w:autoSpaceDE/>
              <w:autoSpaceDN/>
              <w:adjustRightInd/>
              <w:snapToGrid/>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本项目特征污染因子</w:t>
            </w:r>
            <w:r>
              <w:rPr>
                <w:rFonts w:hint="eastAsia" w:cs="Times New Roman"/>
                <w:color w:val="auto"/>
                <w:highlight w:val="none"/>
                <w:lang w:val="en-US" w:eastAsia="zh-CN"/>
              </w:rPr>
              <w:t>TSP</w:t>
            </w:r>
            <w:r>
              <w:rPr>
                <w:rFonts w:hint="eastAsia" w:ascii="Times New Roman" w:hAnsi="Times New Roman" w:cs="Times New Roman"/>
                <w:color w:val="auto"/>
                <w:highlight w:val="none"/>
                <w:lang w:val="en-US" w:eastAsia="zh-CN"/>
              </w:rPr>
              <w:t>由四川锡水金山环保科技有限公司</w:t>
            </w:r>
            <w:r>
              <w:rPr>
                <w:rFonts w:hint="default" w:ascii="Times New Roman" w:hAnsi="Times New Roman" w:cs="Times New Roman"/>
                <w:color w:val="auto"/>
                <w:highlight w:val="none"/>
                <w:lang w:val="en-US" w:eastAsia="zh-CN"/>
              </w:rPr>
              <w:t>于</w:t>
            </w:r>
            <w:r>
              <w:rPr>
                <w:rFonts w:hint="eastAsia" w:cs="Times New Roman"/>
                <w:color w:val="auto"/>
                <w:highlight w:val="none"/>
                <w:lang w:val="en-US" w:eastAsia="zh-CN"/>
              </w:rPr>
              <w:t>2025年5月3日～5月5日</w:t>
            </w:r>
            <w:r>
              <w:rPr>
                <w:rFonts w:hint="default" w:ascii="Times New Roman" w:hAnsi="Times New Roman" w:cs="Times New Roman"/>
                <w:color w:val="auto"/>
                <w:highlight w:val="none"/>
                <w:lang w:val="en-US" w:eastAsia="zh-CN"/>
              </w:rPr>
              <w:t>对“遂宁市安居区果蔬和冻干副食品建设项目</w:t>
            </w:r>
            <w:r>
              <w:rPr>
                <w:rFonts w:hint="eastAsia" w:cs="Times New Roman"/>
                <w:color w:val="auto"/>
                <w:highlight w:val="none"/>
                <w:lang w:val="en-US" w:eastAsia="zh-CN"/>
              </w:rPr>
              <w:t>”进行了</w:t>
            </w:r>
            <w:r>
              <w:rPr>
                <w:rFonts w:hint="eastAsia" w:ascii="Times New Roman" w:hAnsi="Times New Roman" w:cs="Times New Roman"/>
                <w:color w:val="auto"/>
                <w:highlight w:val="none"/>
                <w:lang w:val="en-US" w:eastAsia="zh-CN"/>
              </w:rPr>
              <w:t>环境质量现状检测</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根据其检测报告监测</w:t>
            </w:r>
            <w:r>
              <w:rPr>
                <w:rFonts w:hint="default" w:ascii="Times New Roman" w:hAnsi="Times New Roman" w:cs="Times New Roman"/>
                <w:color w:val="auto"/>
                <w:highlight w:val="none"/>
                <w:lang w:val="en-US" w:eastAsia="zh-CN"/>
              </w:rPr>
              <w:t>数据（锡环检字（2025）第0437101号）</w:t>
            </w:r>
            <w:r>
              <w:rPr>
                <w:rFonts w:hint="default" w:ascii="Times New Roman" w:hAnsi="Times New Roman" w:cs="Times New Roman"/>
                <w:color w:val="auto"/>
                <w:highlight w:val="none"/>
              </w:rPr>
              <w:t>，监测结果如下：</w:t>
            </w:r>
          </w:p>
          <w:p w14:paraId="17D52681">
            <w:pPr>
              <w:pStyle w:val="100"/>
              <w:autoSpaceDE/>
              <w:autoSpaceDN/>
              <w:adjustRightInd/>
              <w:snapToGrid/>
              <w:ind w:firstLine="48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①检测项目及结果</w:t>
            </w:r>
          </w:p>
          <w:p w14:paraId="5FDB1BAB">
            <w:pPr>
              <w:pStyle w:val="100"/>
              <w:autoSpaceDE/>
              <w:autoSpaceDN/>
              <w:adjustRightInd/>
              <w:snapToGrid/>
              <w:ind w:firstLine="480"/>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检测项目详细信息见下表。</w:t>
            </w:r>
          </w:p>
          <w:p w14:paraId="4C23AE15">
            <w:pPr>
              <w:pStyle w:val="14"/>
              <w:bidi w:val="0"/>
              <w:rPr>
                <w:rFonts w:hint="default"/>
                <w:color w:val="auto"/>
                <w:highlight w:val="none"/>
                <w:lang w:val="en-US" w:eastAsia="zh-CN"/>
              </w:rPr>
            </w:pPr>
            <w:r>
              <w:rPr>
                <w:rFonts w:hint="default"/>
                <w:color w:val="auto"/>
                <w:highlight w:val="none"/>
                <w:lang w:val="en-US" w:eastAsia="zh-CN"/>
              </w:rPr>
              <w:t>表3-</w:t>
            </w:r>
            <w:r>
              <w:rPr>
                <w:rFonts w:hint="default"/>
                <w:color w:val="auto"/>
                <w:highlight w:val="none"/>
                <w:lang w:val="en-US" w:eastAsia="zh-CN"/>
              </w:rPr>
              <w:fldChar w:fldCharType="begin"/>
            </w:r>
            <w:r>
              <w:rPr>
                <w:rFonts w:hint="default"/>
                <w:color w:val="auto"/>
                <w:highlight w:val="none"/>
                <w:lang w:val="en-US" w:eastAsia="zh-CN"/>
              </w:rPr>
              <w:instrText xml:space="preserve"> SEQ 表3- \* ARABIC </w:instrText>
            </w:r>
            <w:r>
              <w:rPr>
                <w:rFonts w:hint="default"/>
                <w:color w:val="auto"/>
                <w:highlight w:val="none"/>
                <w:lang w:val="en-US" w:eastAsia="zh-CN"/>
              </w:rPr>
              <w:fldChar w:fldCharType="separate"/>
            </w:r>
            <w:r>
              <w:rPr>
                <w:rFonts w:hint="default"/>
                <w:color w:val="auto"/>
                <w:highlight w:val="none"/>
                <w:lang w:val="en-US" w:eastAsia="zh-CN"/>
              </w:rPr>
              <w:t>2</w:t>
            </w:r>
            <w:r>
              <w:rPr>
                <w:rFonts w:hint="default"/>
                <w:color w:val="auto"/>
                <w:highlight w:val="none"/>
                <w:lang w:val="en-US" w:eastAsia="zh-CN"/>
              </w:rPr>
              <w:fldChar w:fldCharType="end"/>
            </w:r>
            <w:r>
              <w:rPr>
                <w:rFonts w:hint="eastAsia"/>
                <w:color w:val="auto"/>
                <w:highlight w:val="none"/>
                <w:lang w:val="en-US" w:eastAsia="zh-CN"/>
              </w:rPr>
              <w:t xml:space="preserve">  </w:t>
            </w:r>
            <w:r>
              <w:rPr>
                <w:rFonts w:hint="default"/>
                <w:color w:val="auto"/>
                <w:highlight w:val="none"/>
                <w:lang w:val="en-US" w:eastAsia="zh-CN"/>
              </w:rPr>
              <w:t>环境空气检测项目信息</w:t>
            </w:r>
          </w:p>
          <w:tbl>
            <w:tblPr>
              <w:tblStyle w:val="101"/>
              <w:tblW w:w="4995"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703"/>
              <w:gridCol w:w="1201"/>
              <w:gridCol w:w="2667"/>
              <w:gridCol w:w="2600"/>
            </w:tblGrid>
            <w:tr w14:paraId="56C29D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2702" w:type="dxa"/>
                  <w:tcBorders>
                    <w:tl2br w:val="nil"/>
                    <w:tr2bl w:val="nil"/>
                  </w:tcBorders>
                  <w:noWrap w:val="0"/>
                  <w:vAlign w:val="center"/>
                </w:tcPr>
                <w:p w14:paraId="6EBFA939">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检测点位</w:t>
                  </w:r>
                </w:p>
              </w:tc>
              <w:tc>
                <w:tcPr>
                  <w:tcW w:w="1200" w:type="dxa"/>
                  <w:tcBorders>
                    <w:tl2br w:val="nil"/>
                    <w:tr2bl w:val="nil"/>
                  </w:tcBorders>
                  <w:noWrap w:val="0"/>
                  <w:vAlign w:val="center"/>
                </w:tcPr>
                <w:p w14:paraId="1E9AB116">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点位编号</w:t>
                  </w:r>
                </w:p>
              </w:tc>
              <w:tc>
                <w:tcPr>
                  <w:tcW w:w="2666" w:type="dxa"/>
                  <w:tcBorders>
                    <w:tl2br w:val="nil"/>
                    <w:tr2bl w:val="nil"/>
                  </w:tcBorders>
                  <w:noWrap w:val="0"/>
                  <w:vAlign w:val="center"/>
                </w:tcPr>
                <w:p w14:paraId="37B0768C">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检测项目</w:t>
                  </w:r>
                </w:p>
              </w:tc>
              <w:tc>
                <w:tcPr>
                  <w:tcW w:w="2599" w:type="dxa"/>
                  <w:tcBorders>
                    <w:tl2br w:val="nil"/>
                    <w:tr2bl w:val="nil"/>
                  </w:tcBorders>
                  <w:noWrap w:val="0"/>
                  <w:vAlign w:val="center"/>
                </w:tcPr>
                <w:p w14:paraId="57B23BD7">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检测频次</w:t>
                  </w:r>
                </w:p>
              </w:tc>
            </w:tr>
            <w:tr w14:paraId="175553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1" w:hRule="atLeast"/>
                <w:jc w:val="center"/>
              </w:trPr>
              <w:tc>
                <w:tcPr>
                  <w:tcW w:w="2702" w:type="dxa"/>
                  <w:tcBorders>
                    <w:tl2br w:val="nil"/>
                    <w:tr2bl w:val="nil"/>
                  </w:tcBorders>
                  <w:noWrap w:val="0"/>
                  <w:vAlign w:val="center"/>
                </w:tcPr>
                <w:p w14:paraId="5E4C1AA0">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项目厂界外南侧</w:t>
                  </w:r>
                </w:p>
              </w:tc>
              <w:tc>
                <w:tcPr>
                  <w:tcW w:w="1200" w:type="dxa"/>
                  <w:tcBorders>
                    <w:tl2br w:val="nil"/>
                    <w:tr2bl w:val="nil"/>
                  </w:tcBorders>
                  <w:noWrap w:val="0"/>
                  <w:vAlign w:val="center"/>
                </w:tcPr>
                <w:p w14:paraId="70E04E95">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w:t>
                  </w:r>
                </w:p>
              </w:tc>
              <w:tc>
                <w:tcPr>
                  <w:tcW w:w="2666" w:type="dxa"/>
                  <w:tcBorders>
                    <w:tl2br w:val="nil"/>
                    <w:tr2bl w:val="nil"/>
                  </w:tcBorders>
                  <w:shd w:val="clear" w:color="auto" w:fill="auto"/>
                  <w:noWrap w:val="0"/>
                  <w:vAlign w:val="center"/>
                </w:tcPr>
                <w:p w14:paraId="7C774F71">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TSP</w:t>
                  </w:r>
                </w:p>
              </w:tc>
              <w:tc>
                <w:tcPr>
                  <w:tcW w:w="2599" w:type="dxa"/>
                  <w:tcBorders>
                    <w:tl2br w:val="nil"/>
                    <w:tr2bl w:val="nil"/>
                  </w:tcBorders>
                  <w:shd w:val="clear" w:color="auto" w:fill="auto"/>
                  <w:noWrap w:val="0"/>
                  <w:vAlign w:val="center"/>
                </w:tcPr>
                <w:p w14:paraId="25B4FCB4">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1天1次（24h）</w:t>
                  </w:r>
                  <w:r>
                    <w:rPr>
                      <w:rFonts w:hint="default" w:ascii="Times New Roman" w:hAnsi="Times New Roman" w:eastAsia="宋体" w:cs="Times New Roman"/>
                      <w:color w:val="auto"/>
                      <w:kern w:val="2"/>
                      <w:sz w:val="21"/>
                      <w:szCs w:val="24"/>
                      <w:highlight w:val="none"/>
                      <w:lang w:val="en-US" w:eastAsia="zh-CN" w:bidi="ar-SA"/>
                    </w:rPr>
                    <w:t>，检测3天</w:t>
                  </w:r>
                </w:p>
              </w:tc>
            </w:tr>
          </w:tbl>
          <w:p w14:paraId="4755FC24">
            <w:pPr>
              <w:pStyle w:val="100"/>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cs="Times New Roman"/>
                <w:color w:val="auto"/>
                <w:spacing w:val="-2"/>
                <w:highlight w:val="none"/>
                <w:lang w:val="en-US" w:eastAsia="zh-CN"/>
              </w:rPr>
            </w:pPr>
            <w:r>
              <w:rPr>
                <w:rFonts w:hint="default" w:ascii="Times New Roman" w:hAnsi="Times New Roman" w:cs="Times New Roman"/>
                <w:color w:val="auto"/>
                <w:spacing w:val="-2"/>
                <w:highlight w:val="none"/>
                <w:lang w:val="en-US" w:eastAsia="zh-CN"/>
              </w:rPr>
              <w:t>检测项目检测结果及评价见下表：</w:t>
            </w:r>
          </w:p>
          <w:p w14:paraId="579D1356">
            <w:pPr>
              <w:pStyle w:val="14"/>
              <w:bidi w:val="0"/>
              <w:rPr>
                <w:rFonts w:hint="default"/>
                <w:color w:val="auto"/>
                <w:highlight w:val="none"/>
                <w:lang w:val="en-US" w:eastAsia="zh-CN"/>
              </w:rPr>
            </w:pPr>
            <w:r>
              <w:rPr>
                <w:rFonts w:hint="default"/>
                <w:color w:val="auto"/>
                <w:highlight w:val="none"/>
                <w:lang w:val="en-US" w:eastAsia="zh-CN"/>
              </w:rPr>
              <w:t>表3-</w:t>
            </w:r>
            <w:r>
              <w:rPr>
                <w:rFonts w:hint="default"/>
                <w:color w:val="auto"/>
                <w:highlight w:val="none"/>
                <w:lang w:val="en-US" w:eastAsia="zh-CN"/>
              </w:rPr>
              <w:fldChar w:fldCharType="begin"/>
            </w:r>
            <w:r>
              <w:rPr>
                <w:rFonts w:hint="default"/>
                <w:color w:val="auto"/>
                <w:highlight w:val="none"/>
                <w:lang w:val="en-US" w:eastAsia="zh-CN"/>
              </w:rPr>
              <w:instrText xml:space="preserve"> SEQ 表3- \* ARABIC </w:instrText>
            </w:r>
            <w:r>
              <w:rPr>
                <w:rFonts w:hint="default"/>
                <w:color w:val="auto"/>
                <w:highlight w:val="none"/>
                <w:lang w:val="en-US" w:eastAsia="zh-CN"/>
              </w:rPr>
              <w:fldChar w:fldCharType="separate"/>
            </w:r>
            <w:r>
              <w:rPr>
                <w:rFonts w:hint="default"/>
                <w:color w:val="auto"/>
                <w:highlight w:val="none"/>
                <w:lang w:val="en-US" w:eastAsia="zh-CN"/>
              </w:rPr>
              <w:t>3</w:t>
            </w:r>
            <w:r>
              <w:rPr>
                <w:rFonts w:hint="default"/>
                <w:color w:val="auto"/>
                <w:highlight w:val="none"/>
                <w:lang w:val="en-US" w:eastAsia="zh-CN"/>
              </w:rPr>
              <w:fldChar w:fldCharType="end"/>
            </w:r>
            <w:r>
              <w:rPr>
                <w:rFonts w:hint="eastAsia"/>
                <w:color w:val="auto"/>
                <w:highlight w:val="none"/>
                <w:lang w:val="en-US" w:eastAsia="zh-CN"/>
              </w:rPr>
              <w:t xml:space="preserve">  </w:t>
            </w:r>
            <w:r>
              <w:rPr>
                <w:rFonts w:hint="default"/>
                <w:color w:val="auto"/>
                <w:highlight w:val="none"/>
                <w:lang w:val="en-US" w:eastAsia="zh-CN"/>
              </w:rPr>
              <w:t>项目大气特征污染物现状监测结果</w:t>
            </w:r>
          </w:p>
          <w:tbl>
            <w:tblPr>
              <w:tblStyle w:val="10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05"/>
              <w:gridCol w:w="1118"/>
              <w:gridCol w:w="1262"/>
              <w:gridCol w:w="4276"/>
              <w:gridCol w:w="1001"/>
              <w:gridCol w:w="519"/>
            </w:tblGrid>
            <w:tr w14:paraId="7675A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1004" w:type="dxa"/>
                  <w:vMerge w:val="restart"/>
                  <w:tcBorders>
                    <w:tl2br w:val="nil"/>
                    <w:tr2bl w:val="nil"/>
                  </w:tcBorders>
                  <w:noWrap w:val="0"/>
                  <w:vAlign w:val="center"/>
                </w:tcPr>
                <w:p w14:paraId="5A63E17D">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检测点位</w:t>
                  </w:r>
                </w:p>
              </w:tc>
              <w:tc>
                <w:tcPr>
                  <w:tcW w:w="1117" w:type="dxa"/>
                  <w:vMerge w:val="restart"/>
                  <w:tcBorders>
                    <w:tl2br w:val="nil"/>
                    <w:tr2bl w:val="nil"/>
                  </w:tcBorders>
                  <w:noWrap w:val="0"/>
                  <w:vAlign w:val="center"/>
                </w:tcPr>
                <w:p w14:paraId="170BD574">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检测项目</w:t>
                  </w:r>
                </w:p>
              </w:tc>
              <w:tc>
                <w:tcPr>
                  <w:tcW w:w="1261" w:type="dxa"/>
                  <w:vMerge w:val="restart"/>
                  <w:tcBorders>
                    <w:tl2br w:val="nil"/>
                    <w:tr2bl w:val="nil"/>
                  </w:tcBorders>
                  <w:noWrap w:val="0"/>
                  <w:vAlign w:val="center"/>
                </w:tcPr>
                <w:p w14:paraId="2ABBD1A6">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采样日期</w:t>
                  </w:r>
                </w:p>
              </w:tc>
              <w:tc>
                <w:tcPr>
                  <w:tcW w:w="4271" w:type="dxa"/>
                  <w:tcBorders>
                    <w:tl2br w:val="nil"/>
                    <w:tr2bl w:val="nil"/>
                  </w:tcBorders>
                  <w:noWrap w:val="0"/>
                  <w:vAlign w:val="center"/>
                </w:tcPr>
                <w:p w14:paraId="36BE7AB7">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检测结果</w:t>
                  </w:r>
                  <w:r>
                    <w:rPr>
                      <w:rFonts w:hint="eastAsia" w:ascii="Times New Roman" w:hAnsi="Times New Roman" w:eastAsia="宋体" w:cs="Times New Roman"/>
                      <w:b/>
                      <w:bCs/>
                      <w:color w:val="auto"/>
                      <w:kern w:val="2"/>
                      <w:sz w:val="21"/>
                      <w:szCs w:val="24"/>
                      <w:highlight w:val="none"/>
                      <w:lang w:val="en-US" w:eastAsia="zh-CN" w:bidi="ar-SA"/>
                    </w:rPr>
                    <w:t>（mg/m</w:t>
                  </w:r>
                  <w:r>
                    <w:rPr>
                      <w:rFonts w:hint="eastAsia" w:ascii="Times New Roman" w:hAnsi="Times New Roman" w:eastAsia="宋体" w:cs="Times New Roman"/>
                      <w:b/>
                      <w:bCs/>
                      <w:color w:val="auto"/>
                      <w:kern w:val="2"/>
                      <w:sz w:val="21"/>
                      <w:szCs w:val="24"/>
                      <w:highlight w:val="none"/>
                      <w:vertAlign w:val="superscript"/>
                      <w:lang w:val="en-US" w:eastAsia="zh-CN" w:bidi="ar-SA"/>
                    </w:rPr>
                    <w:t>3</w:t>
                  </w:r>
                  <w:r>
                    <w:rPr>
                      <w:rFonts w:hint="eastAsia" w:ascii="Times New Roman" w:hAnsi="Times New Roman" w:eastAsia="宋体" w:cs="Times New Roman"/>
                      <w:b/>
                      <w:bCs/>
                      <w:color w:val="auto"/>
                      <w:kern w:val="2"/>
                      <w:sz w:val="21"/>
                      <w:szCs w:val="24"/>
                      <w:highlight w:val="none"/>
                      <w:lang w:val="en-US" w:eastAsia="zh-CN" w:bidi="ar-SA"/>
                    </w:rPr>
                    <w:t>）</w:t>
                  </w:r>
                </w:p>
              </w:tc>
              <w:tc>
                <w:tcPr>
                  <w:tcW w:w="1000" w:type="dxa"/>
                  <w:vMerge w:val="restart"/>
                  <w:tcBorders>
                    <w:tl2br w:val="nil"/>
                    <w:tr2bl w:val="nil"/>
                  </w:tcBorders>
                  <w:noWrap w:val="0"/>
                  <w:vAlign w:val="center"/>
                </w:tcPr>
                <w:p w14:paraId="572DB620">
                  <w:pPr>
                    <w:widowControl w:val="0"/>
                    <w:autoSpaceDE w:val="0"/>
                    <w:autoSpaceDN w:val="0"/>
                    <w:bidi w:val="0"/>
                    <w:spacing w:line="240" w:lineRule="auto"/>
                    <w:ind w:firstLine="0" w:firstLineChars="0"/>
                    <w:jc w:val="center"/>
                    <w:rPr>
                      <w:rFonts w:hint="eastAsia"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标准限值</w:t>
                  </w:r>
                  <w:r>
                    <w:rPr>
                      <w:rFonts w:hint="eastAsia" w:ascii="Times New Roman" w:hAnsi="Times New Roman" w:eastAsia="宋体" w:cs="Times New Roman"/>
                      <w:b/>
                      <w:bCs/>
                      <w:color w:val="auto"/>
                      <w:kern w:val="2"/>
                      <w:sz w:val="21"/>
                      <w:szCs w:val="24"/>
                      <w:highlight w:val="none"/>
                      <w:lang w:val="en-US" w:eastAsia="zh-CN" w:bidi="ar-SA"/>
                    </w:rPr>
                    <w:t>（</w:t>
                  </w:r>
                  <w:r>
                    <w:rPr>
                      <w:rFonts w:hint="default" w:ascii="Times New Roman" w:hAnsi="Times New Roman" w:eastAsia="宋体" w:cs="Times New Roman"/>
                      <w:b/>
                      <w:bCs/>
                      <w:color w:val="auto"/>
                      <w:kern w:val="2"/>
                      <w:sz w:val="21"/>
                      <w:szCs w:val="24"/>
                      <w:highlight w:val="none"/>
                      <w:lang w:val="en-US" w:eastAsia="zh-CN" w:bidi="ar-SA"/>
                    </w:rPr>
                    <w:t>μ</w:t>
                  </w:r>
                  <w:r>
                    <w:rPr>
                      <w:rFonts w:hint="eastAsia" w:ascii="Times New Roman" w:hAnsi="Times New Roman" w:eastAsia="宋体" w:cs="Times New Roman"/>
                      <w:b/>
                      <w:bCs/>
                      <w:color w:val="auto"/>
                      <w:kern w:val="2"/>
                      <w:sz w:val="21"/>
                      <w:szCs w:val="24"/>
                      <w:highlight w:val="none"/>
                      <w:lang w:val="en-US" w:eastAsia="zh-CN" w:bidi="ar-SA"/>
                    </w:rPr>
                    <w:t>g/m</w:t>
                  </w:r>
                  <w:r>
                    <w:rPr>
                      <w:rFonts w:hint="eastAsia" w:ascii="Times New Roman" w:hAnsi="Times New Roman" w:eastAsia="宋体" w:cs="Times New Roman"/>
                      <w:b/>
                      <w:bCs/>
                      <w:color w:val="auto"/>
                      <w:kern w:val="2"/>
                      <w:sz w:val="21"/>
                      <w:szCs w:val="24"/>
                      <w:highlight w:val="none"/>
                      <w:vertAlign w:val="superscript"/>
                      <w:lang w:val="en-US" w:eastAsia="zh-CN" w:bidi="ar-SA"/>
                    </w:rPr>
                    <w:t>3</w:t>
                  </w:r>
                  <w:r>
                    <w:rPr>
                      <w:rFonts w:hint="eastAsia" w:ascii="Times New Roman" w:hAnsi="Times New Roman" w:eastAsia="宋体" w:cs="Times New Roman"/>
                      <w:b/>
                      <w:bCs/>
                      <w:color w:val="auto"/>
                      <w:kern w:val="2"/>
                      <w:sz w:val="21"/>
                      <w:szCs w:val="24"/>
                      <w:highlight w:val="none"/>
                      <w:lang w:val="en-US" w:eastAsia="zh-CN" w:bidi="ar-SA"/>
                    </w:rPr>
                    <w:t>）</w:t>
                  </w:r>
                </w:p>
              </w:tc>
              <w:tc>
                <w:tcPr>
                  <w:tcW w:w="518" w:type="dxa"/>
                  <w:vMerge w:val="restart"/>
                  <w:tcBorders>
                    <w:tl2br w:val="nil"/>
                    <w:tr2bl w:val="nil"/>
                  </w:tcBorders>
                  <w:noWrap w:val="0"/>
                  <w:vAlign w:val="center"/>
                </w:tcPr>
                <w:p w14:paraId="28D396DA">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评价结果</w:t>
                  </w:r>
                </w:p>
              </w:tc>
            </w:tr>
            <w:tr w14:paraId="2E8C1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1004" w:type="dxa"/>
                  <w:vMerge w:val="continue"/>
                  <w:tcBorders>
                    <w:tl2br w:val="nil"/>
                    <w:tr2bl w:val="nil"/>
                  </w:tcBorders>
                  <w:noWrap w:val="0"/>
                  <w:vAlign w:val="center"/>
                </w:tcPr>
                <w:p w14:paraId="05854A20">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p>
              </w:tc>
              <w:tc>
                <w:tcPr>
                  <w:tcW w:w="1117" w:type="dxa"/>
                  <w:vMerge w:val="continue"/>
                  <w:tcBorders>
                    <w:tl2br w:val="nil"/>
                    <w:tr2bl w:val="nil"/>
                  </w:tcBorders>
                  <w:noWrap w:val="0"/>
                  <w:vAlign w:val="center"/>
                </w:tcPr>
                <w:p w14:paraId="75BF9767">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p>
              </w:tc>
              <w:tc>
                <w:tcPr>
                  <w:tcW w:w="1261" w:type="dxa"/>
                  <w:vMerge w:val="continue"/>
                  <w:tcBorders>
                    <w:tl2br w:val="nil"/>
                    <w:tr2bl w:val="nil"/>
                  </w:tcBorders>
                  <w:noWrap w:val="0"/>
                  <w:vAlign w:val="center"/>
                </w:tcPr>
                <w:p w14:paraId="3835550F">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p>
              </w:tc>
              <w:tc>
                <w:tcPr>
                  <w:tcW w:w="4271" w:type="dxa"/>
                  <w:tcBorders>
                    <w:tl2br w:val="nil"/>
                    <w:tr2bl w:val="nil"/>
                  </w:tcBorders>
                  <w:noWrap w:val="0"/>
                  <w:vAlign w:val="center"/>
                </w:tcPr>
                <w:p w14:paraId="23B65D07">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24</w:t>
                  </w:r>
                  <w:r>
                    <w:rPr>
                      <w:rFonts w:hint="eastAsia" w:ascii="Times New Roman" w:hAnsi="Times New Roman" w:eastAsia="宋体" w:cs="Times New Roman"/>
                      <w:b/>
                      <w:bCs/>
                      <w:color w:val="auto"/>
                      <w:kern w:val="2"/>
                      <w:sz w:val="21"/>
                      <w:szCs w:val="24"/>
                      <w:highlight w:val="none"/>
                      <w:lang w:val="en-US" w:eastAsia="zh-CN" w:bidi="ar-SA"/>
                    </w:rPr>
                    <w:t>小时均值</w:t>
                  </w:r>
                </w:p>
              </w:tc>
              <w:tc>
                <w:tcPr>
                  <w:tcW w:w="1000" w:type="dxa"/>
                  <w:vMerge w:val="continue"/>
                  <w:tcBorders>
                    <w:tl2br w:val="nil"/>
                    <w:tr2bl w:val="nil"/>
                  </w:tcBorders>
                  <w:noWrap w:val="0"/>
                  <w:vAlign w:val="center"/>
                </w:tcPr>
                <w:p w14:paraId="5011C11B">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p>
              </w:tc>
              <w:tc>
                <w:tcPr>
                  <w:tcW w:w="518" w:type="dxa"/>
                  <w:vMerge w:val="continue"/>
                  <w:tcBorders>
                    <w:tl2br w:val="nil"/>
                    <w:tr2bl w:val="nil"/>
                  </w:tcBorders>
                  <w:noWrap w:val="0"/>
                  <w:vAlign w:val="center"/>
                </w:tcPr>
                <w:p w14:paraId="2E78B3D6">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p>
              </w:tc>
            </w:tr>
            <w:tr w14:paraId="3F12A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004" w:type="dxa"/>
                  <w:vMerge w:val="restart"/>
                  <w:tcBorders>
                    <w:tl2br w:val="nil"/>
                    <w:tr2bl w:val="nil"/>
                  </w:tcBorders>
                  <w:noWrap w:val="0"/>
                  <w:vAlign w:val="center"/>
                </w:tcPr>
                <w:p w14:paraId="2192EE54">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项目厂界外南侧</w:t>
                  </w:r>
                  <w:r>
                    <w:rPr>
                      <w:rFonts w:hint="eastAsia" w:cs="Times New Roman"/>
                      <w:color w:val="auto"/>
                      <w:kern w:val="2"/>
                      <w:sz w:val="21"/>
                      <w:szCs w:val="24"/>
                      <w:highlight w:val="none"/>
                      <w:lang w:val="en-US" w:eastAsia="zh-CN" w:bidi="ar-SA"/>
                    </w:rPr>
                    <w:t xml:space="preserve"> 1#</w:t>
                  </w:r>
                </w:p>
              </w:tc>
              <w:tc>
                <w:tcPr>
                  <w:tcW w:w="1117" w:type="dxa"/>
                  <w:vMerge w:val="restart"/>
                  <w:tcBorders>
                    <w:tl2br w:val="nil"/>
                    <w:tr2bl w:val="nil"/>
                  </w:tcBorders>
                  <w:shd w:val="clear" w:color="auto" w:fill="auto"/>
                  <w:noWrap w:val="0"/>
                  <w:vAlign w:val="center"/>
                </w:tcPr>
                <w:p w14:paraId="13D2ADEE">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TSP</w:t>
                  </w:r>
                </w:p>
              </w:tc>
              <w:tc>
                <w:tcPr>
                  <w:tcW w:w="1261" w:type="dxa"/>
                  <w:tcBorders>
                    <w:tl2br w:val="nil"/>
                    <w:tr2bl w:val="nil"/>
                  </w:tcBorders>
                  <w:shd w:val="clear" w:color="auto" w:fill="auto"/>
                  <w:noWrap w:val="0"/>
                  <w:vAlign w:val="center"/>
                </w:tcPr>
                <w:p w14:paraId="754CEACB">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2025.0</w:t>
                  </w:r>
                  <w:r>
                    <w:rPr>
                      <w:rFonts w:hint="eastAsia" w:cs="Times New Roman"/>
                      <w:color w:val="auto"/>
                      <w:kern w:val="2"/>
                      <w:sz w:val="21"/>
                      <w:szCs w:val="24"/>
                      <w:highlight w:val="none"/>
                      <w:lang w:val="en-US" w:eastAsia="zh-CN" w:bidi="ar-SA"/>
                    </w:rPr>
                    <w:t>5</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03</w:t>
                  </w:r>
                </w:p>
              </w:tc>
              <w:tc>
                <w:tcPr>
                  <w:tcW w:w="4271" w:type="dxa"/>
                  <w:tcBorders>
                    <w:tl2br w:val="nil"/>
                    <w:tr2bl w:val="nil"/>
                  </w:tcBorders>
                  <w:shd w:val="clear" w:color="auto" w:fill="auto"/>
                  <w:noWrap w:val="0"/>
                  <w:vAlign w:val="center"/>
                </w:tcPr>
                <w:p w14:paraId="45B4D69B">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72</w:t>
                  </w:r>
                </w:p>
              </w:tc>
              <w:tc>
                <w:tcPr>
                  <w:tcW w:w="1000" w:type="dxa"/>
                  <w:tcBorders>
                    <w:tl2br w:val="nil"/>
                    <w:tr2bl w:val="nil"/>
                  </w:tcBorders>
                  <w:shd w:val="clear" w:color="auto" w:fill="auto"/>
                  <w:noWrap w:val="0"/>
                  <w:vAlign w:val="center"/>
                </w:tcPr>
                <w:p w14:paraId="65E1DB93">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300</w:t>
                  </w:r>
                </w:p>
              </w:tc>
              <w:tc>
                <w:tcPr>
                  <w:tcW w:w="518" w:type="dxa"/>
                  <w:tcBorders>
                    <w:tl2br w:val="nil"/>
                    <w:tr2bl w:val="nil"/>
                  </w:tcBorders>
                  <w:shd w:val="clear" w:color="auto" w:fill="auto"/>
                  <w:noWrap w:val="0"/>
                  <w:vAlign w:val="center"/>
                </w:tcPr>
                <w:p w14:paraId="2A9A3D30">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达标</w:t>
                  </w:r>
                </w:p>
              </w:tc>
            </w:tr>
            <w:tr w14:paraId="30B00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004" w:type="dxa"/>
                  <w:vMerge w:val="continue"/>
                  <w:tcBorders>
                    <w:tl2br w:val="nil"/>
                    <w:tr2bl w:val="nil"/>
                  </w:tcBorders>
                  <w:noWrap w:val="0"/>
                  <w:vAlign w:val="center"/>
                </w:tcPr>
                <w:p w14:paraId="092DD393">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1117" w:type="dxa"/>
                  <w:vMerge w:val="continue"/>
                  <w:tcBorders>
                    <w:tl2br w:val="nil"/>
                    <w:tr2bl w:val="nil"/>
                  </w:tcBorders>
                  <w:noWrap w:val="0"/>
                  <w:vAlign w:val="center"/>
                </w:tcPr>
                <w:p w14:paraId="6D661FC5">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1261" w:type="dxa"/>
                  <w:tcBorders>
                    <w:tl2br w:val="nil"/>
                    <w:tr2bl w:val="nil"/>
                  </w:tcBorders>
                  <w:shd w:val="clear" w:color="auto" w:fill="auto"/>
                  <w:noWrap w:val="0"/>
                  <w:vAlign w:val="center"/>
                </w:tcPr>
                <w:p w14:paraId="6C42423F">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2025.0</w:t>
                  </w:r>
                  <w:r>
                    <w:rPr>
                      <w:rFonts w:hint="eastAsia" w:cs="Times New Roman"/>
                      <w:color w:val="auto"/>
                      <w:kern w:val="2"/>
                      <w:sz w:val="21"/>
                      <w:szCs w:val="24"/>
                      <w:highlight w:val="none"/>
                      <w:lang w:val="en-US" w:eastAsia="zh-CN" w:bidi="ar-SA"/>
                    </w:rPr>
                    <w:t>5</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04</w:t>
                  </w:r>
                </w:p>
              </w:tc>
              <w:tc>
                <w:tcPr>
                  <w:tcW w:w="4271" w:type="dxa"/>
                  <w:tcBorders>
                    <w:tl2br w:val="nil"/>
                    <w:tr2bl w:val="nil"/>
                  </w:tcBorders>
                  <w:shd w:val="clear" w:color="auto" w:fill="auto"/>
                  <w:noWrap w:val="0"/>
                  <w:vAlign w:val="center"/>
                </w:tcPr>
                <w:p w14:paraId="20B0AD93">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67</w:t>
                  </w:r>
                </w:p>
              </w:tc>
              <w:tc>
                <w:tcPr>
                  <w:tcW w:w="1000" w:type="dxa"/>
                  <w:tcBorders>
                    <w:tl2br w:val="nil"/>
                    <w:tr2bl w:val="nil"/>
                  </w:tcBorders>
                  <w:shd w:val="clear" w:color="auto" w:fill="auto"/>
                  <w:noWrap w:val="0"/>
                  <w:vAlign w:val="center"/>
                </w:tcPr>
                <w:p w14:paraId="70627894">
                  <w:pPr>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300</w:t>
                  </w:r>
                </w:p>
              </w:tc>
              <w:tc>
                <w:tcPr>
                  <w:tcW w:w="518" w:type="dxa"/>
                  <w:tcBorders>
                    <w:tl2br w:val="nil"/>
                    <w:tr2bl w:val="nil"/>
                  </w:tcBorders>
                  <w:shd w:val="clear" w:color="auto" w:fill="auto"/>
                  <w:noWrap w:val="0"/>
                  <w:vAlign w:val="center"/>
                </w:tcPr>
                <w:p w14:paraId="21DC96CF">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达标</w:t>
                  </w:r>
                </w:p>
              </w:tc>
            </w:tr>
            <w:tr w14:paraId="62AC8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004" w:type="dxa"/>
                  <w:vMerge w:val="continue"/>
                  <w:tcBorders>
                    <w:tl2br w:val="nil"/>
                    <w:tr2bl w:val="nil"/>
                  </w:tcBorders>
                  <w:noWrap w:val="0"/>
                  <w:vAlign w:val="center"/>
                </w:tcPr>
                <w:p w14:paraId="1EC78BD9">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1117" w:type="dxa"/>
                  <w:vMerge w:val="continue"/>
                  <w:tcBorders>
                    <w:tl2br w:val="nil"/>
                    <w:tr2bl w:val="nil"/>
                  </w:tcBorders>
                  <w:noWrap w:val="0"/>
                  <w:vAlign w:val="center"/>
                </w:tcPr>
                <w:p w14:paraId="21105A97">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1261" w:type="dxa"/>
                  <w:tcBorders>
                    <w:tl2br w:val="nil"/>
                    <w:tr2bl w:val="nil"/>
                  </w:tcBorders>
                  <w:shd w:val="clear" w:color="auto" w:fill="auto"/>
                  <w:noWrap w:val="0"/>
                  <w:vAlign w:val="center"/>
                </w:tcPr>
                <w:p w14:paraId="2E3BAEC4">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2025.0</w:t>
                  </w:r>
                  <w:r>
                    <w:rPr>
                      <w:rFonts w:hint="eastAsia" w:cs="Times New Roman"/>
                      <w:color w:val="auto"/>
                      <w:kern w:val="2"/>
                      <w:sz w:val="21"/>
                      <w:szCs w:val="24"/>
                      <w:highlight w:val="none"/>
                      <w:lang w:val="en-US" w:eastAsia="zh-CN" w:bidi="ar-SA"/>
                    </w:rPr>
                    <w:t>5</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05</w:t>
                  </w:r>
                </w:p>
              </w:tc>
              <w:tc>
                <w:tcPr>
                  <w:tcW w:w="4271" w:type="dxa"/>
                  <w:tcBorders>
                    <w:tl2br w:val="nil"/>
                    <w:tr2bl w:val="nil"/>
                  </w:tcBorders>
                  <w:shd w:val="clear" w:color="auto" w:fill="auto"/>
                  <w:noWrap w:val="0"/>
                  <w:vAlign w:val="center"/>
                </w:tcPr>
                <w:p w14:paraId="3EBDD7D1">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70</w:t>
                  </w:r>
                </w:p>
              </w:tc>
              <w:tc>
                <w:tcPr>
                  <w:tcW w:w="1000" w:type="dxa"/>
                  <w:tcBorders>
                    <w:tl2br w:val="nil"/>
                    <w:tr2bl w:val="nil"/>
                  </w:tcBorders>
                  <w:shd w:val="clear" w:color="auto" w:fill="auto"/>
                  <w:noWrap w:val="0"/>
                  <w:vAlign w:val="center"/>
                </w:tcPr>
                <w:p w14:paraId="2BB6A66C">
                  <w:pPr>
                    <w:autoSpaceDE w:val="0"/>
                    <w:autoSpaceDN w:val="0"/>
                    <w:bidi w:val="0"/>
                    <w:adjustRightInd/>
                    <w:snapToGrid/>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highlight w:val="none"/>
                      <w:lang w:val="en-US" w:eastAsia="zh-CN"/>
                    </w:rPr>
                    <w:t>300</w:t>
                  </w:r>
                </w:p>
              </w:tc>
              <w:tc>
                <w:tcPr>
                  <w:tcW w:w="518" w:type="dxa"/>
                  <w:tcBorders>
                    <w:tl2br w:val="nil"/>
                    <w:tr2bl w:val="nil"/>
                  </w:tcBorders>
                  <w:shd w:val="clear" w:color="auto" w:fill="auto"/>
                  <w:noWrap w:val="0"/>
                  <w:vAlign w:val="center"/>
                </w:tcPr>
                <w:p w14:paraId="45175962">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达标</w:t>
                  </w:r>
                </w:p>
              </w:tc>
            </w:tr>
          </w:tbl>
          <w:p w14:paraId="095115EF">
            <w:pPr>
              <w:keepNext/>
              <w:autoSpaceDE/>
              <w:autoSpaceDN/>
              <w:adjustRightInd w:val="0"/>
              <w:snapToGrid w:val="0"/>
              <w:spacing w:before="120" w:beforeLines="5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①评价方法</w:t>
            </w:r>
          </w:p>
          <w:p w14:paraId="5F115ACE">
            <w:pPr>
              <w:pStyle w:val="102"/>
              <w:autoSpaceDE/>
              <w:autoSpaceDN/>
              <w:adjustRightInd/>
              <w:snapToGrid/>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评价采用单项污染指数法进行，公式为：</w:t>
            </w:r>
          </w:p>
          <w:p w14:paraId="6F6B94B1">
            <w:pPr>
              <w:pStyle w:val="102"/>
              <w:autoSpaceDE/>
              <w:autoSpaceDN/>
              <w:adjustRightInd/>
              <w:snapToGrid/>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/Co</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×100%</w:t>
            </w:r>
          </w:p>
          <w:p w14:paraId="20BE35B0">
            <w:pPr>
              <w:pStyle w:val="102"/>
              <w:autoSpaceDE/>
              <w:autoSpaceDN/>
              <w:adjustRightInd/>
              <w:snapToGrid/>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——i污染物的污染指数，%</w:t>
            </w:r>
          </w:p>
          <w:p w14:paraId="47163BA4">
            <w:pPr>
              <w:pStyle w:val="102"/>
              <w:autoSpaceDE/>
              <w:autoSpaceDN/>
              <w:adjustRightInd/>
              <w:snapToGrid/>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——i污染物的浓度，mg/m</w:t>
            </w:r>
            <w:r>
              <w:rPr>
                <w:rFonts w:hint="default" w:ascii="Times New Roman" w:hAnsi="Times New Roman" w:cs="Times New Roman"/>
                <w:color w:val="auto"/>
                <w:highlight w:val="none"/>
                <w:vertAlign w:val="superscript"/>
              </w:rPr>
              <w:t>3</w:t>
            </w:r>
          </w:p>
          <w:p w14:paraId="1E8A65FE">
            <w:pPr>
              <w:pStyle w:val="102"/>
              <w:autoSpaceDE/>
              <w:autoSpaceDN/>
              <w:adjustRightInd/>
              <w:snapToGrid/>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——i污染物的评价标准，mg/m</w:t>
            </w:r>
            <w:r>
              <w:rPr>
                <w:rFonts w:hint="default" w:ascii="Times New Roman" w:hAnsi="Times New Roman" w:cs="Times New Roman"/>
                <w:color w:val="auto"/>
                <w:highlight w:val="none"/>
                <w:vertAlign w:val="superscript"/>
              </w:rPr>
              <w:t>3</w:t>
            </w:r>
          </w:p>
          <w:p w14:paraId="4AC5C090">
            <w:pPr>
              <w:pStyle w:val="102"/>
              <w:autoSpaceDE/>
              <w:autoSpaceDN/>
              <w:adjustRightInd/>
              <w:snapToGrid/>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当P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值大于100%时，表明大气环境已受到该项评价因子所表征的污染物的污染。P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值越大，受污染程度越重；P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值越小，受污染程度越轻。</w:t>
            </w:r>
          </w:p>
          <w:p w14:paraId="6FA6BA8C">
            <w:pPr>
              <w:pStyle w:val="102"/>
              <w:autoSpaceDE/>
              <w:autoSpaceDN/>
              <w:adjustRightInd/>
              <w:snapToGrid/>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②评价结果</w:t>
            </w:r>
          </w:p>
          <w:p w14:paraId="0405455E">
            <w:pPr>
              <w:pStyle w:val="102"/>
              <w:autoSpaceDE/>
              <w:autoSpaceDN/>
              <w:adjustRightInd/>
              <w:snapToGrid/>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项目区域环境空气质量现状评价结果见下表：</w:t>
            </w:r>
          </w:p>
          <w:p w14:paraId="633DAE75">
            <w:pPr>
              <w:pStyle w:val="14"/>
              <w:bidi w:val="0"/>
              <w:rPr>
                <w:rFonts w:hint="default"/>
                <w:lang w:val="en-US" w:eastAsia="zh-CN"/>
              </w:rPr>
            </w:pPr>
            <w:r>
              <w:rPr>
                <w:rFonts w:hint="default"/>
                <w:lang w:val="en-US" w:eastAsia="zh-CN"/>
              </w:rPr>
              <w:t>表3-</w:t>
            </w:r>
            <w:r>
              <w:rPr>
                <w:rFonts w:hint="default"/>
                <w:lang w:val="en-US" w:eastAsia="zh-CN"/>
              </w:rPr>
              <w:fldChar w:fldCharType="begin"/>
            </w:r>
            <w:r>
              <w:rPr>
                <w:rFonts w:hint="default"/>
                <w:lang w:val="en-US" w:eastAsia="zh-CN"/>
              </w:rPr>
              <w:instrText xml:space="preserve"> SEQ 表3- \* ARABIC </w:instrText>
            </w:r>
            <w:r>
              <w:rPr>
                <w:rFonts w:hint="default"/>
                <w:lang w:val="en-US" w:eastAsia="zh-CN"/>
              </w:rPr>
              <w:fldChar w:fldCharType="separate"/>
            </w:r>
            <w:r>
              <w:rPr>
                <w:rFonts w:hint="default"/>
                <w:lang w:val="en-US" w:eastAsia="zh-CN"/>
              </w:rPr>
              <w:t>4</w:t>
            </w:r>
            <w:r>
              <w:rPr>
                <w:rFonts w:hint="default"/>
                <w:lang w:val="en-US" w:eastAsia="zh-CN"/>
              </w:rPr>
              <w:fldChar w:fldCharType="end"/>
            </w:r>
            <w:r>
              <w:rPr>
                <w:rFonts w:hint="eastAsia"/>
                <w:lang w:val="en-US" w:eastAsia="zh-CN"/>
              </w:rPr>
              <w:t xml:space="preserve">  </w:t>
            </w:r>
            <w:r>
              <w:rPr>
                <w:rFonts w:hint="default"/>
                <w:lang w:val="en-US" w:eastAsia="zh-CN"/>
              </w:rPr>
              <w:t>项目区域环境空气质量现状评价结果</w:t>
            </w:r>
          </w:p>
          <w:tbl>
            <w:tblPr>
              <w:tblStyle w:val="10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20"/>
              <w:gridCol w:w="1808"/>
              <w:gridCol w:w="2500"/>
              <w:gridCol w:w="1965"/>
              <w:gridCol w:w="729"/>
              <w:gridCol w:w="1059"/>
            </w:tblGrid>
            <w:tr w14:paraId="77F562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610" w:type="pct"/>
                  <w:tcBorders>
                    <w:tl2br w:val="nil"/>
                    <w:tr2bl w:val="nil"/>
                  </w:tcBorders>
                  <w:noWrap w:val="0"/>
                  <w:vAlign w:val="center"/>
                </w:tcPr>
                <w:p w14:paraId="4C03891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zh-CN"/>
                    </w:rPr>
                  </w:pPr>
                  <w:r>
                    <w:rPr>
                      <w:rFonts w:hint="default" w:ascii="Times New Roman" w:hAnsi="Times New Roman" w:eastAsia="宋体" w:cs="Times New Roman"/>
                      <w:b/>
                      <w:bCs/>
                      <w:color w:val="auto"/>
                      <w:kern w:val="0"/>
                      <w:sz w:val="21"/>
                      <w:szCs w:val="21"/>
                      <w:highlight w:val="none"/>
                      <w:lang w:val="zh-CN" w:eastAsia="zh-CN" w:bidi="zh-CN"/>
                    </w:rPr>
                    <w:t>评价因子</w:t>
                  </w:r>
                </w:p>
              </w:tc>
              <w:tc>
                <w:tcPr>
                  <w:tcW w:w="984" w:type="pct"/>
                  <w:tcBorders>
                    <w:tl2br w:val="nil"/>
                    <w:tr2bl w:val="nil"/>
                  </w:tcBorders>
                  <w:noWrap w:val="0"/>
                  <w:vAlign w:val="center"/>
                </w:tcPr>
                <w:p w14:paraId="64E6E6E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zh-CN"/>
                    </w:rPr>
                  </w:pPr>
                  <w:r>
                    <w:rPr>
                      <w:rFonts w:hint="default" w:ascii="Times New Roman" w:hAnsi="Times New Roman" w:eastAsia="宋体" w:cs="Times New Roman"/>
                      <w:b/>
                      <w:bCs/>
                      <w:color w:val="auto"/>
                      <w:kern w:val="0"/>
                      <w:sz w:val="21"/>
                      <w:szCs w:val="21"/>
                      <w:highlight w:val="none"/>
                      <w:lang w:val="zh-CN" w:eastAsia="zh-CN" w:bidi="zh-CN"/>
                    </w:rPr>
                    <w:t>标准值</w:t>
                  </w:r>
                  <w:r>
                    <w:rPr>
                      <w:rFonts w:hint="eastAsia" w:ascii="宋体" w:hAnsi="宋体" w:eastAsia="宋体" w:cs="Times New Roman"/>
                      <w:b/>
                      <w:bCs/>
                      <w:color w:val="auto"/>
                      <w:kern w:val="0"/>
                      <w:sz w:val="22"/>
                      <w:szCs w:val="22"/>
                      <w:highlight w:val="none"/>
                      <w:lang w:val="zh-CN" w:eastAsia="zh-CN" w:bidi="zh-CN"/>
                    </w:rPr>
                    <w:t>（</w:t>
                  </w:r>
                  <w:r>
                    <w:rPr>
                      <w:rFonts w:hint="default" w:ascii="Times New Roman" w:hAnsi="Times New Roman" w:eastAsia="宋体" w:cs="Times New Roman"/>
                      <w:b/>
                      <w:bCs/>
                      <w:color w:val="auto"/>
                      <w:kern w:val="0"/>
                      <w:sz w:val="22"/>
                      <w:szCs w:val="22"/>
                      <w:highlight w:val="none"/>
                      <w:lang w:val="zh-CN" w:eastAsia="en-US" w:bidi="zh-CN"/>
                    </w:rPr>
                    <w:t>μ</w:t>
                  </w:r>
                  <w:r>
                    <w:rPr>
                      <w:rFonts w:hint="default" w:ascii="Times New Roman" w:hAnsi="Times New Roman" w:eastAsia="宋体" w:cs="Times New Roman"/>
                      <w:b/>
                      <w:bCs/>
                      <w:color w:val="auto"/>
                      <w:kern w:val="0"/>
                      <w:sz w:val="22"/>
                      <w:szCs w:val="22"/>
                      <w:highlight w:val="none"/>
                      <w:lang w:val="zh-CN" w:eastAsia="zh-CN" w:bidi="zh-CN"/>
                    </w:rPr>
                    <w:t>g/m</w:t>
                  </w:r>
                  <w:r>
                    <w:rPr>
                      <w:rFonts w:hint="default" w:ascii="Times New Roman" w:hAnsi="Times New Roman" w:eastAsia="宋体" w:cs="Times New Roman"/>
                      <w:b/>
                      <w:bCs/>
                      <w:color w:val="auto"/>
                      <w:kern w:val="0"/>
                      <w:sz w:val="22"/>
                      <w:szCs w:val="22"/>
                      <w:highlight w:val="none"/>
                      <w:vertAlign w:val="superscript"/>
                      <w:lang w:val="zh-CN" w:eastAsia="zh-CN" w:bidi="zh-CN"/>
                    </w:rPr>
                    <w:t>3</w:t>
                  </w:r>
                  <w:r>
                    <w:rPr>
                      <w:rFonts w:hint="eastAsia" w:ascii="宋体" w:hAnsi="宋体" w:eastAsia="宋体" w:cs="Times New Roman"/>
                      <w:b/>
                      <w:bCs/>
                      <w:color w:val="auto"/>
                      <w:kern w:val="0"/>
                      <w:sz w:val="22"/>
                      <w:szCs w:val="22"/>
                      <w:highlight w:val="none"/>
                      <w:vertAlign w:val="baseline"/>
                      <w:lang w:val="zh-CN" w:eastAsia="zh-CN" w:bidi="zh-CN"/>
                    </w:rPr>
                    <w:t>）</w:t>
                  </w:r>
                </w:p>
              </w:tc>
              <w:tc>
                <w:tcPr>
                  <w:tcW w:w="1361" w:type="pct"/>
                  <w:tcBorders>
                    <w:tl2br w:val="nil"/>
                    <w:tr2bl w:val="nil"/>
                  </w:tcBorders>
                  <w:noWrap w:val="0"/>
                  <w:vAlign w:val="center"/>
                </w:tcPr>
                <w:p w14:paraId="5C56B59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en-US" w:eastAsia="zh-CN" w:bidi="ar-SA"/>
                    </w:rPr>
                    <w:t>监测浓度范围（</w:t>
                  </w:r>
                  <w:r>
                    <w:rPr>
                      <w:rFonts w:hint="default" w:ascii="Times New Roman" w:hAnsi="Times New Roman" w:eastAsia="宋体" w:cs="Times New Roman"/>
                      <w:b/>
                      <w:bCs/>
                      <w:color w:val="auto"/>
                      <w:kern w:val="2"/>
                      <w:sz w:val="21"/>
                      <w:szCs w:val="24"/>
                      <w:highlight w:val="none"/>
                      <w:lang w:val="en-US" w:eastAsia="en-US" w:bidi="ar-SA"/>
                    </w:rPr>
                    <w:t>μ</w:t>
                  </w:r>
                  <w:r>
                    <w:rPr>
                      <w:rFonts w:hint="default" w:ascii="Times New Roman" w:hAnsi="Times New Roman" w:eastAsia="宋体" w:cs="Times New Roman"/>
                      <w:b/>
                      <w:bCs/>
                      <w:color w:val="auto"/>
                      <w:kern w:val="2"/>
                      <w:sz w:val="21"/>
                      <w:szCs w:val="24"/>
                      <w:highlight w:val="none"/>
                      <w:lang w:val="en-US" w:eastAsia="zh-CN" w:bidi="ar-SA"/>
                    </w:rPr>
                    <w:t>g/m</w:t>
                  </w:r>
                  <w:r>
                    <w:rPr>
                      <w:rFonts w:hint="default" w:ascii="Times New Roman" w:hAnsi="Times New Roman" w:eastAsia="宋体" w:cs="Times New Roman"/>
                      <w:b/>
                      <w:bCs/>
                      <w:color w:val="auto"/>
                      <w:kern w:val="2"/>
                      <w:sz w:val="21"/>
                      <w:szCs w:val="24"/>
                      <w:highlight w:val="none"/>
                      <w:vertAlign w:val="superscript"/>
                      <w:lang w:val="en-US" w:eastAsia="zh-CN" w:bidi="ar-SA"/>
                    </w:rPr>
                    <w:t>3</w:t>
                  </w:r>
                  <w:r>
                    <w:rPr>
                      <w:rFonts w:hint="eastAsia" w:ascii="Times New Roman" w:hAnsi="Times New Roman" w:eastAsia="宋体" w:cs="Times New Roman"/>
                      <w:b/>
                      <w:bCs/>
                      <w:color w:val="auto"/>
                      <w:kern w:val="2"/>
                      <w:sz w:val="21"/>
                      <w:szCs w:val="24"/>
                      <w:highlight w:val="none"/>
                      <w:vertAlign w:val="baseline"/>
                      <w:lang w:val="en-US" w:eastAsia="zh-CN" w:bidi="ar-SA"/>
                    </w:rPr>
                    <w:t>）</w:t>
                  </w:r>
                </w:p>
              </w:tc>
              <w:tc>
                <w:tcPr>
                  <w:tcW w:w="1070" w:type="pct"/>
                  <w:tcBorders>
                    <w:tl2br w:val="nil"/>
                    <w:tr2bl w:val="nil"/>
                  </w:tcBorders>
                  <w:noWrap w:val="0"/>
                  <w:vAlign w:val="center"/>
                </w:tcPr>
                <w:p w14:paraId="6292CE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最大</w:t>
                  </w:r>
                  <w:r>
                    <w:rPr>
                      <w:rFonts w:hint="eastAsia" w:ascii="Times New Roman" w:hAnsi="Times New Roman" w:eastAsia="宋体" w:cs="Times New Roman"/>
                      <w:b/>
                      <w:bCs/>
                      <w:color w:val="auto"/>
                      <w:kern w:val="2"/>
                      <w:sz w:val="21"/>
                      <w:szCs w:val="24"/>
                      <w:highlight w:val="none"/>
                      <w:lang w:val="en-US" w:eastAsia="zh-CN" w:bidi="ar-SA"/>
                    </w:rPr>
                    <w:t>浓度占标率%</w:t>
                  </w:r>
                </w:p>
              </w:tc>
              <w:tc>
                <w:tcPr>
                  <w:tcW w:w="396" w:type="pct"/>
                  <w:tcBorders>
                    <w:tl2br w:val="nil"/>
                    <w:tr2bl w:val="nil"/>
                  </w:tcBorders>
                  <w:noWrap w:val="0"/>
                  <w:vAlign w:val="center"/>
                </w:tcPr>
                <w:p w14:paraId="00E1377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zh-CN"/>
                    </w:rPr>
                  </w:pPr>
                  <w:r>
                    <w:rPr>
                      <w:rFonts w:hint="default" w:ascii="Times New Roman" w:hAnsi="Times New Roman" w:eastAsia="宋体" w:cs="Times New Roman"/>
                      <w:b/>
                      <w:bCs/>
                      <w:color w:val="auto"/>
                      <w:kern w:val="0"/>
                      <w:sz w:val="21"/>
                      <w:szCs w:val="21"/>
                      <w:highlight w:val="none"/>
                      <w:lang w:val="zh-CN" w:eastAsia="zh-CN" w:bidi="zh-CN"/>
                    </w:rPr>
                    <w:t>超标</w:t>
                  </w:r>
                  <w:r>
                    <w:rPr>
                      <w:rFonts w:hint="eastAsia" w:ascii="Times New Roman" w:hAnsi="Times New Roman" w:eastAsia="宋体" w:cs="Times New Roman"/>
                      <w:b/>
                      <w:bCs/>
                      <w:color w:val="auto"/>
                      <w:kern w:val="0"/>
                      <w:sz w:val="21"/>
                      <w:szCs w:val="21"/>
                      <w:highlight w:val="none"/>
                      <w:lang w:val="en-US" w:eastAsia="zh-CN" w:bidi="zh-CN"/>
                    </w:rPr>
                    <w:t>率</w:t>
                  </w:r>
                </w:p>
              </w:tc>
              <w:tc>
                <w:tcPr>
                  <w:tcW w:w="576" w:type="pct"/>
                  <w:tcBorders>
                    <w:tl2br w:val="nil"/>
                    <w:tr2bl w:val="nil"/>
                  </w:tcBorders>
                  <w:noWrap w:val="0"/>
                  <w:vAlign w:val="center"/>
                </w:tcPr>
                <w:p w14:paraId="4BEBABE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zh-CN"/>
                    </w:rPr>
                  </w:pPr>
                  <w:r>
                    <w:rPr>
                      <w:rFonts w:hint="eastAsia" w:ascii="Times New Roman" w:hAnsi="Times New Roman" w:eastAsia="宋体" w:cs="Times New Roman"/>
                      <w:b/>
                      <w:bCs/>
                      <w:color w:val="auto"/>
                      <w:kern w:val="0"/>
                      <w:sz w:val="21"/>
                      <w:szCs w:val="21"/>
                      <w:highlight w:val="none"/>
                      <w:lang w:val="en-US" w:eastAsia="zh-CN" w:bidi="zh-CN"/>
                    </w:rPr>
                    <w:t>达标情况</w:t>
                  </w:r>
                </w:p>
              </w:tc>
            </w:tr>
            <w:tr w14:paraId="2F09C7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610" w:type="pct"/>
                  <w:tcBorders>
                    <w:tl2br w:val="nil"/>
                    <w:tr2bl w:val="nil"/>
                  </w:tcBorders>
                  <w:noWrap w:val="0"/>
                  <w:vAlign w:val="center"/>
                </w:tcPr>
                <w:p w14:paraId="3BB6BFF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kern w:val="0"/>
                      <w:sz w:val="21"/>
                      <w:szCs w:val="21"/>
                      <w:highlight w:val="none"/>
                      <w:lang w:val="en-US" w:eastAsia="zh-CN" w:bidi="zh-CN"/>
                    </w:rPr>
                    <w:t>TSP</w:t>
                  </w:r>
                </w:p>
              </w:tc>
              <w:tc>
                <w:tcPr>
                  <w:tcW w:w="984" w:type="pct"/>
                  <w:tcBorders>
                    <w:tl2br w:val="nil"/>
                    <w:tr2bl w:val="nil"/>
                  </w:tcBorders>
                  <w:noWrap w:val="0"/>
                  <w:vAlign w:val="center"/>
                </w:tcPr>
                <w:p w14:paraId="4869208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kern w:val="0"/>
                      <w:sz w:val="21"/>
                      <w:szCs w:val="21"/>
                      <w:highlight w:val="none"/>
                      <w:lang w:val="en-US" w:eastAsia="zh-CN" w:bidi="zh-CN"/>
                    </w:rPr>
                    <w:t>300</w:t>
                  </w:r>
                </w:p>
              </w:tc>
              <w:tc>
                <w:tcPr>
                  <w:tcW w:w="1361" w:type="pct"/>
                  <w:tcBorders>
                    <w:tl2br w:val="nil"/>
                    <w:tr2bl w:val="nil"/>
                  </w:tcBorders>
                  <w:noWrap w:val="0"/>
                  <w:vAlign w:val="center"/>
                </w:tcPr>
                <w:p w14:paraId="2FB313F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67~72</w:t>
                  </w:r>
                </w:p>
              </w:tc>
              <w:tc>
                <w:tcPr>
                  <w:tcW w:w="1070" w:type="pct"/>
                  <w:tcBorders>
                    <w:tl2br w:val="nil"/>
                    <w:tr2bl w:val="nil"/>
                  </w:tcBorders>
                  <w:noWrap w:val="0"/>
                  <w:vAlign w:val="center"/>
                </w:tcPr>
                <w:p w14:paraId="056BEA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24</w:t>
                  </w:r>
                </w:p>
              </w:tc>
              <w:tc>
                <w:tcPr>
                  <w:tcW w:w="396" w:type="pct"/>
                  <w:tcBorders>
                    <w:tl2br w:val="nil"/>
                    <w:tr2bl w:val="nil"/>
                  </w:tcBorders>
                  <w:noWrap w:val="0"/>
                  <w:vAlign w:val="center"/>
                </w:tcPr>
                <w:p w14:paraId="652C362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eastAsia" w:ascii="Times New Roman" w:hAnsi="Times New Roman" w:eastAsia="宋体" w:cs="Times New Roman"/>
                      <w:color w:val="auto"/>
                      <w:kern w:val="0"/>
                      <w:sz w:val="21"/>
                      <w:szCs w:val="21"/>
                      <w:highlight w:val="none"/>
                      <w:lang w:val="en-US" w:eastAsia="zh-CN" w:bidi="zh-CN"/>
                    </w:rPr>
                    <w:t>0</w:t>
                  </w:r>
                </w:p>
              </w:tc>
              <w:tc>
                <w:tcPr>
                  <w:tcW w:w="576" w:type="pct"/>
                  <w:tcBorders>
                    <w:tl2br w:val="nil"/>
                    <w:tr2bl w:val="nil"/>
                  </w:tcBorders>
                  <w:noWrap w:val="0"/>
                  <w:vAlign w:val="center"/>
                </w:tcPr>
                <w:p w14:paraId="2456296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宋体" w:hAnsi="宋体" w:eastAsia="宋体" w:cs="宋体"/>
                      <w:color w:val="auto"/>
                      <w:kern w:val="0"/>
                      <w:sz w:val="22"/>
                      <w:szCs w:val="22"/>
                      <w:highlight w:val="none"/>
                      <w:lang w:val="en-US" w:eastAsia="zh-CN" w:bidi="zh-CN"/>
                    </w:rPr>
                  </w:pPr>
                  <w:r>
                    <w:rPr>
                      <w:rFonts w:hint="eastAsia" w:ascii="宋体" w:hAnsi="宋体" w:eastAsia="宋体" w:cs="宋体"/>
                      <w:color w:val="auto"/>
                      <w:kern w:val="0"/>
                      <w:sz w:val="22"/>
                      <w:szCs w:val="22"/>
                      <w:highlight w:val="none"/>
                      <w:lang w:val="en-US" w:eastAsia="zh-CN" w:bidi="zh-CN"/>
                    </w:rPr>
                    <w:t>达标</w:t>
                  </w:r>
                </w:p>
              </w:tc>
            </w:tr>
          </w:tbl>
          <w:p w14:paraId="630A247E">
            <w:pPr>
              <w:keepNext/>
              <w:autoSpaceDE/>
              <w:autoSpaceDN/>
              <w:adjustRightInd w:val="0"/>
              <w:snapToGrid w:val="0"/>
              <w:spacing w:before="120" w:beforeLines="5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根据上述分析，该项目区域</w:t>
            </w:r>
            <w:r>
              <w:rPr>
                <w:rFonts w:hint="eastAsia" w:cs="Times New Roman"/>
                <w:color w:val="auto"/>
                <w:kern w:val="0"/>
                <w:sz w:val="24"/>
                <w:highlight w:val="none"/>
                <w:lang w:val="en-US" w:eastAsia="zh-CN"/>
              </w:rPr>
              <w:t>TSP浓度满足《环境空气质量标准》（GB3095-2012）二级标准</w:t>
            </w:r>
            <w:r>
              <w:rPr>
                <w:rFonts w:hint="default" w:ascii="Times New Roman" w:hAnsi="Times New Roman" w:cs="Times New Roman"/>
                <w:color w:val="auto"/>
                <w:kern w:val="0"/>
                <w:sz w:val="24"/>
                <w:highlight w:val="none"/>
              </w:rPr>
              <w:t>。</w:t>
            </w:r>
          </w:p>
          <w:p w14:paraId="4DDE0782">
            <w:pPr>
              <w:ind w:firstLine="482"/>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2、地表水环境质量现状</w:t>
            </w:r>
          </w:p>
          <w:p w14:paraId="3AC70676">
            <w:pPr>
              <w:bidi w:val="0"/>
              <w:rPr>
                <w:color w:val="auto"/>
                <w:highlight w:val="none"/>
              </w:rPr>
            </w:pPr>
            <w:r>
              <w:rPr>
                <w:color w:val="auto"/>
                <w:spacing w:val="1"/>
                <w:highlight w:val="none"/>
              </w:rPr>
              <w:t>本项目位于</w:t>
            </w:r>
            <w:r>
              <w:rPr>
                <w:rFonts w:hint="eastAsia"/>
                <w:color w:val="auto"/>
                <w:spacing w:val="1"/>
                <w:highlight w:val="none"/>
                <w:lang w:eastAsia="zh-CN"/>
              </w:rPr>
              <w:t>四川省遂宁市安居区省级经济开发区现代装备制造产业园区 4-5，</w:t>
            </w:r>
            <w:r>
              <w:rPr>
                <w:color w:val="auto"/>
                <w:highlight w:val="none"/>
              </w:rPr>
              <w:t>纳污水体为</w:t>
            </w:r>
            <w:r>
              <w:rPr>
                <w:rFonts w:hint="eastAsia"/>
                <w:color w:val="auto"/>
                <w:highlight w:val="none"/>
                <w:lang w:val="en-US" w:eastAsia="zh-CN"/>
              </w:rPr>
              <w:t>琼江</w:t>
            </w:r>
            <w:r>
              <w:rPr>
                <w:rFonts w:hint="eastAsia"/>
                <w:color w:val="auto"/>
                <w:highlight w:val="none"/>
                <w:lang w:eastAsia="zh-CN"/>
              </w:rPr>
              <w:t>。</w:t>
            </w:r>
            <w:r>
              <w:rPr>
                <w:color w:val="auto"/>
                <w:highlight w:val="none"/>
              </w:rPr>
              <w:t>根据</w:t>
            </w:r>
            <w:r>
              <w:rPr>
                <w:rFonts w:hint="eastAsia"/>
                <w:color w:val="auto"/>
                <w:highlight w:val="none"/>
              </w:rPr>
              <w:t>《建设项目环境影响报告表编制技术指南（污染影响类）试行》</w:t>
            </w:r>
            <w:r>
              <w:rPr>
                <w:color w:val="auto"/>
                <w:highlight w:val="none"/>
              </w:rPr>
              <w:t>中有关水环境质量现状调查的规定，应优先采用国务院生态环境保护主管部门统一发布的水环境状况信息，当现有资料不满足要求时，应按照不同等级对应的评价时段要求开展现状监测。</w:t>
            </w:r>
          </w:p>
          <w:p w14:paraId="253911A8">
            <w:pPr>
              <w:bidi w:val="0"/>
              <w:rPr>
                <w:rFonts w:hint="eastAsia" w:eastAsia="宋体"/>
                <w:color w:val="auto"/>
                <w:highlight w:val="none"/>
                <w:lang w:eastAsia="zh-CN"/>
              </w:rPr>
            </w:pPr>
            <w:r>
              <w:rPr>
                <w:rFonts w:hint="default"/>
                <w:color w:val="auto"/>
                <w:highlight w:val="none"/>
              </w:rPr>
              <w:t>根据项目所在区域生态环境部门发布的《</w:t>
            </w:r>
            <w:r>
              <w:rPr>
                <w:rFonts w:hint="eastAsia"/>
                <w:color w:val="auto"/>
                <w:highlight w:val="none"/>
                <w:lang w:eastAsia="zh-CN"/>
              </w:rPr>
              <w:t>2024年遂宁市环境质量公告</w:t>
            </w:r>
            <w:r>
              <w:rPr>
                <w:rFonts w:hint="default"/>
                <w:color w:val="auto"/>
                <w:highlight w:val="none"/>
              </w:rPr>
              <w:t>》中地表水环境状况信息</w:t>
            </w:r>
            <w:r>
              <w:rPr>
                <w:rFonts w:hint="eastAsia"/>
                <w:color w:val="auto"/>
                <w:highlight w:val="none"/>
                <w:lang w:eastAsia="zh-CN"/>
              </w:rPr>
              <w:t>：</w:t>
            </w:r>
          </w:p>
          <w:p w14:paraId="0CAD19C6">
            <w:pPr>
              <w:bidi w:val="0"/>
              <w:rPr>
                <w:rFonts w:hint="default"/>
                <w:color w:val="auto"/>
                <w:highlight w:val="none"/>
              </w:rPr>
            </w:pPr>
            <w:r>
              <w:rPr>
                <w:rFonts w:hint="default"/>
                <w:color w:val="auto"/>
                <w:highlight w:val="none"/>
              </w:rPr>
              <w:t>本年度遂宁市9个国、省控地表水监测断面（含2个长江经济带断面）水环境质量状况、主要污染指标、环比和同比情况见</w:t>
            </w:r>
            <w:r>
              <w:rPr>
                <w:rFonts w:hint="eastAsia"/>
                <w:color w:val="auto"/>
                <w:highlight w:val="none"/>
                <w:lang w:val="en-US" w:eastAsia="zh-CN"/>
              </w:rPr>
              <w:t>下表</w:t>
            </w:r>
            <w:r>
              <w:rPr>
                <w:rFonts w:hint="default"/>
                <w:color w:val="auto"/>
                <w:highlight w:val="none"/>
              </w:rPr>
              <w:t>。</w:t>
            </w:r>
          </w:p>
          <w:p w14:paraId="5150261D">
            <w:pPr>
              <w:bidi w:val="0"/>
              <w:rPr>
                <w:rFonts w:hint="default"/>
                <w:color w:val="auto"/>
                <w:highlight w:val="none"/>
              </w:rPr>
            </w:pPr>
          </w:p>
          <w:p w14:paraId="1B2138AC">
            <w:pPr>
              <w:bidi w:val="0"/>
              <w:rPr>
                <w:rFonts w:hint="default"/>
                <w:color w:val="auto"/>
                <w:highlight w:val="none"/>
              </w:rPr>
            </w:pPr>
          </w:p>
          <w:p w14:paraId="308ED9F0">
            <w:pPr>
              <w:bidi w:val="0"/>
              <w:rPr>
                <w:rFonts w:hint="default"/>
                <w:color w:val="auto"/>
                <w:highlight w:val="none"/>
              </w:rPr>
            </w:pPr>
          </w:p>
          <w:p w14:paraId="294BA494">
            <w:pPr>
              <w:bidi w:val="0"/>
              <w:rPr>
                <w:rFonts w:hint="default"/>
                <w:color w:val="auto"/>
                <w:highlight w:val="none"/>
              </w:rPr>
            </w:pPr>
          </w:p>
          <w:p w14:paraId="3FE0856C">
            <w:pPr>
              <w:bidi w:val="0"/>
              <w:rPr>
                <w:rFonts w:hint="default"/>
                <w:color w:val="auto"/>
                <w:highlight w:val="none"/>
              </w:rPr>
            </w:pPr>
          </w:p>
          <w:p w14:paraId="3853FC0B">
            <w:pPr>
              <w:bidi w:val="0"/>
              <w:rPr>
                <w:rFonts w:hint="default"/>
                <w:color w:val="auto"/>
                <w:highlight w:val="none"/>
              </w:rPr>
            </w:pPr>
          </w:p>
          <w:p w14:paraId="394C695D">
            <w:pPr>
              <w:bidi w:val="0"/>
              <w:rPr>
                <w:rFonts w:hint="default"/>
                <w:color w:val="auto"/>
                <w:highlight w:val="none"/>
              </w:rPr>
            </w:pPr>
          </w:p>
          <w:p w14:paraId="6D5A91B5">
            <w:pPr>
              <w:bidi w:val="0"/>
              <w:rPr>
                <w:rFonts w:hint="default"/>
                <w:color w:val="auto"/>
                <w:highlight w:val="none"/>
              </w:rPr>
            </w:pPr>
          </w:p>
          <w:p w14:paraId="21680B89">
            <w:pPr>
              <w:bidi w:val="0"/>
              <w:rPr>
                <w:rFonts w:hint="default"/>
                <w:color w:val="auto"/>
                <w:highlight w:val="none"/>
              </w:rPr>
            </w:pPr>
          </w:p>
          <w:p w14:paraId="471C9B3A">
            <w:pPr>
              <w:bidi w:val="0"/>
              <w:rPr>
                <w:rFonts w:hint="default"/>
                <w:color w:val="auto"/>
                <w:highlight w:val="none"/>
              </w:rPr>
            </w:pPr>
          </w:p>
          <w:p w14:paraId="281295C6">
            <w:pPr>
              <w:bidi w:val="0"/>
              <w:rPr>
                <w:rFonts w:hint="default"/>
                <w:color w:val="auto"/>
                <w:highlight w:val="none"/>
              </w:rPr>
            </w:pPr>
          </w:p>
          <w:p w14:paraId="6982D2D3">
            <w:pPr>
              <w:bidi w:val="0"/>
              <w:rPr>
                <w:rFonts w:hint="default"/>
                <w:color w:val="auto"/>
                <w:highlight w:val="none"/>
              </w:rPr>
            </w:pPr>
          </w:p>
          <w:p w14:paraId="12471952">
            <w:pPr>
              <w:pStyle w:val="2"/>
              <w:ind w:left="0" w:leftChars="0" w:firstLine="0" w:firstLineChars="0"/>
              <w:jc w:val="center"/>
              <w:rPr>
                <w:rFonts w:hint="default"/>
                <w:color w:val="auto"/>
                <w:highlight w:val="none"/>
              </w:rPr>
            </w:pPr>
            <w:r>
              <w:rPr>
                <w:color w:val="auto"/>
                <w:sz w:val="28"/>
                <w:highlight w:val="none"/>
              </w:rPr>
              <mc:AlternateContent>
                <mc:Choice Requires="wps">
                  <w:drawing>
                    <wp:anchor distT="0" distB="0" distL="114300" distR="114300" simplePos="0" relativeHeight="251663360" behindDoc="0" locked="0" layoutInCell="1" allowOverlap="1">
                      <wp:simplePos x="0" y="0"/>
                      <wp:positionH relativeFrom="column">
                        <wp:posOffset>20955</wp:posOffset>
                      </wp:positionH>
                      <wp:positionV relativeFrom="paragraph">
                        <wp:posOffset>2432685</wp:posOffset>
                      </wp:positionV>
                      <wp:extent cx="5780405" cy="742315"/>
                      <wp:effectExtent l="6350" t="6350" r="23495" b="13335"/>
                      <wp:wrapNone/>
                      <wp:docPr id="25" name="矩形 25"/>
                      <wp:cNvGraphicFramePr/>
                      <a:graphic xmlns:a="http://schemas.openxmlformats.org/drawingml/2006/main">
                        <a:graphicData uri="http://schemas.microsoft.com/office/word/2010/wordprocessingShape">
                          <wps:wsp>
                            <wps:cNvSpPr/>
                            <wps:spPr>
                              <a:xfrm>
                                <a:off x="1654175" y="7440930"/>
                                <a:ext cx="5780405" cy="742315"/>
                              </a:xfrm>
                              <a:prstGeom prst="rect">
                                <a:avLst/>
                              </a:prstGeom>
                              <a:solidFill>
                                <a:schemeClr val="accent1">
                                  <a:alpha val="2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191.55pt;height:58.45pt;width:455.15pt;z-index:251663360;v-text-anchor:middle;mso-width-relative:page;mso-height-relative:page;" fillcolor="#5B9BD5 [3204]" filled="t" stroked="t" coordsize="21600,21600" o:gfxdata="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myYQ9oAAAAJAQAADwAAAAAAAAABACAAAAAiAAAAZHJzL2Rvd25yZXYueG1sUEsBAhQAFAAA&#10;AAgAh07iQKzLfuqYAgAARQUAAA4AAAAAAAAAAQAgAAAAKQEAAGRycy9lMm9Eb2MueG1sUEsFBgAA&#10;AAAGAAYAWQEAADMGAAAAAA==&#10;">
                      <v:fill on="t" opacity="13107f" focussize="0,0"/>
                      <v:stroke weight="1pt" color="#2E75B6 [2404]" miterlimit="8" joinstyle="miter"/>
                      <v:imagedata o:title=""/>
                      <o:lock v:ext="edit" aspectratio="f"/>
                    </v:rect>
                  </w:pict>
                </mc:Fallback>
              </mc:AlternateContent>
            </w:r>
            <w:r>
              <w:rPr>
                <w:color w:val="auto"/>
                <w:sz w:val="28"/>
                <w:highlight w:val="none"/>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1193800</wp:posOffset>
                      </wp:positionV>
                      <wp:extent cx="5780405" cy="617220"/>
                      <wp:effectExtent l="6350" t="6350" r="23495" b="24130"/>
                      <wp:wrapNone/>
                      <wp:docPr id="6" name="矩形 6"/>
                      <wp:cNvGraphicFramePr/>
                      <a:graphic xmlns:a="http://schemas.openxmlformats.org/drawingml/2006/main">
                        <a:graphicData uri="http://schemas.microsoft.com/office/word/2010/wordprocessingShape">
                          <wps:wsp>
                            <wps:cNvSpPr/>
                            <wps:spPr>
                              <a:xfrm>
                                <a:off x="0" y="0"/>
                                <a:ext cx="5780405" cy="617220"/>
                              </a:xfrm>
                              <a:prstGeom prst="rect">
                                <a:avLst/>
                              </a:prstGeom>
                              <a:solidFill>
                                <a:schemeClr val="accent1">
                                  <a:alpha val="2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94pt;height:48.6pt;width:455.15pt;z-index:251664384;v-text-anchor:middle;mso-width-relative:page;mso-height-relative:page;" fillcolor="#5B9BD5 [3204]" filled="t" stroked="t" coordsize="21600,21600" o:gfxdata="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tCDKPZAAAA&#10;CQEAAA8AAAAAAAAAAQAgAAAAIgAAAGRycy9kb3ducmV2LnhtbFBLAQIUABQAAAAIAIdO4kDW2QDN&#10;jgIAADcFAAAOAAAAAAAAAAEAIAAAACgBAABkcnMvZTJvRG9jLnhtbFBLBQYAAAAABgAGAFkBAAAo&#10;BgAAAAA=&#10;">
                      <v:fill on="t" opacity="13107f" focussize="0,0"/>
                      <v:stroke weight="1pt" color="#2E75B6 [2404]" miterlimit="8" joinstyle="miter"/>
                      <v:imagedata o:title=""/>
                      <o:lock v:ext="edit" aspectratio="f"/>
                    </v:rect>
                  </w:pict>
                </mc:Fallback>
              </mc:AlternateContent>
            </w:r>
            <w:r>
              <w:drawing>
                <wp:inline distT="0" distB="0" distL="114300" distR="114300">
                  <wp:extent cx="5826125" cy="5913120"/>
                  <wp:effectExtent l="0" t="0" r="317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7"/>
                          <a:stretch>
                            <a:fillRect/>
                          </a:stretch>
                        </pic:blipFill>
                        <pic:spPr>
                          <a:xfrm>
                            <a:off x="0" y="0"/>
                            <a:ext cx="5826125" cy="5913120"/>
                          </a:xfrm>
                          <a:prstGeom prst="rect">
                            <a:avLst/>
                          </a:prstGeom>
                          <a:noFill/>
                          <a:ln>
                            <a:noFill/>
                          </a:ln>
                        </pic:spPr>
                      </pic:pic>
                    </a:graphicData>
                  </a:graphic>
                </wp:inline>
              </w:drawing>
            </w:r>
          </w:p>
          <w:p w14:paraId="7D810CEF">
            <w:pPr>
              <w:pStyle w:val="14"/>
              <w:bidi w:val="0"/>
              <w:rPr>
                <w:rFonts w:hint="default"/>
                <w:color w:val="auto"/>
                <w:highlight w:val="none"/>
                <w:lang w:val="en-US" w:eastAsia="zh-CN"/>
              </w:rPr>
            </w:pPr>
            <w:r>
              <w:rPr>
                <w:color w:val="auto"/>
                <w:highlight w:val="none"/>
              </w:rPr>
              <w:t>图3-</w:t>
            </w:r>
            <w:r>
              <w:rPr>
                <w:color w:val="auto"/>
                <w:highlight w:val="none"/>
              </w:rPr>
              <w:fldChar w:fldCharType="begin"/>
            </w:r>
            <w:r>
              <w:rPr>
                <w:color w:val="auto"/>
                <w:highlight w:val="none"/>
              </w:rPr>
              <w:instrText xml:space="preserve"> SEQ 图3- \* ARABIC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lang w:val="en-US" w:eastAsia="zh-CN"/>
              </w:rPr>
              <w:t xml:space="preserve">  2024年项目区域控制断面水质状况</w:t>
            </w:r>
          </w:p>
          <w:p w14:paraId="6510DF59">
            <w:pPr>
              <w:bidi w:val="0"/>
              <w:rPr>
                <w:rFonts w:hint="eastAsia"/>
                <w:color w:val="auto"/>
                <w:highlight w:val="none"/>
              </w:rPr>
            </w:pPr>
            <w:r>
              <w:rPr>
                <w:rFonts w:hint="eastAsia"/>
                <w:color w:val="auto"/>
                <w:highlight w:val="none"/>
              </w:rPr>
              <w:t>本项目位于</w:t>
            </w:r>
            <w:r>
              <w:rPr>
                <w:rFonts w:hint="eastAsia"/>
                <w:color w:val="auto"/>
                <w:highlight w:val="none"/>
                <w:lang w:eastAsia="zh-CN"/>
              </w:rPr>
              <w:t>四川省遂宁市安居区省级经济开发区现代装备制造产业园区 4-5</w:t>
            </w:r>
            <w:r>
              <w:rPr>
                <w:rFonts w:hint="eastAsia"/>
                <w:color w:val="auto"/>
                <w:highlight w:val="none"/>
              </w:rPr>
              <w:t>（</w:t>
            </w:r>
            <w:r>
              <w:rPr>
                <w:rFonts w:hint="eastAsia"/>
                <w:color w:val="auto"/>
                <w:highlight w:val="none"/>
                <w:lang w:eastAsia="zh-CN"/>
              </w:rPr>
              <w:t>遂宁市</w:t>
            </w:r>
            <w:r>
              <w:rPr>
                <w:rFonts w:hint="eastAsia"/>
                <w:color w:val="auto"/>
                <w:highlight w:val="none"/>
              </w:rPr>
              <w:t>高端装备产业园城区片区），属于</w:t>
            </w:r>
            <w:r>
              <w:rPr>
                <w:rFonts w:hint="eastAsia"/>
                <w:color w:val="auto"/>
                <w:highlight w:val="none"/>
                <w:lang w:val="en-US" w:eastAsia="zh-CN"/>
              </w:rPr>
              <w:t>嘉陵江</w:t>
            </w:r>
            <w:r>
              <w:rPr>
                <w:rFonts w:hint="eastAsia"/>
                <w:color w:val="auto"/>
                <w:highlight w:val="none"/>
              </w:rPr>
              <w:t>流域，</w:t>
            </w:r>
            <w:r>
              <w:rPr>
                <w:rFonts w:hint="eastAsia"/>
                <w:color w:val="auto"/>
                <w:highlight w:val="none"/>
                <w:lang w:val="en-US" w:eastAsia="zh-CN"/>
              </w:rPr>
              <w:t>根据《</w:t>
            </w:r>
            <w:r>
              <w:rPr>
                <w:rFonts w:hint="eastAsia"/>
                <w:color w:val="auto"/>
                <w:highlight w:val="none"/>
                <w:lang w:eastAsia="zh-CN"/>
              </w:rPr>
              <w:t>2024年遂宁市环境质量公告</w:t>
            </w:r>
            <w:r>
              <w:rPr>
                <w:rFonts w:hint="eastAsia"/>
                <w:color w:val="auto"/>
                <w:highlight w:val="none"/>
                <w:lang w:val="en-US" w:eastAsia="zh-CN"/>
              </w:rPr>
              <w:t>》</w:t>
            </w:r>
            <w:r>
              <w:rPr>
                <w:rFonts w:hint="eastAsia"/>
                <w:color w:val="auto"/>
                <w:highlight w:val="none"/>
              </w:rPr>
              <w:t>，项目所在区域附近地表水总体满足《地表水环境质量标准》（GB3838-2002）</w:t>
            </w:r>
            <w:r>
              <w:rPr>
                <w:rFonts w:hint="default" w:ascii="Times New Roman" w:hAnsi="Times New Roman" w:cs="Times New Roman"/>
                <w:color w:val="auto"/>
                <w:highlight w:val="none"/>
              </w:rPr>
              <w:t>Ⅲ类</w:t>
            </w:r>
            <w:r>
              <w:rPr>
                <w:rFonts w:hint="eastAsia"/>
                <w:color w:val="auto"/>
                <w:highlight w:val="none"/>
              </w:rPr>
              <w:t>标准。因此，区域地表水环境质量状况较好。</w:t>
            </w:r>
          </w:p>
          <w:p w14:paraId="358A19ED">
            <w:pPr>
              <w:ind w:firstLine="482"/>
              <w:rPr>
                <w:b/>
                <w:color w:val="auto"/>
                <w:sz w:val="24"/>
                <w:highlight w:val="none"/>
              </w:rPr>
            </w:pPr>
            <w:r>
              <w:rPr>
                <w:rFonts w:hint="eastAsia" w:ascii="黑体" w:hAnsi="黑体" w:eastAsia="黑体" w:cs="黑体"/>
                <w:b/>
                <w:bCs/>
                <w:color w:val="auto"/>
                <w:sz w:val="24"/>
                <w:highlight w:val="none"/>
              </w:rPr>
              <w:t>3、声环境质量现状</w:t>
            </w:r>
          </w:p>
          <w:p w14:paraId="53D8EFFF">
            <w:pPr>
              <w:bidi w:val="0"/>
              <w:rPr>
                <w:rFonts w:hint="eastAsia"/>
                <w:color w:val="auto"/>
                <w:highlight w:val="none"/>
              </w:rPr>
            </w:pPr>
            <w:r>
              <w:rPr>
                <w:rFonts w:hint="eastAsia"/>
                <w:color w:val="auto"/>
                <w:highlight w:val="none"/>
              </w:rPr>
              <w:t>根据《建设项目环境影响报告表编制技术指南（污染影响类）（试行）》中有关声环境质量现状数据的规定：厂界外周边50米范围内存在声环境保护目标的建设项目，应监测保护目标声环境质量现状并评价达标情况。各点位应监测昼夜间噪声，监测时间不少于1天，项目夜间不生产则仅监测昼间噪声。</w:t>
            </w:r>
          </w:p>
          <w:p w14:paraId="643FF045">
            <w:pPr>
              <w:bidi w:val="0"/>
              <w:rPr>
                <w:color w:val="auto"/>
                <w:highlight w:val="none"/>
              </w:rPr>
            </w:pPr>
            <w:r>
              <w:rPr>
                <w:rFonts w:hint="eastAsia"/>
                <w:color w:val="auto"/>
                <w:highlight w:val="none"/>
              </w:rPr>
              <w:t>本项目厂界周边50m范围内无声环境保护目标，因此本次评价不进行声环境质量现状监测</w:t>
            </w:r>
            <w:r>
              <w:rPr>
                <w:color w:val="auto"/>
                <w:highlight w:val="none"/>
              </w:rPr>
              <w:t>。</w:t>
            </w:r>
          </w:p>
          <w:p w14:paraId="28FBF273">
            <w:pPr>
              <w:ind w:firstLine="482"/>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4、生态环境质量现状</w:t>
            </w:r>
          </w:p>
          <w:p w14:paraId="6C2AC9BC">
            <w:pPr>
              <w:keepNext/>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根据《建设项目环境影响报告表编制技术指南》</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污染影响类</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试行</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产业园区外建设项目新增用地且用地范围内含有生态环境保护目标时，应进行生态现状调查</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p>
          <w:p w14:paraId="46C86B1F">
            <w:pPr>
              <w:adjustRightInd w:val="0"/>
              <w:snapToGrid w:val="0"/>
              <w:ind w:firstLine="480"/>
              <w:rPr>
                <w:color w:val="auto"/>
                <w:sz w:val="24"/>
                <w:highlight w:val="none"/>
              </w:rPr>
            </w:pPr>
            <w:r>
              <w:rPr>
                <w:rFonts w:hint="eastAsia"/>
                <w:color w:val="auto"/>
                <w:sz w:val="24"/>
                <w:highlight w:val="none"/>
                <w:lang w:eastAsia="zh-CN"/>
              </w:rPr>
              <w:t>本项目</w:t>
            </w:r>
            <w:r>
              <w:rPr>
                <w:color w:val="auto"/>
                <w:sz w:val="24"/>
                <w:highlight w:val="none"/>
              </w:rPr>
              <w:t>位于工业园区，建设用地为工业用地，且用地范围内无自然保护区、风景名胜区、重要湿地、原始天然林等生态环境敏感目标。无需进行生态现状调查。</w:t>
            </w:r>
          </w:p>
          <w:p w14:paraId="68FC69B6">
            <w:pPr>
              <w:ind w:firstLine="482"/>
              <w:rPr>
                <w:rFonts w:hint="default" w:ascii="黑体" w:hAnsi="黑体" w:eastAsia="黑体" w:cs="黑体"/>
                <w:b/>
                <w:bCs/>
                <w:color w:val="auto"/>
                <w:sz w:val="24"/>
                <w:highlight w:val="none"/>
              </w:rPr>
            </w:pPr>
            <w:r>
              <w:rPr>
                <w:rFonts w:hint="default" w:ascii="黑体" w:hAnsi="黑体" w:eastAsia="黑体" w:cs="黑体"/>
                <w:b/>
                <w:bCs/>
                <w:color w:val="auto"/>
                <w:sz w:val="24"/>
                <w:highlight w:val="none"/>
              </w:rPr>
              <w:t>5、电磁辐射</w:t>
            </w:r>
          </w:p>
          <w:p w14:paraId="23A50681">
            <w:pPr>
              <w:keepNext/>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eastAsia="zh-CN"/>
              </w:rPr>
              <w:t>本项目</w:t>
            </w:r>
            <w:r>
              <w:rPr>
                <w:rFonts w:hint="default" w:ascii="Times New Roman" w:hAnsi="Times New Roman" w:eastAsia="宋体" w:cs="Times New Roman"/>
                <w:color w:val="auto"/>
                <w:kern w:val="0"/>
                <w:sz w:val="24"/>
                <w:highlight w:val="none"/>
              </w:rPr>
              <w:t>不属于电磁辐射类项目。</w:t>
            </w:r>
          </w:p>
          <w:p w14:paraId="169DE2C6">
            <w:pPr>
              <w:ind w:firstLine="482"/>
              <w:rPr>
                <w:rFonts w:hint="eastAsia" w:ascii="黑体" w:hAnsi="黑体" w:eastAsia="黑体" w:cs="黑体"/>
                <w:b/>
                <w:bCs/>
                <w:color w:val="auto"/>
                <w:sz w:val="24"/>
                <w:highlight w:val="none"/>
                <w:lang w:val="en-US" w:eastAsia="zh-CN"/>
              </w:rPr>
            </w:pPr>
            <w:r>
              <w:rPr>
                <w:rFonts w:hint="default" w:ascii="黑体" w:hAnsi="黑体" w:eastAsia="黑体" w:cs="黑体"/>
                <w:b/>
                <w:bCs/>
                <w:color w:val="auto"/>
                <w:sz w:val="24"/>
                <w:highlight w:val="none"/>
              </w:rPr>
              <w:t>6、地下水环境</w:t>
            </w:r>
          </w:p>
          <w:p w14:paraId="18C2B486">
            <w:pPr>
              <w:keepNext/>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项目厂界外500米范围内无地下水环境保护目标，且</w:t>
            </w:r>
            <w:r>
              <w:rPr>
                <w:rFonts w:hint="eastAsia" w:cs="Times New Roman"/>
                <w:color w:val="auto"/>
                <w:kern w:val="0"/>
                <w:sz w:val="24"/>
                <w:highlight w:val="none"/>
                <w:lang w:eastAsia="zh-CN"/>
              </w:rPr>
              <w:t>本项目</w:t>
            </w:r>
            <w:r>
              <w:rPr>
                <w:rFonts w:hint="default" w:ascii="Times New Roman" w:hAnsi="Times New Roman" w:eastAsia="宋体" w:cs="Times New Roman"/>
                <w:color w:val="auto"/>
                <w:kern w:val="0"/>
                <w:sz w:val="24"/>
                <w:highlight w:val="none"/>
              </w:rPr>
              <w:t>运营期采取分区防渗措施后不会对地下水造成污染，因此本次评价不针对地下水环境质量监测。</w:t>
            </w:r>
          </w:p>
          <w:p w14:paraId="601607BE">
            <w:pPr>
              <w:ind w:firstLine="482"/>
              <w:rPr>
                <w:rFonts w:hint="default" w:ascii="黑体" w:hAnsi="黑体" w:eastAsia="黑体" w:cs="黑体"/>
                <w:b/>
                <w:bCs/>
                <w:color w:val="auto"/>
                <w:sz w:val="24"/>
                <w:highlight w:val="none"/>
              </w:rPr>
            </w:pPr>
            <w:r>
              <w:rPr>
                <w:rFonts w:hint="default" w:ascii="黑体" w:hAnsi="黑体" w:eastAsia="黑体" w:cs="黑体"/>
                <w:b/>
                <w:bCs/>
                <w:color w:val="auto"/>
                <w:sz w:val="24"/>
                <w:highlight w:val="none"/>
              </w:rPr>
              <w:t>7、土壤环境</w:t>
            </w:r>
          </w:p>
          <w:p w14:paraId="4E9C2176">
            <w:pPr>
              <w:keepNext/>
              <w:adjustRightInd w:val="0"/>
              <w:snapToGrid w:val="0"/>
              <w:spacing w:line="360" w:lineRule="auto"/>
              <w:ind w:firstLine="480" w:firstLineChars="200"/>
              <w:rPr>
                <w:color w:val="auto"/>
                <w:highlight w:val="none"/>
              </w:rPr>
            </w:pPr>
            <w:r>
              <w:rPr>
                <w:rFonts w:hint="default" w:ascii="Times New Roman" w:hAnsi="Times New Roman" w:eastAsia="宋体" w:cs="Times New Roman"/>
                <w:color w:val="auto"/>
                <w:kern w:val="0"/>
                <w:sz w:val="24"/>
                <w:highlight w:val="none"/>
              </w:rPr>
              <w:t>项目未设置土壤专项评价，根据《建设项目环境影响报告编制技术指南</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污染影响类</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试行</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原则上不开展环境质量现状调查</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，故本次环评未开展土壤环境现状调查。</w:t>
            </w:r>
          </w:p>
        </w:tc>
      </w:tr>
      <w:tr w14:paraId="34359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90" w:hRule="atLeast"/>
          <w:jc w:val="center"/>
        </w:trPr>
        <w:tc>
          <w:tcPr>
            <w:tcW w:w="456" w:type="dxa"/>
            <w:vAlign w:val="center"/>
          </w:tcPr>
          <w:p w14:paraId="378D755E">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b/>
                <w:bCs/>
                <w:color w:val="auto"/>
                <w:highlight w:val="none"/>
              </w:rPr>
            </w:pPr>
            <w:r>
              <w:rPr>
                <w:rFonts w:ascii="Times New Roman" w:hAnsi="Times New Roman"/>
                <w:b/>
                <w:bCs/>
                <w:color w:val="auto"/>
                <w:sz w:val="24"/>
                <w:szCs w:val="24"/>
                <w:highlight w:val="none"/>
              </w:rPr>
              <w:t>环境保护目标</w:t>
            </w:r>
          </w:p>
        </w:tc>
        <w:tc>
          <w:tcPr>
            <w:tcW w:w="9397" w:type="dxa"/>
            <w:vAlign w:val="center"/>
          </w:tcPr>
          <w:p w14:paraId="3796EABA">
            <w:pPr>
              <w:autoSpaceDE/>
              <w:autoSpaceDN/>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本项目位于四川省遂宁市安居区省级经济开发区现代装备制造产业园区 4-5，生产车间厂界外500m范围内主要为工业企业。本项目环境保护目标见下表</w:t>
            </w:r>
            <w:r>
              <w:rPr>
                <w:rFonts w:hint="default" w:ascii="Times New Roman" w:hAnsi="Times New Roman" w:cs="Times New Roman"/>
                <w:color w:val="auto"/>
                <w:sz w:val="24"/>
                <w:highlight w:val="none"/>
              </w:rPr>
              <w:t>。</w:t>
            </w:r>
          </w:p>
          <w:p w14:paraId="2DCCE604">
            <w:pPr>
              <w:pStyle w:val="14"/>
              <w:bidi w:val="0"/>
              <w:rPr>
                <w:rFonts w:hint="eastAsia"/>
                <w:color w:val="auto"/>
                <w:highlight w:val="none"/>
                <w:lang w:val="en-US" w:eastAsia="zh-CN"/>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lang w:val="en-US" w:eastAsia="zh-CN"/>
              </w:rPr>
              <w:t xml:space="preserve">  </w:t>
            </w:r>
            <w:r>
              <w:rPr>
                <w:rFonts w:hint="eastAsia"/>
                <w:color w:val="auto"/>
                <w:highlight w:val="none"/>
                <w:lang w:eastAsia="zh-CN"/>
              </w:rPr>
              <w:t>本项目</w:t>
            </w:r>
            <w:r>
              <w:rPr>
                <w:rFonts w:hint="default"/>
                <w:color w:val="auto"/>
                <w:highlight w:val="none"/>
              </w:rPr>
              <w:t>主要环境保护目标</w:t>
            </w:r>
            <w:r>
              <w:rPr>
                <w:rFonts w:hint="eastAsia"/>
                <w:color w:val="auto"/>
                <w:highlight w:val="none"/>
                <w:lang w:val="en-US" w:eastAsia="zh-CN"/>
              </w:rPr>
              <w:t>一览表</w:t>
            </w:r>
          </w:p>
          <w:tbl>
            <w:tblPr>
              <w:tblStyle w:val="28"/>
              <w:tblW w:w="9297" w:type="dxa"/>
              <w:jc w:val="center"/>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929"/>
              <w:gridCol w:w="1309"/>
              <w:gridCol w:w="811"/>
              <w:gridCol w:w="845"/>
              <w:gridCol w:w="1255"/>
              <w:gridCol w:w="1343"/>
              <w:gridCol w:w="2805"/>
            </w:tblGrid>
            <w:tr w14:paraId="4D9C435D">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929" w:type="dxa"/>
                  <w:tcBorders>
                    <w:tl2br w:val="nil"/>
                    <w:tr2bl w:val="nil"/>
                  </w:tcBorders>
                  <w:noWrap w:val="0"/>
                  <w:vAlign w:val="center"/>
                </w:tcPr>
                <w:p w14:paraId="28827899">
                  <w:pPr>
                    <w:pStyle w:val="94"/>
                    <w:bidi w:val="0"/>
                    <w:rPr>
                      <w:rFonts w:hint="default"/>
                      <w:b/>
                      <w:bCs w:val="0"/>
                      <w:color w:val="auto"/>
                      <w:highlight w:val="none"/>
                    </w:rPr>
                  </w:pPr>
                  <w:r>
                    <w:rPr>
                      <w:rFonts w:hint="default"/>
                      <w:b/>
                      <w:bCs w:val="0"/>
                      <w:color w:val="auto"/>
                      <w:highlight w:val="none"/>
                    </w:rPr>
                    <w:t>环境要素</w:t>
                  </w:r>
                </w:p>
              </w:tc>
              <w:tc>
                <w:tcPr>
                  <w:tcW w:w="1309" w:type="dxa"/>
                  <w:tcBorders>
                    <w:tl2br w:val="nil"/>
                    <w:tr2bl w:val="nil"/>
                  </w:tcBorders>
                  <w:noWrap w:val="0"/>
                  <w:vAlign w:val="center"/>
                </w:tcPr>
                <w:p w14:paraId="38E00206">
                  <w:pPr>
                    <w:pStyle w:val="94"/>
                    <w:bidi w:val="0"/>
                    <w:rPr>
                      <w:rFonts w:hint="default"/>
                      <w:b/>
                      <w:bCs w:val="0"/>
                      <w:color w:val="auto"/>
                      <w:highlight w:val="none"/>
                    </w:rPr>
                  </w:pPr>
                  <w:r>
                    <w:rPr>
                      <w:rFonts w:hint="default"/>
                      <w:b/>
                      <w:bCs w:val="0"/>
                      <w:color w:val="auto"/>
                      <w:highlight w:val="none"/>
                    </w:rPr>
                    <w:t>保护目标</w:t>
                  </w:r>
                </w:p>
              </w:tc>
              <w:tc>
                <w:tcPr>
                  <w:tcW w:w="811" w:type="dxa"/>
                  <w:tcBorders>
                    <w:tl2br w:val="nil"/>
                    <w:tr2bl w:val="nil"/>
                  </w:tcBorders>
                  <w:noWrap w:val="0"/>
                  <w:vAlign w:val="center"/>
                </w:tcPr>
                <w:p w14:paraId="0D174ABD">
                  <w:pPr>
                    <w:pStyle w:val="94"/>
                    <w:bidi w:val="0"/>
                    <w:rPr>
                      <w:rFonts w:hint="default"/>
                      <w:b/>
                      <w:bCs w:val="0"/>
                      <w:color w:val="auto"/>
                      <w:highlight w:val="none"/>
                    </w:rPr>
                  </w:pPr>
                  <w:r>
                    <w:rPr>
                      <w:rFonts w:hint="default"/>
                      <w:b/>
                      <w:bCs w:val="0"/>
                      <w:color w:val="auto"/>
                      <w:highlight w:val="none"/>
                    </w:rPr>
                    <w:t>方位</w:t>
                  </w:r>
                </w:p>
              </w:tc>
              <w:tc>
                <w:tcPr>
                  <w:tcW w:w="845" w:type="dxa"/>
                  <w:tcBorders>
                    <w:tl2br w:val="nil"/>
                    <w:tr2bl w:val="nil"/>
                  </w:tcBorders>
                  <w:noWrap w:val="0"/>
                  <w:vAlign w:val="center"/>
                </w:tcPr>
                <w:p w14:paraId="6C7AA4FF">
                  <w:pPr>
                    <w:pStyle w:val="94"/>
                    <w:bidi w:val="0"/>
                    <w:rPr>
                      <w:rFonts w:hint="default"/>
                      <w:b/>
                      <w:bCs w:val="0"/>
                      <w:color w:val="auto"/>
                      <w:highlight w:val="none"/>
                      <w:lang w:val="en-US" w:eastAsia="zh-CN"/>
                    </w:rPr>
                  </w:pPr>
                  <w:r>
                    <w:rPr>
                      <w:rFonts w:hint="eastAsia"/>
                      <w:b/>
                      <w:bCs w:val="0"/>
                      <w:color w:val="auto"/>
                      <w:highlight w:val="none"/>
                      <w:lang w:val="en-US" w:eastAsia="zh-CN"/>
                    </w:rPr>
                    <w:t>厂界距离</w:t>
                  </w:r>
                </w:p>
              </w:tc>
              <w:tc>
                <w:tcPr>
                  <w:tcW w:w="1255" w:type="dxa"/>
                  <w:tcBorders>
                    <w:tl2br w:val="nil"/>
                    <w:tr2bl w:val="nil"/>
                  </w:tcBorders>
                  <w:noWrap w:val="0"/>
                  <w:vAlign w:val="center"/>
                </w:tcPr>
                <w:p w14:paraId="75CB5AD3">
                  <w:pPr>
                    <w:pStyle w:val="94"/>
                    <w:bidi w:val="0"/>
                    <w:rPr>
                      <w:rFonts w:hint="default" w:eastAsia="宋体"/>
                      <w:b/>
                      <w:bCs w:val="0"/>
                      <w:color w:val="auto"/>
                      <w:highlight w:val="none"/>
                      <w:lang w:val="en-US" w:eastAsia="zh-CN"/>
                    </w:rPr>
                  </w:pPr>
                  <w:r>
                    <w:rPr>
                      <w:rFonts w:hint="default"/>
                      <w:b/>
                      <w:bCs w:val="0"/>
                      <w:color w:val="auto"/>
                      <w:highlight w:val="none"/>
                    </w:rPr>
                    <w:t>规模</w:t>
                  </w:r>
                  <w:r>
                    <w:rPr>
                      <w:rFonts w:hint="eastAsia"/>
                      <w:b/>
                      <w:bCs w:val="0"/>
                      <w:color w:val="auto"/>
                      <w:highlight w:val="none"/>
                      <w:lang w:val="en-US" w:eastAsia="zh-CN"/>
                    </w:rPr>
                    <w:t>/性质</w:t>
                  </w:r>
                </w:p>
              </w:tc>
              <w:tc>
                <w:tcPr>
                  <w:tcW w:w="1343" w:type="dxa"/>
                  <w:tcBorders>
                    <w:tl2br w:val="nil"/>
                    <w:tr2bl w:val="nil"/>
                  </w:tcBorders>
                  <w:noWrap w:val="0"/>
                  <w:vAlign w:val="center"/>
                </w:tcPr>
                <w:p w14:paraId="64E480BA">
                  <w:pPr>
                    <w:pStyle w:val="94"/>
                    <w:bidi w:val="0"/>
                    <w:rPr>
                      <w:rFonts w:hint="default"/>
                      <w:b/>
                      <w:bCs w:val="0"/>
                      <w:color w:val="auto"/>
                      <w:highlight w:val="none"/>
                    </w:rPr>
                  </w:pPr>
                  <w:r>
                    <w:rPr>
                      <w:rFonts w:hint="default"/>
                      <w:b/>
                      <w:bCs w:val="0"/>
                      <w:color w:val="auto"/>
                      <w:highlight w:val="none"/>
                    </w:rPr>
                    <w:t>范围或功能</w:t>
                  </w:r>
                </w:p>
              </w:tc>
              <w:tc>
                <w:tcPr>
                  <w:tcW w:w="2805" w:type="dxa"/>
                  <w:tcBorders>
                    <w:tl2br w:val="nil"/>
                    <w:tr2bl w:val="nil"/>
                  </w:tcBorders>
                  <w:noWrap w:val="0"/>
                  <w:vAlign w:val="center"/>
                </w:tcPr>
                <w:p w14:paraId="079FD5C9">
                  <w:pPr>
                    <w:pStyle w:val="94"/>
                    <w:bidi w:val="0"/>
                    <w:rPr>
                      <w:rFonts w:hint="default"/>
                      <w:b/>
                      <w:bCs w:val="0"/>
                      <w:color w:val="auto"/>
                      <w:highlight w:val="none"/>
                    </w:rPr>
                  </w:pPr>
                  <w:r>
                    <w:rPr>
                      <w:rFonts w:hint="default"/>
                      <w:b/>
                      <w:bCs w:val="0"/>
                      <w:color w:val="auto"/>
                      <w:highlight w:val="none"/>
                    </w:rPr>
                    <w:t>保护级别</w:t>
                  </w:r>
                </w:p>
              </w:tc>
            </w:tr>
            <w:tr w14:paraId="305C0FB6">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929" w:type="dxa"/>
                  <w:tcBorders>
                    <w:tl2br w:val="nil"/>
                    <w:tr2bl w:val="nil"/>
                  </w:tcBorders>
                  <w:noWrap w:val="0"/>
                  <w:vAlign w:val="center"/>
                </w:tcPr>
                <w:p w14:paraId="33D5265F">
                  <w:pPr>
                    <w:pStyle w:val="94"/>
                    <w:bidi w:val="0"/>
                    <w:rPr>
                      <w:rFonts w:hint="default"/>
                      <w:color w:val="auto"/>
                      <w:highlight w:val="none"/>
                    </w:rPr>
                  </w:pPr>
                  <w:r>
                    <w:rPr>
                      <w:rFonts w:hint="default"/>
                      <w:color w:val="auto"/>
                      <w:highlight w:val="none"/>
                    </w:rPr>
                    <w:t>大气环境</w:t>
                  </w:r>
                </w:p>
              </w:tc>
              <w:tc>
                <w:tcPr>
                  <w:tcW w:w="1309" w:type="dxa"/>
                  <w:tcBorders>
                    <w:tl2br w:val="nil"/>
                    <w:tr2bl w:val="nil"/>
                  </w:tcBorders>
                  <w:shd w:val="clear" w:color="auto" w:fill="auto"/>
                  <w:noWrap w:val="0"/>
                  <w:vAlign w:val="center"/>
                </w:tcPr>
                <w:p w14:paraId="5B23A2AB">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c>
                <w:tcPr>
                  <w:tcW w:w="811" w:type="dxa"/>
                  <w:tcBorders>
                    <w:tl2br w:val="nil"/>
                    <w:tr2bl w:val="nil"/>
                  </w:tcBorders>
                  <w:shd w:val="clear" w:color="auto" w:fill="auto"/>
                  <w:noWrap w:val="0"/>
                  <w:vAlign w:val="center"/>
                </w:tcPr>
                <w:p w14:paraId="74C3BD9D">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color w:val="auto"/>
                      <w:highlight w:val="none"/>
                    </w:rPr>
                    <w:t>/</w:t>
                  </w:r>
                </w:p>
              </w:tc>
              <w:tc>
                <w:tcPr>
                  <w:tcW w:w="845" w:type="dxa"/>
                  <w:tcBorders>
                    <w:tl2br w:val="nil"/>
                    <w:tr2bl w:val="nil"/>
                  </w:tcBorders>
                  <w:shd w:val="clear" w:color="auto" w:fill="auto"/>
                  <w:noWrap w:val="0"/>
                  <w:vAlign w:val="center"/>
                </w:tcPr>
                <w:p w14:paraId="61439135">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color w:val="auto"/>
                      <w:highlight w:val="none"/>
                    </w:rPr>
                    <w:t>/</w:t>
                  </w:r>
                </w:p>
              </w:tc>
              <w:tc>
                <w:tcPr>
                  <w:tcW w:w="1255" w:type="dxa"/>
                  <w:tcBorders>
                    <w:tl2br w:val="nil"/>
                    <w:tr2bl w:val="nil"/>
                  </w:tcBorders>
                  <w:shd w:val="clear" w:color="auto" w:fill="auto"/>
                  <w:noWrap w:val="0"/>
                  <w:vAlign w:val="center"/>
                </w:tcPr>
                <w:p w14:paraId="182C6EED">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color w:val="auto"/>
                      <w:highlight w:val="none"/>
                    </w:rPr>
                    <w:t>/</w:t>
                  </w:r>
                </w:p>
              </w:tc>
              <w:tc>
                <w:tcPr>
                  <w:tcW w:w="1343" w:type="dxa"/>
                  <w:tcBorders>
                    <w:tl2br w:val="nil"/>
                    <w:tr2bl w:val="nil"/>
                  </w:tcBorders>
                  <w:noWrap w:val="0"/>
                  <w:vAlign w:val="center"/>
                </w:tcPr>
                <w:p w14:paraId="35BCF82F">
                  <w:pPr>
                    <w:pStyle w:val="94"/>
                    <w:bidi w:val="0"/>
                    <w:rPr>
                      <w:rFonts w:hint="default"/>
                      <w:color w:val="auto"/>
                      <w:highlight w:val="none"/>
                    </w:rPr>
                  </w:pPr>
                  <w:r>
                    <w:rPr>
                      <w:rFonts w:hint="default"/>
                      <w:color w:val="auto"/>
                      <w:highlight w:val="none"/>
                    </w:rPr>
                    <w:t>项目厂界外500m范围内</w:t>
                  </w:r>
                </w:p>
              </w:tc>
              <w:tc>
                <w:tcPr>
                  <w:tcW w:w="2805" w:type="dxa"/>
                  <w:tcBorders>
                    <w:tl2br w:val="nil"/>
                    <w:tr2bl w:val="nil"/>
                  </w:tcBorders>
                  <w:noWrap w:val="0"/>
                  <w:vAlign w:val="center"/>
                </w:tcPr>
                <w:p w14:paraId="172BEBDD">
                  <w:pPr>
                    <w:pStyle w:val="94"/>
                    <w:bidi w:val="0"/>
                    <w:rPr>
                      <w:rFonts w:hint="default"/>
                      <w:color w:val="auto"/>
                      <w:highlight w:val="none"/>
                    </w:rPr>
                  </w:pPr>
                  <w:r>
                    <w:rPr>
                      <w:rFonts w:hint="default"/>
                      <w:color w:val="auto"/>
                      <w:highlight w:val="none"/>
                    </w:rPr>
                    <w:t>《环境空气质量标准》（GB3095-2012）二级标准</w:t>
                  </w:r>
                </w:p>
              </w:tc>
            </w:tr>
            <w:tr w14:paraId="0C0C6657">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929" w:type="dxa"/>
                  <w:vMerge w:val="restart"/>
                  <w:tcBorders>
                    <w:tl2br w:val="nil"/>
                    <w:tr2bl w:val="nil"/>
                  </w:tcBorders>
                  <w:noWrap w:val="0"/>
                  <w:vAlign w:val="center"/>
                </w:tcPr>
                <w:p w14:paraId="549FDE01">
                  <w:pPr>
                    <w:pStyle w:val="94"/>
                    <w:bidi w:val="0"/>
                    <w:rPr>
                      <w:rFonts w:hint="default"/>
                      <w:color w:val="auto"/>
                      <w:highlight w:val="none"/>
                      <w:lang w:val="en-US" w:eastAsia="zh-CN"/>
                    </w:rPr>
                  </w:pPr>
                  <w:r>
                    <w:rPr>
                      <w:rFonts w:hint="eastAsia"/>
                      <w:color w:val="auto"/>
                      <w:highlight w:val="none"/>
                      <w:lang w:val="en-US" w:eastAsia="zh-CN"/>
                    </w:rPr>
                    <w:t>地表水环境</w:t>
                  </w:r>
                </w:p>
              </w:tc>
              <w:tc>
                <w:tcPr>
                  <w:tcW w:w="1309" w:type="dxa"/>
                  <w:tcBorders>
                    <w:tl2br w:val="nil"/>
                    <w:tr2bl w:val="nil"/>
                  </w:tcBorders>
                  <w:shd w:val="clear" w:color="auto" w:fill="auto"/>
                  <w:noWrap w:val="0"/>
                  <w:vAlign w:val="center"/>
                </w:tcPr>
                <w:p w14:paraId="134A43CD">
                  <w:pPr>
                    <w:pStyle w:val="106"/>
                    <w:bidi w:val="0"/>
                    <w:rPr>
                      <w:rFonts w:hint="eastAsia"/>
                      <w:color w:val="auto"/>
                      <w:highlight w:val="none"/>
                      <w:lang w:val="en-US" w:eastAsia="zh-CN"/>
                    </w:rPr>
                  </w:pPr>
                  <w:r>
                    <w:rPr>
                      <w:rFonts w:hint="eastAsia"/>
                      <w:color w:val="auto"/>
                      <w:sz w:val="21"/>
                      <w:szCs w:val="21"/>
                      <w:lang w:val="en-US" w:eastAsia="zh-CN"/>
                    </w:rPr>
                    <w:t>玉丰河</w:t>
                  </w:r>
                </w:p>
              </w:tc>
              <w:tc>
                <w:tcPr>
                  <w:tcW w:w="811" w:type="dxa"/>
                  <w:tcBorders>
                    <w:tl2br w:val="nil"/>
                    <w:tr2bl w:val="nil"/>
                  </w:tcBorders>
                  <w:shd w:val="clear" w:color="auto" w:fill="auto"/>
                  <w:noWrap w:val="0"/>
                  <w:vAlign w:val="center"/>
                </w:tcPr>
                <w:p w14:paraId="5E83007F">
                  <w:pPr>
                    <w:pStyle w:val="106"/>
                    <w:bidi w:val="0"/>
                    <w:rPr>
                      <w:rFonts w:hint="default"/>
                      <w:color w:val="auto"/>
                      <w:highlight w:val="none"/>
                      <w:lang w:val="en-US" w:eastAsia="zh-CN"/>
                    </w:rPr>
                  </w:pPr>
                  <w:r>
                    <w:rPr>
                      <w:rFonts w:hint="eastAsia"/>
                      <w:color w:val="auto"/>
                      <w:highlight w:val="none"/>
                      <w:lang w:val="en-US" w:eastAsia="zh-CN"/>
                    </w:rPr>
                    <w:t>西北</w:t>
                  </w:r>
                </w:p>
              </w:tc>
              <w:tc>
                <w:tcPr>
                  <w:tcW w:w="845" w:type="dxa"/>
                  <w:tcBorders>
                    <w:tl2br w:val="nil"/>
                    <w:tr2bl w:val="nil"/>
                  </w:tcBorders>
                  <w:shd w:val="clear" w:color="auto" w:fill="auto"/>
                  <w:noWrap w:val="0"/>
                  <w:vAlign w:val="center"/>
                </w:tcPr>
                <w:p w14:paraId="69C88F0B">
                  <w:pPr>
                    <w:pStyle w:val="106"/>
                    <w:bidi w:val="0"/>
                    <w:rPr>
                      <w:rFonts w:hint="default"/>
                      <w:color w:val="auto"/>
                      <w:highlight w:val="none"/>
                      <w:lang w:val="en-US" w:eastAsia="zh-CN"/>
                    </w:rPr>
                  </w:pPr>
                  <w:r>
                    <w:rPr>
                      <w:rFonts w:hint="eastAsia"/>
                      <w:color w:val="auto"/>
                      <w:highlight w:val="none"/>
                      <w:lang w:val="en-US" w:eastAsia="zh-CN"/>
                    </w:rPr>
                    <w:t>730m</w:t>
                  </w:r>
                </w:p>
              </w:tc>
              <w:tc>
                <w:tcPr>
                  <w:tcW w:w="1255" w:type="dxa"/>
                  <w:tcBorders>
                    <w:tl2br w:val="nil"/>
                    <w:tr2bl w:val="nil"/>
                  </w:tcBorders>
                  <w:shd w:val="clear" w:color="auto" w:fill="auto"/>
                  <w:noWrap w:val="0"/>
                  <w:vAlign w:val="center"/>
                </w:tcPr>
                <w:p w14:paraId="3A0C3ACE">
                  <w:pPr>
                    <w:pStyle w:val="106"/>
                    <w:bidi w:val="0"/>
                    <w:rPr>
                      <w:rFonts w:hint="eastAsia"/>
                      <w:color w:val="auto"/>
                      <w:highlight w:val="none"/>
                    </w:rPr>
                  </w:pPr>
                  <w:r>
                    <w:rPr>
                      <w:rFonts w:hint="eastAsia"/>
                      <w:color w:val="auto"/>
                      <w:highlight w:val="none"/>
                    </w:rPr>
                    <w:t>行洪、灌溉</w:t>
                  </w:r>
                </w:p>
              </w:tc>
              <w:tc>
                <w:tcPr>
                  <w:tcW w:w="1343" w:type="dxa"/>
                  <w:tcBorders>
                    <w:tl2br w:val="nil"/>
                    <w:tr2bl w:val="nil"/>
                  </w:tcBorders>
                  <w:noWrap w:val="0"/>
                  <w:vAlign w:val="center"/>
                </w:tcPr>
                <w:p w14:paraId="0DF51F7B">
                  <w:pPr>
                    <w:pStyle w:val="94"/>
                    <w:bidi w:val="0"/>
                    <w:rPr>
                      <w:rFonts w:hint="default"/>
                      <w:color w:val="auto"/>
                      <w:highlight w:val="none"/>
                      <w:lang w:val="en-US" w:eastAsia="zh-CN"/>
                    </w:rPr>
                  </w:pPr>
                  <w:r>
                    <w:rPr>
                      <w:rFonts w:hint="eastAsia"/>
                      <w:color w:val="auto"/>
                      <w:highlight w:val="none"/>
                      <w:lang w:val="en-US" w:eastAsia="zh-CN"/>
                    </w:rPr>
                    <w:t>/</w:t>
                  </w:r>
                </w:p>
              </w:tc>
              <w:tc>
                <w:tcPr>
                  <w:tcW w:w="2805" w:type="dxa"/>
                  <w:vMerge w:val="restart"/>
                  <w:tcBorders>
                    <w:tl2br w:val="nil"/>
                    <w:tr2bl w:val="nil"/>
                  </w:tcBorders>
                  <w:noWrap w:val="0"/>
                  <w:vAlign w:val="center"/>
                </w:tcPr>
                <w:p w14:paraId="50623611">
                  <w:pPr>
                    <w:pStyle w:val="94"/>
                    <w:bidi w:val="0"/>
                    <w:rPr>
                      <w:rFonts w:hint="default"/>
                      <w:color w:val="auto"/>
                      <w:highlight w:val="none"/>
                    </w:rPr>
                  </w:pPr>
                  <w:r>
                    <w:rPr>
                      <w:rFonts w:hint="default"/>
                      <w:color w:val="auto"/>
                      <w:highlight w:val="none"/>
                    </w:rPr>
                    <w:t>《地表水环境质量标准》</w:t>
                  </w:r>
                  <w:r>
                    <w:rPr>
                      <w:rFonts w:hint="eastAsia"/>
                      <w:color w:val="auto"/>
                      <w:highlight w:val="none"/>
                      <w:lang w:eastAsia="zh-CN"/>
                    </w:rPr>
                    <w:t>（</w:t>
                  </w:r>
                  <w:r>
                    <w:rPr>
                      <w:rFonts w:hint="default"/>
                      <w:color w:val="auto"/>
                      <w:highlight w:val="none"/>
                    </w:rPr>
                    <w:t>GB3838-2002</w:t>
                  </w:r>
                  <w:r>
                    <w:rPr>
                      <w:rFonts w:hint="eastAsia"/>
                      <w:color w:val="auto"/>
                      <w:highlight w:val="none"/>
                      <w:lang w:eastAsia="zh-CN"/>
                    </w:rPr>
                    <w:t>）</w:t>
                  </w:r>
                  <w:r>
                    <w:rPr>
                      <w:rFonts w:hint="default"/>
                      <w:color w:val="auto"/>
                      <w:highlight w:val="none"/>
                    </w:rPr>
                    <w:t>中Ⅲ类标准</w:t>
                  </w:r>
                </w:p>
              </w:tc>
            </w:tr>
            <w:tr w14:paraId="5776C518">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929" w:type="dxa"/>
                  <w:vMerge w:val="continue"/>
                  <w:tcBorders>
                    <w:tl2br w:val="nil"/>
                    <w:tr2bl w:val="nil"/>
                  </w:tcBorders>
                  <w:noWrap w:val="0"/>
                  <w:vAlign w:val="center"/>
                </w:tcPr>
                <w:p w14:paraId="3FC19400">
                  <w:pPr>
                    <w:pStyle w:val="94"/>
                    <w:bidi w:val="0"/>
                    <w:rPr>
                      <w:rFonts w:hint="default"/>
                      <w:color w:val="auto"/>
                      <w:highlight w:val="none"/>
                      <w:lang w:val="en-US" w:eastAsia="zh-CN"/>
                    </w:rPr>
                  </w:pPr>
                </w:p>
              </w:tc>
              <w:tc>
                <w:tcPr>
                  <w:tcW w:w="1309" w:type="dxa"/>
                  <w:tcBorders>
                    <w:tl2br w:val="nil"/>
                    <w:tr2bl w:val="nil"/>
                  </w:tcBorders>
                  <w:shd w:val="clear" w:color="auto" w:fill="auto"/>
                  <w:noWrap w:val="0"/>
                  <w:vAlign w:val="center"/>
                </w:tcPr>
                <w:p w14:paraId="7A9D0BD8">
                  <w:pPr>
                    <w:pStyle w:val="106"/>
                    <w:bidi w:val="0"/>
                    <w:rPr>
                      <w:rFonts w:hint="eastAsia" w:eastAsia="宋体"/>
                      <w:color w:val="auto"/>
                      <w:highlight w:val="none"/>
                      <w:lang w:val="en-US" w:eastAsia="zh-CN"/>
                    </w:rPr>
                  </w:pPr>
                  <w:r>
                    <w:rPr>
                      <w:rFonts w:hint="eastAsia"/>
                      <w:color w:val="auto"/>
                      <w:highlight w:val="none"/>
                      <w:lang w:val="en-US" w:eastAsia="zh-CN"/>
                    </w:rPr>
                    <w:t>琼江</w:t>
                  </w:r>
                </w:p>
              </w:tc>
              <w:tc>
                <w:tcPr>
                  <w:tcW w:w="811" w:type="dxa"/>
                  <w:tcBorders>
                    <w:tl2br w:val="nil"/>
                    <w:tr2bl w:val="nil"/>
                  </w:tcBorders>
                  <w:shd w:val="clear" w:color="auto" w:fill="auto"/>
                  <w:noWrap w:val="0"/>
                  <w:vAlign w:val="center"/>
                </w:tcPr>
                <w:p w14:paraId="66CE4D7C">
                  <w:pPr>
                    <w:pStyle w:val="106"/>
                    <w:bidi w:val="0"/>
                    <w:rPr>
                      <w:rFonts w:hint="default"/>
                      <w:color w:val="auto"/>
                      <w:highlight w:val="none"/>
                      <w:lang w:val="en-US" w:eastAsia="zh-CN"/>
                    </w:rPr>
                  </w:pPr>
                  <w:r>
                    <w:rPr>
                      <w:rFonts w:hint="eastAsia"/>
                      <w:color w:val="auto"/>
                      <w:highlight w:val="none"/>
                      <w:lang w:val="en-US" w:eastAsia="zh-CN"/>
                    </w:rPr>
                    <w:t>东</w:t>
                  </w:r>
                </w:p>
              </w:tc>
              <w:tc>
                <w:tcPr>
                  <w:tcW w:w="845" w:type="dxa"/>
                  <w:tcBorders>
                    <w:tl2br w:val="nil"/>
                    <w:tr2bl w:val="nil"/>
                  </w:tcBorders>
                  <w:shd w:val="clear" w:color="auto" w:fill="auto"/>
                  <w:noWrap w:val="0"/>
                  <w:vAlign w:val="center"/>
                </w:tcPr>
                <w:p w14:paraId="1657F08A">
                  <w:pPr>
                    <w:pStyle w:val="106"/>
                    <w:bidi w:val="0"/>
                    <w:rPr>
                      <w:rFonts w:hint="eastAsia"/>
                      <w:color w:val="auto"/>
                      <w:highlight w:val="none"/>
                      <w:lang w:val="en-US" w:eastAsia="zh-CN"/>
                    </w:rPr>
                  </w:pPr>
                  <w:r>
                    <w:rPr>
                      <w:rFonts w:hint="eastAsia"/>
                      <w:color w:val="auto"/>
                      <w:highlight w:val="none"/>
                      <w:lang w:val="en-US" w:eastAsia="zh-CN"/>
                    </w:rPr>
                    <w:t>2.24k</w:t>
                  </w:r>
                  <w:r>
                    <w:rPr>
                      <w:rFonts w:hint="eastAsia"/>
                      <w:color w:val="auto"/>
                      <w:highlight w:val="none"/>
                    </w:rPr>
                    <w:t>m</w:t>
                  </w:r>
                </w:p>
              </w:tc>
              <w:tc>
                <w:tcPr>
                  <w:tcW w:w="1255" w:type="dxa"/>
                  <w:tcBorders>
                    <w:tl2br w:val="nil"/>
                    <w:tr2bl w:val="nil"/>
                  </w:tcBorders>
                  <w:shd w:val="clear" w:color="auto" w:fill="auto"/>
                  <w:noWrap w:val="0"/>
                  <w:vAlign w:val="center"/>
                </w:tcPr>
                <w:p w14:paraId="285246C8">
                  <w:pPr>
                    <w:pStyle w:val="106"/>
                    <w:bidi w:val="0"/>
                    <w:rPr>
                      <w:rFonts w:hint="eastAsia"/>
                      <w:color w:val="auto"/>
                      <w:highlight w:val="none"/>
                      <w:lang w:val="en-US" w:eastAsia="zh-CN"/>
                    </w:rPr>
                  </w:pPr>
                  <w:r>
                    <w:rPr>
                      <w:rFonts w:hint="eastAsia"/>
                      <w:color w:val="auto"/>
                      <w:highlight w:val="none"/>
                    </w:rPr>
                    <w:t>行洪、灌溉</w:t>
                  </w:r>
                </w:p>
              </w:tc>
              <w:tc>
                <w:tcPr>
                  <w:tcW w:w="1343" w:type="dxa"/>
                  <w:tcBorders>
                    <w:tl2br w:val="nil"/>
                    <w:tr2bl w:val="nil"/>
                  </w:tcBorders>
                  <w:noWrap w:val="0"/>
                  <w:vAlign w:val="center"/>
                </w:tcPr>
                <w:p w14:paraId="495FC079">
                  <w:pPr>
                    <w:pStyle w:val="94"/>
                    <w:bidi w:val="0"/>
                    <w:rPr>
                      <w:rFonts w:hint="default"/>
                      <w:color w:val="auto"/>
                      <w:highlight w:val="none"/>
                      <w:lang w:val="en-US" w:eastAsia="zh-CN"/>
                    </w:rPr>
                  </w:pPr>
                  <w:r>
                    <w:rPr>
                      <w:rFonts w:hint="eastAsia"/>
                      <w:color w:val="auto"/>
                      <w:highlight w:val="none"/>
                      <w:lang w:val="en-US" w:eastAsia="zh-CN"/>
                    </w:rPr>
                    <w:t>/</w:t>
                  </w:r>
                </w:p>
              </w:tc>
              <w:tc>
                <w:tcPr>
                  <w:tcW w:w="2805" w:type="dxa"/>
                  <w:vMerge w:val="continue"/>
                  <w:tcBorders>
                    <w:tl2br w:val="nil"/>
                    <w:tr2bl w:val="nil"/>
                  </w:tcBorders>
                  <w:noWrap w:val="0"/>
                  <w:vAlign w:val="center"/>
                </w:tcPr>
                <w:p w14:paraId="6B6D88CA">
                  <w:pPr>
                    <w:pStyle w:val="94"/>
                    <w:bidi w:val="0"/>
                    <w:rPr>
                      <w:rFonts w:hint="default"/>
                      <w:color w:val="auto"/>
                      <w:highlight w:val="none"/>
                    </w:rPr>
                  </w:pPr>
                </w:p>
              </w:tc>
            </w:tr>
            <w:tr w14:paraId="48978E5B">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929" w:type="dxa"/>
                  <w:tcBorders>
                    <w:tl2br w:val="nil"/>
                    <w:tr2bl w:val="nil"/>
                  </w:tcBorders>
                  <w:noWrap w:val="0"/>
                  <w:vAlign w:val="center"/>
                </w:tcPr>
                <w:p w14:paraId="46D6681C">
                  <w:pPr>
                    <w:pStyle w:val="94"/>
                    <w:bidi w:val="0"/>
                    <w:rPr>
                      <w:rFonts w:hint="default"/>
                      <w:color w:val="auto"/>
                      <w:highlight w:val="none"/>
                    </w:rPr>
                  </w:pPr>
                  <w:r>
                    <w:rPr>
                      <w:rFonts w:hint="default"/>
                      <w:color w:val="auto"/>
                      <w:highlight w:val="none"/>
                    </w:rPr>
                    <w:t>声环境</w:t>
                  </w:r>
                </w:p>
              </w:tc>
              <w:tc>
                <w:tcPr>
                  <w:tcW w:w="1309" w:type="dxa"/>
                  <w:tcBorders>
                    <w:tl2br w:val="nil"/>
                    <w:tr2bl w:val="nil"/>
                  </w:tcBorders>
                  <w:shd w:val="clear" w:color="auto" w:fill="auto"/>
                  <w:noWrap w:val="0"/>
                  <w:vAlign w:val="center"/>
                </w:tcPr>
                <w:p w14:paraId="639EDEAA">
                  <w:pPr>
                    <w:pStyle w:val="94"/>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default"/>
                      <w:color w:val="auto"/>
                      <w:highlight w:val="none"/>
                    </w:rPr>
                    <w:t>无</w:t>
                  </w:r>
                </w:p>
              </w:tc>
              <w:tc>
                <w:tcPr>
                  <w:tcW w:w="811" w:type="dxa"/>
                  <w:tcBorders>
                    <w:tl2br w:val="nil"/>
                    <w:tr2bl w:val="nil"/>
                  </w:tcBorders>
                  <w:shd w:val="clear" w:color="auto" w:fill="auto"/>
                  <w:noWrap w:val="0"/>
                  <w:vAlign w:val="center"/>
                </w:tcPr>
                <w:p w14:paraId="00403BBE">
                  <w:pPr>
                    <w:pStyle w:val="94"/>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color w:val="auto"/>
                      <w:highlight w:val="none"/>
                    </w:rPr>
                    <w:t>/</w:t>
                  </w:r>
                </w:p>
              </w:tc>
              <w:tc>
                <w:tcPr>
                  <w:tcW w:w="845" w:type="dxa"/>
                  <w:tcBorders>
                    <w:tl2br w:val="nil"/>
                    <w:tr2bl w:val="nil"/>
                  </w:tcBorders>
                  <w:shd w:val="clear" w:color="auto" w:fill="auto"/>
                  <w:noWrap w:val="0"/>
                  <w:vAlign w:val="center"/>
                </w:tcPr>
                <w:p w14:paraId="35A681BC">
                  <w:pPr>
                    <w:pStyle w:val="94"/>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default"/>
                      <w:color w:val="auto"/>
                      <w:highlight w:val="none"/>
                    </w:rPr>
                    <w:t>/</w:t>
                  </w:r>
                </w:p>
              </w:tc>
              <w:tc>
                <w:tcPr>
                  <w:tcW w:w="1255" w:type="dxa"/>
                  <w:tcBorders>
                    <w:tl2br w:val="nil"/>
                    <w:tr2bl w:val="nil"/>
                  </w:tcBorders>
                  <w:shd w:val="clear" w:color="auto" w:fill="auto"/>
                  <w:noWrap w:val="0"/>
                  <w:vAlign w:val="center"/>
                </w:tcPr>
                <w:p w14:paraId="2FD9CD48">
                  <w:pPr>
                    <w:pStyle w:val="94"/>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default"/>
                      <w:color w:val="auto"/>
                      <w:highlight w:val="none"/>
                    </w:rPr>
                    <w:t>/</w:t>
                  </w:r>
                </w:p>
              </w:tc>
              <w:tc>
                <w:tcPr>
                  <w:tcW w:w="1343" w:type="dxa"/>
                  <w:tcBorders>
                    <w:tl2br w:val="nil"/>
                    <w:tr2bl w:val="nil"/>
                  </w:tcBorders>
                  <w:noWrap w:val="0"/>
                  <w:vAlign w:val="center"/>
                </w:tcPr>
                <w:p w14:paraId="040D73CE">
                  <w:pPr>
                    <w:pStyle w:val="94"/>
                    <w:bidi w:val="0"/>
                    <w:rPr>
                      <w:rFonts w:hint="default"/>
                      <w:color w:val="auto"/>
                      <w:highlight w:val="none"/>
                    </w:rPr>
                  </w:pPr>
                  <w:r>
                    <w:rPr>
                      <w:rFonts w:hint="default"/>
                      <w:color w:val="auto"/>
                      <w:highlight w:val="none"/>
                    </w:rPr>
                    <w:t>项目厂界外50m范围内</w:t>
                  </w:r>
                </w:p>
              </w:tc>
              <w:tc>
                <w:tcPr>
                  <w:tcW w:w="2805" w:type="dxa"/>
                  <w:tcBorders>
                    <w:tl2br w:val="nil"/>
                    <w:tr2bl w:val="nil"/>
                  </w:tcBorders>
                  <w:noWrap w:val="0"/>
                  <w:vAlign w:val="center"/>
                </w:tcPr>
                <w:p w14:paraId="08C42D51">
                  <w:pPr>
                    <w:pStyle w:val="94"/>
                    <w:bidi w:val="0"/>
                    <w:rPr>
                      <w:rFonts w:hint="default"/>
                      <w:color w:val="auto"/>
                      <w:highlight w:val="none"/>
                    </w:rPr>
                  </w:pPr>
                  <w:r>
                    <w:rPr>
                      <w:rFonts w:hint="default"/>
                      <w:color w:val="auto"/>
                      <w:highlight w:val="none"/>
                    </w:rPr>
                    <w:t>《声境质量标准》</w:t>
                  </w:r>
                  <w:r>
                    <w:rPr>
                      <w:rFonts w:hint="eastAsia"/>
                      <w:color w:val="auto"/>
                      <w:highlight w:val="none"/>
                      <w:lang w:eastAsia="zh-CN"/>
                    </w:rPr>
                    <w:t>（</w:t>
                  </w:r>
                  <w:r>
                    <w:rPr>
                      <w:rFonts w:hint="default"/>
                      <w:color w:val="auto"/>
                      <w:highlight w:val="none"/>
                    </w:rPr>
                    <w:t>GB3096-2008</w:t>
                  </w:r>
                  <w:r>
                    <w:rPr>
                      <w:rFonts w:hint="eastAsia"/>
                      <w:color w:val="auto"/>
                      <w:highlight w:val="none"/>
                      <w:lang w:eastAsia="zh-CN"/>
                    </w:rPr>
                    <w:t>）</w:t>
                  </w:r>
                  <w:r>
                    <w:rPr>
                      <w:rFonts w:hint="default"/>
                      <w:color w:val="auto"/>
                      <w:highlight w:val="none"/>
                    </w:rPr>
                    <w:t>中</w:t>
                  </w:r>
                  <w:r>
                    <w:rPr>
                      <w:rFonts w:hint="eastAsia"/>
                      <w:color w:val="auto"/>
                      <w:highlight w:val="none"/>
                      <w:lang w:val="en-US" w:eastAsia="zh-CN"/>
                    </w:rPr>
                    <w:t>3</w:t>
                  </w:r>
                  <w:r>
                    <w:rPr>
                      <w:rFonts w:hint="default"/>
                      <w:color w:val="auto"/>
                      <w:highlight w:val="none"/>
                    </w:rPr>
                    <w:t>类标准</w:t>
                  </w:r>
                </w:p>
              </w:tc>
            </w:tr>
            <w:tr w14:paraId="14118D3D">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929" w:type="dxa"/>
                  <w:tcBorders>
                    <w:tl2br w:val="nil"/>
                    <w:tr2bl w:val="nil"/>
                  </w:tcBorders>
                  <w:noWrap w:val="0"/>
                  <w:vAlign w:val="center"/>
                </w:tcPr>
                <w:p w14:paraId="13FCE0A7">
                  <w:pPr>
                    <w:pStyle w:val="94"/>
                    <w:bidi w:val="0"/>
                    <w:rPr>
                      <w:rFonts w:hint="default"/>
                      <w:color w:val="auto"/>
                      <w:highlight w:val="none"/>
                    </w:rPr>
                  </w:pPr>
                  <w:r>
                    <w:rPr>
                      <w:rFonts w:hint="default"/>
                      <w:color w:val="auto"/>
                      <w:highlight w:val="none"/>
                    </w:rPr>
                    <w:t>地下水</w:t>
                  </w:r>
                </w:p>
              </w:tc>
              <w:tc>
                <w:tcPr>
                  <w:tcW w:w="1309" w:type="dxa"/>
                  <w:tcBorders>
                    <w:tl2br w:val="nil"/>
                    <w:tr2bl w:val="nil"/>
                  </w:tcBorders>
                  <w:noWrap w:val="0"/>
                  <w:vAlign w:val="center"/>
                </w:tcPr>
                <w:p w14:paraId="1DC1B96D">
                  <w:pPr>
                    <w:pStyle w:val="94"/>
                    <w:bidi w:val="0"/>
                    <w:rPr>
                      <w:rFonts w:hint="default"/>
                      <w:color w:val="auto"/>
                      <w:highlight w:val="none"/>
                    </w:rPr>
                  </w:pPr>
                  <w:r>
                    <w:rPr>
                      <w:rFonts w:hint="default"/>
                      <w:color w:val="auto"/>
                      <w:highlight w:val="none"/>
                    </w:rPr>
                    <w:t>无</w:t>
                  </w:r>
                </w:p>
              </w:tc>
              <w:tc>
                <w:tcPr>
                  <w:tcW w:w="811" w:type="dxa"/>
                  <w:tcBorders>
                    <w:tl2br w:val="nil"/>
                    <w:tr2bl w:val="nil"/>
                  </w:tcBorders>
                  <w:noWrap w:val="0"/>
                  <w:vAlign w:val="center"/>
                </w:tcPr>
                <w:p w14:paraId="4D69CD50">
                  <w:pPr>
                    <w:pStyle w:val="94"/>
                    <w:bidi w:val="0"/>
                    <w:rPr>
                      <w:rFonts w:hint="default"/>
                      <w:color w:val="auto"/>
                      <w:highlight w:val="none"/>
                    </w:rPr>
                  </w:pPr>
                  <w:r>
                    <w:rPr>
                      <w:rFonts w:hint="default"/>
                      <w:color w:val="auto"/>
                      <w:highlight w:val="none"/>
                    </w:rPr>
                    <w:t>/</w:t>
                  </w:r>
                </w:p>
              </w:tc>
              <w:tc>
                <w:tcPr>
                  <w:tcW w:w="845" w:type="dxa"/>
                  <w:tcBorders>
                    <w:tl2br w:val="nil"/>
                    <w:tr2bl w:val="nil"/>
                  </w:tcBorders>
                  <w:noWrap w:val="0"/>
                  <w:vAlign w:val="center"/>
                </w:tcPr>
                <w:p w14:paraId="14F81F0E">
                  <w:pPr>
                    <w:pStyle w:val="94"/>
                    <w:bidi w:val="0"/>
                    <w:rPr>
                      <w:rFonts w:hint="eastAsia"/>
                      <w:color w:val="auto"/>
                      <w:highlight w:val="none"/>
                      <w:lang w:val="en-US" w:eastAsia="zh-CN"/>
                    </w:rPr>
                  </w:pPr>
                  <w:r>
                    <w:rPr>
                      <w:rFonts w:hint="default"/>
                      <w:color w:val="auto"/>
                      <w:highlight w:val="none"/>
                    </w:rPr>
                    <w:t>/</w:t>
                  </w:r>
                </w:p>
              </w:tc>
              <w:tc>
                <w:tcPr>
                  <w:tcW w:w="1255" w:type="dxa"/>
                  <w:tcBorders>
                    <w:tl2br w:val="nil"/>
                    <w:tr2bl w:val="nil"/>
                  </w:tcBorders>
                  <w:noWrap w:val="0"/>
                  <w:vAlign w:val="center"/>
                </w:tcPr>
                <w:p w14:paraId="3CC265CA">
                  <w:pPr>
                    <w:pStyle w:val="94"/>
                    <w:bidi w:val="0"/>
                    <w:rPr>
                      <w:rFonts w:hint="default"/>
                      <w:color w:val="auto"/>
                      <w:highlight w:val="none"/>
                    </w:rPr>
                  </w:pPr>
                  <w:r>
                    <w:rPr>
                      <w:rFonts w:hint="default"/>
                      <w:color w:val="auto"/>
                      <w:highlight w:val="none"/>
                    </w:rPr>
                    <w:t>/</w:t>
                  </w:r>
                </w:p>
              </w:tc>
              <w:tc>
                <w:tcPr>
                  <w:tcW w:w="1343" w:type="dxa"/>
                  <w:tcBorders>
                    <w:tl2br w:val="nil"/>
                    <w:tr2bl w:val="nil"/>
                  </w:tcBorders>
                  <w:noWrap w:val="0"/>
                  <w:vAlign w:val="center"/>
                </w:tcPr>
                <w:p w14:paraId="4B699ABF">
                  <w:pPr>
                    <w:pStyle w:val="94"/>
                    <w:bidi w:val="0"/>
                    <w:rPr>
                      <w:rFonts w:hint="default"/>
                      <w:color w:val="auto"/>
                      <w:highlight w:val="none"/>
                    </w:rPr>
                  </w:pPr>
                  <w:r>
                    <w:rPr>
                      <w:rFonts w:hint="default"/>
                      <w:color w:val="auto"/>
                      <w:highlight w:val="none"/>
                    </w:rPr>
                    <w:t>/</w:t>
                  </w:r>
                </w:p>
              </w:tc>
              <w:tc>
                <w:tcPr>
                  <w:tcW w:w="2805" w:type="dxa"/>
                  <w:tcBorders>
                    <w:tl2br w:val="nil"/>
                    <w:tr2bl w:val="nil"/>
                  </w:tcBorders>
                  <w:noWrap w:val="0"/>
                  <w:vAlign w:val="center"/>
                </w:tcPr>
                <w:p w14:paraId="238C712E">
                  <w:pPr>
                    <w:pStyle w:val="94"/>
                    <w:bidi w:val="0"/>
                    <w:rPr>
                      <w:rFonts w:hint="default"/>
                      <w:color w:val="auto"/>
                      <w:highlight w:val="none"/>
                    </w:rPr>
                  </w:pPr>
                  <w:r>
                    <w:rPr>
                      <w:rFonts w:hint="default"/>
                      <w:color w:val="auto"/>
                      <w:highlight w:val="none"/>
                    </w:rPr>
                    <w:t>《地下水环境质量标准》（GB/T14848-2017）</w:t>
                  </w:r>
                  <w:r>
                    <w:rPr>
                      <w:rFonts w:hint="eastAsia"/>
                      <w:color w:val="auto"/>
                      <w:highlight w:val="none"/>
                      <w:lang w:eastAsia="zh-CN"/>
                    </w:rPr>
                    <w:t>Ⅲ类</w:t>
                  </w:r>
                </w:p>
              </w:tc>
            </w:tr>
            <w:tr w14:paraId="58866766">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454" w:hRule="atLeast"/>
                <w:jc w:val="center"/>
              </w:trPr>
              <w:tc>
                <w:tcPr>
                  <w:tcW w:w="929" w:type="dxa"/>
                  <w:tcBorders>
                    <w:tl2br w:val="nil"/>
                    <w:tr2bl w:val="nil"/>
                  </w:tcBorders>
                  <w:noWrap w:val="0"/>
                  <w:vAlign w:val="center"/>
                </w:tcPr>
                <w:p w14:paraId="63FB23C2">
                  <w:pPr>
                    <w:pStyle w:val="94"/>
                    <w:bidi w:val="0"/>
                    <w:rPr>
                      <w:rFonts w:hint="default"/>
                      <w:color w:val="auto"/>
                      <w:highlight w:val="none"/>
                    </w:rPr>
                  </w:pPr>
                  <w:r>
                    <w:rPr>
                      <w:rFonts w:hint="default"/>
                      <w:color w:val="auto"/>
                      <w:highlight w:val="none"/>
                    </w:rPr>
                    <w:t>生态环境</w:t>
                  </w:r>
                </w:p>
              </w:tc>
              <w:tc>
                <w:tcPr>
                  <w:tcW w:w="4220" w:type="dxa"/>
                  <w:gridSpan w:val="4"/>
                  <w:tcBorders>
                    <w:tl2br w:val="nil"/>
                    <w:tr2bl w:val="nil"/>
                  </w:tcBorders>
                  <w:noWrap w:val="0"/>
                  <w:vAlign w:val="center"/>
                </w:tcPr>
                <w:p w14:paraId="4FC96AD4">
                  <w:pPr>
                    <w:pStyle w:val="94"/>
                    <w:bidi w:val="0"/>
                    <w:rPr>
                      <w:rFonts w:hint="default"/>
                      <w:color w:val="auto"/>
                      <w:highlight w:val="none"/>
                    </w:rPr>
                  </w:pPr>
                  <w:r>
                    <w:rPr>
                      <w:rFonts w:hint="eastAsia"/>
                      <w:color w:val="auto"/>
                      <w:highlight w:val="none"/>
                      <w:lang w:eastAsia="zh-CN"/>
                    </w:rPr>
                    <w:t>本项目</w:t>
                  </w:r>
                  <w:r>
                    <w:rPr>
                      <w:rFonts w:hint="default"/>
                      <w:color w:val="auto"/>
                      <w:highlight w:val="none"/>
                    </w:rPr>
                    <w:t>位于</w:t>
                  </w:r>
                  <w:r>
                    <w:rPr>
                      <w:rFonts w:hint="eastAsia"/>
                      <w:color w:val="auto"/>
                      <w:highlight w:val="none"/>
                      <w:lang w:val="en-US" w:eastAsia="zh-CN"/>
                    </w:rPr>
                    <w:t>遂宁市安居区工业集中发展区（含经开区）</w:t>
                  </w:r>
                  <w:r>
                    <w:rPr>
                      <w:rFonts w:hint="default"/>
                      <w:color w:val="auto"/>
                      <w:highlight w:val="none"/>
                    </w:rPr>
                    <w:t>内，项目</w:t>
                  </w:r>
                  <w:r>
                    <w:rPr>
                      <w:rFonts w:hint="eastAsia"/>
                      <w:color w:val="auto"/>
                      <w:highlight w:val="none"/>
                      <w:lang w:val="en-US" w:eastAsia="zh-CN"/>
                    </w:rPr>
                    <w:t>空置地块内</w:t>
                  </w:r>
                  <w:r>
                    <w:rPr>
                      <w:rFonts w:hint="default"/>
                      <w:color w:val="auto"/>
                      <w:highlight w:val="none"/>
                    </w:rPr>
                    <w:t>进行建设，用地范围内不含有生态环境保护目标，无生态环境保护目标</w:t>
                  </w:r>
                </w:p>
              </w:tc>
              <w:tc>
                <w:tcPr>
                  <w:tcW w:w="1343" w:type="dxa"/>
                  <w:tcBorders>
                    <w:tl2br w:val="nil"/>
                    <w:tr2bl w:val="nil"/>
                  </w:tcBorders>
                  <w:noWrap w:val="0"/>
                  <w:vAlign w:val="center"/>
                </w:tcPr>
                <w:p w14:paraId="0B341A2F">
                  <w:pPr>
                    <w:pStyle w:val="94"/>
                    <w:bidi w:val="0"/>
                    <w:rPr>
                      <w:rFonts w:hint="eastAsia"/>
                      <w:color w:val="auto"/>
                      <w:highlight w:val="none"/>
                      <w:lang w:val="en-US" w:eastAsia="zh-CN"/>
                    </w:rPr>
                  </w:pPr>
                  <w:r>
                    <w:rPr>
                      <w:rFonts w:hint="eastAsia"/>
                      <w:color w:val="auto"/>
                      <w:highlight w:val="none"/>
                      <w:lang w:val="en-US" w:eastAsia="zh-CN"/>
                    </w:rPr>
                    <w:t>/</w:t>
                  </w:r>
                </w:p>
              </w:tc>
              <w:tc>
                <w:tcPr>
                  <w:tcW w:w="2805" w:type="dxa"/>
                  <w:tcBorders>
                    <w:tl2br w:val="nil"/>
                    <w:tr2bl w:val="nil"/>
                  </w:tcBorders>
                  <w:noWrap w:val="0"/>
                  <w:vAlign w:val="center"/>
                </w:tcPr>
                <w:p w14:paraId="114D6069">
                  <w:pPr>
                    <w:pStyle w:val="94"/>
                    <w:bidi w:val="0"/>
                    <w:rPr>
                      <w:rFonts w:hint="default"/>
                      <w:color w:val="auto"/>
                      <w:highlight w:val="none"/>
                    </w:rPr>
                  </w:pPr>
                  <w:r>
                    <w:rPr>
                      <w:rFonts w:hint="default"/>
                      <w:color w:val="auto"/>
                      <w:highlight w:val="none"/>
                    </w:rPr>
                    <w:t>/</w:t>
                  </w:r>
                </w:p>
              </w:tc>
            </w:tr>
          </w:tbl>
          <w:p w14:paraId="7A77F8D3">
            <w:pPr>
              <w:pStyle w:val="2"/>
              <w:ind w:left="0" w:leftChars="0" w:firstLine="0" w:firstLineChars="0"/>
              <w:rPr>
                <w:color w:val="auto"/>
                <w:highlight w:val="none"/>
              </w:rPr>
            </w:pPr>
          </w:p>
        </w:tc>
      </w:tr>
      <w:tr w14:paraId="0FCD7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1623" w:hRule="atLeast"/>
          <w:jc w:val="center"/>
        </w:trPr>
        <w:tc>
          <w:tcPr>
            <w:tcW w:w="456" w:type="dxa"/>
            <w:tcMar>
              <w:left w:w="28" w:type="dxa"/>
              <w:right w:w="28" w:type="dxa"/>
            </w:tcMar>
            <w:vAlign w:val="center"/>
          </w:tcPr>
          <w:p w14:paraId="033F0781">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污染物排放控制标准</w:t>
            </w:r>
          </w:p>
        </w:tc>
        <w:tc>
          <w:tcPr>
            <w:tcW w:w="9397" w:type="dxa"/>
            <w:vAlign w:val="center"/>
          </w:tcPr>
          <w:p w14:paraId="17501AD8">
            <w:pPr>
              <w:ind w:firstLine="482"/>
              <w:rPr>
                <w:rFonts w:hint="eastAsia"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1、大气污染物排放标准</w:t>
            </w:r>
          </w:p>
          <w:p w14:paraId="4D45AE57">
            <w:pPr>
              <w:bidi w:val="0"/>
              <w:rPr>
                <w:color w:val="auto"/>
                <w:highlight w:val="none"/>
              </w:rPr>
            </w:pPr>
            <w:r>
              <w:rPr>
                <w:rFonts w:hint="eastAsia"/>
                <w:color w:val="auto"/>
                <w:highlight w:val="none"/>
              </w:rPr>
              <w:t>（1）</w:t>
            </w:r>
            <w:r>
              <w:rPr>
                <w:color w:val="auto"/>
                <w:highlight w:val="none"/>
              </w:rPr>
              <w:t>施工期</w:t>
            </w:r>
          </w:p>
          <w:p w14:paraId="69C4BF21">
            <w:pPr>
              <w:bidi w:val="0"/>
              <w:rPr>
                <w:color w:val="auto"/>
                <w:highlight w:val="none"/>
              </w:rPr>
            </w:pPr>
            <w:r>
              <w:rPr>
                <w:color w:val="auto"/>
                <w:highlight w:val="none"/>
              </w:rPr>
              <w:t>施工期扬尘执行《四川省施工场地扬尘排放标准》（DB51/2682-2020），其标准值见下表。</w:t>
            </w:r>
          </w:p>
          <w:p w14:paraId="53D63D3B">
            <w:pPr>
              <w:pStyle w:val="14"/>
              <w:bidi w:val="0"/>
              <w:rPr>
                <w:rFonts w:hint="default"/>
                <w:color w:val="auto"/>
                <w:highlight w:val="none"/>
                <w:lang w:val="en-US" w:eastAsia="zh-CN"/>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lang w:val="en-US" w:eastAsia="zh-CN"/>
              </w:rPr>
              <w:t xml:space="preserve">  四川省施工场地扬尘排放标准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3383"/>
              <w:gridCol w:w="1866"/>
              <w:gridCol w:w="1660"/>
              <w:gridCol w:w="1151"/>
            </w:tblGrid>
            <w:tr w14:paraId="69A66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pct"/>
                  <w:tcBorders>
                    <w:tl2br w:val="nil"/>
                    <w:tr2bl w:val="nil"/>
                  </w:tcBorders>
                  <w:vAlign w:val="center"/>
                </w:tcPr>
                <w:p w14:paraId="5EFF9722">
                  <w:pPr>
                    <w:pStyle w:val="106"/>
                    <w:bidi w:val="0"/>
                    <w:rPr>
                      <w:b/>
                      <w:bCs/>
                      <w:color w:val="auto"/>
                      <w:highlight w:val="none"/>
                    </w:rPr>
                  </w:pPr>
                  <w:r>
                    <w:rPr>
                      <w:b/>
                      <w:bCs/>
                      <w:color w:val="auto"/>
                      <w:highlight w:val="none"/>
                    </w:rPr>
                    <w:t>监测项目</w:t>
                  </w:r>
                </w:p>
              </w:tc>
              <w:tc>
                <w:tcPr>
                  <w:tcW w:w="1842" w:type="pct"/>
                  <w:tcBorders>
                    <w:tl2br w:val="nil"/>
                    <w:tr2bl w:val="nil"/>
                  </w:tcBorders>
                  <w:vAlign w:val="center"/>
                </w:tcPr>
                <w:p w14:paraId="4E319888">
                  <w:pPr>
                    <w:pStyle w:val="106"/>
                    <w:bidi w:val="0"/>
                    <w:rPr>
                      <w:b/>
                      <w:bCs/>
                      <w:color w:val="auto"/>
                      <w:highlight w:val="none"/>
                    </w:rPr>
                  </w:pPr>
                  <w:r>
                    <w:rPr>
                      <w:b/>
                      <w:bCs/>
                      <w:color w:val="auto"/>
                      <w:highlight w:val="none"/>
                    </w:rPr>
                    <w:t>区域</w:t>
                  </w:r>
                </w:p>
              </w:tc>
              <w:tc>
                <w:tcPr>
                  <w:tcW w:w="1016" w:type="pct"/>
                  <w:tcBorders>
                    <w:tl2br w:val="nil"/>
                    <w:tr2bl w:val="nil"/>
                  </w:tcBorders>
                  <w:vAlign w:val="center"/>
                </w:tcPr>
                <w:p w14:paraId="1BEBBAE5">
                  <w:pPr>
                    <w:pStyle w:val="106"/>
                    <w:bidi w:val="0"/>
                    <w:rPr>
                      <w:b/>
                      <w:bCs/>
                      <w:color w:val="auto"/>
                      <w:highlight w:val="none"/>
                    </w:rPr>
                  </w:pPr>
                  <w:r>
                    <w:rPr>
                      <w:b/>
                      <w:bCs/>
                      <w:color w:val="auto"/>
                      <w:highlight w:val="none"/>
                    </w:rPr>
                    <w:t>施工阶段</w:t>
                  </w:r>
                </w:p>
              </w:tc>
              <w:tc>
                <w:tcPr>
                  <w:tcW w:w="904" w:type="pct"/>
                  <w:tcBorders>
                    <w:tl2br w:val="nil"/>
                    <w:tr2bl w:val="nil"/>
                  </w:tcBorders>
                  <w:vAlign w:val="center"/>
                </w:tcPr>
                <w:p w14:paraId="67C1B5FA">
                  <w:pPr>
                    <w:pStyle w:val="106"/>
                    <w:bidi w:val="0"/>
                    <w:rPr>
                      <w:b/>
                      <w:bCs/>
                      <w:color w:val="auto"/>
                      <w:highlight w:val="none"/>
                    </w:rPr>
                  </w:pPr>
                  <w:r>
                    <w:rPr>
                      <w:b/>
                      <w:bCs/>
                      <w:color w:val="auto"/>
                      <w:highlight w:val="none"/>
                    </w:rPr>
                    <w:t>监测点排放限值（μg/m³）</w:t>
                  </w:r>
                </w:p>
              </w:tc>
              <w:tc>
                <w:tcPr>
                  <w:tcW w:w="627" w:type="pct"/>
                  <w:tcBorders>
                    <w:tl2br w:val="nil"/>
                    <w:tr2bl w:val="nil"/>
                  </w:tcBorders>
                  <w:vAlign w:val="center"/>
                </w:tcPr>
                <w:p w14:paraId="611F745F">
                  <w:pPr>
                    <w:pStyle w:val="106"/>
                    <w:bidi w:val="0"/>
                    <w:rPr>
                      <w:b/>
                      <w:bCs/>
                      <w:color w:val="auto"/>
                      <w:highlight w:val="none"/>
                    </w:rPr>
                  </w:pPr>
                  <w:r>
                    <w:rPr>
                      <w:b/>
                      <w:bCs/>
                      <w:color w:val="auto"/>
                      <w:highlight w:val="none"/>
                    </w:rPr>
                    <w:t>监测时间</w:t>
                  </w:r>
                </w:p>
              </w:tc>
            </w:tr>
            <w:tr w14:paraId="5B662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pct"/>
                  <w:vMerge w:val="restart"/>
                  <w:tcBorders>
                    <w:tl2br w:val="nil"/>
                    <w:tr2bl w:val="nil"/>
                  </w:tcBorders>
                  <w:vAlign w:val="center"/>
                </w:tcPr>
                <w:p w14:paraId="20323AB9">
                  <w:pPr>
                    <w:pStyle w:val="106"/>
                    <w:bidi w:val="0"/>
                    <w:rPr>
                      <w:color w:val="auto"/>
                      <w:highlight w:val="none"/>
                    </w:rPr>
                  </w:pPr>
                  <w:r>
                    <w:rPr>
                      <w:color w:val="auto"/>
                      <w:highlight w:val="none"/>
                    </w:rPr>
                    <w:t>总悬浮颗粒物（TSP）</w:t>
                  </w:r>
                </w:p>
              </w:tc>
              <w:tc>
                <w:tcPr>
                  <w:tcW w:w="1842" w:type="pct"/>
                  <w:vMerge w:val="restart"/>
                  <w:tcBorders>
                    <w:tl2br w:val="nil"/>
                    <w:tr2bl w:val="nil"/>
                  </w:tcBorders>
                  <w:vAlign w:val="center"/>
                </w:tcPr>
                <w:p w14:paraId="45EDA420">
                  <w:pPr>
                    <w:pStyle w:val="106"/>
                    <w:bidi w:val="0"/>
                    <w:rPr>
                      <w:color w:val="auto"/>
                      <w:highlight w:val="none"/>
                    </w:rPr>
                  </w:pPr>
                  <w:r>
                    <w:rPr>
                      <w:rFonts w:hint="eastAsia"/>
                      <w:color w:val="auto"/>
                      <w:highlight w:val="none"/>
                      <w:lang w:eastAsia="zh-CN"/>
                    </w:rPr>
                    <w:t>遂宁市</w:t>
                  </w:r>
                  <w:r>
                    <w:rPr>
                      <w:color w:val="auto"/>
                      <w:highlight w:val="none"/>
                    </w:rPr>
                    <w:t>、自贡市、泸州市、德阳市、绵阳市、广元市、遂宁市、内江市、乐山市、南充市、宜宾市、广安市、达州市、巴中市、雅安市、眉山市、资阳市</w:t>
                  </w:r>
                </w:p>
              </w:tc>
              <w:tc>
                <w:tcPr>
                  <w:tcW w:w="1016" w:type="pct"/>
                  <w:tcBorders>
                    <w:tl2br w:val="nil"/>
                    <w:tr2bl w:val="nil"/>
                  </w:tcBorders>
                  <w:vAlign w:val="center"/>
                </w:tcPr>
                <w:p w14:paraId="71BDBA89">
                  <w:pPr>
                    <w:pStyle w:val="106"/>
                    <w:bidi w:val="0"/>
                    <w:rPr>
                      <w:color w:val="auto"/>
                      <w:highlight w:val="none"/>
                    </w:rPr>
                  </w:pPr>
                  <w:r>
                    <w:rPr>
                      <w:color w:val="auto"/>
                      <w:highlight w:val="none"/>
                    </w:rPr>
                    <w:t>拆除工程/土方开挖/土方回填阶段</w:t>
                  </w:r>
                </w:p>
              </w:tc>
              <w:tc>
                <w:tcPr>
                  <w:tcW w:w="904" w:type="pct"/>
                  <w:tcBorders>
                    <w:tl2br w:val="nil"/>
                    <w:tr2bl w:val="nil"/>
                  </w:tcBorders>
                  <w:vAlign w:val="center"/>
                </w:tcPr>
                <w:p w14:paraId="4D5AF388">
                  <w:pPr>
                    <w:pStyle w:val="106"/>
                    <w:bidi w:val="0"/>
                    <w:rPr>
                      <w:color w:val="auto"/>
                      <w:highlight w:val="none"/>
                    </w:rPr>
                  </w:pPr>
                  <w:r>
                    <w:rPr>
                      <w:color w:val="auto"/>
                      <w:highlight w:val="none"/>
                    </w:rPr>
                    <w:t>600</w:t>
                  </w:r>
                </w:p>
              </w:tc>
              <w:tc>
                <w:tcPr>
                  <w:tcW w:w="627" w:type="pct"/>
                  <w:vMerge w:val="restart"/>
                  <w:tcBorders>
                    <w:tl2br w:val="nil"/>
                    <w:tr2bl w:val="nil"/>
                  </w:tcBorders>
                  <w:vAlign w:val="center"/>
                </w:tcPr>
                <w:p w14:paraId="72BB28E1">
                  <w:pPr>
                    <w:pStyle w:val="106"/>
                    <w:bidi w:val="0"/>
                    <w:rPr>
                      <w:color w:val="auto"/>
                      <w:highlight w:val="none"/>
                    </w:rPr>
                  </w:pPr>
                  <w:r>
                    <w:rPr>
                      <w:color w:val="auto"/>
                      <w:highlight w:val="none"/>
                    </w:rPr>
                    <w:t>自监测起持续15分钟</w:t>
                  </w:r>
                </w:p>
              </w:tc>
            </w:tr>
            <w:tr w14:paraId="44606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pct"/>
                  <w:vMerge w:val="continue"/>
                  <w:tcBorders>
                    <w:tl2br w:val="nil"/>
                    <w:tr2bl w:val="nil"/>
                  </w:tcBorders>
                  <w:vAlign w:val="center"/>
                </w:tcPr>
                <w:p w14:paraId="1710D210">
                  <w:pPr>
                    <w:pStyle w:val="106"/>
                    <w:bidi w:val="0"/>
                    <w:rPr>
                      <w:color w:val="auto"/>
                      <w:highlight w:val="none"/>
                    </w:rPr>
                  </w:pPr>
                </w:p>
              </w:tc>
              <w:tc>
                <w:tcPr>
                  <w:tcW w:w="1842" w:type="pct"/>
                  <w:vMerge w:val="continue"/>
                  <w:tcBorders>
                    <w:tl2br w:val="nil"/>
                    <w:tr2bl w:val="nil"/>
                  </w:tcBorders>
                  <w:vAlign w:val="center"/>
                </w:tcPr>
                <w:p w14:paraId="5A1E1E4C">
                  <w:pPr>
                    <w:pStyle w:val="106"/>
                    <w:bidi w:val="0"/>
                    <w:rPr>
                      <w:color w:val="auto"/>
                      <w:highlight w:val="none"/>
                    </w:rPr>
                  </w:pPr>
                </w:p>
              </w:tc>
              <w:tc>
                <w:tcPr>
                  <w:tcW w:w="1016" w:type="pct"/>
                  <w:tcBorders>
                    <w:tl2br w:val="nil"/>
                    <w:tr2bl w:val="nil"/>
                  </w:tcBorders>
                  <w:vAlign w:val="center"/>
                </w:tcPr>
                <w:p w14:paraId="7075FE83">
                  <w:pPr>
                    <w:pStyle w:val="106"/>
                    <w:bidi w:val="0"/>
                    <w:rPr>
                      <w:color w:val="auto"/>
                      <w:highlight w:val="none"/>
                    </w:rPr>
                  </w:pPr>
                  <w:r>
                    <w:rPr>
                      <w:color w:val="auto"/>
                      <w:highlight w:val="none"/>
                    </w:rPr>
                    <w:t>其他工程阶段</w:t>
                  </w:r>
                </w:p>
              </w:tc>
              <w:tc>
                <w:tcPr>
                  <w:tcW w:w="904" w:type="pct"/>
                  <w:tcBorders>
                    <w:tl2br w:val="nil"/>
                    <w:tr2bl w:val="nil"/>
                  </w:tcBorders>
                  <w:vAlign w:val="center"/>
                </w:tcPr>
                <w:p w14:paraId="474B0BC6">
                  <w:pPr>
                    <w:pStyle w:val="106"/>
                    <w:bidi w:val="0"/>
                    <w:rPr>
                      <w:color w:val="auto"/>
                      <w:highlight w:val="none"/>
                    </w:rPr>
                  </w:pPr>
                  <w:r>
                    <w:rPr>
                      <w:color w:val="auto"/>
                      <w:highlight w:val="none"/>
                    </w:rPr>
                    <w:t>250</w:t>
                  </w:r>
                </w:p>
              </w:tc>
              <w:tc>
                <w:tcPr>
                  <w:tcW w:w="627" w:type="pct"/>
                  <w:vMerge w:val="continue"/>
                  <w:tcBorders>
                    <w:tl2br w:val="nil"/>
                    <w:tr2bl w:val="nil"/>
                  </w:tcBorders>
                  <w:vAlign w:val="center"/>
                </w:tcPr>
                <w:p w14:paraId="477EC215">
                  <w:pPr>
                    <w:pStyle w:val="106"/>
                    <w:bidi w:val="0"/>
                    <w:rPr>
                      <w:color w:val="auto"/>
                      <w:highlight w:val="none"/>
                    </w:rPr>
                  </w:pPr>
                </w:p>
              </w:tc>
            </w:tr>
          </w:tbl>
          <w:p w14:paraId="3C0AC172">
            <w:pPr>
              <w:pStyle w:val="107"/>
              <w:keepNext w:val="0"/>
              <w:keepLines w:val="0"/>
              <w:pageBreakBefore w:val="0"/>
              <w:widowControl/>
              <w:kinsoku/>
              <w:wordWrap/>
              <w:overflowPunct/>
              <w:topLinePunct w:val="0"/>
              <w:autoSpaceDE w:val="0"/>
              <w:autoSpaceDN w:val="0"/>
              <w:bidi w:val="0"/>
              <w:adjustRightInd w:val="0"/>
              <w:snapToGrid w:val="0"/>
              <w:spacing w:before="120"/>
              <w:textAlignment w:val="auto"/>
              <w:rPr>
                <w:color w:val="auto"/>
                <w:highlight w:val="none"/>
              </w:rPr>
            </w:pPr>
            <w:r>
              <w:rPr>
                <w:rFonts w:hint="eastAsia"/>
                <w:color w:val="auto"/>
                <w:highlight w:val="none"/>
              </w:rPr>
              <w:t>（2）运营期</w:t>
            </w:r>
          </w:p>
          <w:p w14:paraId="649828CB">
            <w:pPr>
              <w:pStyle w:val="107"/>
              <w:rPr>
                <w:rFonts w:hint="eastAsia"/>
                <w:color w:val="auto"/>
                <w:highlight w:val="yellow"/>
                <w:lang w:val="en-US" w:eastAsia="zh-CN"/>
              </w:rPr>
            </w:pPr>
            <w:r>
              <w:rPr>
                <w:rFonts w:hint="eastAsia"/>
                <w:color w:val="auto"/>
                <w:highlight w:val="none"/>
              </w:rPr>
              <w:t>项目</w:t>
            </w:r>
            <w:r>
              <w:rPr>
                <w:rFonts w:hint="eastAsia"/>
                <w:color w:val="auto"/>
                <w:highlight w:val="none"/>
                <w:lang w:val="en-US" w:eastAsia="zh-CN"/>
              </w:rPr>
              <w:t>蒸汽发生器天然气燃烧废气</w:t>
            </w:r>
            <w:r>
              <w:rPr>
                <w:rFonts w:hint="eastAsia"/>
                <w:color w:val="auto"/>
                <w:highlight w:val="none"/>
              </w:rPr>
              <w:t>产生</w:t>
            </w:r>
            <w:r>
              <w:rPr>
                <w:rFonts w:hint="eastAsia"/>
                <w:color w:val="auto"/>
                <w:highlight w:val="none"/>
                <w:lang w:val="en-US" w:eastAsia="zh-CN"/>
              </w:rPr>
              <w:t>的</w:t>
            </w:r>
            <w:r>
              <w:rPr>
                <w:color w:val="auto"/>
                <w:highlight w:val="none"/>
              </w:rPr>
              <w:t>SO</w:t>
            </w:r>
            <w:r>
              <w:rPr>
                <w:color w:val="auto"/>
                <w:highlight w:val="none"/>
                <w:vertAlign w:val="subscript"/>
              </w:rPr>
              <w:t>2</w:t>
            </w:r>
            <w:r>
              <w:rPr>
                <w:rFonts w:hint="eastAsia"/>
                <w:color w:val="auto"/>
                <w:highlight w:val="none"/>
              </w:rPr>
              <w:t>、</w:t>
            </w:r>
            <w:r>
              <w:rPr>
                <w:color w:val="auto"/>
                <w:highlight w:val="none"/>
              </w:rPr>
              <w:t>NOx</w:t>
            </w:r>
            <w:r>
              <w:rPr>
                <w:rFonts w:hint="eastAsia"/>
                <w:color w:val="auto"/>
                <w:highlight w:val="none"/>
              </w:rPr>
              <w:t>、颗粒物执行</w:t>
            </w:r>
            <w:r>
              <w:rPr>
                <w:rFonts w:hint="eastAsia"/>
                <w:color w:val="auto"/>
                <w:highlight w:val="none"/>
                <w:lang w:eastAsia="zh-CN"/>
              </w:rPr>
              <w:t>《锅炉大气污染物综合排放标准》（GB13271-2014）</w:t>
            </w:r>
            <w:r>
              <w:rPr>
                <w:rFonts w:hint="eastAsia"/>
                <w:color w:val="auto"/>
                <w:highlight w:val="none"/>
              </w:rPr>
              <w:t>表</w:t>
            </w:r>
            <w:r>
              <w:rPr>
                <w:rFonts w:hint="eastAsia"/>
                <w:color w:val="auto"/>
                <w:highlight w:val="none"/>
                <w:lang w:val="en-US" w:eastAsia="zh-CN"/>
              </w:rPr>
              <w:t>3</w:t>
            </w:r>
            <w:r>
              <w:rPr>
                <w:rFonts w:hint="eastAsia"/>
                <w:color w:val="auto"/>
                <w:highlight w:val="none"/>
              </w:rPr>
              <w:t>中</w:t>
            </w:r>
            <w:r>
              <w:rPr>
                <w:rFonts w:hint="eastAsia"/>
                <w:color w:val="auto"/>
                <w:highlight w:val="none"/>
                <w:lang w:val="en-US" w:eastAsia="zh-CN"/>
              </w:rPr>
              <w:t>燃气锅炉</w:t>
            </w:r>
            <w:r>
              <w:rPr>
                <w:rFonts w:hint="eastAsia"/>
                <w:color w:val="auto"/>
                <w:highlight w:val="none"/>
              </w:rPr>
              <w:t>排放限值要求</w:t>
            </w:r>
            <w:r>
              <w:rPr>
                <w:rFonts w:hint="eastAsia"/>
                <w:color w:val="auto"/>
                <w:highlight w:val="none"/>
                <w:lang w:eastAsia="zh-CN"/>
              </w:rPr>
              <w:t>；</w:t>
            </w:r>
            <w:r>
              <w:rPr>
                <w:rFonts w:hint="eastAsia"/>
                <w:color w:val="auto"/>
                <w:highlight w:val="none"/>
                <w:lang w:val="en-US" w:eastAsia="zh-CN"/>
              </w:rPr>
              <w:t>纸制品制造分切、切纸等过程中产生的粉尘执行《大气污染物综合排放标准》（GB16297-1996）表2中二级排放限值要求</w:t>
            </w:r>
            <w:r>
              <w:rPr>
                <w:rFonts w:hint="eastAsia"/>
                <w:color w:val="auto"/>
                <w:highlight w:val="none"/>
              </w:rPr>
              <w:t>。</w:t>
            </w:r>
          </w:p>
          <w:p w14:paraId="752078A6">
            <w:pPr>
              <w:pStyle w:val="14"/>
              <w:rPr>
                <w:rFonts w:hint="default" w:eastAsia="宋体"/>
                <w:color w:val="auto"/>
                <w:highlight w:val="none"/>
                <w:lang w:val="en-US" w:eastAsia="zh-CN"/>
              </w:rPr>
            </w:pPr>
            <w:r>
              <w:rPr>
                <w:color w:val="auto"/>
                <w:highlight w:val="none"/>
              </w:rPr>
              <w:t xml:space="preserve">表3- </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7</w:t>
            </w:r>
            <w:r>
              <w:rPr>
                <w:color w:val="auto"/>
                <w:highlight w:val="none"/>
              </w:rPr>
              <w:fldChar w:fldCharType="end"/>
            </w:r>
            <w:r>
              <w:rPr>
                <w:rFonts w:hint="eastAsia"/>
                <w:color w:val="auto"/>
                <w:highlight w:val="none"/>
                <w:lang w:val="en-US" w:eastAsia="zh-CN"/>
              </w:rPr>
              <w:t xml:space="preserve">  锅炉大气污染物综合排放标准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37"/>
              <w:gridCol w:w="2285"/>
              <w:gridCol w:w="4159"/>
            </w:tblGrid>
            <w:tr w14:paraId="241B0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90" w:type="pct"/>
                  <w:vMerge w:val="restart"/>
                  <w:tcBorders>
                    <w:tl2br w:val="nil"/>
                    <w:tr2bl w:val="nil"/>
                  </w:tcBorders>
                  <w:shd w:val="clear" w:color="auto" w:fill="auto"/>
                  <w:vAlign w:val="center"/>
                </w:tcPr>
                <w:p w14:paraId="16CCAA06">
                  <w:pPr>
                    <w:pStyle w:val="106"/>
                    <w:bidi w:val="0"/>
                    <w:rPr>
                      <w:b/>
                      <w:bCs/>
                      <w:color w:val="auto"/>
                      <w:highlight w:val="none"/>
                    </w:rPr>
                  </w:pPr>
                  <w:r>
                    <w:rPr>
                      <w:rFonts w:hint="eastAsia"/>
                      <w:b/>
                      <w:bCs/>
                      <w:color w:val="auto"/>
                      <w:highlight w:val="none"/>
                    </w:rPr>
                    <w:t>污染物名称</w:t>
                  </w:r>
                </w:p>
              </w:tc>
              <w:tc>
                <w:tcPr>
                  <w:tcW w:w="1244" w:type="pct"/>
                  <w:tcBorders>
                    <w:tl2br w:val="nil"/>
                    <w:tr2bl w:val="nil"/>
                  </w:tcBorders>
                  <w:shd w:val="clear" w:color="auto" w:fill="auto"/>
                  <w:vAlign w:val="center"/>
                </w:tcPr>
                <w:p w14:paraId="0DDF2B7D">
                  <w:pPr>
                    <w:pStyle w:val="106"/>
                    <w:bidi w:val="0"/>
                    <w:rPr>
                      <w:b/>
                      <w:bCs/>
                      <w:color w:val="auto"/>
                      <w:highlight w:val="none"/>
                    </w:rPr>
                  </w:pPr>
                  <w:r>
                    <w:rPr>
                      <w:rFonts w:hint="eastAsia"/>
                      <w:b/>
                      <w:bCs/>
                      <w:color w:val="auto"/>
                      <w:highlight w:val="none"/>
                      <w:lang w:val="en-US" w:eastAsia="zh-CN"/>
                    </w:rPr>
                    <w:t>限值</w:t>
                  </w:r>
                  <w:r>
                    <w:rPr>
                      <w:rFonts w:hint="eastAsia"/>
                      <w:b/>
                      <w:bCs/>
                      <w:color w:val="auto"/>
                      <w:highlight w:val="none"/>
                    </w:rPr>
                    <w:t>（</w:t>
                  </w:r>
                  <w:r>
                    <w:rPr>
                      <w:b/>
                      <w:bCs/>
                      <w:color w:val="auto"/>
                      <w:highlight w:val="none"/>
                    </w:rPr>
                    <w:t>mg/m</w:t>
                  </w:r>
                  <w:r>
                    <w:rPr>
                      <w:rFonts w:hint="eastAsia"/>
                      <w:b/>
                      <w:bCs/>
                      <w:color w:val="auto"/>
                      <w:highlight w:val="none"/>
                      <w:vertAlign w:val="superscript"/>
                    </w:rPr>
                    <w:t>3</w:t>
                  </w:r>
                  <w:r>
                    <w:rPr>
                      <w:rFonts w:hint="eastAsia"/>
                      <w:b/>
                      <w:bCs/>
                      <w:color w:val="auto"/>
                      <w:highlight w:val="none"/>
                    </w:rPr>
                    <w:t>）</w:t>
                  </w:r>
                </w:p>
              </w:tc>
              <w:tc>
                <w:tcPr>
                  <w:tcW w:w="2264" w:type="pct"/>
                  <w:vMerge w:val="restart"/>
                  <w:tcBorders>
                    <w:tl2br w:val="nil"/>
                    <w:tr2bl w:val="nil"/>
                  </w:tcBorders>
                  <w:shd w:val="clear" w:color="auto" w:fill="auto"/>
                  <w:vAlign w:val="center"/>
                </w:tcPr>
                <w:p w14:paraId="48B90C64">
                  <w:pPr>
                    <w:pStyle w:val="106"/>
                    <w:bidi w:val="0"/>
                    <w:rPr>
                      <w:rFonts w:hint="default" w:eastAsia="宋体"/>
                      <w:b/>
                      <w:bCs/>
                      <w:color w:val="auto"/>
                      <w:highlight w:val="none"/>
                      <w:lang w:val="en-US" w:eastAsia="zh-CN"/>
                    </w:rPr>
                  </w:pPr>
                  <w:r>
                    <w:rPr>
                      <w:rFonts w:hint="eastAsia"/>
                      <w:b/>
                      <w:bCs/>
                      <w:color w:val="auto"/>
                      <w:highlight w:val="none"/>
                      <w:lang w:val="en-US" w:eastAsia="zh-CN"/>
                    </w:rPr>
                    <w:t>污染物排放监控位置</w:t>
                  </w:r>
                </w:p>
              </w:tc>
            </w:tr>
            <w:tr w14:paraId="1BE66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90" w:type="pct"/>
                  <w:vMerge w:val="continue"/>
                  <w:tcBorders>
                    <w:tl2br w:val="nil"/>
                    <w:tr2bl w:val="nil"/>
                  </w:tcBorders>
                  <w:shd w:val="clear" w:color="auto" w:fill="auto"/>
                  <w:vAlign w:val="center"/>
                </w:tcPr>
                <w:p w14:paraId="398FD465">
                  <w:pPr>
                    <w:pStyle w:val="106"/>
                    <w:bidi w:val="0"/>
                    <w:rPr>
                      <w:color w:val="auto"/>
                      <w:highlight w:val="none"/>
                    </w:rPr>
                  </w:pPr>
                </w:p>
              </w:tc>
              <w:tc>
                <w:tcPr>
                  <w:tcW w:w="1244" w:type="pct"/>
                  <w:tcBorders>
                    <w:tl2br w:val="nil"/>
                    <w:tr2bl w:val="nil"/>
                  </w:tcBorders>
                  <w:shd w:val="clear" w:color="auto" w:fill="auto"/>
                  <w:vAlign w:val="center"/>
                </w:tcPr>
                <w:p w14:paraId="78B86B44">
                  <w:pPr>
                    <w:pStyle w:val="106"/>
                    <w:bidi w:val="0"/>
                    <w:rPr>
                      <w:b/>
                      <w:bCs/>
                      <w:color w:val="auto"/>
                      <w:highlight w:val="none"/>
                    </w:rPr>
                  </w:pPr>
                  <w:r>
                    <w:rPr>
                      <w:rFonts w:hint="eastAsia"/>
                      <w:b/>
                      <w:bCs/>
                      <w:color w:val="auto"/>
                      <w:highlight w:val="none"/>
                      <w:lang w:val="en-US" w:eastAsia="zh-CN"/>
                    </w:rPr>
                    <w:t>燃气锅炉</w:t>
                  </w:r>
                </w:p>
              </w:tc>
              <w:tc>
                <w:tcPr>
                  <w:tcW w:w="2264" w:type="pct"/>
                  <w:vMerge w:val="continue"/>
                  <w:tcBorders>
                    <w:tl2br w:val="nil"/>
                    <w:tr2bl w:val="nil"/>
                  </w:tcBorders>
                  <w:shd w:val="clear" w:color="auto" w:fill="auto"/>
                  <w:vAlign w:val="center"/>
                </w:tcPr>
                <w:p w14:paraId="5E1D82F8">
                  <w:pPr>
                    <w:pStyle w:val="106"/>
                    <w:bidi w:val="0"/>
                    <w:rPr>
                      <w:color w:val="auto"/>
                      <w:highlight w:val="none"/>
                    </w:rPr>
                  </w:pPr>
                </w:p>
              </w:tc>
            </w:tr>
            <w:tr w14:paraId="4C681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0" w:type="pct"/>
                  <w:tcBorders>
                    <w:tl2br w:val="nil"/>
                    <w:tr2bl w:val="nil"/>
                  </w:tcBorders>
                  <w:shd w:val="clear" w:color="auto" w:fill="auto"/>
                  <w:vAlign w:val="center"/>
                </w:tcPr>
                <w:p w14:paraId="6E8B308B">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rPr>
                    <w:t>颗粒物</w:t>
                  </w:r>
                </w:p>
              </w:tc>
              <w:tc>
                <w:tcPr>
                  <w:tcW w:w="1244" w:type="pct"/>
                  <w:tcBorders>
                    <w:tl2br w:val="nil"/>
                    <w:tr2bl w:val="nil"/>
                  </w:tcBorders>
                  <w:shd w:val="clear" w:color="auto" w:fill="auto"/>
                  <w:vAlign w:val="center"/>
                </w:tcPr>
                <w:p w14:paraId="6628ED55">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20</w:t>
                  </w:r>
                </w:p>
              </w:tc>
              <w:tc>
                <w:tcPr>
                  <w:tcW w:w="2264" w:type="pct"/>
                  <w:vMerge w:val="restart"/>
                  <w:tcBorders>
                    <w:tl2br w:val="nil"/>
                    <w:tr2bl w:val="nil"/>
                  </w:tcBorders>
                  <w:shd w:val="clear" w:color="auto" w:fill="auto"/>
                  <w:vAlign w:val="center"/>
                </w:tcPr>
                <w:p w14:paraId="3BB9DD67">
                  <w:pPr>
                    <w:pStyle w:val="106"/>
                    <w:bidi w:val="0"/>
                    <w:rPr>
                      <w:rFonts w:hint="default" w:eastAsia="宋体"/>
                      <w:color w:val="auto"/>
                      <w:highlight w:val="none"/>
                      <w:lang w:val="en-US" w:eastAsia="zh-CN"/>
                    </w:rPr>
                  </w:pPr>
                  <w:r>
                    <w:rPr>
                      <w:rFonts w:hint="eastAsia"/>
                      <w:color w:val="auto"/>
                      <w:highlight w:val="none"/>
                      <w:lang w:val="en-US" w:eastAsia="zh-CN"/>
                    </w:rPr>
                    <w:t>烟囱或烟道</w:t>
                  </w:r>
                </w:p>
              </w:tc>
            </w:tr>
            <w:tr w14:paraId="1FB1E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0" w:type="pct"/>
                  <w:tcBorders>
                    <w:tl2br w:val="nil"/>
                    <w:tr2bl w:val="nil"/>
                  </w:tcBorders>
                  <w:shd w:val="clear" w:color="auto" w:fill="auto"/>
                  <w:vAlign w:val="center"/>
                </w:tcPr>
                <w:p w14:paraId="66EB0764">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rPr>
                    <w:t>SO</w:t>
                  </w:r>
                  <w:r>
                    <w:rPr>
                      <w:color w:val="auto"/>
                      <w:highlight w:val="none"/>
                      <w:vertAlign w:val="subscript"/>
                    </w:rPr>
                    <w:t>2</w:t>
                  </w:r>
                </w:p>
              </w:tc>
              <w:tc>
                <w:tcPr>
                  <w:tcW w:w="1244" w:type="pct"/>
                  <w:tcBorders>
                    <w:tl2br w:val="nil"/>
                    <w:tr2bl w:val="nil"/>
                  </w:tcBorders>
                  <w:shd w:val="clear" w:color="auto" w:fill="auto"/>
                  <w:vAlign w:val="center"/>
                </w:tcPr>
                <w:p w14:paraId="11D46C72">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50</w:t>
                  </w:r>
                </w:p>
              </w:tc>
              <w:tc>
                <w:tcPr>
                  <w:tcW w:w="2264" w:type="pct"/>
                  <w:vMerge w:val="continue"/>
                  <w:tcBorders>
                    <w:tl2br w:val="nil"/>
                    <w:tr2bl w:val="nil"/>
                  </w:tcBorders>
                  <w:shd w:val="clear" w:color="auto" w:fill="auto"/>
                  <w:vAlign w:val="center"/>
                </w:tcPr>
                <w:p w14:paraId="5663B56E">
                  <w:pPr>
                    <w:pStyle w:val="106"/>
                    <w:bidi w:val="0"/>
                    <w:rPr>
                      <w:rFonts w:hint="eastAsia"/>
                      <w:color w:val="auto"/>
                      <w:highlight w:val="none"/>
                    </w:rPr>
                  </w:pPr>
                </w:p>
              </w:tc>
            </w:tr>
            <w:tr w14:paraId="28417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0" w:type="pct"/>
                  <w:tcBorders>
                    <w:tl2br w:val="nil"/>
                    <w:tr2bl w:val="nil"/>
                  </w:tcBorders>
                  <w:shd w:val="clear" w:color="auto" w:fill="auto"/>
                  <w:vAlign w:val="center"/>
                </w:tcPr>
                <w:p w14:paraId="543877E3">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rPr>
                    <w:t>NOx</w:t>
                  </w:r>
                </w:p>
              </w:tc>
              <w:tc>
                <w:tcPr>
                  <w:tcW w:w="1244" w:type="pct"/>
                  <w:tcBorders>
                    <w:tl2br w:val="nil"/>
                    <w:tr2bl w:val="nil"/>
                  </w:tcBorders>
                  <w:shd w:val="clear" w:color="auto" w:fill="auto"/>
                  <w:vAlign w:val="center"/>
                </w:tcPr>
                <w:p w14:paraId="2FE09E5E">
                  <w:pPr>
                    <w:pStyle w:val="106"/>
                    <w:bidi w:val="0"/>
                    <w:rPr>
                      <w:rFonts w:hint="default" w:eastAsia="宋体"/>
                      <w:color w:val="auto"/>
                      <w:highlight w:val="none"/>
                      <w:lang w:val="en-US" w:eastAsia="zh-CN"/>
                    </w:rPr>
                  </w:pPr>
                  <w:r>
                    <w:rPr>
                      <w:rFonts w:hint="eastAsia"/>
                      <w:color w:val="auto"/>
                      <w:highlight w:val="none"/>
                      <w:lang w:val="en-US" w:eastAsia="zh-CN"/>
                    </w:rPr>
                    <w:t>150</w:t>
                  </w:r>
                </w:p>
              </w:tc>
              <w:tc>
                <w:tcPr>
                  <w:tcW w:w="2264" w:type="pct"/>
                  <w:vMerge w:val="continue"/>
                  <w:tcBorders>
                    <w:tl2br w:val="nil"/>
                    <w:tr2bl w:val="nil"/>
                  </w:tcBorders>
                  <w:shd w:val="clear" w:color="auto" w:fill="auto"/>
                  <w:vAlign w:val="center"/>
                </w:tcPr>
                <w:p w14:paraId="192BF6D2">
                  <w:pPr>
                    <w:pStyle w:val="106"/>
                    <w:bidi w:val="0"/>
                    <w:rPr>
                      <w:color w:val="auto"/>
                      <w:highlight w:val="none"/>
                    </w:rPr>
                  </w:pPr>
                </w:p>
              </w:tc>
            </w:tr>
            <w:tr w14:paraId="7235B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0" w:type="pct"/>
                  <w:tcBorders>
                    <w:tl2br w:val="nil"/>
                    <w:tr2bl w:val="nil"/>
                  </w:tcBorders>
                  <w:shd w:val="clear" w:color="auto" w:fill="auto"/>
                  <w:vAlign w:val="center"/>
                </w:tcPr>
                <w:p w14:paraId="7F1B6B5C">
                  <w:pPr>
                    <w:pStyle w:val="106"/>
                    <w:bidi w:val="0"/>
                    <w:rPr>
                      <w:rFonts w:hint="default" w:eastAsia="宋体"/>
                      <w:color w:val="auto"/>
                      <w:highlight w:val="none"/>
                      <w:lang w:val="en-US" w:eastAsia="zh-CN"/>
                    </w:rPr>
                  </w:pPr>
                  <w:r>
                    <w:rPr>
                      <w:rFonts w:hint="eastAsia"/>
                      <w:color w:val="auto"/>
                      <w:highlight w:val="none"/>
                      <w:lang w:val="en-US" w:eastAsia="zh-CN"/>
                    </w:rPr>
                    <w:t>烟气黑度（林格曼黑度，级）</w:t>
                  </w:r>
                </w:p>
              </w:tc>
              <w:tc>
                <w:tcPr>
                  <w:tcW w:w="1244" w:type="pct"/>
                  <w:tcBorders>
                    <w:tl2br w:val="nil"/>
                    <w:tr2bl w:val="nil"/>
                  </w:tcBorders>
                  <w:shd w:val="clear" w:color="auto" w:fill="auto"/>
                  <w:vAlign w:val="center"/>
                </w:tcPr>
                <w:p w14:paraId="66FF9114">
                  <w:pPr>
                    <w:pStyle w:val="106"/>
                    <w:bidi w:val="0"/>
                    <w:rPr>
                      <w:rFonts w:hint="default" w:eastAsia="宋体"/>
                      <w:color w:val="auto"/>
                      <w:highlight w:val="none"/>
                      <w:lang w:val="en-US" w:eastAsia="zh-CN"/>
                    </w:rPr>
                  </w:pPr>
                  <w:r>
                    <w:rPr>
                      <w:rFonts w:hint="eastAsia"/>
                      <w:color w:val="auto"/>
                      <w:highlight w:val="none"/>
                      <w:lang w:val="en-US" w:eastAsia="zh-CN"/>
                    </w:rPr>
                    <w:t>≤1</w:t>
                  </w:r>
                </w:p>
              </w:tc>
              <w:tc>
                <w:tcPr>
                  <w:tcW w:w="2264" w:type="pct"/>
                  <w:tcBorders>
                    <w:tl2br w:val="nil"/>
                    <w:tr2bl w:val="nil"/>
                  </w:tcBorders>
                  <w:shd w:val="clear" w:color="auto" w:fill="auto"/>
                  <w:vAlign w:val="center"/>
                </w:tcPr>
                <w:p w14:paraId="54F6A0B3">
                  <w:pPr>
                    <w:pStyle w:val="106"/>
                    <w:bidi w:val="0"/>
                    <w:rPr>
                      <w:rFonts w:hint="default" w:eastAsia="宋体"/>
                      <w:color w:val="auto"/>
                      <w:highlight w:val="none"/>
                      <w:lang w:val="en-US" w:eastAsia="zh-CN"/>
                    </w:rPr>
                  </w:pPr>
                  <w:r>
                    <w:rPr>
                      <w:rFonts w:hint="eastAsia"/>
                      <w:color w:val="auto"/>
                      <w:highlight w:val="none"/>
                      <w:lang w:val="en-US" w:eastAsia="zh-CN"/>
                    </w:rPr>
                    <w:t>烟囱排放口</w:t>
                  </w:r>
                </w:p>
              </w:tc>
            </w:tr>
          </w:tbl>
          <w:p w14:paraId="1193ADB8">
            <w:pPr>
              <w:pStyle w:val="14"/>
              <w:rPr>
                <w:rFonts w:hint="default" w:eastAsia="宋体"/>
                <w:lang w:val="en-US" w:eastAsia="zh-CN"/>
              </w:rPr>
            </w:pPr>
            <w:r>
              <w:t xml:space="preserve">表3- </w:t>
            </w:r>
            <w:r>
              <w:fldChar w:fldCharType="begin"/>
            </w:r>
            <w:r>
              <w:instrText xml:space="preserve"> SEQ 表3- \* ARABIC </w:instrText>
            </w:r>
            <w:r>
              <w:fldChar w:fldCharType="separate"/>
            </w:r>
            <w:r>
              <w:t>8</w:t>
            </w:r>
            <w:r>
              <w:fldChar w:fldCharType="end"/>
            </w:r>
            <w:r>
              <w:rPr>
                <w:rFonts w:hint="eastAsia"/>
                <w:lang w:val="en-US" w:eastAsia="zh-CN"/>
              </w:rPr>
              <w:t xml:space="preserve">  大气污染物综合排放标准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4"/>
              <w:gridCol w:w="3684"/>
              <w:gridCol w:w="2473"/>
            </w:tblGrid>
            <w:tr w14:paraId="6E860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47" w:type="pct"/>
                  <w:vMerge w:val="restart"/>
                  <w:tcBorders>
                    <w:tl2br w:val="nil"/>
                    <w:tr2bl w:val="nil"/>
                  </w:tcBorders>
                  <w:shd w:val="clear" w:color="auto" w:fill="auto"/>
                  <w:vAlign w:val="center"/>
                </w:tcPr>
                <w:p w14:paraId="71A61289">
                  <w:pPr>
                    <w:pStyle w:val="106"/>
                    <w:bidi w:val="0"/>
                    <w:rPr>
                      <w:b/>
                      <w:bCs/>
                      <w:color w:val="auto"/>
                      <w:highlight w:val="none"/>
                    </w:rPr>
                  </w:pPr>
                  <w:r>
                    <w:rPr>
                      <w:rFonts w:hint="eastAsia"/>
                      <w:b/>
                      <w:bCs/>
                      <w:color w:val="auto"/>
                      <w:highlight w:val="none"/>
                    </w:rPr>
                    <w:t>污染物名称</w:t>
                  </w:r>
                </w:p>
              </w:tc>
              <w:tc>
                <w:tcPr>
                  <w:tcW w:w="2006" w:type="pct"/>
                  <w:vMerge w:val="restart"/>
                  <w:tcBorders>
                    <w:tl2br w:val="nil"/>
                    <w:tr2bl w:val="nil"/>
                  </w:tcBorders>
                  <w:shd w:val="clear" w:color="auto" w:fill="auto"/>
                  <w:vAlign w:val="center"/>
                </w:tcPr>
                <w:p w14:paraId="1E1B50BA">
                  <w:pPr>
                    <w:pStyle w:val="106"/>
                    <w:bidi w:val="0"/>
                    <w:rPr>
                      <w:b/>
                      <w:bCs/>
                      <w:color w:val="auto"/>
                      <w:highlight w:val="none"/>
                    </w:rPr>
                  </w:pPr>
                  <w:r>
                    <w:rPr>
                      <w:rFonts w:hint="eastAsia"/>
                      <w:b/>
                      <w:bCs/>
                      <w:color w:val="auto"/>
                      <w:highlight w:val="none"/>
                    </w:rPr>
                    <w:t>无组织排放浓度</w:t>
                  </w:r>
                  <w:r>
                    <w:rPr>
                      <w:b/>
                      <w:bCs/>
                      <w:color w:val="auto"/>
                      <w:highlight w:val="none"/>
                    </w:rPr>
                    <w:t>限值</w:t>
                  </w:r>
                  <w:r>
                    <w:rPr>
                      <w:rFonts w:hint="eastAsia"/>
                      <w:b/>
                      <w:bCs/>
                      <w:color w:val="auto"/>
                      <w:highlight w:val="none"/>
                    </w:rPr>
                    <w:t>（</w:t>
                  </w:r>
                  <w:r>
                    <w:rPr>
                      <w:b/>
                      <w:bCs/>
                      <w:color w:val="auto"/>
                      <w:highlight w:val="none"/>
                    </w:rPr>
                    <w:t>mg/m</w:t>
                  </w:r>
                  <w:r>
                    <w:rPr>
                      <w:rFonts w:hint="eastAsia"/>
                      <w:b/>
                      <w:bCs/>
                      <w:color w:val="auto"/>
                      <w:highlight w:val="none"/>
                      <w:vertAlign w:val="superscript"/>
                    </w:rPr>
                    <w:t>3</w:t>
                  </w:r>
                  <w:r>
                    <w:rPr>
                      <w:rFonts w:hint="eastAsia"/>
                      <w:b/>
                      <w:bCs/>
                      <w:color w:val="auto"/>
                      <w:highlight w:val="none"/>
                    </w:rPr>
                    <w:t>）</w:t>
                  </w:r>
                </w:p>
              </w:tc>
              <w:tc>
                <w:tcPr>
                  <w:tcW w:w="1346" w:type="pct"/>
                  <w:vMerge w:val="restart"/>
                  <w:tcBorders>
                    <w:tl2br w:val="nil"/>
                    <w:tr2bl w:val="nil"/>
                  </w:tcBorders>
                  <w:shd w:val="clear" w:color="auto" w:fill="auto"/>
                  <w:vAlign w:val="center"/>
                </w:tcPr>
                <w:p w14:paraId="5ADB116D">
                  <w:pPr>
                    <w:pStyle w:val="106"/>
                    <w:bidi w:val="0"/>
                    <w:rPr>
                      <w:rFonts w:hint="eastAsia" w:eastAsia="宋体"/>
                      <w:b/>
                      <w:bCs/>
                      <w:color w:val="auto"/>
                      <w:highlight w:val="none"/>
                      <w:lang w:val="en-US" w:eastAsia="zh-CN"/>
                    </w:rPr>
                  </w:pPr>
                  <w:r>
                    <w:rPr>
                      <w:rFonts w:hint="eastAsia"/>
                      <w:b/>
                      <w:bCs/>
                      <w:color w:val="auto"/>
                      <w:highlight w:val="none"/>
                      <w:lang w:val="en-US" w:eastAsia="zh-CN"/>
                    </w:rPr>
                    <w:t>监控点</w:t>
                  </w:r>
                </w:p>
              </w:tc>
            </w:tr>
            <w:tr w14:paraId="7D0CE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47" w:type="pct"/>
                  <w:vMerge w:val="continue"/>
                  <w:tcBorders>
                    <w:tl2br w:val="nil"/>
                    <w:tr2bl w:val="nil"/>
                  </w:tcBorders>
                  <w:shd w:val="clear" w:color="auto" w:fill="auto"/>
                  <w:vAlign w:val="center"/>
                </w:tcPr>
                <w:p w14:paraId="3B1A4CD7">
                  <w:pPr>
                    <w:pStyle w:val="106"/>
                    <w:bidi w:val="0"/>
                    <w:rPr>
                      <w:color w:val="auto"/>
                      <w:highlight w:val="none"/>
                    </w:rPr>
                  </w:pPr>
                </w:p>
              </w:tc>
              <w:tc>
                <w:tcPr>
                  <w:tcW w:w="2006" w:type="pct"/>
                  <w:vMerge w:val="continue"/>
                  <w:tcBorders>
                    <w:tl2br w:val="nil"/>
                    <w:tr2bl w:val="nil"/>
                  </w:tcBorders>
                  <w:shd w:val="clear" w:color="auto" w:fill="auto"/>
                  <w:vAlign w:val="center"/>
                </w:tcPr>
                <w:p w14:paraId="0F40F823">
                  <w:pPr>
                    <w:pStyle w:val="106"/>
                    <w:bidi w:val="0"/>
                    <w:rPr>
                      <w:color w:val="auto"/>
                      <w:highlight w:val="none"/>
                    </w:rPr>
                  </w:pPr>
                </w:p>
              </w:tc>
              <w:tc>
                <w:tcPr>
                  <w:tcW w:w="1346" w:type="pct"/>
                  <w:vMerge w:val="continue"/>
                  <w:tcBorders>
                    <w:tl2br w:val="nil"/>
                    <w:tr2bl w:val="nil"/>
                  </w:tcBorders>
                  <w:shd w:val="clear" w:color="auto" w:fill="auto"/>
                  <w:vAlign w:val="center"/>
                </w:tcPr>
                <w:p w14:paraId="4023854E">
                  <w:pPr>
                    <w:pStyle w:val="106"/>
                    <w:bidi w:val="0"/>
                    <w:rPr>
                      <w:color w:val="auto"/>
                      <w:highlight w:val="none"/>
                    </w:rPr>
                  </w:pPr>
                </w:p>
              </w:tc>
            </w:tr>
            <w:tr w14:paraId="3F8B6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647" w:type="pct"/>
                  <w:tcBorders>
                    <w:tl2br w:val="nil"/>
                    <w:tr2bl w:val="nil"/>
                  </w:tcBorders>
                  <w:shd w:val="clear" w:color="auto" w:fill="auto"/>
                  <w:vAlign w:val="center"/>
                </w:tcPr>
                <w:p w14:paraId="730DC7A0">
                  <w:pPr>
                    <w:pStyle w:val="106"/>
                    <w:bidi w:val="0"/>
                    <w:rPr>
                      <w:color w:val="auto"/>
                      <w:highlight w:val="none"/>
                    </w:rPr>
                  </w:pPr>
                  <w:r>
                    <w:rPr>
                      <w:color w:val="auto"/>
                      <w:highlight w:val="none"/>
                    </w:rPr>
                    <w:t>颗粒物</w:t>
                  </w:r>
                </w:p>
              </w:tc>
              <w:tc>
                <w:tcPr>
                  <w:tcW w:w="2006" w:type="pct"/>
                  <w:tcBorders>
                    <w:tl2br w:val="nil"/>
                    <w:tr2bl w:val="nil"/>
                  </w:tcBorders>
                  <w:shd w:val="clear" w:color="auto" w:fill="auto"/>
                  <w:vAlign w:val="center"/>
                </w:tcPr>
                <w:p w14:paraId="538CEE04">
                  <w:pPr>
                    <w:pStyle w:val="106"/>
                    <w:bidi w:val="0"/>
                    <w:rPr>
                      <w:color w:val="auto"/>
                      <w:highlight w:val="none"/>
                    </w:rPr>
                  </w:pPr>
                  <w:r>
                    <w:rPr>
                      <w:rFonts w:hint="eastAsia"/>
                      <w:color w:val="auto"/>
                      <w:highlight w:val="none"/>
                    </w:rPr>
                    <w:t>1.0</w:t>
                  </w:r>
                </w:p>
              </w:tc>
              <w:tc>
                <w:tcPr>
                  <w:tcW w:w="1346" w:type="pct"/>
                  <w:tcBorders>
                    <w:tl2br w:val="nil"/>
                    <w:tr2bl w:val="nil"/>
                  </w:tcBorders>
                  <w:shd w:val="clear" w:color="auto" w:fill="auto"/>
                  <w:vAlign w:val="center"/>
                </w:tcPr>
                <w:p w14:paraId="7DDA6C2E">
                  <w:pPr>
                    <w:pStyle w:val="106"/>
                    <w:bidi w:val="0"/>
                    <w:rPr>
                      <w:rFonts w:hint="default" w:eastAsia="宋体"/>
                      <w:color w:val="auto"/>
                      <w:highlight w:val="none"/>
                      <w:lang w:val="en-US" w:eastAsia="zh-CN"/>
                    </w:rPr>
                  </w:pPr>
                  <w:r>
                    <w:rPr>
                      <w:rFonts w:hint="eastAsia"/>
                      <w:color w:val="auto"/>
                      <w:highlight w:val="none"/>
                      <w:lang w:val="en-US" w:eastAsia="zh-CN"/>
                    </w:rPr>
                    <w:t>周界外浓度最高点</w:t>
                  </w:r>
                </w:p>
              </w:tc>
            </w:tr>
          </w:tbl>
          <w:p w14:paraId="34DF29CC">
            <w:pPr>
              <w:keepNext w:val="0"/>
              <w:keepLines w:val="0"/>
              <w:pageBreakBefore w:val="0"/>
              <w:widowControl w:val="0"/>
              <w:kinsoku/>
              <w:wordWrap/>
              <w:overflowPunct/>
              <w:topLinePunct w:val="0"/>
              <w:autoSpaceDE w:val="0"/>
              <w:autoSpaceDN w:val="0"/>
              <w:bidi w:val="0"/>
              <w:adjustRightInd w:val="0"/>
              <w:snapToGrid w:val="0"/>
              <w:spacing w:before="157" w:beforeLines="50"/>
              <w:ind w:firstLine="482"/>
              <w:textAlignment w:val="auto"/>
              <w:rPr>
                <w:rFonts w:hint="eastAsia"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2、废水</w:t>
            </w:r>
          </w:p>
          <w:p w14:paraId="22593D27">
            <w:pPr>
              <w:adjustRightInd w:val="0"/>
              <w:snapToGrid w:val="0"/>
              <w:ind w:firstLine="480"/>
              <w:jc w:val="both"/>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本项目</w:t>
            </w:r>
            <w:r>
              <w:rPr>
                <w:rFonts w:hint="default" w:ascii="Times New Roman" w:hAnsi="Times New Roman" w:cs="Times New Roman"/>
                <w:color w:val="auto"/>
                <w:kern w:val="0"/>
                <w:sz w:val="24"/>
                <w:highlight w:val="none"/>
                <w:lang w:val="en-US" w:eastAsia="zh-CN"/>
              </w:rPr>
              <w:t>废水</w:t>
            </w:r>
            <w:r>
              <w:rPr>
                <w:rFonts w:hint="eastAsia" w:cs="Times New Roman"/>
                <w:color w:val="auto"/>
                <w:kern w:val="0"/>
                <w:sz w:val="24"/>
                <w:highlight w:val="none"/>
                <w:lang w:val="en-US" w:eastAsia="zh-CN"/>
              </w:rPr>
              <w:t>排放</w:t>
            </w:r>
            <w:r>
              <w:rPr>
                <w:rFonts w:hint="default" w:ascii="Times New Roman" w:hAnsi="Times New Roman" w:cs="Times New Roman"/>
                <w:color w:val="auto"/>
                <w:kern w:val="0"/>
                <w:sz w:val="24"/>
                <w:highlight w:val="none"/>
              </w:rPr>
              <w:t>执行《污水综合排放标准》（GB8978-1996）中的三级排放标准，氨氮</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总磷</w:t>
            </w:r>
            <w:r>
              <w:rPr>
                <w:rFonts w:hint="default" w:ascii="Times New Roman" w:hAnsi="Times New Roman" w:cs="Times New Roman"/>
                <w:color w:val="auto"/>
                <w:kern w:val="0"/>
                <w:sz w:val="24"/>
                <w:highlight w:val="none"/>
              </w:rPr>
              <w:t>参照《污水排入城镇下水道水质标准》（GB/T31962-2015）表1中B级标准。</w:t>
            </w:r>
            <w:r>
              <w:rPr>
                <w:rFonts w:hint="default" w:ascii="Times New Roman" w:hAnsi="Times New Roman" w:cs="Times New Roman"/>
                <w:color w:val="auto"/>
                <w:kern w:val="0"/>
                <w:sz w:val="24"/>
                <w:highlight w:val="none"/>
                <w:lang w:val="en-US" w:eastAsia="zh-CN"/>
              </w:rPr>
              <w:t>后经</w:t>
            </w:r>
            <w:r>
              <w:rPr>
                <w:rFonts w:hint="eastAsia" w:cs="Times New Roman"/>
                <w:color w:val="auto"/>
                <w:kern w:val="0"/>
                <w:sz w:val="24"/>
                <w:highlight w:val="none"/>
                <w:lang w:val="en-US" w:eastAsia="zh-CN"/>
              </w:rPr>
              <w:t>龙眼井污水处理厂</w:t>
            </w:r>
            <w:r>
              <w:rPr>
                <w:rFonts w:hint="default" w:ascii="Times New Roman" w:hAnsi="Times New Roman" w:cs="Times New Roman"/>
                <w:color w:val="auto"/>
                <w:kern w:val="0"/>
                <w:sz w:val="24"/>
                <w:highlight w:val="none"/>
              </w:rPr>
              <w:t>处理</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highlight w:val="none"/>
                <w:lang w:val="en-US" w:eastAsia="zh-CN"/>
              </w:rPr>
              <w:t>处理达到《城镇污水处理厂污染物排放标准》（GB18918-2002）中一级A标准后排入</w:t>
            </w:r>
            <w:r>
              <w:rPr>
                <w:rFonts w:hint="eastAsia" w:cs="Times New Roman"/>
                <w:color w:val="auto"/>
                <w:highlight w:val="none"/>
                <w:lang w:val="en-US" w:eastAsia="zh-CN"/>
              </w:rPr>
              <w:t>琼江</w:t>
            </w:r>
            <w:r>
              <w:rPr>
                <w:rFonts w:hint="default" w:ascii="Times New Roman" w:hAnsi="Times New Roman" w:cs="Times New Roman"/>
                <w:color w:val="auto"/>
                <w:kern w:val="0"/>
                <w:sz w:val="24"/>
                <w:highlight w:val="none"/>
              </w:rPr>
              <w:t>。具体标准见下表。</w:t>
            </w:r>
          </w:p>
          <w:p w14:paraId="1DA2C021">
            <w:pPr>
              <w:pStyle w:val="14"/>
              <w:bidi w:val="0"/>
              <w:rPr>
                <w:color w:val="auto"/>
                <w:highlight w:val="none"/>
              </w:rPr>
            </w:pPr>
            <w:bookmarkStart w:id="16" w:name="_Hlk97627699"/>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9</w:t>
            </w:r>
            <w:r>
              <w:rPr>
                <w:color w:val="auto"/>
                <w:highlight w:val="none"/>
              </w:rPr>
              <w:fldChar w:fldCharType="end"/>
            </w:r>
            <w:r>
              <w:rPr>
                <w:rFonts w:hint="eastAsia"/>
                <w:color w:val="auto"/>
                <w:highlight w:val="none"/>
                <w:lang w:val="en-US" w:eastAsia="zh-CN"/>
              </w:rPr>
              <w:t xml:space="preserve">  水污染物</w:t>
            </w:r>
            <w:r>
              <w:rPr>
                <w:rFonts w:hint="eastAsia"/>
                <w:color w:val="auto"/>
                <w:highlight w:val="none"/>
              </w:rPr>
              <w:t>排放标准</w:t>
            </w:r>
          </w:p>
          <w:bookmarkEnd w:id="16"/>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54"/>
              <w:gridCol w:w="845"/>
              <w:gridCol w:w="845"/>
              <w:gridCol w:w="845"/>
              <w:gridCol w:w="845"/>
              <w:gridCol w:w="845"/>
              <w:gridCol w:w="1112"/>
              <w:gridCol w:w="580"/>
            </w:tblGrid>
            <w:tr w14:paraId="225E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254" w:type="dxa"/>
                  <w:tcBorders>
                    <w:top w:val="single" w:color="auto" w:sz="12" w:space="0"/>
                    <w:bottom w:val="single" w:color="auto" w:sz="4" w:space="0"/>
                    <w:right w:val="single" w:color="auto" w:sz="4" w:space="0"/>
                  </w:tcBorders>
                  <w:noWrap w:val="0"/>
                  <w:vAlign w:val="center"/>
                </w:tcPr>
                <w:p w14:paraId="75A77650">
                  <w:pPr>
                    <w:pStyle w:val="106"/>
                    <w:bidi w:val="0"/>
                    <w:rPr>
                      <w:rFonts w:hint="default"/>
                      <w:b/>
                      <w:bCs/>
                      <w:color w:val="auto"/>
                      <w:highlight w:val="none"/>
                    </w:rPr>
                  </w:pPr>
                  <w:r>
                    <w:rPr>
                      <w:rFonts w:hint="default"/>
                      <w:b/>
                      <w:bCs/>
                      <w:color w:val="auto"/>
                      <w:highlight w:val="none"/>
                    </w:rPr>
                    <w:t>标准</w:t>
                  </w:r>
                </w:p>
              </w:tc>
              <w:tc>
                <w:tcPr>
                  <w:tcW w:w="845" w:type="dxa"/>
                  <w:tcBorders>
                    <w:top w:val="single" w:color="auto" w:sz="12" w:space="0"/>
                    <w:left w:val="single" w:color="auto" w:sz="4" w:space="0"/>
                    <w:bottom w:val="single" w:color="auto" w:sz="4" w:space="0"/>
                    <w:right w:val="single" w:color="auto" w:sz="4" w:space="0"/>
                  </w:tcBorders>
                  <w:noWrap w:val="0"/>
                  <w:vAlign w:val="center"/>
                </w:tcPr>
                <w:p w14:paraId="561BD96C">
                  <w:pPr>
                    <w:pStyle w:val="106"/>
                    <w:bidi w:val="0"/>
                    <w:rPr>
                      <w:rFonts w:hint="default"/>
                      <w:b/>
                      <w:bCs/>
                      <w:color w:val="auto"/>
                      <w:highlight w:val="none"/>
                    </w:rPr>
                  </w:pPr>
                  <w:r>
                    <w:rPr>
                      <w:rFonts w:hint="default"/>
                      <w:b/>
                      <w:bCs/>
                      <w:color w:val="auto"/>
                      <w:highlight w:val="none"/>
                    </w:rPr>
                    <w:t>pH</w:t>
                  </w:r>
                </w:p>
              </w:tc>
              <w:tc>
                <w:tcPr>
                  <w:tcW w:w="845" w:type="dxa"/>
                  <w:tcBorders>
                    <w:top w:val="single" w:color="auto" w:sz="12" w:space="0"/>
                    <w:left w:val="single" w:color="auto" w:sz="4" w:space="0"/>
                    <w:bottom w:val="single" w:color="auto" w:sz="4" w:space="0"/>
                    <w:right w:val="single" w:color="auto" w:sz="4" w:space="0"/>
                  </w:tcBorders>
                  <w:noWrap w:val="0"/>
                  <w:vAlign w:val="center"/>
                </w:tcPr>
                <w:p w14:paraId="02187FA4">
                  <w:pPr>
                    <w:pStyle w:val="106"/>
                    <w:bidi w:val="0"/>
                    <w:rPr>
                      <w:rFonts w:hint="default"/>
                      <w:b/>
                      <w:bCs/>
                      <w:color w:val="auto"/>
                      <w:highlight w:val="none"/>
                    </w:rPr>
                  </w:pPr>
                  <w:r>
                    <w:rPr>
                      <w:rFonts w:hint="default"/>
                      <w:b/>
                      <w:bCs/>
                      <w:color w:val="auto"/>
                      <w:highlight w:val="none"/>
                    </w:rPr>
                    <w:t>CODcr</w:t>
                  </w:r>
                </w:p>
              </w:tc>
              <w:tc>
                <w:tcPr>
                  <w:tcW w:w="845" w:type="dxa"/>
                  <w:tcBorders>
                    <w:top w:val="single" w:color="auto" w:sz="12" w:space="0"/>
                    <w:left w:val="single" w:color="auto" w:sz="4" w:space="0"/>
                    <w:bottom w:val="single" w:color="auto" w:sz="4" w:space="0"/>
                    <w:right w:val="single" w:color="auto" w:sz="4" w:space="0"/>
                  </w:tcBorders>
                  <w:noWrap w:val="0"/>
                  <w:vAlign w:val="center"/>
                </w:tcPr>
                <w:p w14:paraId="353AE66A">
                  <w:pPr>
                    <w:pStyle w:val="106"/>
                    <w:bidi w:val="0"/>
                    <w:rPr>
                      <w:rFonts w:hint="default"/>
                      <w:b/>
                      <w:bCs/>
                      <w:color w:val="auto"/>
                      <w:highlight w:val="none"/>
                    </w:rPr>
                  </w:pPr>
                  <w:r>
                    <w:rPr>
                      <w:rFonts w:hint="default"/>
                      <w:b/>
                      <w:bCs/>
                      <w:color w:val="auto"/>
                      <w:highlight w:val="none"/>
                    </w:rPr>
                    <w:t>BOD</w:t>
                  </w:r>
                  <w:r>
                    <w:rPr>
                      <w:rFonts w:hint="default"/>
                      <w:b/>
                      <w:bCs/>
                      <w:color w:val="auto"/>
                      <w:highlight w:val="none"/>
                      <w:vertAlign w:val="subscript"/>
                    </w:rPr>
                    <w:t>5</w:t>
                  </w:r>
                </w:p>
              </w:tc>
              <w:tc>
                <w:tcPr>
                  <w:tcW w:w="845" w:type="dxa"/>
                  <w:tcBorders>
                    <w:top w:val="single" w:color="auto" w:sz="12" w:space="0"/>
                    <w:left w:val="single" w:color="auto" w:sz="4" w:space="0"/>
                    <w:bottom w:val="single" w:color="auto" w:sz="4" w:space="0"/>
                    <w:right w:val="single" w:color="auto" w:sz="4" w:space="0"/>
                  </w:tcBorders>
                  <w:noWrap w:val="0"/>
                  <w:vAlign w:val="center"/>
                </w:tcPr>
                <w:p w14:paraId="3985295C">
                  <w:pPr>
                    <w:pStyle w:val="106"/>
                    <w:bidi w:val="0"/>
                    <w:rPr>
                      <w:rFonts w:hint="default"/>
                      <w:b/>
                      <w:bCs/>
                      <w:color w:val="auto"/>
                      <w:highlight w:val="none"/>
                    </w:rPr>
                  </w:pPr>
                  <w:r>
                    <w:rPr>
                      <w:rFonts w:hint="default"/>
                      <w:b/>
                      <w:bCs/>
                      <w:color w:val="auto"/>
                      <w:highlight w:val="none"/>
                    </w:rPr>
                    <w:t>NH</w:t>
                  </w:r>
                  <w:r>
                    <w:rPr>
                      <w:rFonts w:hint="default"/>
                      <w:b/>
                      <w:bCs/>
                      <w:color w:val="auto"/>
                      <w:highlight w:val="none"/>
                      <w:vertAlign w:val="subscript"/>
                    </w:rPr>
                    <w:t>3</w:t>
                  </w:r>
                  <w:r>
                    <w:rPr>
                      <w:rFonts w:hint="default"/>
                      <w:b/>
                      <w:bCs/>
                      <w:color w:val="auto"/>
                      <w:highlight w:val="none"/>
                    </w:rPr>
                    <w:t>-N</w:t>
                  </w:r>
                </w:p>
              </w:tc>
              <w:tc>
                <w:tcPr>
                  <w:tcW w:w="845" w:type="dxa"/>
                  <w:tcBorders>
                    <w:top w:val="single" w:color="auto" w:sz="12" w:space="0"/>
                    <w:left w:val="single" w:color="auto" w:sz="4" w:space="0"/>
                    <w:bottom w:val="single" w:color="auto" w:sz="4" w:space="0"/>
                    <w:right w:val="single" w:color="auto" w:sz="4" w:space="0"/>
                  </w:tcBorders>
                  <w:noWrap w:val="0"/>
                  <w:vAlign w:val="center"/>
                </w:tcPr>
                <w:p w14:paraId="15806483">
                  <w:pPr>
                    <w:pStyle w:val="106"/>
                    <w:bidi w:val="0"/>
                    <w:rPr>
                      <w:rFonts w:hint="default"/>
                      <w:b/>
                      <w:bCs/>
                      <w:color w:val="auto"/>
                      <w:highlight w:val="none"/>
                      <w:lang w:val="en-US" w:eastAsia="zh-CN"/>
                    </w:rPr>
                  </w:pPr>
                  <w:r>
                    <w:rPr>
                      <w:rFonts w:hint="eastAsia"/>
                      <w:b/>
                      <w:bCs/>
                      <w:color w:val="auto"/>
                      <w:highlight w:val="none"/>
                      <w:lang w:val="en-US" w:eastAsia="zh-CN"/>
                    </w:rPr>
                    <w:t>SS</w:t>
                  </w:r>
                </w:p>
              </w:tc>
              <w:tc>
                <w:tcPr>
                  <w:tcW w:w="1112" w:type="dxa"/>
                  <w:tcBorders>
                    <w:top w:val="single" w:color="auto" w:sz="12" w:space="0"/>
                    <w:left w:val="single" w:color="auto" w:sz="4" w:space="0"/>
                    <w:bottom w:val="single" w:color="auto" w:sz="4" w:space="0"/>
                    <w:right w:val="single" w:color="auto" w:sz="4" w:space="0"/>
                  </w:tcBorders>
                  <w:noWrap w:val="0"/>
                  <w:vAlign w:val="center"/>
                </w:tcPr>
                <w:p w14:paraId="55BF8CEB">
                  <w:pPr>
                    <w:pStyle w:val="106"/>
                    <w:bidi w:val="0"/>
                    <w:rPr>
                      <w:rFonts w:hint="default"/>
                      <w:b/>
                      <w:bCs/>
                      <w:color w:val="auto"/>
                      <w:highlight w:val="none"/>
                      <w:lang w:val="en-US" w:eastAsia="zh-CN"/>
                    </w:rPr>
                  </w:pPr>
                  <w:r>
                    <w:rPr>
                      <w:rFonts w:hint="eastAsia"/>
                      <w:b/>
                      <w:bCs/>
                      <w:color w:val="auto"/>
                      <w:highlight w:val="none"/>
                      <w:lang w:val="en-US" w:eastAsia="zh-CN"/>
                    </w:rPr>
                    <w:t>总磷</w:t>
                  </w:r>
                </w:p>
              </w:tc>
              <w:tc>
                <w:tcPr>
                  <w:tcW w:w="580" w:type="dxa"/>
                  <w:tcBorders>
                    <w:top w:val="single" w:color="auto" w:sz="12" w:space="0"/>
                    <w:left w:val="single" w:color="auto" w:sz="4" w:space="0"/>
                    <w:bottom w:val="single" w:color="auto" w:sz="4" w:space="0"/>
                    <w:right w:val="nil"/>
                  </w:tcBorders>
                  <w:noWrap w:val="0"/>
                  <w:vAlign w:val="center"/>
                </w:tcPr>
                <w:p w14:paraId="507A1815">
                  <w:pPr>
                    <w:pStyle w:val="106"/>
                    <w:bidi w:val="0"/>
                    <w:rPr>
                      <w:rFonts w:hint="default"/>
                      <w:b/>
                      <w:bCs/>
                      <w:color w:val="auto"/>
                      <w:highlight w:val="none"/>
                      <w:lang w:val="en-US" w:eastAsia="zh-CN"/>
                    </w:rPr>
                  </w:pPr>
                  <w:r>
                    <w:rPr>
                      <w:rFonts w:hint="eastAsia"/>
                      <w:b/>
                      <w:bCs/>
                      <w:color w:val="auto"/>
                      <w:highlight w:val="none"/>
                      <w:lang w:val="en-US" w:eastAsia="zh-CN"/>
                    </w:rPr>
                    <w:t>动植物油</w:t>
                  </w:r>
                </w:p>
              </w:tc>
            </w:tr>
            <w:tr w14:paraId="6FA9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254" w:type="dxa"/>
                  <w:tcBorders>
                    <w:top w:val="single" w:color="auto" w:sz="4" w:space="0"/>
                    <w:left w:val="nil"/>
                    <w:bottom w:val="single" w:color="auto" w:sz="4" w:space="0"/>
                    <w:right w:val="single" w:color="auto" w:sz="4" w:space="0"/>
                  </w:tcBorders>
                  <w:noWrap w:val="0"/>
                  <w:vAlign w:val="center"/>
                </w:tcPr>
                <w:p w14:paraId="25D782EE">
                  <w:pPr>
                    <w:pStyle w:val="106"/>
                    <w:bidi w:val="0"/>
                    <w:rPr>
                      <w:rFonts w:hint="default"/>
                      <w:color w:val="auto"/>
                      <w:highlight w:val="none"/>
                      <w:lang w:eastAsia="zh-CN"/>
                    </w:rPr>
                  </w:pPr>
                  <w:r>
                    <w:rPr>
                      <w:rFonts w:hint="default"/>
                      <w:color w:val="auto"/>
                      <w:highlight w:val="none"/>
                      <w:lang w:eastAsia="zh-CN"/>
                    </w:rPr>
                    <w:t>《污水综合排放标准》（GB8978-1996）三级标准</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443FE708">
                  <w:pPr>
                    <w:pStyle w:val="106"/>
                    <w:bidi w:val="0"/>
                    <w:rPr>
                      <w:rFonts w:hint="default"/>
                      <w:color w:val="auto"/>
                      <w:highlight w:val="none"/>
                      <w:lang w:val="en-US" w:eastAsia="zh-CN"/>
                    </w:rPr>
                  </w:pPr>
                  <w:r>
                    <w:rPr>
                      <w:rFonts w:hint="eastAsia"/>
                      <w:color w:val="auto"/>
                      <w:highlight w:val="none"/>
                      <w:lang w:val="en-US" w:eastAsia="zh-CN"/>
                    </w:rPr>
                    <w:t>6-9</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188AAAC4">
                  <w:pPr>
                    <w:pStyle w:val="106"/>
                    <w:bidi w:val="0"/>
                    <w:rPr>
                      <w:rFonts w:hint="default"/>
                      <w:color w:val="auto"/>
                      <w:highlight w:val="none"/>
                      <w:lang w:val="en-US" w:eastAsia="zh-CN"/>
                    </w:rPr>
                  </w:pPr>
                  <w:r>
                    <w:rPr>
                      <w:rFonts w:hint="eastAsia"/>
                      <w:color w:val="auto"/>
                      <w:highlight w:val="none"/>
                      <w:lang w:val="en-US" w:eastAsia="zh-CN"/>
                    </w:rPr>
                    <w:t>500</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1FFEC697">
                  <w:pPr>
                    <w:pStyle w:val="106"/>
                    <w:bidi w:val="0"/>
                    <w:rPr>
                      <w:rFonts w:hint="default"/>
                      <w:color w:val="auto"/>
                      <w:highlight w:val="none"/>
                      <w:lang w:val="en-US" w:eastAsia="zh-CN"/>
                    </w:rPr>
                  </w:pPr>
                  <w:r>
                    <w:rPr>
                      <w:rFonts w:hint="eastAsia"/>
                      <w:color w:val="auto"/>
                      <w:highlight w:val="none"/>
                      <w:lang w:val="en-US" w:eastAsia="zh-CN"/>
                    </w:rPr>
                    <w:t>300</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696698F5">
                  <w:pPr>
                    <w:pStyle w:val="106"/>
                    <w:bidi w:val="0"/>
                    <w:rPr>
                      <w:rFonts w:hint="default"/>
                      <w:color w:val="auto"/>
                      <w:highlight w:val="none"/>
                      <w:lang w:val="en-US" w:eastAsia="zh-CN"/>
                    </w:rPr>
                  </w:pPr>
                  <w:r>
                    <w:rPr>
                      <w:rFonts w:hint="eastAsia"/>
                      <w:color w:val="auto"/>
                      <w:highlight w:val="none"/>
                      <w:lang w:val="en-US" w:eastAsia="zh-CN"/>
                    </w:rPr>
                    <w:t>/</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3EDC6D05">
                  <w:pPr>
                    <w:pStyle w:val="106"/>
                    <w:bidi w:val="0"/>
                    <w:rPr>
                      <w:rFonts w:hint="default"/>
                      <w:color w:val="auto"/>
                      <w:highlight w:val="none"/>
                      <w:lang w:val="en-US" w:eastAsia="zh-CN"/>
                    </w:rPr>
                  </w:pPr>
                  <w:r>
                    <w:rPr>
                      <w:rFonts w:hint="eastAsia"/>
                      <w:color w:val="auto"/>
                      <w:highlight w:val="none"/>
                      <w:lang w:val="en-US" w:eastAsia="zh-CN"/>
                    </w:rPr>
                    <w:t>400</w:t>
                  </w:r>
                </w:p>
              </w:tc>
              <w:tc>
                <w:tcPr>
                  <w:tcW w:w="1112" w:type="dxa"/>
                  <w:tcBorders>
                    <w:top w:val="single" w:color="auto" w:sz="4" w:space="0"/>
                    <w:left w:val="single" w:color="auto" w:sz="4" w:space="0"/>
                    <w:bottom w:val="single" w:color="auto" w:sz="4" w:space="0"/>
                    <w:right w:val="single" w:color="auto" w:sz="4" w:space="0"/>
                  </w:tcBorders>
                  <w:noWrap w:val="0"/>
                  <w:vAlign w:val="center"/>
                </w:tcPr>
                <w:p w14:paraId="287D3262">
                  <w:pPr>
                    <w:pStyle w:val="106"/>
                    <w:bidi w:val="0"/>
                    <w:rPr>
                      <w:rFonts w:hint="default"/>
                      <w:color w:val="auto"/>
                      <w:highlight w:val="none"/>
                      <w:lang w:val="en-US" w:eastAsia="zh-CN"/>
                    </w:rPr>
                  </w:pPr>
                  <w:r>
                    <w:rPr>
                      <w:rFonts w:hint="eastAsia"/>
                      <w:color w:val="auto"/>
                      <w:highlight w:val="none"/>
                      <w:lang w:val="en-US" w:eastAsia="zh-CN"/>
                    </w:rPr>
                    <w:t>/</w:t>
                  </w:r>
                </w:p>
              </w:tc>
              <w:tc>
                <w:tcPr>
                  <w:tcW w:w="580" w:type="dxa"/>
                  <w:tcBorders>
                    <w:top w:val="single" w:color="auto" w:sz="4" w:space="0"/>
                    <w:left w:val="single" w:color="auto" w:sz="4" w:space="0"/>
                    <w:bottom w:val="single" w:color="auto" w:sz="4" w:space="0"/>
                    <w:right w:val="nil"/>
                  </w:tcBorders>
                  <w:noWrap w:val="0"/>
                  <w:vAlign w:val="center"/>
                </w:tcPr>
                <w:p w14:paraId="001AF872">
                  <w:pPr>
                    <w:pStyle w:val="106"/>
                    <w:bidi w:val="0"/>
                    <w:rPr>
                      <w:rFonts w:hint="default"/>
                      <w:color w:val="auto"/>
                      <w:highlight w:val="none"/>
                      <w:lang w:val="en-US" w:eastAsia="zh-CN"/>
                    </w:rPr>
                  </w:pPr>
                  <w:r>
                    <w:rPr>
                      <w:rFonts w:hint="eastAsia"/>
                      <w:color w:val="auto"/>
                      <w:highlight w:val="none"/>
                      <w:lang w:val="en-US" w:eastAsia="zh-CN"/>
                    </w:rPr>
                    <w:t>100</w:t>
                  </w:r>
                </w:p>
              </w:tc>
            </w:tr>
            <w:tr w14:paraId="35B7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254" w:type="dxa"/>
                  <w:tcBorders>
                    <w:top w:val="single" w:color="auto" w:sz="4" w:space="0"/>
                    <w:left w:val="nil"/>
                    <w:bottom w:val="single" w:color="auto" w:sz="4" w:space="0"/>
                    <w:right w:val="single" w:color="auto" w:sz="4" w:space="0"/>
                  </w:tcBorders>
                  <w:noWrap w:val="0"/>
                  <w:vAlign w:val="center"/>
                </w:tcPr>
                <w:p w14:paraId="5DFABEEF">
                  <w:pPr>
                    <w:pStyle w:val="106"/>
                    <w:bidi w:val="0"/>
                    <w:rPr>
                      <w:rFonts w:hint="default"/>
                      <w:color w:val="auto"/>
                      <w:highlight w:val="none"/>
                      <w:lang w:eastAsia="zh-CN"/>
                    </w:rPr>
                  </w:pPr>
                  <w:r>
                    <w:rPr>
                      <w:rFonts w:hint="default"/>
                      <w:color w:val="auto"/>
                      <w:highlight w:val="none"/>
                      <w:lang w:eastAsia="zh-CN"/>
                    </w:rPr>
                    <w:t>《污水排入城镇下水道水质标准》（GB/T31962-2015）表1中B级标准</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2E0BA44B">
                  <w:pPr>
                    <w:pStyle w:val="106"/>
                    <w:bidi w:val="0"/>
                    <w:rPr>
                      <w:rFonts w:hint="default"/>
                      <w:color w:val="auto"/>
                      <w:highlight w:val="none"/>
                      <w:lang w:val="en-US" w:eastAsia="zh-CN"/>
                    </w:rPr>
                  </w:pPr>
                  <w:r>
                    <w:rPr>
                      <w:rFonts w:hint="eastAsia"/>
                      <w:color w:val="auto"/>
                      <w:highlight w:val="none"/>
                      <w:lang w:val="en-US" w:eastAsia="zh-CN"/>
                    </w:rPr>
                    <w:t>/</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2CB788F5">
                  <w:pPr>
                    <w:pStyle w:val="106"/>
                    <w:bidi w:val="0"/>
                    <w:rPr>
                      <w:rFonts w:hint="default"/>
                      <w:color w:val="auto"/>
                      <w:highlight w:val="none"/>
                      <w:lang w:val="en-US" w:eastAsia="zh-CN"/>
                    </w:rPr>
                  </w:pPr>
                  <w:r>
                    <w:rPr>
                      <w:rFonts w:hint="eastAsia"/>
                      <w:color w:val="auto"/>
                      <w:highlight w:val="none"/>
                      <w:lang w:val="en-US" w:eastAsia="zh-CN"/>
                    </w:rPr>
                    <w:t>/</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79A2D15D">
                  <w:pPr>
                    <w:pStyle w:val="106"/>
                    <w:bidi w:val="0"/>
                    <w:rPr>
                      <w:rFonts w:hint="default"/>
                      <w:color w:val="auto"/>
                      <w:highlight w:val="none"/>
                      <w:lang w:val="en-US" w:eastAsia="zh-CN"/>
                    </w:rPr>
                  </w:pPr>
                  <w:r>
                    <w:rPr>
                      <w:rFonts w:hint="eastAsia"/>
                      <w:color w:val="auto"/>
                      <w:highlight w:val="none"/>
                      <w:lang w:val="en-US" w:eastAsia="zh-CN"/>
                    </w:rPr>
                    <w:t>/</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2C14331F">
                  <w:pPr>
                    <w:pStyle w:val="106"/>
                    <w:bidi w:val="0"/>
                    <w:rPr>
                      <w:rFonts w:hint="eastAsia"/>
                      <w:color w:val="auto"/>
                      <w:highlight w:val="none"/>
                      <w:lang w:val="en-US" w:eastAsia="zh-CN"/>
                    </w:rPr>
                  </w:pPr>
                  <w:r>
                    <w:rPr>
                      <w:rFonts w:hint="eastAsia"/>
                      <w:color w:val="auto"/>
                      <w:highlight w:val="none"/>
                      <w:lang w:val="en-US" w:eastAsia="zh-CN"/>
                    </w:rPr>
                    <w:t>45</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475F83E5">
                  <w:pPr>
                    <w:pStyle w:val="106"/>
                    <w:bidi w:val="0"/>
                    <w:rPr>
                      <w:rFonts w:hint="default"/>
                      <w:color w:val="auto"/>
                      <w:highlight w:val="none"/>
                      <w:lang w:val="en-US" w:eastAsia="zh-CN"/>
                    </w:rPr>
                  </w:pPr>
                  <w:r>
                    <w:rPr>
                      <w:rFonts w:hint="eastAsia"/>
                      <w:color w:val="auto"/>
                      <w:highlight w:val="none"/>
                      <w:lang w:val="en-US" w:eastAsia="zh-CN"/>
                    </w:rPr>
                    <w:t>/</w:t>
                  </w:r>
                </w:p>
              </w:tc>
              <w:tc>
                <w:tcPr>
                  <w:tcW w:w="1112" w:type="dxa"/>
                  <w:tcBorders>
                    <w:top w:val="single" w:color="auto" w:sz="4" w:space="0"/>
                    <w:left w:val="single" w:color="auto" w:sz="4" w:space="0"/>
                    <w:bottom w:val="single" w:color="auto" w:sz="4" w:space="0"/>
                    <w:right w:val="single" w:color="auto" w:sz="4" w:space="0"/>
                  </w:tcBorders>
                  <w:noWrap w:val="0"/>
                  <w:vAlign w:val="center"/>
                </w:tcPr>
                <w:p w14:paraId="5267B826">
                  <w:pPr>
                    <w:pStyle w:val="106"/>
                    <w:bidi w:val="0"/>
                    <w:rPr>
                      <w:rFonts w:hint="eastAsia"/>
                      <w:color w:val="auto"/>
                      <w:highlight w:val="none"/>
                      <w:lang w:val="en-US" w:eastAsia="zh-CN"/>
                    </w:rPr>
                  </w:pPr>
                  <w:r>
                    <w:rPr>
                      <w:rFonts w:hint="eastAsia"/>
                      <w:color w:val="auto"/>
                      <w:highlight w:val="none"/>
                      <w:lang w:val="en-US" w:eastAsia="zh-CN"/>
                    </w:rPr>
                    <w:t>8</w:t>
                  </w:r>
                </w:p>
              </w:tc>
              <w:tc>
                <w:tcPr>
                  <w:tcW w:w="580" w:type="dxa"/>
                  <w:tcBorders>
                    <w:top w:val="single" w:color="auto" w:sz="4" w:space="0"/>
                    <w:left w:val="single" w:color="auto" w:sz="4" w:space="0"/>
                    <w:bottom w:val="single" w:color="auto" w:sz="4" w:space="0"/>
                    <w:right w:val="nil"/>
                  </w:tcBorders>
                  <w:noWrap w:val="0"/>
                  <w:vAlign w:val="center"/>
                </w:tcPr>
                <w:p w14:paraId="3AB73CB7">
                  <w:pPr>
                    <w:pStyle w:val="106"/>
                    <w:bidi w:val="0"/>
                    <w:rPr>
                      <w:rFonts w:hint="default"/>
                      <w:color w:val="auto"/>
                      <w:highlight w:val="none"/>
                      <w:lang w:val="en-US" w:eastAsia="zh-CN"/>
                    </w:rPr>
                  </w:pPr>
                  <w:r>
                    <w:rPr>
                      <w:rFonts w:hint="eastAsia"/>
                      <w:color w:val="auto"/>
                      <w:highlight w:val="none"/>
                      <w:lang w:val="en-US" w:eastAsia="zh-CN"/>
                    </w:rPr>
                    <w:t>/</w:t>
                  </w:r>
                </w:p>
              </w:tc>
            </w:tr>
            <w:tr w14:paraId="49A7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3254" w:type="dxa"/>
                  <w:tcBorders>
                    <w:top w:val="single" w:color="auto" w:sz="4" w:space="0"/>
                    <w:left w:val="nil"/>
                    <w:bottom w:val="single" w:color="auto" w:sz="12" w:space="0"/>
                    <w:right w:val="single" w:color="auto" w:sz="4" w:space="0"/>
                  </w:tcBorders>
                  <w:noWrap w:val="0"/>
                  <w:vAlign w:val="center"/>
                </w:tcPr>
                <w:p w14:paraId="73810EAD">
                  <w:pPr>
                    <w:pStyle w:val="106"/>
                    <w:bidi w:val="0"/>
                    <w:rPr>
                      <w:rFonts w:hint="default"/>
                      <w:color w:val="auto"/>
                      <w:highlight w:val="none"/>
                      <w:lang w:eastAsia="zh-CN"/>
                    </w:rPr>
                  </w:pPr>
                  <w:r>
                    <w:rPr>
                      <w:rFonts w:hint="default" w:ascii="Times New Roman" w:hAnsi="Times New Roman" w:cs="Times New Roman"/>
                      <w:color w:val="auto"/>
                      <w:highlight w:val="none"/>
                      <w:lang w:eastAsia="zh-CN"/>
                    </w:rPr>
                    <w:t>《城镇污水处理厂污染物排放标准》（GB18918-2002）中一级A标准</w:t>
                  </w:r>
                </w:p>
              </w:tc>
              <w:tc>
                <w:tcPr>
                  <w:tcW w:w="845" w:type="dxa"/>
                  <w:tcBorders>
                    <w:top w:val="single" w:color="auto" w:sz="4" w:space="0"/>
                    <w:left w:val="single" w:color="auto" w:sz="4" w:space="0"/>
                    <w:bottom w:val="single" w:color="auto" w:sz="12" w:space="0"/>
                    <w:right w:val="single" w:color="auto" w:sz="4" w:space="0"/>
                  </w:tcBorders>
                  <w:shd w:val="clear" w:color="auto" w:fill="auto"/>
                  <w:noWrap w:val="0"/>
                  <w:vAlign w:val="center"/>
                </w:tcPr>
                <w:p w14:paraId="04249039">
                  <w:pPr>
                    <w:pStyle w:val="106"/>
                    <w:bidi w:val="0"/>
                    <w:rPr>
                      <w:rFonts w:hint="eastAsia"/>
                      <w:color w:val="auto"/>
                      <w:highlight w:val="none"/>
                      <w:lang w:val="en-US" w:eastAsia="zh-CN"/>
                    </w:rPr>
                  </w:pPr>
                  <w:r>
                    <w:rPr>
                      <w:rFonts w:hint="eastAsia"/>
                      <w:color w:val="auto"/>
                      <w:highlight w:val="none"/>
                      <w:lang w:val="en-US" w:eastAsia="zh-CN"/>
                    </w:rPr>
                    <w:t>6-9</w:t>
                  </w:r>
                </w:p>
              </w:tc>
              <w:tc>
                <w:tcPr>
                  <w:tcW w:w="845" w:type="dxa"/>
                  <w:tcBorders>
                    <w:top w:val="single" w:color="auto" w:sz="4" w:space="0"/>
                    <w:left w:val="single" w:color="auto" w:sz="4" w:space="0"/>
                    <w:bottom w:val="single" w:color="auto" w:sz="12" w:space="0"/>
                    <w:right w:val="single" w:color="auto" w:sz="4" w:space="0"/>
                  </w:tcBorders>
                  <w:shd w:val="clear" w:color="auto" w:fill="auto"/>
                  <w:noWrap w:val="0"/>
                  <w:vAlign w:val="center"/>
                </w:tcPr>
                <w:p w14:paraId="5714881B">
                  <w:pPr>
                    <w:pStyle w:val="106"/>
                    <w:bidi w:val="0"/>
                    <w:rPr>
                      <w:rFonts w:hint="default"/>
                      <w:color w:val="auto"/>
                      <w:highlight w:val="none"/>
                      <w:lang w:val="en-US" w:eastAsia="zh-CN"/>
                    </w:rPr>
                  </w:pPr>
                  <w:r>
                    <w:rPr>
                      <w:rFonts w:hint="eastAsia"/>
                      <w:color w:val="auto"/>
                      <w:highlight w:val="none"/>
                      <w:lang w:val="en-US" w:eastAsia="zh-CN"/>
                    </w:rPr>
                    <w:t>50</w:t>
                  </w:r>
                </w:p>
              </w:tc>
              <w:tc>
                <w:tcPr>
                  <w:tcW w:w="845" w:type="dxa"/>
                  <w:tcBorders>
                    <w:top w:val="single" w:color="auto" w:sz="4" w:space="0"/>
                    <w:left w:val="single" w:color="auto" w:sz="4" w:space="0"/>
                    <w:bottom w:val="single" w:color="auto" w:sz="12" w:space="0"/>
                    <w:right w:val="single" w:color="auto" w:sz="4" w:space="0"/>
                  </w:tcBorders>
                  <w:shd w:val="clear" w:color="auto" w:fill="auto"/>
                  <w:noWrap w:val="0"/>
                  <w:vAlign w:val="center"/>
                </w:tcPr>
                <w:p w14:paraId="07F36ECA">
                  <w:pPr>
                    <w:pStyle w:val="106"/>
                    <w:bidi w:val="0"/>
                    <w:rPr>
                      <w:rFonts w:hint="default"/>
                      <w:color w:val="auto"/>
                      <w:highlight w:val="none"/>
                      <w:lang w:val="en-US" w:eastAsia="zh-CN"/>
                    </w:rPr>
                  </w:pPr>
                  <w:r>
                    <w:rPr>
                      <w:rFonts w:hint="eastAsia"/>
                      <w:color w:val="auto"/>
                      <w:highlight w:val="none"/>
                      <w:lang w:val="en-US" w:eastAsia="zh-CN"/>
                    </w:rPr>
                    <w:t>10</w:t>
                  </w:r>
                </w:p>
              </w:tc>
              <w:tc>
                <w:tcPr>
                  <w:tcW w:w="845" w:type="dxa"/>
                  <w:tcBorders>
                    <w:top w:val="single" w:color="auto" w:sz="4" w:space="0"/>
                    <w:left w:val="single" w:color="auto" w:sz="4" w:space="0"/>
                    <w:bottom w:val="single" w:color="auto" w:sz="12" w:space="0"/>
                    <w:right w:val="single" w:color="auto" w:sz="4" w:space="0"/>
                  </w:tcBorders>
                  <w:shd w:val="clear" w:color="auto" w:fill="auto"/>
                  <w:noWrap w:val="0"/>
                  <w:vAlign w:val="center"/>
                </w:tcPr>
                <w:p w14:paraId="7C41D33A">
                  <w:pPr>
                    <w:pStyle w:val="106"/>
                    <w:bidi w:val="0"/>
                    <w:rPr>
                      <w:rFonts w:hint="eastAsia"/>
                      <w:color w:val="auto"/>
                      <w:highlight w:val="none"/>
                      <w:lang w:val="en-US" w:eastAsia="zh-CN"/>
                    </w:rPr>
                  </w:pPr>
                  <w:r>
                    <w:rPr>
                      <w:rFonts w:hint="eastAsia"/>
                      <w:color w:val="auto"/>
                      <w:highlight w:val="none"/>
                      <w:lang w:val="en-US" w:eastAsia="zh-CN"/>
                    </w:rPr>
                    <w:t>5</w:t>
                  </w:r>
                </w:p>
              </w:tc>
              <w:tc>
                <w:tcPr>
                  <w:tcW w:w="845" w:type="dxa"/>
                  <w:tcBorders>
                    <w:top w:val="single" w:color="auto" w:sz="4" w:space="0"/>
                    <w:left w:val="single" w:color="auto" w:sz="4" w:space="0"/>
                    <w:bottom w:val="single" w:color="auto" w:sz="12" w:space="0"/>
                    <w:right w:val="single" w:color="auto" w:sz="4" w:space="0"/>
                  </w:tcBorders>
                  <w:noWrap w:val="0"/>
                  <w:vAlign w:val="center"/>
                </w:tcPr>
                <w:p w14:paraId="0DE79497">
                  <w:pPr>
                    <w:pStyle w:val="106"/>
                    <w:bidi w:val="0"/>
                    <w:rPr>
                      <w:rFonts w:hint="default"/>
                      <w:color w:val="auto"/>
                      <w:highlight w:val="none"/>
                      <w:lang w:val="en-US" w:eastAsia="zh-CN"/>
                    </w:rPr>
                  </w:pPr>
                  <w:r>
                    <w:rPr>
                      <w:rFonts w:hint="eastAsia"/>
                      <w:color w:val="auto"/>
                      <w:highlight w:val="none"/>
                      <w:lang w:val="en-US" w:eastAsia="zh-CN"/>
                    </w:rPr>
                    <w:t>10</w:t>
                  </w:r>
                </w:p>
              </w:tc>
              <w:tc>
                <w:tcPr>
                  <w:tcW w:w="1112" w:type="dxa"/>
                  <w:tcBorders>
                    <w:top w:val="single" w:color="auto" w:sz="4" w:space="0"/>
                    <w:left w:val="single" w:color="auto" w:sz="4" w:space="0"/>
                    <w:bottom w:val="single" w:color="auto" w:sz="12" w:space="0"/>
                    <w:right w:val="single" w:color="auto" w:sz="4" w:space="0"/>
                  </w:tcBorders>
                  <w:noWrap w:val="0"/>
                  <w:vAlign w:val="center"/>
                </w:tcPr>
                <w:p w14:paraId="7B8C7A69">
                  <w:pPr>
                    <w:pStyle w:val="106"/>
                    <w:bidi w:val="0"/>
                    <w:rPr>
                      <w:rFonts w:hint="default"/>
                      <w:color w:val="auto"/>
                      <w:highlight w:val="none"/>
                      <w:lang w:val="en-US" w:eastAsia="zh-CN"/>
                    </w:rPr>
                  </w:pPr>
                  <w:r>
                    <w:rPr>
                      <w:rFonts w:hint="eastAsia"/>
                      <w:color w:val="auto"/>
                      <w:highlight w:val="none"/>
                      <w:lang w:val="en-US" w:eastAsia="zh-CN"/>
                    </w:rPr>
                    <w:t>0.5</w:t>
                  </w:r>
                </w:p>
              </w:tc>
              <w:tc>
                <w:tcPr>
                  <w:tcW w:w="580" w:type="dxa"/>
                  <w:tcBorders>
                    <w:top w:val="single" w:color="auto" w:sz="4" w:space="0"/>
                    <w:left w:val="single" w:color="auto" w:sz="4" w:space="0"/>
                    <w:bottom w:val="single" w:color="auto" w:sz="12" w:space="0"/>
                    <w:right w:val="nil"/>
                  </w:tcBorders>
                  <w:noWrap w:val="0"/>
                  <w:vAlign w:val="center"/>
                </w:tcPr>
                <w:p w14:paraId="42075B40">
                  <w:pPr>
                    <w:pStyle w:val="106"/>
                    <w:bidi w:val="0"/>
                    <w:rPr>
                      <w:rFonts w:hint="default"/>
                      <w:color w:val="auto"/>
                      <w:highlight w:val="none"/>
                      <w:lang w:val="en-US" w:eastAsia="zh-CN"/>
                    </w:rPr>
                  </w:pPr>
                  <w:r>
                    <w:rPr>
                      <w:rFonts w:hint="eastAsia"/>
                      <w:color w:val="auto"/>
                      <w:highlight w:val="none"/>
                      <w:lang w:val="en-US" w:eastAsia="zh-CN"/>
                    </w:rPr>
                    <w:t>1</w:t>
                  </w:r>
                </w:p>
              </w:tc>
            </w:tr>
          </w:tbl>
          <w:p w14:paraId="5E5B5412">
            <w:pPr>
              <w:keepNext w:val="0"/>
              <w:keepLines w:val="0"/>
              <w:pageBreakBefore w:val="0"/>
              <w:widowControl w:val="0"/>
              <w:kinsoku/>
              <w:wordWrap/>
              <w:overflowPunct/>
              <w:topLinePunct w:val="0"/>
              <w:autoSpaceDE w:val="0"/>
              <w:autoSpaceDN w:val="0"/>
              <w:bidi w:val="0"/>
              <w:adjustRightInd w:val="0"/>
              <w:snapToGrid w:val="0"/>
              <w:spacing w:before="157" w:beforeLines="50"/>
              <w:ind w:firstLine="482"/>
              <w:textAlignment w:val="auto"/>
              <w:rPr>
                <w:rFonts w:hint="eastAsia"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3、噪声</w:t>
            </w:r>
          </w:p>
          <w:p w14:paraId="479E34B0">
            <w:pPr>
              <w:ind w:firstLine="480"/>
              <w:jc w:val="both"/>
              <w:rPr>
                <w:color w:val="auto"/>
                <w:highlight w:val="none"/>
              </w:rPr>
            </w:pPr>
            <w:r>
              <w:rPr>
                <w:rFonts w:hint="eastAsia"/>
                <w:color w:val="auto"/>
                <w:sz w:val="24"/>
                <w:highlight w:val="none"/>
                <w:lang w:eastAsia="zh-CN"/>
              </w:rPr>
              <w:t>本项目</w:t>
            </w:r>
            <w:r>
              <w:rPr>
                <w:color w:val="auto"/>
                <w:sz w:val="24"/>
                <w:highlight w:val="none"/>
              </w:rPr>
              <w:t>施工期噪声执行《建筑施工场界环境噪声排放标准》（GB12523-2011）中各施工阶段的噪声限值；项目营运期厂界噪声执行《工业企业厂界环境噪声排放标准》（GB12348-2008）中的</w:t>
            </w:r>
            <w:r>
              <w:rPr>
                <w:rFonts w:hint="eastAsia"/>
                <w:color w:val="auto"/>
                <w:sz w:val="24"/>
                <w:highlight w:val="none"/>
                <w:lang w:val="en-US" w:eastAsia="zh-CN"/>
              </w:rPr>
              <w:t>3类排放</w:t>
            </w:r>
            <w:r>
              <w:rPr>
                <w:color w:val="auto"/>
                <w:sz w:val="24"/>
                <w:highlight w:val="none"/>
              </w:rPr>
              <w:t>标准，详见下表：</w:t>
            </w:r>
          </w:p>
          <w:p w14:paraId="6994A94E">
            <w:pPr>
              <w:pStyle w:val="14"/>
              <w:bidi w:val="0"/>
              <w:rPr>
                <w:color w:val="auto"/>
                <w:highlight w:val="none"/>
              </w:rPr>
            </w:pPr>
            <w:r>
              <w:rPr>
                <w:color w:val="auto"/>
                <w:highlight w:val="none"/>
              </w:rPr>
              <w:t>表3-</w:t>
            </w:r>
            <w:r>
              <w:rPr>
                <w:color w:val="auto"/>
                <w:highlight w:val="none"/>
              </w:rPr>
              <w:fldChar w:fldCharType="begin"/>
            </w:r>
            <w:r>
              <w:rPr>
                <w:color w:val="auto"/>
                <w:highlight w:val="none"/>
              </w:rPr>
              <w:instrText xml:space="preserve"> SEQ 表3- \* ARABIC </w:instrText>
            </w:r>
            <w:r>
              <w:rPr>
                <w:color w:val="auto"/>
                <w:highlight w:val="none"/>
              </w:rPr>
              <w:fldChar w:fldCharType="separate"/>
            </w:r>
            <w:r>
              <w:rPr>
                <w:color w:val="auto"/>
                <w:highlight w:val="none"/>
              </w:rPr>
              <w:t>10</w:t>
            </w:r>
            <w:r>
              <w:rPr>
                <w:color w:val="auto"/>
                <w:highlight w:val="none"/>
              </w:rPr>
              <w:fldChar w:fldCharType="end"/>
            </w:r>
            <w:r>
              <w:rPr>
                <w:rFonts w:hint="eastAsia"/>
                <w:color w:val="auto"/>
                <w:highlight w:val="none"/>
                <w:lang w:val="en-US" w:eastAsia="zh-CN"/>
              </w:rPr>
              <w:t xml:space="preserve">  </w:t>
            </w:r>
            <w:r>
              <w:rPr>
                <w:rFonts w:hint="default"/>
                <w:color w:val="auto"/>
                <w:highlight w:val="none"/>
              </w:rPr>
              <w:t>噪声排放标准单位：dB（A）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8"/>
              <w:gridCol w:w="2528"/>
              <w:gridCol w:w="2535"/>
            </w:tblGrid>
            <w:tr w14:paraId="2EBB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9" w:type="pct"/>
                  <w:tcBorders>
                    <w:top w:val="single" w:color="auto" w:sz="12" w:space="0"/>
                    <w:bottom w:val="single" w:color="auto" w:sz="4" w:space="0"/>
                    <w:right w:val="single" w:color="auto" w:sz="4" w:space="0"/>
                  </w:tcBorders>
                  <w:noWrap w:val="0"/>
                  <w:vAlign w:val="center"/>
                </w:tcPr>
                <w:p w14:paraId="658749B5">
                  <w:pPr>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标准来源</w:t>
                  </w:r>
                </w:p>
              </w:tc>
              <w:tc>
                <w:tcPr>
                  <w:tcW w:w="1378" w:type="pct"/>
                  <w:tcBorders>
                    <w:top w:val="single" w:color="auto" w:sz="12" w:space="0"/>
                    <w:left w:val="single" w:color="auto" w:sz="4" w:space="0"/>
                    <w:bottom w:val="single" w:color="auto" w:sz="4" w:space="0"/>
                    <w:right w:val="single" w:color="auto" w:sz="4" w:space="0"/>
                  </w:tcBorders>
                  <w:noWrap w:val="0"/>
                  <w:vAlign w:val="center"/>
                </w:tcPr>
                <w:p w14:paraId="532159A7">
                  <w:pPr>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时间段</w:t>
                  </w:r>
                </w:p>
              </w:tc>
              <w:tc>
                <w:tcPr>
                  <w:tcW w:w="1382" w:type="pct"/>
                  <w:tcBorders>
                    <w:top w:val="single" w:color="auto" w:sz="12" w:space="0"/>
                    <w:left w:val="single" w:color="auto" w:sz="4" w:space="0"/>
                    <w:bottom w:val="single" w:color="auto" w:sz="4" w:space="0"/>
                    <w:right w:val="nil"/>
                  </w:tcBorders>
                  <w:noWrap w:val="0"/>
                  <w:vAlign w:val="center"/>
                </w:tcPr>
                <w:p w14:paraId="43C57302">
                  <w:pPr>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标准值</w:t>
                  </w:r>
                </w:p>
              </w:tc>
            </w:tr>
            <w:tr w14:paraId="0E06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9" w:type="pct"/>
                  <w:vMerge w:val="restart"/>
                  <w:tcBorders>
                    <w:top w:val="single" w:color="auto" w:sz="4" w:space="0"/>
                    <w:left w:val="nil"/>
                    <w:bottom w:val="single" w:color="auto" w:sz="4" w:space="0"/>
                    <w:right w:val="single" w:color="auto" w:sz="4" w:space="0"/>
                  </w:tcBorders>
                  <w:noWrap w:val="0"/>
                  <w:vAlign w:val="center"/>
                </w:tcPr>
                <w:p w14:paraId="00D8C774">
                  <w:pPr>
                    <w:autoSpaceDE/>
                    <w:autoSpaceDN/>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zh-CN"/>
                    </w:rPr>
                    <w:t>《建筑施工场界环境噪声排放标准》（GB12523-2011）</w:t>
                  </w:r>
                </w:p>
              </w:tc>
              <w:tc>
                <w:tcPr>
                  <w:tcW w:w="1378" w:type="pct"/>
                  <w:tcBorders>
                    <w:top w:val="single" w:color="auto" w:sz="4" w:space="0"/>
                    <w:left w:val="single" w:color="auto" w:sz="4" w:space="0"/>
                    <w:bottom w:val="single" w:color="auto" w:sz="4" w:space="0"/>
                    <w:right w:val="single" w:color="auto" w:sz="4" w:space="0"/>
                  </w:tcBorders>
                  <w:noWrap w:val="0"/>
                  <w:vAlign w:val="center"/>
                </w:tcPr>
                <w:p w14:paraId="3D56D7C8">
                  <w:pPr>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1382" w:type="pct"/>
                  <w:tcBorders>
                    <w:top w:val="single" w:color="auto" w:sz="4" w:space="0"/>
                    <w:left w:val="single" w:color="auto" w:sz="4" w:space="0"/>
                    <w:bottom w:val="single" w:color="auto" w:sz="4" w:space="0"/>
                    <w:right w:val="nil"/>
                  </w:tcBorders>
                  <w:noWrap w:val="0"/>
                  <w:vAlign w:val="center"/>
                </w:tcPr>
                <w:p w14:paraId="4EDD1461">
                  <w:pPr>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r>
            <w:tr w14:paraId="687F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9" w:type="pct"/>
                  <w:vMerge w:val="continue"/>
                  <w:tcBorders>
                    <w:top w:val="single" w:color="auto" w:sz="4" w:space="0"/>
                    <w:left w:val="nil"/>
                    <w:bottom w:val="single" w:color="auto" w:sz="4" w:space="0"/>
                    <w:right w:val="single" w:color="auto" w:sz="4" w:space="0"/>
                  </w:tcBorders>
                  <w:noWrap w:val="0"/>
                  <w:vAlign w:val="center"/>
                </w:tcPr>
                <w:p w14:paraId="354A8AF6">
                  <w:pPr>
                    <w:autoSpaceDE/>
                    <w:autoSpaceDN/>
                    <w:adjustRightInd/>
                    <w:snapToGrid/>
                    <w:spacing w:line="240" w:lineRule="auto"/>
                    <w:ind w:firstLine="0" w:firstLineChars="0"/>
                    <w:jc w:val="center"/>
                    <w:rPr>
                      <w:rFonts w:hint="default" w:ascii="Times New Roman" w:hAnsi="Times New Roman" w:cs="Times New Roman"/>
                      <w:bCs/>
                      <w:color w:val="auto"/>
                      <w:sz w:val="21"/>
                      <w:szCs w:val="21"/>
                      <w:highlight w:val="none"/>
                    </w:rPr>
                  </w:pPr>
                </w:p>
              </w:tc>
              <w:tc>
                <w:tcPr>
                  <w:tcW w:w="1378" w:type="pct"/>
                  <w:tcBorders>
                    <w:top w:val="single" w:color="auto" w:sz="4" w:space="0"/>
                    <w:left w:val="single" w:color="auto" w:sz="4" w:space="0"/>
                    <w:bottom w:val="single" w:color="auto" w:sz="4" w:space="0"/>
                    <w:right w:val="single" w:color="auto" w:sz="4" w:space="0"/>
                  </w:tcBorders>
                  <w:noWrap w:val="0"/>
                  <w:vAlign w:val="center"/>
                </w:tcPr>
                <w:p w14:paraId="1988892F">
                  <w:pPr>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1382" w:type="pct"/>
                  <w:tcBorders>
                    <w:top w:val="single" w:color="auto" w:sz="4" w:space="0"/>
                    <w:left w:val="single" w:color="auto" w:sz="4" w:space="0"/>
                    <w:bottom w:val="single" w:color="auto" w:sz="4" w:space="0"/>
                    <w:right w:val="nil"/>
                  </w:tcBorders>
                  <w:noWrap w:val="0"/>
                  <w:vAlign w:val="center"/>
                </w:tcPr>
                <w:p w14:paraId="4B8A6998">
                  <w:pPr>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14:paraId="2F70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9" w:type="pct"/>
                  <w:vMerge w:val="restart"/>
                  <w:tcBorders>
                    <w:top w:val="single" w:color="auto" w:sz="4" w:space="0"/>
                    <w:left w:val="nil"/>
                    <w:bottom w:val="single" w:color="auto" w:sz="4" w:space="0"/>
                    <w:right w:val="single" w:color="auto" w:sz="4" w:space="0"/>
                  </w:tcBorders>
                  <w:noWrap w:val="0"/>
                  <w:vAlign w:val="center"/>
                </w:tcPr>
                <w:p w14:paraId="41BA0DB4">
                  <w:pPr>
                    <w:autoSpaceDE/>
                    <w:autoSpaceDN/>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《工业企业厂界环境噪声排放标准》（GB12348-2008）</w:t>
                  </w:r>
                  <w:r>
                    <w:rPr>
                      <w:rFonts w:hint="eastAsia"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类排放标准</w:t>
                  </w:r>
                </w:p>
              </w:tc>
              <w:tc>
                <w:tcPr>
                  <w:tcW w:w="1378" w:type="pct"/>
                  <w:tcBorders>
                    <w:top w:val="single" w:color="auto" w:sz="4" w:space="0"/>
                    <w:left w:val="single" w:color="auto" w:sz="4" w:space="0"/>
                    <w:bottom w:val="single" w:color="auto" w:sz="4" w:space="0"/>
                    <w:right w:val="single" w:color="auto" w:sz="4" w:space="0"/>
                  </w:tcBorders>
                  <w:noWrap w:val="0"/>
                  <w:vAlign w:val="center"/>
                </w:tcPr>
                <w:p w14:paraId="2E046DFD">
                  <w:pPr>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1382" w:type="pct"/>
                  <w:tcBorders>
                    <w:top w:val="single" w:color="auto" w:sz="4" w:space="0"/>
                    <w:left w:val="single" w:color="auto" w:sz="4" w:space="0"/>
                    <w:bottom w:val="single" w:color="auto" w:sz="4" w:space="0"/>
                    <w:right w:val="nil"/>
                  </w:tcBorders>
                  <w:noWrap w:val="0"/>
                  <w:vAlign w:val="center"/>
                </w:tcPr>
                <w:p w14:paraId="69F6BEB9">
                  <w:pPr>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r>
            <w:tr w14:paraId="0A26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9" w:type="pct"/>
                  <w:vMerge w:val="continue"/>
                  <w:tcBorders>
                    <w:top w:val="single" w:color="auto" w:sz="4" w:space="0"/>
                    <w:left w:val="nil"/>
                    <w:bottom w:val="single" w:color="auto" w:sz="12" w:space="0"/>
                    <w:right w:val="single" w:color="auto" w:sz="4" w:space="0"/>
                  </w:tcBorders>
                  <w:noWrap w:val="0"/>
                  <w:vAlign w:val="center"/>
                </w:tcPr>
                <w:p w14:paraId="48A00EB5">
                  <w:pPr>
                    <w:autoSpaceDE/>
                    <w:autoSpaceDN/>
                    <w:adjustRightInd/>
                    <w:snapToGrid/>
                    <w:spacing w:line="240" w:lineRule="auto"/>
                    <w:ind w:firstLine="0" w:firstLineChars="0"/>
                    <w:jc w:val="center"/>
                    <w:rPr>
                      <w:rFonts w:hint="default" w:ascii="Times New Roman" w:hAnsi="Times New Roman" w:cs="Times New Roman"/>
                      <w:color w:val="auto"/>
                      <w:sz w:val="24"/>
                      <w:highlight w:val="none"/>
                    </w:rPr>
                  </w:pPr>
                </w:p>
              </w:tc>
              <w:tc>
                <w:tcPr>
                  <w:tcW w:w="1378" w:type="pct"/>
                  <w:tcBorders>
                    <w:top w:val="single" w:color="auto" w:sz="4" w:space="0"/>
                    <w:left w:val="single" w:color="auto" w:sz="4" w:space="0"/>
                    <w:bottom w:val="single" w:color="auto" w:sz="12" w:space="0"/>
                    <w:right w:val="single" w:color="auto" w:sz="4" w:space="0"/>
                  </w:tcBorders>
                  <w:noWrap w:val="0"/>
                  <w:vAlign w:val="center"/>
                </w:tcPr>
                <w:p w14:paraId="76FA5989">
                  <w:pPr>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1382" w:type="pct"/>
                  <w:tcBorders>
                    <w:top w:val="single" w:color="auto" w:sz="4" w:space="0"/>
                    <w:left w:val="single" w:color="auto" w:sz="4" w:space="0"/>
                    <w:bottom w:val="single" w:color="auto" w:sz="12" w:space="0"/>
                    <w:right w:val="nil"/>
                  </w:tcBorders>
                  <w:noWrap w:val="0"/>
                  <w:vAlign w:val="center"/>
                </w:tcPr>
                <w:p w14:paraId="46CDD184">
                  <w:pPr>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bl>
          <w:p w14:paraId="21867CFE">
            <w:pPr>
              <w:keepNext w:val="0"/>
              <w:keepLines w:val="0"/>
              <w:pageBreakBefore w:val="0"/>
              <w:widowControl w:val="0"/>
              <w:kinsoku/>
              <w:wordWrap/>
              <w:overflowPunct/>
              <w:topLinePunct w:val="0"/>
              <w:autoSpaceDE w:val="0"/>
              <w:autoSpaceDN w:val="0"/>
              <w:bidi w:val="0"/>
              <w:adjustRightInd w:val="0"/>
              <w:snapToGrid w:val="0"/>
              <w:spacing w:before="157" w:beforeLines="50"/>
              <w:ind w:firstLine="482"/>
              <w:textAlignment w:val="auto"/>
              <w:rPr>
                <w:b/>
                <w:bCs/>
                <w:color w:val="auto"/>
                <w:highlight w:val="none"/>
              </w:rPr>
            </w:pPr>
            <w:r>
              <w:rPr>
                <w:rFonts w:hint="eastAsia" w:ascii="黑体" w:hAnsi="黑体" w:eastAsia="黑体" w:cs="黑体"/>
                <w:b/>
                <w:bCs/>
                <w:color w:val="auto"/>
                <w:sz w:val="24"/>
                <w:highlight w:val="none"/>
                <w:lang w:val="en-US" w:eastAsia="zh-CN"/>
              </w:rPr>
              <w:t>4、固体废物</w:t>
            </w:r>
          </w:p>
          <w:p w14:paraId="51657B4D">
            <w:pPr>
              <w:ind w:firstLine="480"/>
              <w:jc w:val="both"/>
              <w:rPr>
                <w:color w:val="auto"/>
                <w:sz w:val="24"/>
                <w:highlight w:val="none"/>
              </w:rPr>
            </w:pPr>
            <w:r>
              <w:rPr>
                <w:rFonts w:hint="eastAsia"/>
                <w:color w:val="auto"/>
                <w:sz w:val="24"/>
                <w:highlight w:val="none"/>
              </w:rPr>
              <w:t>一般工业固体废物暂存按照“防风、防雨、防晒、防渗漏”等四防措施实施</w:t>
            </w:r>
            <w:r>
              <w:rPr>
                <w:color w:val="auto"/>
                <w:sz w:val="24"/>
                <w:highlight w:val="none"/>
              </w:rPr>
              <w:t>；危险废物执行《危险废物贮存污染物控制标准》（GB18579-2023）中的相关要求。</w:t>
            </w:r>
          </w:p>
          <w:p w14:paraId="36640772">
            <w:pPr>
              <w:pStyle w:val="2"/>
              <w:rPr>
                <w:color w:val="auto"/>
                <w:highlight w:val="none"/>
              </w:rPr>
            </w:pPr>
          </w:p>
          <w:p w14:paraId="591D429E">
            <w:pPr>
              <w:pStyle w:val="2"/>
              <w:rPr>
                <w:color w:val="auto"/>
                <w:highlight w:val="none"/>
              </w:rPr>
            </w:pPr>
          </w:p>
          <w:p w14:paraId="1B173398">
            <w:pPr>
              <w:pStyle w:val="2"/>
              <w:rPr>
                <w:color w:val="auto"/>
                <w:highlight w:val="none"/>
              </w:rPr>
            </w:pPr>
          </w:p>
          <w:p w14:paraId="56BA03F4">
            <w:pPr>
              <w:pStyle w:val="2"/>
              <w:rPr>
                <w:color w:val="auto"/>
                <w:highlight w:val="none"/>
              </w:rPr>
            </w:pPr>
          </w:p>
          <w:p w14:paraId="7D1D5B70">
            <w:pPr>
              <w:pStyle w:val="2"/>
              <w:rPr>
                <w:color w:val="auto"/>
                <w:highlight w:val="none"/>
              </w:rPr>
            </w:pPr>
          </w:p>
          <w:p w14:paraId="412DCDEF">
            <w:pPr>
              <w:pStyle w:val="2"/>
              <w:rPr>
                <w:color w:val="auto"/>
                <w:highlight w:val="none"/>
              </w:rPr>
            </w:pPr>
          </w:p>
          <w:p w14:paraId="0CA78F2E">
            <w:pPr>
              <w:pStyle w:val="2"/>
              <w:rPr>
                <w:color w:val="auto"/>
                <w:highlight w:val="none"/>
              </w:rPr>
            </w:pPr>
          </w:p>
        </w:tc>
      </w:tr>
      <w:tr w14:paraId="2EC49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8" w:hRule="atLeast"/>
          <w:jc w:val="center"/>
        </w:trPr>
        <w:tc>
          <w:tcPr>
            <w:tcW w:w="456" w:type="dxa"/>
            <w:vAlign w:val="center"/>
          </w:tcPr>
          <w:p w14:paraId="6ADCB9AC">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总量控制指标</w:t>
            </w:r>
          </w:p>
        </w:tc>
        <w:tc>
          <w:tcPr>
            <w:tcW w:w="9411" w:type="dxa"/>
            <w:gridSpan w:val="2"/>
          </w:tcPr>
          <w:p w14:paraId="7267AA29">
            <w:pPr>
              <w:autoSpaceDE/>
              <w:autoSpaceDN/>
              <w:adjustRightInd w:val="0"/>
              <w:snapToGrid w:val="0"/>
              <w:spacing w:line="360" w:lineRule="auto"/>
              <w:ind w:firstLine="482" w:firstLineChars="200"/>
              <w:rPr>
                <w:rFonts w:hint="eastAsia" w:ascii="黑体" w:hAnsi="黑体" w:eastAsia="黑体" w:cs="黑体"/>
                <w:b/>
                <w:bCs/>
                <w:color w:val="auto"/>
                <w:kern w:val="0"/>
                <w:sz w:val="24"/>
                <w:highlight w:val="none"/>
                <w:lang w:val="fr-FR"/>
              </w:rPr>
            </w:pPr>
            <w:r>
              <w:rPr>
                <w:rFonts w:hint="eastAsia" w:ascii="黑体" w:hAnsi="黑体" w:eastAsia="黑体" w:cs="黑体"/>
                <w:b/>
                <w:bCs/>
                <w:color w:val="auto"/>
                <w:kern w:val="0"/>
                <w:sz w:val="24"/>
                <w:highlight w:val="none"/>
                <w:lang w:val="fr-FR"/>
              </w:rPr>
              <w:t>1、废水</w:t>
            </w:r>
          </w:p>
          <w:p w14:paraId="4EF2F9F2">
            <w:pPr>
              <w:autoSpaceDE/>
              <w:autoSpaceDN/>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项目营运期</w:t>
            </w:r>
            <w:r>
              <w:rPr>
                <w:rFonts w:hint="eastAsia" w:cs="Times New Roman"/>
                <w:color w:val="auto"/>
                <w:kern w:val="0"/>
                <w:sz w:val="24"/>
                <w:highlight w:val="none"/>
                <w:lang w:val="en-US" w:eastAsia="zh-CN"/>
              </w:rPr>
              <w:t>主要产生生活污水、原料清洗废水、设备清洗废水、漂烫废水、</w:t>
            </w:r>
            <w:r>
              <w:rPr>
                <w:rFonts w:hint="eastAsia"/>
                <w:color w:val="auto"/>
                <w:highlight w:val="none"/>
                <w:lang w:val="en-US" w:eastAsia="zh-CN"/>
              </w:rPr>
              <w:t>猪肉解冻废水、空罐及实罐清洗废水、</w:t>
            </w:r>
            <w:r>
              <w:rPr>
                <w:rFonts w:hint="eastAsia" w:cs="Times New Roman"/>
                <w:color w:val="auto"/>
                <w:kern w:val="0"/>
                <w:sz w:val="24"/>
                <w:highlight w:val="none"/>
                <w:lang w:val="en-US" w:eastAsia="zh-CN"/>
              </w:rPr>
              <w:t>蒸汽发生器废水、地面清洁废水、实验器皿清洗废水。生活污水拟经预处理池（5m</w:t>
            </w:r>
            <w:r>
              <w:rPr>
                <w:rFonts w:hint="eastAsia" w:cs="Times New Roman"/>
                <w:color w:val="auto"/>
                <w:kern w:val="0"/>
                <w:sz w:val="24"/>
                <w:highlight w:val="none"/>
                <w:vertAlign w:val="superscript"/>
                <w:lang w:val="en-US" w:eastAsia="zh-CN"/>
              </w:rPr>
              <w:t>3</w:t>
            </w:r>
            <w:r>
              <w:rPr>
                <w:rFonts w:hint="eastAsia" w:cs="Times New Roman"/>
                <w:color w:val="auto"/>
                <w:kern w:val="0"/>
                <w:sz w:val="24"/>
                <w:highlight w:val="none"/>
                <w:lang w:val="en-US" w:eastAsia="zh-CN"/>
              </w:rPr>
              <w:t>）处理，生产废水拟经过本项目新建污水处理池（60m</w:t>
            </w:r>
            <w:r>
              <w:rPr>
                <w:rFonts w:hint="eastAsia" w:cs="Times New Roman"/>
                <w:color w:val="auto"/>
                <w:kern w:val="0"/>
                <w:sz w:val="24"/>
                <w:highlight w:val="none"/>
                <w:vertAlign w:val="superscript"/>
                <w:lang w:val="en-US" w:eastAsia="zh-CN"/>
              </w:rPr>
              <w:t>3</w:t>
            </w:r>
            <w:r>
              <w:rPr>
                <w:rFonts w:hint="eastAsia"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处理</w:t>
            </w:r>
            <w:r>
              <w:rPr>
                <w:rFonts w:hint="eastAsia" w:cs="Times New Roman"/>
                <w:color w:val="auto"/>
                <w:kern w:val="0"/>
                <w:sz w:val="24"/>
                <w:highlight w:val="none"/>
                <w:lang w:val="en-US" w:eastAsia="zh-CN"/>
              </w:rPr>
              <w:t>，处理</w:t>
            </w:r>
            <w:r>
              <w:rPr>
                <w:rFonts w:hint="eastAsia" w:ascii="Times New Roman" w:hAnsi="Times New Roman" w:cs="Times New Roman"/>
                <w:color w:val="auto"/>
                <w:kern w:val="0"/>
                <w:sz w:val="24"/>
                <w:highlight w:val="none"/>
                <w:lang w:val="en-US" w:eastAsia="zh-CN"/>
              </w:rPr>
              <w:t>达到《污水综合排放标准》（GB8978-1996）三级标准后经污水管网排至</w:t>
            </w:r>
            <w:r>
              <w:rPr>
                <w:rFonts w:hint="eastAsia" w:cs="Times New Roman"/>
                <w:color w:val="auto"/>
                <w:kern w:val="0"/>
                <w:sz w:val="24"/>
                <w:highlight w:val="none"/>
                <w:lang w:val="en-US" w:eastAsia="zh-CN"/>
              </w:rPr>
              <w:t>龙眼井污水处理厂</w:t>
            </w:r>
            <w:r>
              <w:rPr>
                <w:rFonts w:hint="eastAsia" w:ascii="Times New Roman" w:hAnsi="Times New Roman" w:cs="Times New Roman"/>
                <w:color w:val="auto"/>
                <w:kern w:val="0"/>
                <w:sz w:val="24"/>
                <w:highlight w:val="none"/>
                <w:lang w:val="en-US" w:eastAsia="zh-CN"/>
              </w:rPr>
              <w:t>处理，</w:t>
            </w:r>
            <w:r>
              <w:rPr>
                <w:rFonts w:hint="default" w:ascii="Times New Roman" w:hAnsi="Times New Roman" w:cs="Times New Roman"/>
                <w:color w:val="auto"/>
                <w:highlight w:val="none"/>
                <w:lang w:val="en-US" w:eastAsia="zh-CN"/>
              </w:rPr>
              <w:t>处理达到《城镇污水处理厂污染物排放标准》（GB18918-2002）中一级A标准后排入</w:t>
            </w:r>
            <w:r>
              <w:rPr>
                <w:rFonts w:hint="eastAsia" w:cs="Times New Roman"/>
                <w:color w:val="auto"/>
                <w:highlight w:val="none"/>
                <w:lang w:val="en-US" w:eastAsia="zh-CN"/>
              </w:rPr>
              <w:t>琼江</w:t>
            </w:r>
            <w:r>
              <w:rPr>
                <w:rFonts w:hint="default" w:ascii="Times New Roman" w:hAnsi="Times New Roman" w:cs="Times New Roman"/>
                <w:color w:val="auto"/>
                <w:kern w:val="0"/>
                <w:sz w:val="24"/>
                <w:highlight w:val="none"/>
              </w:rPr>
              <w:t>。</w:t>
            </w:r>
          </w:p>
          <w:p w14:paraId="7561B673">
            <w:pPr>
              <w:widowControl w:val="0"/>
              <w:bidi w:val="0"/>
              <w:spacing w:line="360" w:lineRule="auto"/>
              <w:ind w:firstLine="480" w:firstLineChars="200"/>
              <w:jc w:val="both"/>
              <w:rPr>
                <w:rFonts w:hint="default" w:ascii="Times New Roman" w:hAnsi="Times New Roman" w:eastAsia="宋体" w:cs="Times New Roman"/>
                <w:color w:val="auto"/>
                <w:kern w:val="2"/>
                <w:sz w:val="24"/>
                <w:szCs w:val="24"/>
                <w:highlight w:val="none"/>
                <w:lang w:val="fr-FR" w:eastAsia="zh-CN" w:bidi="ar-SA"/>
              </w:rPr>
            </w:pPr>
            <w:r>
              <w:rPr>
                <w:rFonts w:hint="default" w:ascii="Times New Roman" w:hAnsi="Times New Roman" w:eastAsia="宋体" w:cs="Times New Roman"/>
                <w:color w:val="auto"/>
                <w:kern w:val="2"/>
                <w:sz w:val="24"/>
                <w:szCs w:val="24"/>
                <w:highlight w:val="none"/>
                <w:lang w:val="fr-FR" w:eastAsia="zh-CN" w:bidi="ar-SA"/>
              </w:rPr>
              <w:t>根据计算，</w:t>
            </w:r>
            <w:r>
              <w:rPr>
                <w:rFonts w:hint="default" w:ascii="Times New Roman" w:hAnsi="Times New Roman" w:eastAsia="宋体" w:cs="Times New Roman"/>
                <w:color w:val="auto"/>
                <w:kern w:val="2"/>
                <w:sz w:val="24"/>
                <w:szCs w:val="24"/>
                <w:highlight w:val="none"/>
                <w:lang w:val="en-US" w:eastAsia="zh-CN" w:bidi="ar-SA"/>
              </w:rPr>
              <w:t>项目</w:t>
            </w:r>
            <w:r>
              <w:rPr>
                <w:rFonts w:hint="default" w:ascii="Times New Roman" w:hAnsi="Times New Roman" w:eastAsia="宋体" w:cs="Times New Roman"/>
                <w:color w:val="auto"/>
                <w:kern w:val="2"/>
                <w:sz w:val="24"/>
                <w:szCs w:val="24"/>
                <w:highlight w:val="none"/>
                <w:lang w:val="fr-FR" w:eastAsia="zh-CN" w:bidi="ar-SA"/>
              </w:rPr>
              <w:t>运营期</w:t>
            </w:r>
            <w:r>
              <w:rPr>
                <w:rFonts w:hint="default" w:ascii="Times New Roman" w:hAnsi="Times New Roman" w:eastAsia="宋体" w:cs="Times New Roman"/>
                <w:color w:val="auto"/>
                <w:kern w:val="2"/>
                <w:sz w:val="24"/>
                <w:szCs w:val="24"/>
                <w:highlight w:val="none"/>
                <w:lang w:val="en-US" w:eastAsia="zh-CN" w:bidi="ar-SA"/>
              </w:rPr>
              <w:t>废水排放量为</w:t>
            </w:r>
            <w:r>
              <w:rPr>
                <w:rFonts w:hint="eastAsia" w:cs="Times New Roman"/>
                <w:color w:val="auto"/>
                <w:kern w:val="2"/>
                <w:sz w:val="24"/>
                <w:szCs w:val="24"/>
                <w:highlight w:val="none"/>
                <w:lang w:val="en-US" w:eastAsia="zh-CN" w:bidi="ar-SA"/>
              </w:rPr>
              <w:t>14271.0</w:t>
            </w:r>
            <w:r>
              <w:rPr>
                <w:rFonts w:hint="default" w:ascii="Times New Roman" w:hAnsi="Times New Roman" w:eastAsia="宋体" w:cs="Times New Roman"/>
                <w:color w:val="auto"/>
                <w:kern w:val="2"/>
                <w:sz w:val="24"/>
                <w:szCs w:val="24"/>
                <w:highlight w:val="none"/>
                <w:lang w:val="fr-FR" w:eastAsia="zh-CN" w:bidi="ar-SA"/>
              </w:rPr>
              <w:t>m</w:t>
            </w:r>
            <w:r>
              <w:rPr>
                <w:rFonts w:hint="default" w:ascii="Times New Roman" w:hAnsi="Times New Roman" w:eastAsia="宋体" w:cs="Times New Roman"/>
                <w:color w:val="auto"/>
                <w:kern w:val="2"/>
                <w:sz w:val="24"/>
                <w:szCs w:val="24"/>
                <w:highlight w:val="none"/>
                <w:vertAlign w:val="superscript"/>
                <w:lang w:val="fr-FR" w:eastAsia="zh-CN" w:bidi="ar-SA"/>
              </w:rPr>
              <w:t>3</w:t>
            </w:r>
            <w:r>
              <w:rPr>
                <w:rFonts w:hint="default" w:ascii="Times New Roman" w:hAnsi="Times New Roman" w:eastAsia="宋体" w:cs="Times New Roman"/>
                <w:color w:val="auto"/>
                <w:kern w:val="2"/>
                <w:sz w:val="24"/>
                <w:szCs w:val="24"/>
                <w:highlight w:val="none"/>
                <w:lang w:val="fr-FR" w:eastAsia="zh-CN" w:bidi="ar-SA"/>
              </w:rPr>
              <w:t>/a</w:t>
            </w:r>
            <w:r>
              <w:rPr>
                <w:rFonts w:hint="eastAsia" w:ascii="Times New Roman" w:hAnsi="Times New Roman" w:eastAsia="宋体" w:cs="Times New Roman"/>
                <w:color w:val="auto"/>
                <w:kern w:val="2"/>
                <w:sz w:val="24"/>
                <w:szCs w:val="24"/>
                <w:highlight w:val="none"/>
                <w:lang w:val="fr-FR" w:eastAsia="zh-CN" w:bidi="ar-SA"/>
              </w:rPr>
              <w:t>，</w:t>
            </w:r>
            <w:r>
              <w:rPr>
                <w:rFonts w:hint="default" w:ascii="Times New Roman" w:hAnsi="Times New Roman" w:eastAsia="宋体" w:cs="Times New Roman"/>
                <w:color w:val="auto"/>
                <w:kern w:val="2"/>
                <w:sz w:val="24"/>
                <w:szCs w:val="24"/>
                <w:highlight w:val="none"/>
                <w:lang w:val="fr-FR" w:eastAsia="zh-CN" w:bidi="ar-SA"/>
              </w:rPr>
              <w:t>项目水污染物总量控制指标分析如下：</w:t>
            </w:r>
          </w:p>
          <w:p w14:paraId="4BEE0F46">
            <w:pPr>
              <w:autoSpaceDE/>
              <w:autoSpaceDN/>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厂区</w:t>
            </w:r>
            <w:r>
              <w:rPr>
                <w:rFonts w:hint="eastAsia" w:ascii="Times New Roman" w:hAnsi="Times New Roman" w:cs="Times New Roman"/>
                <w:color w:val="auto"/>
                <w:kern w:val="0"/>
                <w:sz w:val="24"/>
                <w:highlight w:val="none"/>
                <w:lang w:val="en-US" w:eastAsia="zh-CN"/>
              </w:rPr>
              <w:t>排口：</w:t>
            </w:r>
          </w:p>
          <w:p w14:paraId="4229950F">
            <w:pPr>
              <w:autoSpaceDE/>
              <w:autoSpaceDN/>
              <w:adjustRightInd w:val="0"/>
              <w:snapToGrid w:val="0"/>
              <w:spacing w:line="360" w:lineRule="auto"/>
              <w:ind w:firstLine="480" w:firstLineChars="200"/>
              <w:rPr>
                <w:rFonts w:hint="default" w:ascii="Times New Roman" w:hAnsi="Times New Roman" w:cs="Times New Roman"/>
                <w:color w:val="auto"/>
                <w:kern w:val="0"/>
                <w:sz w:val="24"/>
                <w:highlight w:val="none"/>
                <w:lang w:val="fr-FR"/>
              </w:rPr>
            </w:pPr>
            <w:r>
              <w:rPr>
                <w:rFonts w:hint="default" w:ascii="Times New Roman" w:hAnsi="Times New Roman" w:cs="Times New Roman"/>
                <w:color w:val="auto"/>
                <w:kern w:val="0"/>
                <w:sz w:val="24"/>
                <w:highlight w:val="none"/>
                <w:lang w:val="fr-FR"/>
              </w:rPr>
              <w:t>COD</w:t>
            </w:r>
            <w:r>
              <w:rPr>
                <w:rFonts w:hint="default" w:ascii="Times New Roman" w:hAnsi="Times New Roman" w:cs="Times New Roman"/>
                <w:color w:val="auto"/>
                <w:kern w:val="0"/>
                <w:sz w:val="24"/>
                <w:highlight w:val="none"/>
                <w:vertAlign w:val="subscript"/>
                <w:lang w:val="fr-FR"/>
              </w:rPr>
              <w:t>Cr</w:t>
            </w:r>
            <w:r>
              <w:rPr>
                <w:rFonts w:hint="default" w:ascii="Times New Roman" w:hAnsi="Times New Roman" w:cs="Times New Roman"/>
                <w:color w:val="auto"/>
                <w:kern w:val="0"/>
                <w:sz w:val="24"/>
                <w:highlight w:val="none"/>
                <w:lang w:val="fr-FR"/>
              </w:rPr>
              <w:t>=</w:t>
            </w:r>
            <w:r>
              <w:rPr>
                <w:rFonts w:hint="eastAsia" w:cs="Times New Roman"/>
                <w:color w:val="auto"/>
                <w:kern w:val="2"/>
                <w:sz w:val="24"/>
                <w:szCs w:val="24"/>
                <w:highlight w:val="none"/>
                <w:lang w:val="en-US" w:eastAsia="zh-CN" w:bidi="ar-SA"/>
              </w:rPr>
              <w:t>14271.0</w:t>
            </w:r>
            <w:r>
              <w:rPr>
                <w:rFonts w:hint="default" w:ascii="Times New Roman" w:hAnsi="Times New Roman" w:cs="Times New Roman"/>
                <w:color w:val="auto"/>
                <w:kern w:val="0"/>
                <w:sz w:val="24"/>
                <w:highlight w:val="none"/>
                <w:lang w:val="fr-FR"/>
              </w:rPr>
              <w:t>m</w:t>
            </w:r>
            <w:r>
              <w:rPr>
                <w:rFonts w:hint="default" w:ascii="Times New Roman" w:hAnsi="Times New Roman" w:cs="Times New Roman"/>
                <w:color w:val="auto"/>
                <w:kern w:val="0"/>
                <w:sz w:val="24"/>
                <w:highlight w:val="none"/>
                <w:vertAlign w:val="superscript"/>
                <w:lang w:val="fr-FR"/>
              </w:rPr>
              <w:t>3</w:t>
            </w:r>
            <w:r>
              <w:rPr>
                <w:rFonts w:hint="default" w:ascii="Times New Roman" w:hAnsi="Times New Roman" w:cs="Times New Roman"/>
                <w:color w:val="auto"/>
                <w:kern w:val="0"/>
                <w:sz w:val="24"/>
                <w:highlight w:val="none"/>
                <w:lang w:val="fr-FR"/>
              </w:rPr>
              <w:t>/a×</w:t>
            </w:r>
            <w:r>
              <w:rPr>
                <w:rFonts w:hint="eastAsia" w:cs="Times New Roman"/>
                <w:color w:val="auto"/>
                <w:kern w:val="0"/>
                <w:sz w:val="24"/>
                <w:highlight w:val="none"/>
                <w:lang w:val="en-US" w:eastAsia="zh-CN"/>
              </w:rPr>
              <w:t>500</w:t>
            </w:r>
            <w:r>
              <w:rPr>
                <w:rFonts w:hint="default" w:ascii="Times New Roman" w:hAnsi="Times New Roman" w:cs="Times New Roman"/>
                <w:color w:val="auto"/>
                <w:kern w:val="0"/>
                <w:sz w:val="24"/>
                <w:highlight w:val="none"/>
                <w:lang w:val="fr-FR"/>
              </w:rPr>
              <w:t>mg/L=</w:t>
            </w:r>
            <w:r>
              <w:rPr>
                <w:rFonts w:hint="eastAsia" w:cs="Times New Roman"/>
                <w:color w:val="auto"/>
                <w:kern w:val="0"/>
                <w:sz w:val="24"/>
                <w:highlight w:val="none"/>
                <w:lang w:val="en-US" w:eastAsia="zh-CN"/>
              </w:rPr>
              <w:t>7.136</w:t>
            </w:r>
            <w:r>
              <w:rPr>
                <w:rFonts w:hint="default" w:ascii="Times New Roman" w:hAnsi="Times New Roman" w:cs="Times New Roman"/>
                <w:color w:val="auto"/>
                <w:kern w:val="0"/>
                <w:sz w:val="24"/>
                <w:highlight w:val="none"/>
              </w:rPr>
              <w:t>t/a；</w:t>
            </w:r>
          </w:p>
          <w:p w14:paraId="48451BDA">
            <w:pPr>
              <w:widowControl/>
              <w:autoSpaceDE/>
              <w:autoSpaceDN/>
              <w:adjustRightInd w:val="0"/>
              <w:snapToGrid/>
              <w:spacing w:line="360" w:lineRule="auto"/>
              <w:ind w:firstLine="480" w:firstLineChars="200"/>
              <w:rPr>
                <w:rFonts w:hint="eastAsia" w:cs="Times New Roman"/>
                <w:color w:val="auto"/>
                <w:kern w:val="0"/>
                <w:sz w:val="24"/>
                <w:highlight w:val="none"/>
                <w:lang w:eastAsia="zh-CN"/>
              </w:rPr>
            </w:pPr>
            <w:r>
              <w:rPr>
                <w:rFonts w:hint="default" w:ascii="Times New Roman" w:hAnsi="Times New Roman" w:cs="Times New Roman"/>
                <w:color w:val="auto"/>
                <w:kern w:val="0"/>
                <w:sz w:val="24"/>
                <w:highlight w:val="none"/>
              </w:rPr>
              <w:t>NH</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-N=</w:t>
            </w:r>
            <w:r>
              <w:rPr>
                <w:rFonts w:hint="eastAsia" w:cs="Times New Roman"/>
                <w:color w:val="auto"/>
                <w:kern w:val="2"/>
                <w:sz w:val="24"/>
                <w:szCs w:val="24"/>
                <w:highlight w:val="none"/>
                <w:lang w:val="en-US" w:eastAsia="zh-CN" w:bidi="ar-SA"/>
              </w:rPr>
              <w:t>14271.0</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/a×</w:t>
            </w:r>
            <w:r>
              <w:rPr>
                <w:rFonts w:hint="eastAsia" w:cs="Times New Roman"/>
                <w:color w:val="auto"/>
                <w:kern w:val="0"/>
                <w:sz w:val="24"/>
                <w:highlight w:val="none"/>
                <w:lang w:val="en-US" w:eastAsia="zh-CN"/>
              </w:rPr>
              <w:t>45</w:t>
            </w:r>
            <w:r>
              <w:rPr>
                <w:rFonts w:hint="default" w:ascii="Times New Roman" w:hAnsi="Times New Roman" w:cs="Times New Roman"/>
                <w:color w:val="auto"/>
                <w:kern w:val="0"/>
                <w:sz w:val="24"/>
                <w:highlight w:val="none"/>
              </w:rPr>
              <w:t>mg/L=</w:t>
            </w:r>
            <w:r>
              <w:rPr>
                <w:rFonts w:hint="eastAsia" w:cs="Times New Roman"/>
                <w:color w:val="auto"/>
                <w:kern w:val="0"/>
                <w:sz w:val="24"/>
                <w:highlight w:val="none"/>
                <w:lang w:val="en-US" w:eastAsia="zh-CN"/>
              </w:rPr>
              <w:t>0.642</w:t>
            </w:r>
            <w:r>
              <w:rPr>
                <w:rFonts w:hint="default" w:ascii="Times New Roman" w:hAnsi="Times New Roman" w:cs="Times New Roman"/>
                <w:color w:val="auto"/>
                <w:kern w:val="0"/>
                <w:sz w:val="24"/>
                <w:highlight w:val="none"/>
              </w:rPr>
              <w:t>t/a</w:t>
            </w:r>
            <w:r>
              <w:rPr>
                <w:rFonts w:hint="eastAsia" w:cs="Times New Roman"/>
                <w:color w:val="auto"/>
                <w:kern w:val="0"/>
                <w:sz w:val="24"/>
                <w:highlight w:val="none"/>
                <w:lang w:eastAsia="zh-CN"/>
              </w:rPr>
              <w:t>；</w:t>
            </w:r>
          </w:p>
          <w:p w14:paraId="2817BAF8">
            <w:pPr>
              <w:widowControl/>
              <w:autoSpaceDE/>
              <w:autoSpaceDN/>
              <w:adjustRightInd w:val="0"/>
              <w:snapToGrid/>
              <w:spacing w:line="360" w:lineRule="auto"/>
              <w:ind w:firstLine="480" w:firstLineChars="200"/>
              <w:rPr>
                <w:rFonts w:hint="eastAsia" w:eastAsia="宋体" w:cs="Times New Roman"/>
                <w:color w:val="auto"/>
                <w:kern w:val="0"/>
                <w:sz w:val="24"/>
                <w:highlight w:val="none"/>
                <w:lang w:val="en-US" w:eastAsia="zh-CN"/>
              </w:rPr>
            </w:pPr>
            <w:r>
              <w:rPr>
                <w:rFonts w:hint="eastAsia" w:cs="Times New Roman"/>
                <w:color w:val="auto"/>
                <w:kern w:val="0"/>
                <w:sz w:val="24"/>
                <w:highlight w:val="none"/>
                <w:lang w:val="en-US" w:eastAsia="zh-CN"/>
              </w:rPr>
              <w:t>TP=</w:t>
            </w:r>
            <w:r>
              <w:rPr>
                <w:rFonts w:hint="eastAsia" w:cs="Times New Roman"/>
                <w:color w:val="auto"/>
                <w:kern w:val="2"/>
                <w:sz w:val="24"/>
                <w:szCs w:val="24"/>
                <w:highlight w:val="none"/>
                <w:lang w:val="en-US" w:eastAsia="zh-CN" w:bidi="ar-SA"/>
              </w:rPr>
              <w:t>14271.0</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/a×</w:t>
            </w:r>
            <w:r>
              <w:rPr>
                <w:rFonts w:hint="eastAsia"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mg/L=</w:t>
            </w:r>
            <w:r>
              <w:rPr>
                <w:rFonts w:hint="eastAsia" w:cs="Times New Roman"/>
                <w:color w:val="auto"/>
                <w:kern w:val="0"/>
                <w:sz w:val="24"/>
                <w:highlight w:val="none"/>
                <w:lang w:val="en-US" w:eastAsia="zh-CN"/>
              </w:rPr>
              <w:t>0.114</w:t>
            </w:r>
            <w:r>
              <w:rPr>
                <w:rFonts w:hint="default" w:ascii="Times New Roman" w:hAnsi="Times New Roman" w:cs="Times New Roman"/>
                <w:color w:val="auto"/>
                <w:kern w:val="0"/>
                <w:sz w:val="24"/>
                <w:highlight w:val="none"/>
              </w:rPr>
              <w:t>t/a</w:t>
            </w:r>
            <w:r>
              <w:rPr>
                <w:rFonts w:hint="eastAsia" w:cs="Times New Roman"/>
                <w:color w:val="auto"/>
                <w:kern w:val="0"/>
                <w:sz w:val="24"/>
                <w:highlight w:val="none"/>
                <w:lang w:eastAsia="zh-CN"/>
              </w:rPr>
              <w:t>。</w:t>
            </w:r>
          </w:p>
          <w:p w14:paraId="4A3A7DA0">
            <w:pPr>
              <w:widowControl/>
              <w:autoSpaceDE/>
              <w:autoSpaceDN/>
              <w:adjustRightInd w:val="0"/>
              <w:snapToGrid/>
              <w:spacing w:line="360" w:lineRule="auto"/>
              <w:ind w:firstLine="480" w:firstLineChars="200"/>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龙眼井污水处理厂排口：</w:t>
            </w:r>
          </w:p>
          <w:p w14:paraId="64CFB897">
            <w:pPr>
              <w:autoSpaceDE/>
              <w:autoSpaceDN/>
              <w:adjustRightInd w:val="0"/>
              <w:snapToGrid w:val="0"/>
              <w:spacing w:line="360" w:lineRule="auto"/>
              <w:ind w:firstLine="480" w:firstLineChars="200"/>
              <w:rPr>
                <w:rFonts w:hint="default" w:ascii="Times New Roman" w:hAnsi="Times New Roman" w:cs="Times New Roman"/>
                <w:color w:val="auto"/>
                <w:kern w:val="0"/>
                <w:sz w:val="24"/>
                <w:highlight w:val="none"/>
                <w:lang w:val="fr-FR"/>
              </w:rPr>
            </w:pPr>
            <w:r>
              <w:rPr>
                <w:rFonts w:hint="default" w:ascii="Times New Roman" w:hAnsi="Times New Roman" w:cs="Times New Roman"/>
                <w:color w:val="auto"/>
                <w:kern w:val="0"/>
                <w:sz w:val="24"/>
                <w:highlight w:val="none"/>
                <w:lang w:val="fr-FR"/>
              </w:rPr>
              <w:t>COD</w:t>
            </w:r>
            <w:r>
              <w:rPr>
                <w:rFonts w:hint="default" w:ascii="Times New Roman" w:hAnsi="Times New Roman" w:cs="Times New Roman"/>
                <w:color w:val="auto"/>
                <w:kern w:val="0"/>
                <w:sz w:val="24"/>
                <w:highlight w:val="none"/>
                <w:vertAlign w:val="subscript"/>
                <w:lang w:val="fr-FR"/>
              </w:rPr>
              <w:t>Cr</w:t>
            </w:r>
            <w:r>
              <w:rPr>
                <w:rFonts w:hint="default" w:ascii="Times New Roman" w:hAnsi="Times New Roman" w:cs="Times New Roman"/>
                <w:color w:val="auto"/>
                <w:kern w:val="0"/>
                <w:sz w:val="24"/>
                <w:highlight w:val="none"/>
                <w:lang w:val="fr-FR"/>
              </w:rPr>
              <w:t>=</w:t>
            </w:r>
            <w:r>
              <w:rPr>
                <w:rFonts w:hint="eastAsia" w:cs="Times New Roman"/>
                <w:color w:val="auto"/>
                <w:kern w:val="2"/>
                <w:sz w:val="24"/>
                <w:szCs w:val="24"/>
                <w:highlight w:val="none"/>
                <w:lang w:val="en-US" w:eastAsia="zh-CN" w:bidi="ar-SA"/>
              </w:rPr>
              <w:t>14271.0</w:t>
            </w:r>
            <w:r>
              <w:rPr>
                <w:rFonts w:hint="default" w:ascii="Times New Roman" w:hAnsi="Times New Roman" w:cs="Times New Roman"/>
                <w:color w:val="auto"/>
                <w:kern w:val="0"/>
                <w:sz w:val="24"/>
                <w:highlight w:val="none"/>
                <w:lang w:val="fr-FR"/>
              </w:rPr>
              <w:t>m</w:t>
            </w:r>
            <w:r>
              <w:rPr>
                <w:rFonts w:hint="default" w:ascii="Times New Roman" w:hAnsi="Times New Roman" w:cs="Times New Roman"/>
                <w:color w:val="auto"/>
                <w:kern w:val="0"/>
                <w:sz w:val="24"/>
                <w:highlight w:val="none"/>
                <w:vertAlign w:val="superscript"/>
                <w:lang w:val="fr-FR"/>
              </w:rPr>
              <w:t>3</w:t>
            </w:r>
            <w:r>
              <w:rPr>
                <w:rFonts w:hint="default" w:ascii="Times New Roman" w:hAnsi="Times New Roman" w:cs="Times New Roman"/>
                <w:color w:val="auto"/>
                <w:kern w:val="0"/>
                <w:sz w:val="24"/>
                <w:highlight w:val="none"/>
                <w:lang w:val="fr-FR"/>
              </w:rPr>
              <w:t>/a×</w:t>
            </w:r>
            <w:r>
              <w:rPr>
                <w:rFonts w:hint="eastAsia" w:cs="Times New Roman"/>
                <w:color w:val="auto"/>
                <w:kern w:val="0"/>
                <w:sz w:val="24"/>
                <w:highlight w:val="none"/>
                <w:lang w:val="en-US" w:eastAsia="zh-CN"/>
              </w:rPr>
              <w:t>5</w:t>
            </w:r>
            <w:r>
              <w:rPr>
                <w:rFonts w:hint="eastAsia" w:ascii="Times New Roman" w:hAnsi="Times New Roman" w:cs="Times New Roman"/>
                <w:color w:val="auto"/>
                <w:kern w:val="0"/>
                <w:sz w:val="24"/>
                <w:highlight w:val="none"/>
                <w:lang w:val="en-US" w:eastAsia="zh-CN"/>
              </w:rPr>
              <w:t>0</w:t>
            </w:r>
            <w:r>
              <w:rPr>
                <w:rFonts w:hint="default" w:ascii="Times New Roman" w:hAnsi="Times New Roman" w:cs="Times New Roman"/>
                <w:color w:val="auto"/>
                <w:kern w:val="0"/>
                <w:sz w:val="24"/>
                <w:highlight w:val="none"/>
                <w:lang w:val="fr-FR"/>
              </w:rPr>
              <w:t>mg/L=</w:t>
            </w:r>
            <w:r>
              <w:rPr>
                <w:rFonts w:hint="eastAsia" w:cs="Times New Roman"/>
                <w:color w:val="auto"/>
                <w:kern w:val="0"/>
                <w:sz w:val="24"/>
                <w:highlight w:val="none"/>
                <w:lang w:val="en-US" w:eastAsia="zh-CN"/>
              </w:rPr>
              <w:t>0.714</w:t>
            </w:r>
            <w:r>
              <w:rPr>
                <w:rFonts w:hint="default" w:ascii="Times New Roman" w:hAnsi="Times New Roman" w:cs="Times New Roman"/>
                <w:color w:val="auto"/>
                <w:kern w:val="0"/>
                <w:sz w:val="24"/>
                <w:highlight w:val="none"/>
              </w:rPr>
              <w:t>t/a；</w:t>
            </w:r>
          </w:p>
          <w:p w14:paraId="14C9D8E2">
            <w:pPr>
              <w:widowControl/>
              <w:autoSpaceDE/>
              <w:autoSpaceDN/>
              <w:adjustRightInd w:val="0"/>
              <w:snapToGrid/>
              <w:spacing w:line="360" w:lineRule="auto"/>
              <w:ind w:firstLine="480" w:firstLineChars="200"/>
              <w:rPr>
                <w:rFonts w:hint="eastAsia" w:cs="Times New Roman"/>
                <w:color w:val="auto"/>
                <w:kern w:val="0"/>
                <w:sz w:val="24"/>
                <w:highlight w:val="none"/>
                <w:lang w:eastAsia="zh-CN"/>
              </w:rPr>
            </w:pPr>
            <w:r>
              <w:rPr>
                <w:rFonts w:hint="default" w:ascii="Times New Roman" w:hAnsi="Times New Roman" w:cs="Times New Roman"/>
                <w:color w:val="auto"/>
                <w:kern w:val="0"/>
                <w:sz w:val="24"/>
                <w:highlight w:val="none"/>
              </w:rPr>
              <w:t>NH</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-N=</w:t>
            </w:r>
            <w:r>
              <w:rPr>
                <w:rFonts w:hint="eastAsia" w:cs="Times New Roman"/>
                <w:color w:val="auto"/>
                <w:kern w:val="2"/>
                <w:sz w:val="24"/>
                <w:szCs w:val="24"/>
                <w:highlight w:val="none"/>
                <w:lang w:val="en-US" w:eastAsia="zh-CN" w:bidi="ar-SA"/>
              </w:rPr>
              <w:t>14271.0</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/a×</w:t>
            </w:r>
            <w:r>
              <w:rPr>
                <w:rFonts w:hint="eastAsia"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mg/L=</w:t>
            </w:r>
            <w:r>
              <w:rPr>
                <w:rFonts w:hint="eastAsia" w:cs="Times New Roman"/>
                <w:color w:val="auto"/>
                <w:kern w:val="0"/>
                <w:sz w:val="24"/>
                <w:highlight w:val="none"/>
                <w:lang w:val="en-US" w:eastAsia="zh-CN"/>
              </w:rPr>
              <w:t>0.071</w:t>
            </w:r>
            <w:r>
              <w:rPr>
                <w:rFonts w:hint="default" w:ascii="Times New Roman" w:hAnsi="Times New Roman" w:cs="Times New Roman"/>
                <w:color w:val="auto"/>
                <w:kern w:val="0"/>
                <w:sz w:val="24"/>
                <w:highlight w:val="none"/>
              </w:rPr>
              <w:t>t/a</w:t>
            </w:r>
            <w:r>
              <w:rPr>
                <w:rFonts w:hint="eastAsia" w:cs="Times New Roman"/>
                <w:color w:val="auto"/>
                <w:kern w:val="0"/>
                <w:sz w:val="24"/>
                <w:highlight w:val="none"/>
                <w:lang w:eastAsia="zh-CN"/>
              </w:rPr>
              <w:t>；</w:t>
            </w:r>
          </w:p>
          <w:p w14:paraId="6937A807">
            <w:pPr>
              <w:widowControl/>
              <w:autoSpaceDE/>
              <w:autoSpaceDN/>
              <w:adjustRightInd w:val="0"/>
              <w:snapToGrid/>
              <w:spacing w:line="360" w:lineRule="auto"/>
              <w:ind w:firstLine="480" w:firstLineChars="200"/>
              <w:rPr>
                <w:rFonts w:hint="eastAsia" w:eastAsia="宋体" w:cs="Times New Roman"/>
                <w:color w:val="auto"/>
                <w:kern w:val="0"/>
                <w:sz w:val="24"/>
                <w:highlight w:val="none"/>
                <w:lang w:val="en-US" w:eastAsia="zh-CN"/>
              </w:rPr>
            </w:pPr>
            <w:r>
              <w:rPr>
                <w:rFonts w:hint="eastAsia" w:cs="Times New Roman"/>
                <w:color w:val="auto"/>
                <w:kern w:val="0"/>
                <w:sz w:val="24"/>
                <w:highlight w:val="none"/>
                <w:lang w:val="en-US" w:eastAsia="zh-CN"/>
              </w:rPr>
              <w:t>TP=</w:t>
            </w:r>
            <w:r>
              <w:rPr>
                <w:rFonts w:hint="eastAsia" w:cs="Times New Roman"/>
                <w:color w:val="auto"/>
                <w:kern w:val="2"/>
                <w:sz w:val="24"/>
                <w:szCs w:val="24"/>
                <w:highlight w:val="none"/>
                <w:lang w:val="en-US" w:eastAsia="zh-CN" w:bidi="ar-SA"/>
              </w:rPr>
              <w:t>14271.0</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/a×</w:t>
            </w:r>
            <w:r>
              <w:rPr>
                <w:rFonts w:hint="eastAsia" w:cs="Times New Roman"/>
                <w:color w:val="auto"/>
                <w:kern w:val="0"/>
                <w:sz w:val="24"/>
                <w:highlight w:val="none"/>
                <w:lang w:val="en-US" w:eastAsia="zh-CN"/>
              </w:rPr>
              <w:t>0.5</w:t>
            </w:r>
            <w:r>
              <w:rPr>
                <w:rFonts w:hint="default" w:ascii="Times New Roman" w:hAnsi="Times New Roman" w:cs="Times New Roman"/>
                <w:color w:val="auto"/>
                <w:kern w:val="0"/>
                <w:sz w:val="24"/>
                <w:highlight w:val="none"/>
              </w:rPr>
              <w:t>mg/L=</w:t>
            </w:r>
            <w:r>
              <w:rPr>
                <w:rFonts w:hint="eastAsia" w:cs="Times New Roman"/>
                <w:color w:val="auto"/>
                <w:kern w:val="0"/>
                <w:sz w:val="24"/>
                <w:highlight w:val="none"/>
                <w:lang w:val="en-US" w:eastAsia="zh-CN"/>
              </w:rPr>
              <w:t>0.007</w:t>
            </w:r>
            <w:r>
              <w:rPr>
                <w:rFonts w:hint="default" w:ascii="Times New Roman" w:hAnsi="Times New Roman" w:cs="Times New Roman"/>
                <w:color w:val="auto"/>
                <w:kern w:val="0"/>
                <w:sz w:val="24"/>
                <w:highlight w:val="none"/>
              </w:rPr>
              <w:t>t/a</w:t>
            </w:r>
            <w:r>
              <w:rPr>
                <w:rFonts w:hint="eastAsia" w:cs="Times New Roman"/>
                <w:color w:val="auto"/>
                <w:kern w:val="0"/>
                <w:sz w:val="24"/>
                <w:highlight w:val="none"/>
                <w:lang w:eastAsia="zh-CN"/>
              </w:rPr>
              <w:t>。</w:t>
            </w:r>
          </w:p>
          <w:p w14:paraId="539B6B3E">
            <w:pPr>
              <w:autoSpaceDE/>
              <w:autoSpaceDN/>
              <w:adjustRightInd w:val="0"/>
              <w:snapToGrid w:val="0"/>
              <w:spacing w:line="360" w:lineRule="auto"/>
              <w:ind w:firstLine="482" w:firstLineChars="200"/>
              <w:rPr>
                <w:rFonts w:hint="default" w:ascii="黑体" w:hAnsi="黑体" w:eastAsia="黑体" w:cs="黑体"/>
                <w:b/>
                <w:bCs/>
                <w:color w:val="auto"/>
                <w:kern w:val="0"/>
                <w:sz w:val="24"/>
                <w:highlight w:val="none"/>
                <w:lang w:val="fr-FR" w:eastAsia="zh-CN"/>
              </w:rPr>
            </w:pPr>
            <w:r>
              <w:rPr>
                <w:rFonts w:hint="default" w:ascii="黑体" w:hAnsi="黑体" w:eastAsia="黑体" w:cs="黑体"/>
                <w:b/>
                <w:bCs/>
                <w:color w:val="auto"/>
                <w:kern w:val="0"/>
                <w:sz w:val="24"/>
                <w:highlight w:val="none"/>
                <w:lang w:val="fr-FR" w:eastAsia="zh-CN"/>
              </w:rPr>
              <w:t>2、废气</w:t>
            </w:r>
          </w:p>
          <w:p w14:paraId="2CF2216D">
            <w:pPr>
              <w:widowControl/>
              <w:autoSpaceDE w:val="0"/>
              <w:spacing w:before="0" w:beforeAutospacing="0" w:after="0" w:afterAutospacing="0" w:line="360" w:lineRule="auto"/>
              <w:ind w:firstLine="480" w:firstLineChars="200"/>
              <w:jc w:val="both"/>
              <w:rPr>
                <w:rFonts w:hint="eastAsia" w:ascii="Times New Roman" w:hAnsi="Times New Roman" w:eastAsia="宋体" w:cs="Times New Roman"/>
                <w:color w:val="FF0000"/>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本项目</w:t>
            </w:r>
            <w:r>
              <w:rPr>
                <w:rFonts w:hint="eastAsia" w:ascii="Times New Roman" w:hAnsi="Times New Roman" w:eastAsia="宋体" w:cs="Times New Roman"/>
                <w:color w:val="auto"/>
                <w:kern w:val="2"/>
                <w:sz w:val="24"/>
                <w:szCs w:val="24"/>
                <w:highlight w:val="none"/>
                <w:lang w:val="en-US" w:eastAsia="zh-CN" w:bidi="ar"/>
              </w:rPr>
              <w:t>废气主要污染物为生产过程中产生的SO</w:t>
            </w:r>
            <w:r>
              <w:rPr>
                <w:rFonts w:hint="eastAsia" w:ascii="Times New Roman" w:hAnsi="Times New Roman" w:eastAsia="宋体" w:cs="Times New Roman"/>
                <w:color w:val="auto"/>
                <w:kern w:val="2"/>
                <w:sz w:val="24"/>
                <w:szCs w:val="24"/>
                <w:highlight w:val="none"/>
                <w:vertAlign w:val="subscript"/>
                <w:lang w:val="en-US" w:eastAsia="zh-CN" w:bidi="ar"/>
              </w:rPr>
              <w:t>2</w:t>
            </w:r>
            <w:r>
              <w:rPr>
                <w:rFonts w:hint="eastAsia" w:ascii="Times New Roman" w:hAnsi="Times New Roman" w:eastAsia="宋体" w:cs="Times New Roman"/>
                <w:color w:val="auto"/>
                <w:kern w:val="2"/>
                <w:sz w:val="24"/>
                <w:szCs w:val="24"/>
                <w:highlight w:val="none"/>
                <w:lang w:val="en-US" w:eastAsia="zh-CN" w:bidi="ar"/>
              </w:rPr>
              <w:t>、NOx、颗粒物</w:t>
            </w:r>
            <w:r>
              <w:rPr>
                <w:rFonts w:hint="eastAsia" w:cs="Times New Roman"/>
                <w:color w:val="auto"/>
                <w:kern w:val="2"/>
                <w:sz w:val="24"/>
                <w:szCs w:val="24"/>
                <w:highlight w:val="none"/>
                <w:lang w:val="en-US" w:eastAsia="zh-CN" w:bidi="ar"/>
              </w:rPr>
              <w:t>，均为有组织排放，</w:t>
            </w:r>
            <w:r>
              <w:rPr>
                <w:rFonts w:hint="eastAsia" w:ascii="Times New Roman" w:hAnsi="Times New Roman" w:eastAsia="宋体" w:cs="Times New Roman"/>
                <w:color w:val="auto"/>
                <w:kern w:val="2"/>
                <w:sz w:val="24"/>
                <w:szCs w:val="24"/>
                <w:highlight w:val="none"/>
                <w:lang w:val="en-US" w:eastAsia="zh-CN" w:bidi="ar"/>
              </w:rPr>
              <w:t>排放量分别为</w:t>
            </w:r>
            <w:r>
              <w:rPr>
                <w:rFonts w:hint="eastAsia" w:cs="Times New Roman"/>
                <w:color w:val="auto"/>
                <w:kern w:val="2"/>
                <w:sz w:val="24"/>
                <w:szCs w:val="24"/>
                <w:highlight w:val="none"/>
                <w:lang w:val="en-US" w:eastAsia="zh-CN" w:bidi="ar"/>
              </w:rPr>
              <w:t>1.6200</w:t>
            </w:r>
            <w:r>
              <w:rPr>
                <w:rFonts w:hint="eastAsia" w:ascii="Times New Roman" w:hAnsi="Times New Roman" w:eastAsia="宋体" w:cs="Times New Roman"/>
                <w:color w:val="auto"/>
                <w:kern w:val="2"/>
                <w:sz w:val="24"/>
                <w:szCs w:val="24"/>
                <w:highlight w:val="none"/>
                <w:lang w:val="en-US" w:eastAsia="zh-CN" w:bidi="ar"/>
              </w:rPr>
              <w:t>t/a</w:t>
            </w:r>
            <w:r>
              <w:rPr>
                <w:rFonts w:hint="eastAsia" w:cs="Times New Roman"/>
                <w:color w:val="auto"/>
                <w:kern w:val="2"/>
                <w:sz w:val="24"/>
                <w:szCs w:val="24"/>
                <w:highlight w:val="none"/>
                <w:lang w:val="en-US" w:eastAsia="zh-CN" w:bidi="ar"/>
              </w:rPr>
              <w:t>、1.2272</w:t>
            </w:r>
            <w:r>
              <w:rPr>
                <w:rFonts w:hint="eastAsia" w:ascii="Times New Roman" w:hAnsi="Times New Roman" w:eastAsia="宋体" w:cs="Times New Roman"/>
                <w:color w:val="auto"/>
                <w:kern w:val="2"/>
                <w:sz w:val="24"/>
                <w:szCs w:val="24"/>
                <w:highlight w:val="none"/>
                <w:lang w:val="en-US" w:eastAsia="zh-CN" w:bidi="ar"/>
              </w:rPr>
              <w:t>t/a</w:t>
            </w:r>
            <w:r>
              <w:rPr>
                <w:rFonts w:hint="eastAsia" w:cs="Times New Roman"/>
                <w:color w:val="auto"/>
                <w:kern w:val="2"/>
                <w:sz w:val="24"/>
                <w:szCs w:val="24"/>
                <w:highlight w:val="none"/>
                <w:lang w:val="en-US" w:eastAsia="zh-CN" w:bidi="ar"/>
              </w:rPr>
              <w:t>、1.1583</w:t>
            </w:r>
            <w:r>
              <w:rPr>
                <w:rFonts w:hint="eastAsia" w:ascii="Times New Roman" w:hAnsi="Times New Roman" w:eastAsia="宋体" w:cs="Times New Roman"/>
                <w:color w:val="auto"/>
                <w:kern w:val="2"/>
                <w:sz w:val="24"/>
                <w:szCs w:val="24"/>
                <w:highlight w:val="none"/>
                <w:lang w:val="en-US" w:eastAsia="zh-CN" w:bidi="ar"/>
              </w:rPr>
              <w:t>t/a。</w:t>
            </w:r>
          </w:p>
          <w:p w14:paraId="48F666F0">
            <w:pPr>
              <w:widowControl/>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
              </w:rPr>
              <w:t>综上，</w:t>
            </w:r>
            <w:r>
              <w:rPr>
                <w:rFonts w:hint="default" w:ascii="Times New Roman" w:hAnsi="Times New Roman" w:eastAsia="宋体" w:cs="Times New Roman"/>
                <w:color w:val="auto"/>
                <w:kern w:val="0"/>
                <w:sz w:val="24"/>
                <w:szCs w:val="20"/>
                <w:highlight w:val="none"/>
                <w:lang w:val="fr-FR" w:eastAsia="zh-CN" w:bidi="ar-SA"/>
              </w:rPr>
              <w:t>项目建议总量控制指标结果见下表</w:t>
            </w:r>
            <w:r>
              <w:rPr>
                <w:rFonts w:hint="default" w:ascii="Times New Roman" w:hAnsi="Times New Roman" w:eastAsia="宋体" w:cs="Times New Roman"/>
                <w:color w:val="auto"/>
                <w:kern w:val="2"/>
                <w:sz w:val="24"/>
                <w:szCs w:val="24"/>
                <w:highlight w:val="none"/>
                <w:lang w:val="en-US" w:eastAsia="zh-CN" w:bidi="ar"/>
              </w:rPr>
              <w:t>。</w:t>
            </w:r>
          </w:p>
          <w:p w14:paraId="0B8E3C50">
            <w:pPr>
              <w:pStyle w:val="14"/>
              <w:bidi w:val="0"/>
              <w:rPr>
                <w:rFonts w:hint="default"/>
                <w:color w:val="auto"/>
                <w:highlight w:val="none"/>
                <w:lang w:val="en-US" w:eastAsia="zh-CN"/>
              </w:rPr>
            </w:pPr>
            <w:r>
              <w:rPr>
                <w:rFonts w:hint="default"/>
                <w:color w:val="auto"/>
                <w:highlight w:val="none"/>
                <w:lang w:val="en-US" w:eastAsia="zh-CN"/>
              </w:rPr>
              <w:t>表3-</w:t>
            </w:r>
            <w:r>
              <w:rPr>
                <w:rFonts w:hint="default"/>
                <w:color w:val="auto"/>
                <w:highlight w:val="none"/>
                <w:lang w:val="en-US" w:eastAsia="zh-CN"/>
              </w:rPr>
              <w:fldChar w:fldCharType="begin"/>
            </w:r>
            <w:r>
              <w:rPr>
                <w:rFonts w:hint="default"/>
                <w:color w:val="auto"/>
                <w:highlight w:val="none"/>
                <w:lang w:val="en-US" w:eastAsia="zh-CN"/>
              </w:rPr>
              <w:instrText xml:space="preserve"> SEQ 表3- \* ARABIC </w:instrText>
            </w:r>
            <w:r>
              <w:rPr>
                <w:rFonts w:hint="default"/>
                <w:color w:val="auto"/>
                <w:highlight w:val="none"/>
                <w:lang w:val="en-US" w:eastAsia="zh-CN"/>
              </w:rPr>
              <w:fldChar w:fldCharType="separate"/>
            </w:r>
            <w:r>
              <w:rPr>
                <w:rFonts w:hint="default"/>
                <w:color w:val="auto"/>
                <w:highlight w:val="none"/>
                <w:lang w:val="en-US" w:eastAsia="zh-CN"/>
              </w:rPr>
              <w:t>11</w:t>
            </w:r>
            <w:r>
              <w:rPr>
                <w:rFonts w:hint="default"/>
                <w:color w:val="auto"/>
                <w:highlight w:val="none"/>
                <w:lang w:val="en-US" w:eastAsia="zh-CN"/>
              </w:rPr>
              <w:fldChar w:fldCharType="end"/>
            </w:r>
            <w:r>
              <w:rPr>
                <w:rFonts w:hint="eastAsia"/>
                <w:color w:val="auto"/>
                <w:highlight w:val="none"/>
                <w:lang w:val="en-US" w:eastAsia="zh-CN"/>
              </w:rPr>
              <w:t xml:space="preserve">  </w:t>
            </w:r>
            <w:r>
              <w:rPr>
                <w:rFonts w:hint="default"/>
                <w:color w:val="auto"/>
                <w:highlight w:val="none"/>
                <w:lang w:val="en-US" w:eastAsia="zh-CN"/>
              </w:rPr>
              <w:t>项目建议总量控制指标</w:t>
            </w:r>
          </w:p>
          <w:tbl>
            <w:tblPr>
              <w:tblStyle w:val="101"/>
              <w:tblW w:w="918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904"/>
              <w:gridCol w:w="2344"/>
              <w:gridCol w:w="1455"/>
              <w:gridCol w:w="4486"/>
            </w:tblGrid>
            <w:tr w14:paraId="687FC62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7" w:hRule="atLeast"/>
                <w:jc w:val="center"/>
              </w:trPr>
              <w:tc>
                <w:tcPr>
                  <w:tcW w:w="4703" w:type="dxa"/>
                  <w:gridSpan w:val="3"/>
                  <w:tcBorders>
                    <w:tl2br w:val="nil"/>
                    <w:tr2bl w:val="nil"/>
                  </w:tcBorders>
                  <w:vAlign w:val="center"/>
                </w:tcPr>
                <w:p w14:paraId="5A7F3635">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污染物名称</w:t>
                  </w:r>
                </w:p>
              </w:tc>
              <w:tc>
                <w:tcPr>
                  <w:tcW w:w="4486" w:type="dxa"/>
                  <w:tcBorders>
                    <w:tl2br w:val="nil"/>
                    <w:tr2bl w:val="nil"/>
                  </w:tcBorders>
                  <w:vAlign w:val="center"/>
                </w:tcPr>
                <w:p w14:paraId="688439D4">
                  <w:pPr>
                    <w:widowControl w:val="0"/>
                    <w:autoSpaceDE w:val="0"/>
                    <w:autoSpaceDN w:val="0"/>
                    <w:bidi w:val="0"/>
                    <w:spacing w:line="240" w:lineRule="auto"/>
                    <w:ind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排放量（t/a）</w:t>
                  </w:r>
                </w:p>
              </w:tc>
            </w:tr>
            <w:tr w14:paraId="2627A0E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95" w:hRule="atLeast"/>
                <w:jc w:val="center"/>
              </w:trPr>
              <w:tc>
                <w:tcPr>
                  <w:tcW w:w="904" w:type="dxa"/>
                  <w:vMerge w:val="restart"/>
                  <w:tcBorders>
                    <w:tl2br w:val="nil"/>
                    <w:tr2bl w:val="nil"/>
                  </w:tcBorders>
                  <w:vAlign w:val="center"/>
                </w:tcPr>
                <w:p w14:paraId="3E11BADD">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总量指标建议</w:t>
                  </w:r>
                </w:p>
              </w:tc>
              <w:tc>
                <w:tcPr>
                  <w:tcW w:w="2344" w:type="dxa"/>
                  <w:tcBorders>
                    <w:tl2br w:val="nil"/>
                    <w:tr2bl w:val="nil"/>
                  </w:tcBorders>
                  <w:vAlign w:val="center"/>
                </w:tcPr>
                <w:p w14:paraId="10598594">
                  <w:pPr>
                    <w:widowControl w:val="0"/>
                    <w:autoSpaceDE w:val="0"/>
                    <w:autoSpaceDN w:val="0"/>
                    <w:bidi w:val="0"/>
                    <w:spacing w:line="240" w:lineRule="auto"/>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废气</w:t>
                  </w:r>
                </w:p>
              </w:tc>
              <w:tc>
                <w:tcPr>
                  <w:tcW w:w="1455" w:type="dxa"/>
                  <w:tcBorders>
                    <w:tl2br w:val="nil"/>
                    <w:tr2bl w:val="nil"/>
                  </w:tcBorders>
                  <w:vAlign w:val="center"/>
                </w:tcPr>
                <w:p w14:paraId="15BC893E">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NOx</w:t>
                  </w:r>
                </w:p>
              </w:tc>
              <w:tc>
                <w:tcPr>
                  <w:tcW w:w="4486" w:type="dxa"/>
                  <w:tcBorders>
                    <w:tl2br w:val="nil"/>
                    <w:tr2bl w:val="nil"/>
                  </w:tcBorders>
                  <w:vAlign w:val="center"/>
                </w:tcPr>
                <w:p w14:paraId="511E670A">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1.2272</w:t>
                  </w:r>
                </w:p>
              </w:tc>
            </w:tr>
            <w:tr w14:paraId="07AA153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7" w:hRule="atLeast"/>
                <w:jc w:val="center"/>
              </w:trPr>
              <w:tc>
                <w:tcPr>
                  <w:tcW w:w="904" w:type="dxa"/>
                  <w:vMerge w:val="continue"/>
                  <w:tcBorders>
                    <w:tl2br w:val="nil"/>
                    <w:tr2bl w:val="nil"/>
                  </w:tcBorders>
                  <w:vAlign w:val="center"/>
                </w:tcPr>
                <w:p w14:paraId="7356EDAC">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344" w:type="dxa"/>
                  <w:vMerge w:val="restart"/>
                  <w:tcBorders>
                    <w:tl2br w:val="nil"/>
                    <w:tr2bl w:val="nil"/>
                  </w:tcBorders>
                  <w:vAlign w:val="center"/>
                </w:tcPr>
                <w:p w14:paraId="02797927">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龙眼井污水处理厂</w:t>
                  </w:r>
                  <w:r>
                    <w:rPr>
                      <w:rFonts w:hint="eastAsia" w:ascii="Times New Roman" w:hAnsi="Times New Roman" w:eastAsia="宋体" w:cs="Times New Roman"/>
                      <w:color w:val="auto"/>
                      <w:kern w:val="2"/>
                      <w:sz w:val="21"/>
                      <w:szCs w:val="24"/>
                      <w:highlight w:val="none"/>
                      <w:lang w:val="en-US" w:eastAsia="zh-CN" w:bidi="ar-SA"/>
                    </w:rPr>
                    <w:t>排</w:t>
                  </w:r>
                  <w:r>
                    <w:rPr>
                      <w:rFonts w:hint="eastAsia" w:cs="Times New Roman"/>
                      <w:color w:val="auto"/>
                      <w:kern w:val="2"/>
                      <w:sz w:val="21"/>
                      <w:szCs w:val="24"/>
                      <w:highlight w:val="none"/>
                      <w:lang w:val="en-US" w:eastAsia="zh-CN" w:bidi="ar-SA"/>
                    </w:rPr>
                    <w:t>口</w:t>
                  </w:r>
                </w:p>
              </w:tc>
              <w:tc>
                <w:tcPr>
                  <w:tcW w:w="1455" w:type="dxa"/>
                  <w:tcBorders>
                    <w:tl2br w:val="nil"/>
                    <w:tr2bl w:val="nil"/>
                  </w:tcBorders>
                  <w:vAlign w:val="center"/>
                </w:tcPr>
                <w:p w14:paraId="2D3B2129">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CODcr</w:t>
                  </w:r>
                </w:p>
              </w:tc>
              <w:tc>
                <w:tcPr>
                  <w:tcW w:w="4486" w:type="dxa"/>
                  <w:tcBorders>
                    <w:tl2br w:val="nil"/>
                    <w:tr2bl w:val="nil"/>
                  </w:tcBorders>
                  <w:vAlign w:val="center"/>
                </w:tcPr>
                <w:p w14:paraId="0801C03A">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0.714</w:t>
                  </w:r>
                </w:p>
              </w:tc>
            </w:tr>
            <w:tr w14:paraId="0167FED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9" w:hRule="atLeast"/>
                <w:jc w:val="center"/>
              </w:trPr>
              <w:tc>
                <w:tcPr>
                  <w:tcW w:w="904" w:type="dxa"/>
                  <w:vMerge w:val="continue"/>
                  <w:tcBorders>
                    <w:tl2br w:val="nil"/>
                    <w:tr2bl w:val="nil"/>
                  </w:tcBorders>
                  <w:vAlign w:val="center"/>
                </w:tcPr>
                <w:p w14:paraId="6908BCDC">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344" w:type="dxa"/>
                  <w:vMerge w:val="continue"/>
                  <w:tcBorders>
                    <w:tl2br w:val="nil"/>
                    <w:tr2bl w:val="nil"/>
                  </w:tcBorders>
                  <w:vAlign w:val="center"/>
                </w:tcPr>
                <w:p w14:paraId="254A8EE6">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1455" w:type="dxa"/>
                  <w:tcBorders>
                    <w:tl2br w:val="nil"/>
                    <w:tr2bl w:val="nil"/>
                  </w:tcBorders>
                  <w:vAlign w:val="center"/>
                </w:tcPr>
                <w:p w14:paraId="47C9D1DE">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NH</w:t>
                  </w:r>
                  <w:r>
                    <w:rPr>
                      <w:rFonts w:hint="default" w:ascii="Times New Roman" w:hAnsi="Times New Roman" w:eastAsia="宋体" w:cs="Times New Roman"/>
                      <w:color w:val="auto"/>
                      <w:kern w:val="2"/>
                      <w:sz w:val="21"/>
                      <w:szCs w:val="24"/>
                      <w:highlight w:val="none"/>
                      <w:vertAlign w:val="subscript"/>
                      <w:lang w:val="en-US" w:eastAsia="zh-CN" w:bidi="ar-SA"/>
                    </w:rPr>
                    <w:t>3</w:t>
                  </w:r>
                  <w:r>
                    <w:rPr>
                      <w:rFonts w:hint="default" w:ascii="Times New Roman" w:hAnsi="Times New Roman" w:eastAsia="宋体" w:cs="Times New Roman"/>
                      <w:color w:val="auto"/>
                      <w:kern w:val="2"/>
                      <w:sz w:val="21"/>
                      <w:szCs w:val="24"/>
                      <w:highlight w:val="none"/>
                      <w:lang w:val="en-US" w:eastAsia="zh-CN" w:bidi="ar-SA"/>
                    </w:rPr>
                    <w:t>-N</w:t>
                  </w:r>
                </w:p>
              </w:tc>
              <w:tc>
                <w:tcPr>
                  <w:tcW w:w="4486" w:type="dxa"/>
                  <w:tcBorders>
                    <w:tl2br w:val="nil"/>
                    <w:tr2bl w:val="nil"/>
                  </w:tcBorders>
                  <w:vAlign w:val="center"/>
                </w:tcPr>
                <w:p w14:paraId="280FB46C">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0.071</w:t>
                  </w:r>
                </w:p>
              </w:tc>
            </w:tr>
            <w:tr w14:paraId="292FBC4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9" w:hRule="atLeast"/>
                <w:jc w:val="center"/>
              </w:trPr>
              <w:tc>
                <w:tcPr>
                  <w:tcW w:w="904" w:type="dxa"/>
                  <w:vMerge w:val="continue"/>
                  <w:tcBorders>
                    <w:tl2br w:val="nil"/>
                    <w:tr2bl w:val="nil"/>
                  </w:tcBorders>
                  <w:vAlign w:val="center"/>
                </w:tcPr>
                <w:p w14:paraId="3C0B6DC8">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2344" w:type="dxa"/>
                  <w:vMerge w:val="continue"/>
                  <w:tcBorders>
                    <w:tl2br w:val="nil"/>
                    <w:tr2bl w:val="nil"/>
                  </w:tcBorders>
                  <w:vAlign w:val="center"/>
                </w:tcPr>
                <w:p w14:paraId="512F97DF">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p>
              </w:tc>
              <w:tc>
                <w:tcPr>
                  <w:tcW w:w="1455" w:type="dxa"/>
                  <w:tcBorders>
                    <w:tl2br w:val="nil"/>
                    <w:tr2bl w:val="nil"/>
                  </w:tcBorders>
                  <w:vAlign w:val="center"/>
                </w:tcPr>
                <w:p w14:paraId="6CD4B029">
                  <w:pPr>
                    <w:widowControl w:val="0"/>
                    <w:autoSpaceDE w:val="0"/>
                    <w:autoSpaceDN w:val="0"/>
                    <w:bidi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TP</w:t>
                  </w:r>
                </w:p>
              </w:tc>
              <w:tc>
                <w:tcPr>
                  <w:tcW w:w="4486" w:type="dxa"/>
                  <w:tcBorders>
                    <w:tl2br w:val="nil"/>
                    <w:tr2bl w:val="nil"/>
                  </w:tcBorders>
                  <w:vAlign w:val="center"/>
                </w:tcPr>
                <w:p w14:paraId="5D7B401E">
                  <w:pPr>
                    <w:widowControl w:val="0"/>
                    <w:autoSpaceDE w:val="0"/>
                    <w:autoSpaceDN w:val="0"/>
                    <w:bidi w:val="0"/>
                    <w:spacing w:line="240" w:lineRule="auto"/>
                    <w:ind w:firstLine="0" w:firstLineChars="0"/>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0.007</w:t>
                  </w:r>
                </w:p>
              </w:tc>
            </w:tr>
          </w:tbl>
          <w:p w14:paraId="0883D3B2">
            <w:pPr>
              <w:pStyle w:val="65"/>
              <w:spacing w:line="360" w:lineRule="auto"/>
              <w:ind w:firstLine="0" w:firstLineChars="0"/>
              <w:rPr>
                <w:color w:val="auto"/>
                <w:highlight w:val="none"/>
              </w:rPr>
            </w:pPr>
          </w:p>
        </w:tc>
      </w:tr>
    </w:tbl>
    <w:p w14:paraId="7944E82E">
      <w:pPr>
        <w:pStyle w:val="42"/>
        <w:rPr>
          <w:rFonts w:ascii="Times New Roman" w:cs="Times New Roman"/>
          <w:color w:val="auto"/>
          <w:highlight w:val="none"/>
        </w:rPr>
        <w:sectPr>
          <w:pgSz w:w="11905" w:h="16838"/>
          <w:pgMar w:top="1701" w:right="1134" w:bottom="1701" w:left="1134" w:header="851" w:footer="1077" w:gutter="0"/>
          <w:pgBorders>
            <w:top w:val="none" w:sz="0" w:space="0"/>
            <w:left w:val="none" w:sz="0" w:space="0"/>
            <w:bottom w:val="none" w:sz="0" w:space="0"/>
            <w:right w:val="none" w:sz="0" w:space="0"/>
          </w:pgBorders>
          <w:pgNumType w:fmt="decimal"/>
          <w:cols w:space="720" w:num="1"/>
          <w:docGrid w:linePitch="312" w:charSpace="0"/>
        </w:sectPr>
      </w:pPr>
    </w:p>
    <w:p w14:paraId="46DAE34A">
      <w:pPr>
        <w:pStyle w:val="25"/>
        <w:spacing w:beforeAutospacing="0" w:after="0" w:afterAutospacing="0"/>
        <w:ind w:firstLine="600"/>
        <w:jc w:val="center"/>
        <w:outlineLvl w:val="0"/>
        <w:rPr>
          <w:rFonts w:ascii="Times New Roman" w:hAnsi="Times New Roman" w:eastAsia="黑体"/>
          <w:snapToGrid w:val="0"/>
          <w:color w:val="auto"/>
          <w:sz w:val="28"/>
          <w:szCs w:val="28"/>
          <w:highlight w:val="none"/>
        </w:rPr>
      </w:pPr>
      <w:bookmarkStart w:id="17" w:name="_Toc5108"/>
      <w:bookmarkStart w:id="18" w:name="_Toc30092"/>
      <w:bookmarkStart w:id="19" w:name="_Toc32604"/>
      <w:r>
        <w:rPr>
          <w:rFonts w:ascii="Times New Roman" w:hAnsi="Times New Roman" w:eastAsia="黑体"/>
          <w:snapToGrid w:val="0"/>
          <w:color w:val="auto"/>
          <w:sz w:val="28"/>
          <w:szCs w:val="28"/>
          <w:highlight w:val="none"/>
        </w:rPr>
        <w:t>四、主要环境影响和保护措施</w:t>
      </w:r>
      <w:bookmarkEnd w:id="17"/>
      <w:bookmarkEnd w:id="18"/>
      <w:bookmarkEnd w:id="19"/>
    </w:p>
    <w:tbl>
      <w:tblPr>
        <w:tblStyle w:val="28"/>
        <w:tblW w:w="97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9350"/>
      </w:tblGrid>
      <w:tr w14:paraId="109BF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23" w:type="dxa"/>
            <w:tcMar>
              <w:left w:w="28" w:type="dxa"/>
              <w:right w:w="28" w:type="dxa"/>
            </w:tcMar>
            <w:vAlign w:val="center"/>
          </w:tcPr>
          <w:p w14:paraId="6412BD1E">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施工期环境保护措施</w:t>
            </w:r>
          </w:p>
        </w:tc>
        <w:tc>
          <w:tcPr>
            <w:tcW w:w="9350" w:type="dxa"/>
          </w:tcPr>
          <w:p w14:paraId="4CDF3332">
            <w:pPr>
              <w:ind w:firstLine="480"/>
              <w:rPr>
                <w:color w:val="auto"/>
                <w:highlight w:val="none"/>
              </w:rPr>
            </w:pPr>
            <w:r>
              <w:rPr>
                <w:color w:val="auto"/>
                <w:highlight w:val="none"/>
              </w:rPr>
              <w:t>项目</w:t>
            </w:r>
            <w:r>
              <w:rPr>
                <w:rFonts w:hint="eastAsia"/>
                <w:color w:val="auto"/>
                <w:highlight w:val="none"/>
              </w:rPr>
              <w:t>为</w:t>
            </w:r>
            <w:r>
              <w:rPr>
                <w:rFonts w:hint="eastAsia"/>
                <w:color w:val="auto"/>
                <w:highlight w:val="none"/>
                <w:lang w:val="en-US" w:eastAsia="zh-CN"/>
              </w:rPr>
              <w:t>购置空置地块</w:t>
            </w:r>
            <w:r>
              <w:rPr>
                <w:color w:val="auto"/>
                <w:highlight w:val="none"/>
              </w:rPr>
              <w:t>进行</w:t>
            </w:r>
            <w:r>
              <w:rPr>
                <w:rFonts w:hint="eastAsia"/>
                <w:color w:val="auto"/>
                <w:highlight w:val="none"/>
                <w:lang w:val="en-US" w:eastAsia="zh-CN"/>
              </w:rPr>
              <w:t>项目</w:t>
            </w:r>
            <w:r>
              <w:rPr>
                <w:color w:val="auto"/>
                <w:highlight w:val="none"/>
              </w:rPr>
              <w:t>建设</w:t>
            </w:r>
            <w:r>
              <w:rPr>
                <w:rFonts w:hint="eastAsia"/>
                <w:color w:val="auto"/>
                <w:highlight w:val="none"/>
                <w:lang w:eastAsia="zh-CN"/>
              </w:rPr>
              <w:t>，</w:t>
            </w:r>
            <w:r>
              <w:rPr>
                <w:rFonts w:hint="default" w:ascii="Times New Roman" w:hAnsi="Times New Roman" w:cs="Times New Roman"/>
                <w:color w:val="auto"/>
                <w:highlight w:val="none"/>
                <w:lang w:val="en-US" w:eastAsia="zh-CN"/>
              </w:rPr>
              <w:t>根据</w:t>
            </w:r>
            <w:r>
              <w:rPr>
                <w:rFonts w:hint="eastAsia" w:cs="Times New Roman"/>
                <w:color w:val="auto"/>
                <w:highlight w:val="none"/>
                <w:lang w:val="en-US" w:eastAsia="zh-CN"/>
              </w:rPr>
              <w:t>现场勘查</w:t>
            </w:r>
            <w:r>
              <w:rPr>
                <w:rFonts w:hint="default" w:ascii="Times New Roman" w:hAnsi="Times New Roman" w:cs="Times New Roman"/>
                <w:color w:val="auto"/>
                <w:highlight w:val="none"/>
                <w:lang w:val="en-US" w:eastAsia="zh-CN"/>
              </w:rPr>
              <w:t>，现</w:t>
            </w:r>
            <w:r>
              <w:rPr>
                <w:rFonts w:hint="eastAsia" w:cs="Times New Roman"/>
                <w:color w:val="auto"/>
                <w:highlight w:val="none"/>
                <w:lang w:val="en-US" w:eastAsia="zh-CN"/>
              </w:rPr>
              <w:t>购置地块为空地。</w:t>
            </w:r>
            <w:r>
              <w:rPr>
                <w:color w:val="auto"/>
                <w:highlight w:val="none"/>
              </w:rPr>
              <w:t>本项目施工过程主要为</w:t>
            </w:r>
            <w:r>
              <w:rPr>
                <w:rFonts w:hint="eastAsia"/>
                <w:color w:val="auto"/>
                <w:highlight w:val="none"/>
                <w:lang w:val="en-US" w:eastAsia="zh-CN"/>
              </w:rPr>
              <w:t>场地平整、基础工程、主体工程、装饰工程、</w:t>
            </w:r>
            <w:r>
              <w:rPr>
                <w:color w:val="auto"/>
                <w:highlight w:val="none"/>
              </w:rPr>
              <w:t>设备安装，施工期产生的污染物主要为噪声、扬尘、施工固废以及施工人员产生的生活污水、生活垃圾等。</w:t>
            </w:r>
          </w:p>
          <w:p w14:paraId="0F696053">
            <w:pPr>
              <w:adjustRightInd w:val="0"/>
              <w:snapToGrid w:val="0"/>
              <w:spacing w:line="360" w:lineRule="auto"/>
              <w:ind w:firstLine="482" w:firstLineChars="200"/>
              <w:jc w:val="left"/>
              <w:rPr>
                <w:rFonts w:hint="eastAsia" w:ascii="黑体" w:hAnsi="黑体" w:eastAsia="黑体" w:cs="黑体"/>
                <w:b/>
                <w:color w:val="auto"/>
                <w:sz w:val="24"/>
                <w:highlight w:val="none"/>
              </w:rPr>
            </w:pPr>
            <w:r>
              <w:rPr>
                <w:rFonts w:hint="eastAsia" w:ascii="黑体" w:hAnsi="黑体" w:eastAsia="黑体" w:cs="黑体"/>
                <w:b/>
                <w:color w:val="auto"/>
                <w:sz w:val="24"/>
                <w:highlight w:val="none"/>
              </w:rPr>
              <w:t>（一）施工期环境保护措施</w:t>
            </w:r>
          </w:p>
          <w:p w14:paraId="7A8E21EC">
            <w:pPr>
              <w:adjustRightInd w:val="0"/>
              <w:snapToGrid w:val="0"/>
              <w:spacing w:line="360" w:lineRule="auto"/>
              <w:ind w:firstLine="482" w:firstLineChars="200"/>
              <w:jc w:val="left"/>
              <w:rPr>
                <w:rFonts w:hint="default" w:ascii="黑体" w:hAnsi="黑体" w:eastAsia="黑体" w:cs="黑体"/>
                <w:b/>
                <w:color w:val="auto"/>
                <w:sz w:val="24"/>
                <w:highlight w:val="none"/>
              </w:rPr>
            </w:pPr>
            <w:r>
              <w:rPr>
                <w:rFonts w:hint="default" w:ascii="黑体" w:hAnsi="黑体" w:eastAsia="黑体" w:cs="黑体"/>
                <w:b/>
                <w:color w:val="auto"/>
                <w:sz w:val="24"/>
                <w:highlight w:val="none"/>
              </w:rPr>
              <w:t>1、废气</w:t>
            </w:r>
          </w:p>
          <w:p w14:paraId="67B749C4">
            <w:pPr>
              <w:pStyle w:val="102"/>
              <w:ind w:firstLine="482"/>
              <w:rPr>
                <w:rFonts w:hint="eastAsia"/>
                <w:color w:val="auto"/>
                <w:kern w:val="0"/>
                <w:sz w:val="24"/>
                <w:szCs w:val="21"/>
                <w:highlight w:val="none"/>
              </w:rPr>
            </w:pPr>
            <w:r>
              <w:rPr>
                <w:rFonts w:hint="eastAsia"/>
                <w:color w:val="auto"/>
                <w:kern w:val="0"/>
                <w:sz w:val="24"/>
                <w:szCs w:val="21"/>
                <w:highlight w:val="none"/>
              </w:rPr>
              <w:t>本项目施工期废气主要来源为</w:t>
            </w:r>
            <w:r>
              <w:rPr>
                <w:rFonts w:hint="eastAsia"/>
                <w:color w:val="auto"/>
                <w:kern w:val="0"/>
                <w:sz w:val="24"/>
                <w:szCs w:val="21"/>
                <w:highlight w:val="none"/>
                <w:lang w:val="en-US" w:eastAsia="zh-CN"/>
              </w:rPr>
              <w:t>场地平整、基础施工</w:t>
            </w:r>
            <w:r>
              <w:rPr>
                <w:rFonts w:hint="eastAsia"/>
                <w:color w:val="auto"/>
                <w:kern w:val="0"/>
                <w:sz w:val="24"/>
                <w:szCs w:val="21"/>
                <w:highlight w:val="none"/>
              </w:rPr>
              <w:t>、设备安装过程中产生的施工扬尘</w:t>
            </w:r>
            <w:r>
              <w:rPr>
                <w:rFonts w:hint="eastAsia"/>
                <w:color w:val="auto"/>
                <w:kern w:val="0"/>
                <w:sz w:val="24"/>
                <w:szCs w:val="21"/>
                <w:highlight w:val="none"/>
                <w:lang w:eastAsia="zh-CN"/>
              </w:rPr>
              <w:t>、</w:t>
            </w:r>
            <w:r>
              <w:rPr>
                <w:rFonts w:hint="eastAsia"/>
                <w:color w:val="auto"/>
                <w:kern w:val="0"/>
                <w:sz w:val="24"/>
                <w:szCs w:val="21"/>
                <w:highlight w:val="none"/>
                <w:lang w:val="en-US" w:eastAsia="zh-CN"/>
              </w:rPr>
              <w:t>施工机械废气、装修废气等</w:t>
            </w:r>
            <w:r>
              <w:rPr>
                <w:rFonts w:hint="eastAsia"/>
                <w:color w:val="auto"/>
                <w:kern w:val="0"/>
                <w:sz w:val="24"/>
                <w:szCs w:val="21"/>
                <w:highlight w:val="none"/>
              </w:rPr>
              <w:t>。</w:t>
            </w:r>
          </w:p>
          <w:p w14:paraId="4232A75C">
            <w:pPr>
              <w:pStyle w:val="102"/>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（1）施工扬尘治理措施</w:t>
            </w:r>
          </w:p>
          <w:p w14:paraId="139FFB03">
            <w:pPr>
              <w:pStyle w:val="102"/>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建设单位应要求工程施工单位制定施工期环境管理计划，加强管理，按进度、有计划地进行文明施工，必须严格按四川省人民政府办公厅发布的《关于加强灰霾污染防治的通知》等进行扬尘防治。</w:t>
            </w:r>
          </w:p>
          <w:p w14:paraId="75EE8012">
            <w:pPr>
              <w:pStyle w:val="102"/>
              <w:ind w:firstLine="482"/>
              <w:rPr>
                <w:rFonts w:hint="default" w:ascii="Times New Roman" w:hAnsi="Times New Roman" w:eastAsia="宋体" w:cs="Times New Roman"/>
                <w:b w:val="0"/>
                <w:bCs/>
                <w:color w:val="auto"/>
                <w:highlight w:val="none"/>
                <w:lang w:val="en-US" w:eastAsia="zh-CN"/>
              </w:rPr>
            </w:pPr>
            <w:r>
              <w:rPr>
                <w:rFonts w:hint="eastAsia" w:cs="Times New Roman"/>
                <w:b w:val="0"/>
                <w:bCs/>
                <w:color w:val="auto"/>
                <w:highlight w:val="none"/>
                <w:lang w:val="en-US" w:eastAsia="zh-CN"/>
              </w:rPr>
              <w:t>1）施工扬尘</w:t>
            </w:r>
          </w:p>
          <w:p w14:paraId="7993AA28">
            <w:pPr>
              <w:bidi w:val="0"/>
              <w:rPr>
                <w:rFonts w:hint="default"/>
                <w:color w:val="auto"/>
                <w:highlight w:val="none"/>
                <w:lang w:eastAsia="zh-CN"/>
              </w:rPr>
            </w:pPr>
            <w:r>
              <w:rPr>
                <w:rFonts w:hint="default"/>
                <w:color w:val="auto"/>
                <w:highlight w:val="none"/>
              </w:rPr>
              <w:t>施工期施工</w:t>
            </w:r>
            <w:r>
              <w:rPr>
                <w:rFonts w:hint="eastAsia"/>
                <w:color w:val="auto"/>
                <w:highlight w:val="none"/>
                <w:lang w:val="en-US" w:eastAsia="zh-CN"/>
              </w:rPr>
              <w:t>扬尘</w:t>
            </w:r>
            <w:r>
              <w:rPr>
                <w:rFonts w:hint="default"/>
                <w:color w:val="auto"/>
                <w:highlight w:val="none"/>
              </w:rPr>
              <w:t>主要为</w:t>
            </w:r>
            <w:r>
              <w:rPr>
                <w:color w:val="auto"/>
                <w:highlight w:val="none"/>
              </w:rPr>
              <w:t>基础开挖、建筑材料和</w:t>
            </w:r>
            <w:r>
              <w:rPr>
                <w:rFonts w:hint="eastAsia"/>
                <w:color w:val="auto"/>
                <w:highlight w:val="none"/>
                <w:lang w:val="en-US" w:eastAsia="zh-CN"/>
              </w:rPr>
              <w:t>弃渣</w:t>
            </w:r>
            <w:r>
              <w:rPr>
                <w:color w:val="auto"/>
                <w:highlight w:val="none"/>
              </w:rPr>
              <w:t>的堆放及搬运、运输车辆</w:t>
            </w:r>
            <w:r>
              <w:rPr>
                <w:rFonts w:hint="eastAsia"/>
                <w:color w:val="auto"/>
                <w:highlight w:val="none"/>
                <w:lang w:val="en-US" w:eastAsia="zh-CN"/>
              </w:rPr>
              <w:t>运输、</w:t>
            </w:r>
            <w:r>
              <w:rPr>
                <w:rFonts w:hint="default"/>
                <w:color w:val="auto"/>
                <w:highlight w:val="none"/>
              </w:rPr>
              <w:t>厂房装修、设备安装以及建筑垃圾清运过程产生的粉尘</w:t>
            </w:r>
            <w:r>
              <w:rPr>
                <w:rFonts w:hint="default"/>
                <w:color w:val="auto"/>
                <w:highlight w:val="none"/>
                <w:lang w:eastAsia="zh-CN"/>
              </w:rPr>
              <w:t>，施工期主要采取措施如下：</w:t>
            </w:r>
          </w:p>
          <w:p w14:paraId="6E7C6228">
            <w:pPr>
              <w:bidi w:val="0"/>
              <w:rPr>
                <w:rFonts w:hint="default"/>
                <w:color w:val="auto"/>
                <w:highlight w:val="none"/>
                <w:lang w:eastAsia="zh-CN"/>
              </w:rPr>
            </w:pPr>
            <w:r>
              <w:rPr>
                <w:rFonts w:hint="default"/>
                <w:color w:val="auto"/>
                <w:highlight w:val="none"/>
                <w:lang w:val="en-US" w:eastAsia="zh-CN"/>
              </w:rPr>
              <w:t>①</w:t>
            </w:r>
            <w:r>
              <w:rPr>
                <w:rFonts w:hint="default"/>
                <w:color w:val="auto"/>
                <w:highlight w:val="none"/>
                <w:lang w:eastAsia="zh-CN"/>
              </w:rPr>
              <w:t>封闭施工现场，以减少装修过程中的粉尘飞扬现象，降低粉尘向大气中的排放；</w:t>
            </w:r>
          </w:p>
          <w:p w14:paraId="4D2C878E">
            <w:pPr>
              <w:bidi w:val="0"/>
              <w:rPr>
                <w:rFonts w:hint="default"/>
                <w:color w:val="auto"/>
                <w:highlight w:val="none"/>
                <w:lang w:eastAsia="zh-CN"/>
              </w:rPr>
            </w:pPr>
            <w:r>
              <w:rPr>
                <w:rFonts w:hint="default"/>
                <w:color w:val="auto"/>
                <w:highlight w:val="none"/>
                <w:lang w:val="en-US" w:eastAsia="zh-CN"/>
              </w:rPr>
              <w:t>②</w:t>
            </w:r>
            <w:r>
              <w:rPr>
                <w:rFonts w:hint="default"/>
                <w:color w:val="auto"/>
                <w:highlight w:val="none"/>
                <w:lang w:eastAsia="zh-CN"/>
              </w:rPr>
              <w:t>要求文明施工，定期对地面洒水，湿法作业，避免产生扬尘对周边住户正常生活造成影响；</w:t>
            </w:r>
          </w:p>
          <w:p w14:paraId="1303A23A">
            <w:pPr>
              <w:bidi w:val="0"/>
              <w:rPr>
                <w:rFonts w:hint="eastAsia"/>
                <w:color w:val="auto"/>
                <w:highlight w:val="none"/>
                <w:lang w:eastAsia="zh-CN"/>
              </w:rPr>
            </w:pPr>
            <w:r>
              <w:rPr>
                <w:rFonts w:hint="default"/>
                <w:color w:val="auto"/>
                <w:highlight w:val="none"/>
                <w:lang w:val="en-US" w:eastAsia="zh-CN"/>
              </w:rPr>
              <w:t>③</w:t>
            </w:r>
            <w:r>
              <w:rPr>
                <w:rFonts w:hint="default"/>
                <w:color w:val="auto"/>
                <w:highlight w:val="none"/>
                <w:lang w:eastAsia="zh-CN"/>
              </w:rPr>
              <w:t>自卸车、垃圾运输车等运输车辆不允许超载，表面用毡布覆盖，减少运输粉尘</w:t>
            </w:r>
            <w:r>
              <w:rPr>
                <w:rFonts w:hint="eastAsia"/>
                <w:color w:val="auto"/>
                <w:highlight w:val="none"/>
                <w:lang w:eastAsia="zh-CN"/>
              </w:rPr>
              <w:t>；</w:t>
            </w:r>
          </w:p>
          <w:p w14:paraId="5D426F66">
            <w:pPr>
              <w:pStyle w:val="2"/>
              <w:rPr>
                <w:rFonts w:hint="eastAsia" w:eastAsia="宋体"/>
                <w:color w:val="auto"/>
                <w:highlight w:val="none"/>
                <w:lang w:eastAsia="zh-CN"/>
              </w:rPr>
            </w:pPr>
            <w:r>
              <w:rPr>
                <w:rFonts w:hint="eastAsia" w:ascii="宋体" w:hAnsi="宋体" w:eastAsia="宋体" w:cs="宋体"/>
                <w:color w:val="auto"/>
                <w:sz w:val="24"/>
                <w:szCs w:val="24"/>
                <w:highlight w:val="none"/>
                <w:lang w:val="en-US" w:eastAsia="zh-CN"/>
              </w:rPr>
              <w:t>④</w:t>
            </w:r>
            <w:r>
              <w:rPr>
                <w:rFonts w:ascii="宋体" w:hAnsi="宋体" w:eastAsia="宋体" w:cs="宋体"/>
                <w:color w:val="auto"/>
                <w:sz w:val="24"/>
                <w:szCs w:val="24"/>
                <w:highlight w:val="none"/>
              </w:rPr>
              <w:t>施工过程产生的弃土、弃渣及其他建筑垃圾，应及时清运出场，不能在工地内堆置超过一周</w:t>
            </w:r>
            <w:r>
              <w:rPr>
                <w:rFonts w:hint="eastAsia" w:ascii="宋体" w:hAnsi="宋体" w:eastAsia="宋体" w:cs="宋体"/>
                <w:color w:val="auto"/>
                <w:sz w:val="24"/>
                <w:szCs w:val="24"/>
                <w:highlight w:val="none"/>
                <w:lang w:eastAsia="zh-CN"/>
              </w:rPr>
              <w:t>；</w:t>
            </w:r>
          </w:p>
          <w:p w14:paraId="42EEC558">
            <w:pPr>
              <w:bidi w:val="0"/>
              <w:rPr>
                <w:rFonts w:hint="eastAsia"/>
                <w:color w:val="auto"/>
                <w:highlight w:val="none"/>
                <w:lang w:val="en-US" w:eastAsia="zh-CN"/>
              </w:rPr>
            </w:pPr>
            <w:r>
              <w:rPr>
                <w:rFonts w:hint="eastAsia"/>
                <w:color w:val="auto"/>
                <w:highlight w:val="none"/>
                <w:lang w:val="en-US" w:eastAsia="zh-CN"/>
              </w:rPr>
              <w:t>⑤运输车辆限速运行，避免车辆扬尘；装卸设备及材料时轻拿轻放；</w:t>
            </w:r>
          </w:p>
          <w:p w14:paraId="34289841">
            <w:pPr>
              <w:bidi w:val="0"/>
              <w:rPr>
                <w:rFonts w:hint="eastAsia"/>
                <w:color w:val="auto"/>
                <w:highlight w:val="none"/>
                <w:lang w:val="en-US" w:eastAsia="zh-CN"/>
              </w:rPr>
            </w:pPr>
            <w:r>
              <w:rPr>
                <w:rFonts w:hint="eastAsia"/>
                <w:color w:val="auto"/>
                <w:highlight w:val="none"/>
                <w:lang w:val="en-US" w:eastAsia="zh-CN"/>
              </w:rPr>
              <w:t>⑥施工现场使用商品砼。原料应尽量采用石材、木材等成品或半成品，实施装配式施工，减少因石材、木材切割所造成的扬尘污染。</w:t>
            </w:r>
          </w:p>
          <w:p w14:paraId="286C57C6">
            <w:pPr>
              <w:bidi w:val="0"/>
              <w:rPr>
                <w:color w:val="auto"/>
                <w:kern w:val="0"/>
                <w:sz w:val="24"/>
                <w:szCs w:val="21"/>
                <w:highlight w:val="none"/>
              </w:rPr>
            </w:pPr>
            <w:r>
              <w:rPr>
                <w:rFonts w:hint="eastAsia"/>
                <w:color w:val="auto"/>
                <w:highlight w:val="none"/>
                <w:lang w:val="en-US" w:eastAsia="zh-CN"/>
              </w:rPr>
              <w:t>⑦</w:t>
            </w:r>
            <w:r>
              <w:rPr>
                <w:rFonts w:hint="default"/>
                <w:color w:val="auto"/>
                <w:highlight w:val="none"/>
              </w:rPr>
              <w:t>施工管理由专人负责，并设定专门负责人定期对施工扬尘污染防治措施以及环保管理进行检查和核实，严格按城市扬尘污染管理的有关规定和规范进行治理，尽量减少扬尘对环境的影响程度</w:t>
            </w:r>
            <w:r>
              <w:rPr>
                <w:rFonts w:hint="eastAsia"/>
                <w:color w:val="auto"/>
                <w:kern w:val="0"/>
                <w:sz w:val="24"/>
                <w:szCs w:val="21"/>
                <w:highlight w:val="none"/>
              </w:rPr>
              <w:t>。</w:t>
            </w:r>
          </w:p>
          <w:p w14:paraId="47B56145">
            <w:pPr>
              <w:pStyle w:val="102"/>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（2）汽车尾气、施工机械废气治理措施</w:t>
            </w:r>
          </w:p>
          <w:p w14:paraId="2772E4C6">
            <w:pPr>
              <w:bidi w:val="0"/>
              <w:rPr>
                <w:rFonts w:hint="default"/>
              </w:rPr>
            </w:pPr>
            <w:r>
              <w:rPr>
                <w:rFonts w:hint="default"/>
              </w:rPr>
              <w:t>施工期间，使用机动车运送原材料、设备和建筑机械设备的运转，均会排放一定量的CO、NOx以及未完全燃烧的THC等，其特点是排放量小，且属间断性无组织排放，由于其这一特点，加之施工场地开阔，扩散条件良好，因此对其不加处理也可达到相应的排放标准。本环评要求建设方对运输车辆加强保养，选取优质燃料，禁止运输车辆超载行驶；并做好施工现场的交通组织，避免因施工造成的交通阻塞，减少运输车辆怠速产生的废气排放，进一步降低其对外界环境的影响。</w:t>
            </w:r>
          </w:p>
          <w:p w14:paraId="5B4E480C">
            <w:pPr>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eastAsia="zh-CN"/>
              </w:rPr>
              <w:t>（</w:t>
            </w:r>
            <w:r>
              <w:rPr>
                <w:rFonts w:hint="eastAsia" w:cs="Times New Roman"/>
                <w:b/>
                <w:bCs w:val="0"/>
                <w:color w:val="auto"/>
                <w:sz w:val="24"/>
                <w:szCs w:val="24"/>
                <w:highlight w:val="none"/>
                <w:lang w:val="en-US" w:eastAsia="zh-CN"/>
              </w:rPr>
              <w:t>3</w:t>
            </w:r>
            <w:r>
              <w:rPr>
                <w:rFonts w:hint="eastAsia" w:cs="Times New Roman"/>
                <w:b/>
                <w:bCs w:val="0"/>
                <w:color w:val="auto"/>
                <w:sz w:val="24"/>
                <w:szCs w:val="24"/>
                <w:highlight w:val="none"/>
                <w:lang w:eastAsia="zh-CN"/>
              </w:rPr>
              <w:t>）</w:t>
            </w:r>
            <w:r>
              <w:rPr>
                <w:rFonts w:hint="eastAsia" w:cs="Times New Roman"/>
                <w:b/>
                <w:bCs w:val="0"/>
                <w:color w:val="auto"/>
                <w:sz w:val="24"/>
                <w:szCs w:val="24"/>
                <w:highlight w:val="none"/>
                <w:lang w:val="en-US" w:eastAsia="zh-CN"/>
              </w:rPr>
              <w:t>装修废气治理措施</w:t>
            </w:r>
          </w:p>
          <w:p w14:paraId="5CBEBE2F">
            <w:pPr>
              <w:bidi w:val="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lang w:val="en-US" w:eastAsia="zh-CN"/>
              </w:rPr>
              <w:t>项目室内外装修阶段会产生装修有机废气，为无组织排放，</w:t>
            </w:r>
            <w:r>
              <w:rPr>
                <w:rFonts w:hint="default" w:ascii="Times New Roman" w:hAnsi="Times New Roman" w:eastAsia="宋体" w:cs="Times New Roman"/>
                <w:color w:val="auto"/>
                <w:sz w:val="24"/>
                <w:szCs w:val="24"/>
                <w:highlight w:val="none"/>
              </w:rPr>
              <w:t>由于</w:t>
            </w:r>
            <w:r>
              <w:rPr>
                <w:rFonts w:hint="default" w:ascii="Times New Roman" w:hAnsi="Times New Roman" w:eastAsia="宋体" w:cs="Times New Roman"/>
                <w:color w:val="auto"/>
                <w:sz w:val="24"/>
                <w:szCs w:val="24"/>
                <w:highlight w:val="none"/>
                <w:lang w:val="en-US" w:eastAsia="zh-CN"/>
              </w:rPr>
              <w:t>装修有机</w:t>
            </w:r>
            <w:r>
              <w:rPr>
                <w:rFonts w:hint="default" w:ascii="Times New Roman" w:hAnsi="Times New Roman" w:eastAsia="宋体" w:cs="Times New Roman"/>
                <w:color w:val="auto"/>
                <w:sz w:val="24"/>
                <w:szCs w:val="24"/>
                <w:highlight w:val="none"/>
              </w:rPr>
              <w:t>废气的排放时间和部位不能明确，尤其是各建筑室内装修阶段随机性大，时间跨度很长，按该项目规模通常可达1-2年。因此，在装修期间，加强室内的通风换气，</w:t>
            </w:r>
            <w:r>
              <w:rPr>
                <w:rFonts w:hint="eastAsia" w:ascii="Times New Roman" w:hAnsi="Times New Roman" w:eastAsia="宋体" w:cs="Times New Roman"/>
                <w:color w:val="auto"/>
                <w:sz w:val="24"/>
                <w:szCs w:val="24"/>
                <w:highlight w:val="none"/>
                <w:lang w:val="en-US" w:eastAsia="zh-CN"/>
              </w:rPr>
              <w:t>装修</w:t>
            </w:r>
            <w:r>
              <w:rPr>
                <w:rFonts w:hint="default" w:ascii="Times New Roman" w:hAnsi="Times New Roman" w:eastAsia="宋体" w:cs="Times New Roman"/>
                <w:color w:val="auto"/>
                <w:sz w:val="24"/>
                <w:szCs w:val="24"/>
                <w:highlight w:val="none"/>
              </w:rPr>
              <w:t>结束完成以后，每天进行通风换气二至三个月后才入驻</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房屋使用后也要做到室内空气的流畅。同时，评价要求：建设单位装修时应使用无毒无害的环保节能建筑材料，涂料及装修材料的选取应按照原国家质检总局颁布的《室内装修材料10项有害物质限量》规定进行，严格控制室内甲醛、苯系物等挥发性有机物及放射性元素氡，使各项污染指标达到卫生部制定的《室内空气质量卫生规范》、国家质量监督检验检疫总局、国家环保总局、卫生部联合颁布的《室内环境空气质量标准》及《民用建筑工程室内环境污染控制标准》的限值要求，不对室内环境造成污染。</w:t>
            </w:r>
          </w:p>
          <w:p w14:paraId="40022941">
            <w:pPr>
              <w:adjustRightInd w:val="0"/>
              <w:snapToGrid w:val="0"/>
              <w:spacing w:line="360" w:lineRule="auto"/>
              <w:ind w:firstLine="482" w:firstLineChars="200"/>
              <w:rPr>
                <w:rFonts w:hint="default"/>
                <w:color w:val="auto"/>
                <w:kern w:val="0"/>
                <w:sz w:val="24"/>
                <w:szCs w:val="21"/>
                <w:highlight w:val="none"/>
              </w:rPr>
            </w:pPr>
            <w:r>
              <w:rPr>
                <w:rFonts w:hint="default"/>
                <w:b/>
                <w:bCs/>
                <w:color w:val="auto"/>
                <w:kern w:val="0"/>
                <w:sz w:val="24"/>
                <w:szCs w:val="21"/>
                <w:highlight w:val="none"/>
              </w:rPr>
              <w:t>项目施工建设过程中废气排放将对外环境造成一定影响，在采取以上大气污染物防治措施后，加上项目所在场地</w:t>
            </w:r>
            <w:r>
              <w:rPr>
                <w:rFonts w:hint="eastAsia"/>
                <w:b/>
                <w:bCs/>
                <w:color w:val="auto"/>
                <w:kern w:val="0"/>
                <w:sz w:val="24"/>
                <w:szCs w:val="21"/>
                <w:highlight w:val="none"/>
                <w:lang w:val="en-US" w:eastAsia="zh-CN"/>
              </w:rPr>
              <w:t>四周无高大建筑物</w:t>
            </w:r>
            <w:r>
              <w:rPr>
                <w:rFonts w:hint="default"/>
                <w:b/>
                <w:bCs/>
                <w:color w:val="auto"/>
                <w:kern w:val="0"/>
                <w:sz w:val="24"/>
                <w:szCs w:val="21"/>
                <w:highlight w:val="none"/>
              </w:rPr>
              <w:t>，废气扩散条件较好，</w:t>
            </w:r>
            <w:r>
              <w:rPr>
                <w:rFonts w:hint="eastAsia"/>
                <w:b/>
                <w:bCs/>
                <w:color w:val="auto"/>
                <w:kern w:val="0"/>
                <w:sz w:val="24"/>
                <w:szCs w:val="21"/>
                <w:highlight w:val="none"/>
                <w:lang w:eastAsia="zh-CN"/>
              </w:rPr>
              <w:t>本项目</w:t>
            </w:r>
            <w:r>
              <w:rPr>
                <w:rFonts w:hint="default"/>
                <w:b/>
                <w:bCs/>
                <w:color w:val="auto"/>
                <w:kern w:val="0"/>
                <w:sz w:val="24"/>
                <w:szCs w:val="21"/>
                <w:highlight w:val="none"/>
              </w:rPr>
              <w:t>施工阶段产生的废气可达标排放，对项目外环境影响很小。</w:t>
            </w:r>
          </w:p>
          <w:p w14:paraId="7C55165B">
            <w:pPr>
              <w:adjustRightInd w:val="0"/>
              <w:snapToGrid w:val="0"/>
              <w:spacing w:line="360" w:lineRule="auto"/>
              <w:ind w:firstLine="482" w:firstLineChars="200"/>
              <w:jc w:val="left"/>
              <w:rPr>
                <w:rFonts w:hint="default" w:ascii="黑体" w:hAnsi="黑体" w:eastAsia="黑体" w:cs="黑体"/>
                <w:b/>
                <w:color w:val="auto"/>
                <w:sz w:val="24"/>
                <w:highlight w:val="none"/>
              </w:rPr>
            </w:pPr>
            <w:r>
              <w:rPr>
                <w:rFonts w:hint="default" w:ascii="黑体" w:hAnsi="黑体" w:eastAsia="黑体" w:cs="黑体"/>
                <w:b/>
                <w:color w:val="auto"/>
                <w:sz w:val="24"/>
                <w:highlight w:val="none"/>
              </w:rPr>
              <w:t>2、废水</w:t>
            </w:r>
          </w:p>
          <w:p w14:paraId="23319FCB">
            <w:pPr>
              <w:adjustRightInd w:val="0"/>
              <w:snapToGrid w:val="0"/>
              <w:spacing w:line="360" w:lineRule="auto"/>
              <w:ind w:firstLine="480" w:firstLineChars="200"/>
              <w:rPr>
                <w:rFonts w:hint="default"/>
                <w:color w:val="auto"/>
                <w:kern w:val="0"/>
                <w:sz w:val="24"/>
                <w:szCs w:val="21"/>
                <w:highlight w:val="none"/>
              </w:rPr>
            </w:pPr>
            <w:r>
              <w:rPr>
                <w:rFonts w:hint="default"/>
                <w:color w:val="auto"/>
                <w:kern w:val="0"/>
                <w:sz w:val="24"/>
                <w:szCs w:val="21"/>
                <w:highlight w:val="none"/>
              </w:rPr>
              <w:t>项目施工期废水主要来自施工人员生活污水。</w:t>
            </w:r>
          </w:p>
          <w:p w14:paraId="5A8F1D3E">
            <w:pPr>
              <w:adjustRightInd w:val="0"/>
              <w:snapToGrid w:val="0"/>
              <w:spacing w:line="360" w:lineRule="auto"/>
              <w:ind w:firstLine="480" w:firstLineChars="200"/>
              <w:rPr>
                <w:rFonts w:hint="default"/>
                <w:color w:val="auto"/>
                <w:kern w:val="0"/>
                <w:sz w:val="24"/>
                <w:szCs w:val="21"/>
                <w:highlight w:val="none"/>
              </w:rPr>
            </w:pPr>
            <w:r>
              <w:rPr>
                <w:rFonts w:hint="default"/>
                <w:color w:val="auto"/>
                <w:kern w:val="0"/>
                <w:sz w:val="24"/>
                <w:szCs w:val="21"/>
                <w:highlight w:val="none"/>
              </w:rPr>
              <w:t>本项目施工高峰期工人约20人，每天人均生活用水以50L/d计，则施工期用水1.0m3/d；排水按用水的80％计，则排水0.8m</w:t>
            </w:r>
            <w:r>
              <w:rPr>
                <w:rFonts w:hint="default"/>
                <w:color w:val="auto"/>
                <w:kern w:val="0"/>
                <w:sz w:val="24"/>
                <w:szCs w:val="21"/>
                <w:highlight w:val="none"/>
                <w:vertAlign w:val="superscript"/>
              </w:rPr>
              <w:t>3</w:t>
            </w:r>
            <w:r>
              <w:rPr>
                <w:rFonts w:hint="default"/>
                <w:color w:val="auto"/>
                <w:kern w:val="0"/>
                <w:sz w:val="24"/>
                <w:szCs w:val="21"/>
                <w:highlight w:val="none"/>
              </w:rPr>
              <w:t>/d。生活污水拟经市政污水管网排入</w:t>
            </w:r>
            <w:r>
              <w:rPr>
                <w:rFonts w:hint="eastAsia"/>
                <w:color w:val="auto"/>
                <w:kern w:val="0"/>
                <w:sz w:val="24"/>
                <w:szCs w:val="21"/>
                <w:highlight w:val="none"/>
                <w:lang w:val="en-US" w:eastAsia="zh-CN"/>
              </w:rPr>
              <w:t>龙眼井</w:t>
            </w:r>
            <w:r>
              <w:rPr>
                <w:rFonts w:hint="default"/>
                <w:color w:val="auto"/>
                <w:kern w:val="0"/>
                <w:sz w:val="24"/>
                <w:szCs w:val="21"/>
                <w:highlight w:val="none"/>
              </w:rPr>
              <w:t>污水处理厂处理。</w:t>
            </w:r>
          </w:p>
          <w:p w14:paraId="1D5ABE83">
            <w:pPr>
              <w:adjustRightInd w:val="0"/>
              <w:snapToGrid w:val="0"/>
              <w:spacing w:line="360" w:lineRule="auto"/>
              <w:ind w:firstLine="480" w:firstLineChars="200"/>
              <w:rPr>
                <w:rFonts w:hint="default"/>
                <w:color w:val="auto"/>
                <w:kern w:val="0"/>
                <w:sz w:val="24"/>
                <w:szCs w:val="21"/>
                <w:highlight w:val="none"/>
              </w:rPr>
            </w:pPr>
            <w:r>
              <w:rPr>
                <w:rFonts w:hint="default"/>
                <w:color w:val="auto"/>
                <w:kern w:val="0"/>
                <w:sz w:val="24"/>
                <w:szCs w:val="21"/>
                <w:highlight w:val="none"/>
              </w:rPr>
              <w:t>综上所述，在采取上述处理措施后，项目施工期产生的污水不会对周围地表水环境产生影响。</w:t>
            </w:r>
          </w:p>
          <w:p w14:paraId="10EF4742">
            <w:pPr>
              <w:adjustRightInd w:val="0"/>
              <w:snapToGrid w:val="0"/>
              <w:spacing w:line="360" w:lineRule="auto"/>
              <w:ind w:firstLine="482" w:firstLineChars="200"/>
              <w:jc w:val="left"/>
              <w:rPr>
                <w:rFonts w:hint="default" w:ascii="黑体" w:hAnsi="黑体" w:eastAsia="黑体" w:cs="黑体"/>
                <w:b/>
                <w:color w:val="auto"/>
                <w:sz w:val="24"/>
                <w:highlight w:val="none"/>
              </w:rPr>
            </w:pPr>
            <w:r>
              <w:rPr>
                <w:rFonts w:hint="default" w:ascii="黑体" w:hAnsi="黑体" w:eastAsia="黑体" w:cs="黑体"/>
                <w:b/>
                <w:color w:val="auto"/>
                <w:sz w:val="24"/>
                <w:highlight w:val="none"/>
              </w:rPr>
              <w:t>3、噪声</w:t>
            </w:r>
          </w:p>
          <w:p w14:paraId="22881026">
            <w:pPr>
              <w:adjustRightInd w:val="0"/>
              <w:snapToGrid w:val="0"/>
              <w:spacing w:line="360" w:lineRule="auto"/>
              <w:ind w:firstLine="480" w:firstLineChars="200"/>
              <w:rPr>
                <w:rFonts w:hint="default"/>
                <w:color w:val="auto"/>
                <w:kern w:val="0"/>
                <w:sz w:val="24"/>
                <w:szCs w:val="21"/>
                <w:highlight w:val="none"/>
              </w:rPr>
            </w:pPr>
            <w:r>
              <w:rPr>
                <w:rFonts w:hint="default"/>
                <w:color w:val="auto"/>
                <w:kern w:val="0"/>
                <w:sz w:val="24"/>
                <w:szCs w:val="21"/>
                <w:highlight w:val="none"/>
              </w:rPr>
              <w:t>（1）产生情况</w:t>
            </w:r>
          </w:p>
          <w:p w14:paraId="43FED8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b w:val="0"/>
                <w:bCs/>
                <w:color w:val="auto"/>
                <w:sz w:val="24"/>
                <w:szCs w:val="24"/>
                <w:highlight w:val="none"/>
              </w:rPr>
              <w:t>施工期间，施工用机械设备主要有：电锯、</w:t>
            </w:r>
            <w:r>
              <w:rPr>
                <w:rFonts w:hint="eastAsia" w:cs="Times New Roman"/>
                <w:b w:val="0"/>
                <w:bCs/>
                <w:color w:val="auto"/>
                <w:sz w:val="24"/>
                <w:szCs w:val="24"/>
                <w:highlight w:val="none"/>
                <w:lang w:val="en-US" w:eastAsia="zh-CN"/>
              </w:rPr>
              <w:t>电钻</w:t>
            </w:r>
            <w:r>
              <w:rPr>
                <w:rFonts w:hint="default" w:ascii="Times New Roman" w:hAnsi="Times New Roman" w:cs="Times New Roman"/>
                <w:b w:val="0"/>
                <w:bCs/>
                <w:color w:val="auto"/>
                <w:sz w:val="24"/>
                <w:szCs w:val="24"/>
                <w:highlight w:val="none"/>
              </w:rPr>
              <w:t>等建筑施工机械以及运送建材的载重汽车等，均属强噪声源，这些设备的噪声对周围环境影响较大，</w:t>
            </w:r>
            <w:r>
              <w:rPr>
                <w:rFonts w:hint="default" w:ascii="Times New Roman" w:hAnsi="Times New Roman" w:cs="Times New Roman"/>
                <w:b w:val="0"/>
                <w:bCs/>
                <w:color w:val="auto"/>
                <w:sz w:val="24"/>
                <w:szCs w:val="24"/>
                <w:highlight w:val="none"/>
                <w:lang w:val="en-US" w:eastAsia="zh-CN"/>
              </w:rPr>
              <w:t>设备噪声值在75</w:t>
            </w:r>
            <w:r>
              <w:rPr>
                <w:rFonts w:hint="default" w:ascii="Times New Roman" w:hAnsi="Times New Roman" w:cs="Times New Roman"/>
                <w:b w:val="0"/>
                <w:bCs/>
                <w:color w:val="auto"/>
                <w:sz w:val="24"/>
                <w:szCs w:val="24"/>
                <w:highlight w:val="none"/>
              </w:rPr>
              <w:t>dB（A）以上，施工作业噪声将会对周边的外环境带来一定的影响。为实现厂界噪声实现达标排放，防止对周围企业造成影响，本环评要求采取以下噪声防治措施：</w:t>
            </w:r>
          </w:p>
          <w:p w14:paraId="0EFC0AB0">
            <w:pPr>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施工时采用降噪作业方式：施工机械选型时尽量选用可替代的低噪声的设备，对动力机械设备进行定期的维修、养护，避免设备因松动部件的振动或消声器的损坏而增加其工作时的声压级，设备用完后或不用时应立即关闭。</w:t>
            </w:r>
          </w:p>
          <w:p w14:paraId="7E0617FD">
            <w:pPr>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②合理设计施工总平面图：合理布置产噪区，如将高噪设备等设置在远期居民点一侧，减小对周围敏感点的影响。</w:t>
            </w:r>
          </w:p>
          <w:p w14:paraId="474066C2">
            <w:pPr>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③合理安排施工工序，尽量缩短施工周期。</w:t>
            </w:r>
          </w:p>
          <w:p w14:paraId="493E7676">
            <w:pPr>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④合理安排施工时间：将强噪声作业尽量安排在白天进行；如果工艺要求必须连续作业的强噪声施工，制订施工计划时，应尽可能避免大量高噪声设备同时施工；尽量不在夜间施工，除非必须连续作业</w:t>
            </w:r>
            <w:r>
              <w:rPr>
                <w:rFonts w:hint="eastAsia"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rPr>
              <w:t>施工工艺，</w:t>
            </w:r>
            <w:r>
              <w:rPr>
                <w:rFonts w:hint="eastAsia" w:cs="Times New Roman"/>
                <w:color w:val="auto"/>
                <w:sz w:val="24"/>
                <w:highlight w:val="none"/>
                <w:lang w:val="en-US" w:eastAsia="zh-CN"/>
              </w:rPr>
              <w:t>如</w:t>
            </w:r>
            <w:r>
              <w:rPr>
                <w:rFonts w:hint="default" w:ascii="Times New Roman" w:hAnsi="Times New Roman" w:cs="Times New Roman"/>
                <w:color w:val="auto"/>
                <w:sz w:val="24"/>
                <w:highlight w:val="none"/>
              </w:rPr>
              <w:t>钻孔灌注桩机钻孔、清孔和灌注砼，土石方阶段挖基坑，屋面浇砼等，其他情况如装修阶段的切割机、电锯、电钻、电</w:t>
            </w:r>
            <w:r>
              <w:rPr>
                <w:rFonts w:hint="default" w:ascii="Times New Roman" w:hAnsi="Times New Roman" w:cs="Times New Roman"/>
                <w:color w:val="auto"/>
                <w:sz w:val="24"/>
                <w:highlight w:val="none"/>
                <w:lang w:eastAsia="zh-CN"/>
              </w:rPr>
              <w:t>打磨片</w:t>
            </w:r>
            <w:r>
              <w:rPr>
                <w:rFonts w:hint="default" w:ascii="Times New Roman" w:hAnsi="Times New Roman" w:cs="Times New Roman"/>
                <w:color w:val="auto"/>
                <w:sz w:val="24"/>
                <w:highlight w:val="none"/>
              </w:rPr>
              <w:t>、水磨石机、钢模板作业、禁止夜间施工；特殊需要在夜间施工的，应首先征得当地城管等行政主管部门及周边住户的同意。</w:t>
            </w:r>
          </w:p>
          <w:p w14:paraId="77D8D322">
            <w:pPr>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⑤最大限度地降低人为噪音：不要采取噪声较大的钢模板作业方式；在操作中尽量避免敲打砼导管；搬卸物品应轻放，施工工具不要乱扔、远扔；运输车辆进入现场应减速、并减少鸣笛等。</w:t>
            </w:r>
          </w:p>
          <w:p w14:paraId="6EED4C54">
            <w:pPr>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⑥严格执行中高考禁噪的要求。</w:t>
            </w:r>
          </w:p>
          <w:p w14:paraId="6A53AF15">
            <w:pPr>
              <w:keepLines w:val="0"/>
              <w:pageBreakBefore w:val="0"/>
              <w:widowControl w:val="0"/>
              <w:kinsoku/>
              <w:wordWrap/>
              <w:overflowPunct/>
              <w:topLinePunct w:val="0"/>
              <w:bidi w:val="0"/>
              <w:spacing w:line="360" w:lineRule="auto"/>
              <w:ind w:firstLine="482" w:firstLineChars="200"/>
              <w:jc w:val="left"/>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综上所述，施工期噪声经过采取上述措施后，可有效降低施工期间的施工噪声，减轻对周围环境的影响。</w:t>
            </w:r>
          </w:p>
          <w:p w14:paraId="65ADC526">
            <w:pPr>
              <w:adjustRightInd w:val="0"/>
              <w:snapToGrid w:val="0"/>
              <w:spacing w:line="360" w:lineRule="auto"/>
              <w:ind w:firstLine="482" w:firstLineChars="200"/>
              <w:jc w:val="left"/>
              <w:rPr>
                <w:rFonts w:hint="default" w:ascii="黑体" w:hAnsi="黑体" w:eastAsia="黑体" w:cs="黑体"/>
                <w:b/>
                <w:color w:val="auto"/>
                <w:sz w:val="24"/>
                <w:highlight w:val="none"/>
              </w:rPr>
            </w:pPr>
            <w:r>
              <w:rPr>
                <w:rFonts w:hint="default" w:ascii="黑体" w:hAnsi="黑体" w:eastAsia="黑体" w:cs="黑体"/>
                <w:b/>
                <w:color w:val="auto"/>
                <w:sz w:val="24"/>
                <w:highlight w:val="none"/>
              </w:rPr>
              <w:t>4、固体废弃物</w:t>
            </w:r>
          </w:p>
          <w:p w14:paraId="7D5C4557">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项目施工期固废主要为建筑垃圾、开挖土方、设备安装过程中会产生废包装材料及工作人员的生活垃圾等。</w:t>
            </w:r>
          </w:p>
          <w:p w14:paraId="0CB287BE">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rPr>
              <w:t>）建筑垃圾</w:t>
            </w:r>
          </w:p>
          <w:p w14:paraId="3491A37A">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本项目主要产生的建筑垃圾有废混凝土块等。建筑垃圾</w:t>
            </w:r>
            <w:r>
              <w:rPr>
                <w:rFonts w:hint="default" w:ascii="Times New Roman" w:hAnsi="Times New Roman" w:cs="Times New Roman"/>
                <w:color w:val="auto"/>
                <w:sz w:val="24"/>
                <w:highlight w:val="none"/>
              </w:rPr>
              <w:t>分类集中堆存，对</w:t>
            </w:r>
            <w:r>
              <w:rPr>
                <w:rFonts w:hint="eastAsia" w:cs="Times New Roman"/>
                <w:color w:val="auto"/>
                <w:sz w:val="24"/>
                <w:highlight w:val="none"/>
                <w:lang w:val="en-US" w:eastAsia="zh-CN"/>
              </w:rPr>
              <w:t>未沾染危险特性物质的废包装材料</w:t>
            </w:r>
            <w:r>
              <w:rPr>
                <w:rFonts w:hint="default" w:ascii="Times New Roman" w:hAnsi="Times New Roman" w:cs="Times New Roman"/>
                <w:color w:val="auto"/>
                <w:sz w:val="24"/>
                <w:highlight w:val="none"/>
              </w:rPr>
              <w:t>等可分类回收，交废物收购站处理；不能回收的建筑垃圾，如混凝土废料、含砖、石、砂的杂土等应集中堆放（树立标示牌），并进行防雨、防漏处理，委托清运单位及时清运至当地建筑垃圾填埋场堆放。</w:t>
            </w:r>
          </w:p>
          <w:p w14:paraId="62AAF794">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w:t>
            </w:r>
            <w:r>
              <w:rPr>
                <w:rFonts w:hint="eastAsia" w:cs="Times New Roman"/>
                <w:b/>
                <w:bCs/>
                <w:color w:val="auto"/>
                <w:sz w:val="24"/>
                <w:highlight w:val="none"/>
                <w:lang w:val="en-US" w:eastAsia="zh-CN"/>
              </w:rPr>
              <w:t>开挖土石方</w:t>
            </w:r>
          </w:p>
          <w:p w14:paraId="7EFF8C8A">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项目施工过程中</w:t>
            </w:r>
            <w:r>
              <w:rPr>
                <w:rFonts w:hint="default" w:ascii="Times New Roman" w:hAnsi="Times New Roman" w:eastAsia="宋体" w:cs="Times New Roman"/>
                <w:color w:val="auto"/>
                <w:sz w:val="24"/>
                <w:szCs w:val="24"/>
                <w:highlight w:val="none"/>
              </w:rPr>
              <w:t>弃方</w:t>
            </w:r>
            <w:r>
              <w:rPr>
                <w:rFonts w:hint="default" w:ascii="Times New Roman" w:hAnsi="Times New Roman" w:eastAsia="宋体" w:cs="Times New Roman"/>
                <w:color w:val="auto"/>
                <w:sz w:val="24"/>
                <w:szCs w:val="24"/>
                <w:highlight w:val="none"/>
                <w:lang w:val="en-US" w:eastAsia="zh-CN"/>
              </w:rPr>
              <w:t>用于回填，未回填土石方</w:t>
            </w:r>
            <w:r>
              <w:rPr>
                <w:rFonts w:hint="default" w:ascii="Times New Roman" w:hAnsi="Times New Roman" w:eastAsia="宋体" w:cs="Times New Roman"/>
                <w:color w:val="auto"/>
                <w:sz w:val="24"/>
                <w:szCs w:val="24"/>
                <w:highlight w:val="none"/>
              </w:rPr>
              <w:t>及时运至市政建设部门指定的弃土堆放场。开挖土石方时，开挖的土石方在施工现场临时堆放。由于堆放过程中如遇降雨容易形成水土流失而造成对场地原有水系和受纳水道的影响。因此，在进行开挖土石方作业时，需做到以下几点：①不得在雨季进行开挖作业或小规模作业；②对开挖出的土石方采取纱网遮盖措施。同时，施工单位应采取以下措施：</w:t>
            </w:r>
          </w:p>
          <w:p w14:paraId="253FC5BD">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①开挖出的土石方应加装围栏，表面用毡布覆盖，对项目外运的土石方在运输过程中要严格要求，不得造成尘土洒落、飘溢等现象。</w:t>
            </w:r>
          </w:p>
          <w:p w14:paraId="22A431F9">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②控制废弃土石和回填土量以控制临时堆放占地面积，在土石堆上覆盖塑料薄膜。</w:t>
            </w:r>
          </w:p>
          <w:p w14:paraId="69FF9B5C">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根据项目所处位置及施工特点，应选择合理的渣土运输路线。为避免渣土运输过程中对运输路线产生较大影响，项目渣土从施工场地运出后，应对运渣车采取遮盖措施，运渣车车速不可高于40km/h，严禁运输过程中在居民点鸣笛。</w:t>
            </w:r>
          </w:p>
          <w:p w14:paraId="295B4F9E">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④运输车辆出场地时，对车胎进行冲洗，未经冲洗的车辆不得出场。运输车辆必须对车斗进行覆盖，减小车斗内的土石方的扬尘产生量。</w:t>
            </w:r>
          </w:p>
          <w:p w14:paraId="62ED93E3">
            <w:pPr>
              <w:spacing w:line="360" w:lineRule="auto"/>
              <w:ind w:firstLine="480" w:firstLineChars="200"/>
              <w:jc w:val="left"/>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color w:val="auto"/>
                <w:sz w:val="24"/>
                <w:szCs w:val="24"/>
                <w:highlight w:val="none"/>
              </w:rPr>
              <w:t>⑤运输作业不得在上下班高峰期进行，即7</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00-9</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00，17:00-19:00，在运输途中，不得有超速、鸣笛现象发生</w:t>
            </w:r>
            <w:r>
              <w:rPr>
                <w:rFonts w:hint="default" w:ascii="Times New Roman" w:hAnsi="Times New Roman" w:cs="Times New Roman"/>
                <w:b w:val="0"/>
                <w:bCs w:val="0"/>
                <w:color w:val="auto"/>
                <w:sz w:val="24"/>
                <w:highlight w:val="none"/>
                <w:lang w:eastAsia="zh-CN"/>
              </w:rPr>
              <w:t>。</w:t>
            </w:r>
          </w:p>
          <w:p w14:paraId="1EAA7631">
            <w:pPr>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）生活垃圾</w:t>
            </w:r>
          </w:p>
          <w:p w14:paraId="1763CBCA">
            <w:pPr>
              <w:spacing w:line="360" w:lineRule="auto"/>
              <w:ind w:firstLine="480" w:firstLineChars="200"/>
              <w:jc w:val="left"/>
              <w:rPr>
                <w:rFonts w:hint="default" w:ascii="Times New Roman" w:hAnsi="Times New Roman" w:cs="Times New Roman"/>
                <w:color w:val="auto"/>
                <w:sz w:val="24"/>
                <w:highlight w:val="none"/>
              </w:rPr>
            </w:pPr>
            <w:r>
              <w:rPr>
                <w:rFonts w:hint="default"/>
                <w:color w:val="auto"/>
                <w:highlight w:val="none"/>
              </w:rPr>
              <w:t>本项目施工高峰期</w:t>
            </w:r>
            <w:r>
              <w:rPr>
                <w:rFonts w:hint="default"/>
                <w:color w:val="auto"/>
                <w:highlight w:val="none"/>
                <w:lang w:val="en-US" w:eastAsia="zh-CN"/>
              </w:rPr>
              <w:t>工人</w:t>
            </w:r>
            <w:r>
              <w:rPr>
                <w:rFonts w:hint="default"/>
                <w:color w:val="auto"/>
                <w:highlight w:val="none"/>
              </w:rPr>
              <w:t>约</w:t>
            </w:r>
            <w:r>
              <w:rPr>
                <w:rFonts w:hint="eastAsia"/>
                <w:color w:val="auto"/>
                <w:highlight w:val="none"/>
                <w:lang w:val="en-US" w:eastAsia="zh-CN"/>
              </w:rPr>
              <w:t>2</w:t>
            </w:r>
            <w:r>
              <w:rPr>
                <w:rFonts w:hint="default"/>
                <w:color w:val="auto"/>
                <w:highlight w:val="none"/>
              </w:rPr>
              <w:t>0人</w:t>
            </w:r>
            <w:r>
              <w:rPr>
                <w:rFonts w:hint="default" w:ascii="Times New Roman" w:hAnsi="Times New Roman" w:cs="Times New Roman"/>
                <w:color w:val="auto"/>
                <w:sz w:val="24"/>
                <w:highlight w:val="none"/>
              </w:rPr>
              <w:t>，产生的生活垃圾按0.5kg/人·d计，则产生量为</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kg/d。在施工场地内设置垃圾桶集中收集，定期运至附近的垃圾站，由环卫部门统一处理。</w:t>
            </w:r>
          </w:p>
          <w:p w14:paraId="7FF41812">
            <w:pPr>
              <w:spacing w:line="360" w:lineRule="auto"/>
              <w:ind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综上所述，项目施工期在严格落实本次评价提出的上述措施后，其施工期的固体废物可实现资源化利用和妥善处置，不至造成二次污染。</w:t>
            </w:r>
          </w:p>
          <w:p w14:paraId="58917107">
            <w:pPr>
              <w:spacing w:line="360" w:lineRule="auto"/>
              <w:ind w:firstLine="482" w:firstLineChars="200"/>
              <w:jc w:val="left"/>
              <w:rPr>
                <w:rFonts w:hint="default" w:ascii="Times New Roman" w:hAnsi="Times New Roman" w:cs="Times New Roman"/>
                <w:b/>
                <w:bCs/>
                <w:color w:val="auto"/>
                <w:sz w:val="24"/>
                <w:highlight w:val="none"/>
              </w:rPr>
            </w:pPr>
          </w:p>
          <w:p w14:paraId="0C984D7B">
            <w:pPr>
              <w:pStyle w:val="2"/>
              <w:rPr>
                <w:color w:val="auto"/>
                <w:kern w:val="0"/>
                <w:sz w:val="24"/>
                <w:highlight w:val="none"/>
              </w:rPr>
            </w:pPr>
          </w:p>
          <w:p w14:paraId="65648C6F">
            <w:pPr>
              <w:pStyle w:val="2"/>
              <w:rPr>
                <w:color w:val="auto"/>
                <w:kern w:val="0"/>
                <w:sz w:val="24"/>
                <w:highlight w:val="none"/>
              </w:rPr>
            </w:pPr>
          </w:p>
          <w:p w14:paraId="6FBEAF38">
            <w:pPr>
              <w:pStyle w:val="2"/>
              <w:rPr>
                <w:color w:val="auto"/>
                <w:kern w:val="0"/>
                <w:sz w:val="24"/>
                <w:highlight w:val="none"/>
              </w:rPr>
            </w:pPr>
          </w:p>
          <w:p w14:paraId="3BBA346C">
            <w:pPr>
              <w:pStyle w:val="2"/>
              <w:ind w:left="0" w:leftChars="0" w:firstLine="0" w:firstLineChars="0"/>
              <w:rPr>
                <w:color w:val="auto"/>
                <w:kern w:val="0"/>
                <w:sz w:val="24"/>
                <w:highlight w:val="none"/>
              </w:rPr>
            </w:pPr>
          </w:p>
        </w:tc>
      </w:tr>
    </w:tbl>
    <w:p w14:paraId="1EDD6446">
      <w:pPr>
        <w:ind w:firstLine="420"/>
        <w:rPr>
          <w:color w:val="auto"/>
          <w:highlight w:val="none"/>
        </w:rPr>
        <w:sectPr>
          <w:headerReference r:id="rId13" w:type="default"/>
          <w:pgSz w:w="11905" w:h="16838"/>
          <w:pgMar w:top="1701" w:right="1134" w:bottom="1701" w:left="1134"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9436"/>
      </w:tblGrid>
      <w:tr w14:paraId="2B3B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2" w:hRule="atLeast"/>
        </w:trPr>
        <w:tc>
          <w:tcPr>
            <w:tcW w:w="417" w:type="dxa"/>
            <w:vAlign w:val="center"/>
          </w:tcPr>
          <w:p w14:paraId="6A04536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highlight w:val="none"/>
              </w:rPr>
            </w:pPr>
            <w:r>
              <w:rPr>
                <w:rFonts w:hint="eastAsia"/>
                <w:b/>
                <w:bCs/>
                <w:color w:val="auto"/>
                <w:highlight w:val="none"/>
              </w:rPr>
              <w:t>运营期环境影响和保护措施</w:t>
            </w:r>
          </w:p>
        </w:tc>
        <w:tc>
          <w:tcPr>
            <w:tcW w:w="9436" w:type="dxa"/>
          </w:tcPr>
          <w:p w14:paraId="60114A5B">
            <w:pPr>
              <w:adjustRightInd w:val="0"/>
              <w:snapToGrid w:val="0"/>
              <w:spacing w:line="360" w:lineRule="auto"/>
              <w:ind w:firstLine="482" w:firstLineChars="200"/>
              <w:jc w:val="left"/>
              <w:rPr>
                <w:rFonts w:hint="default" w:ascii="黑体" w:hAnsi="黑体" w:eastAsia="黑体" w:cs="黑体"/>
                <w:b/>
                <w:color w:val="auto"/>
                <w:sz w:val="24"/>
                <w:highlight w:val="none"/>
              </w:rPr>
            </w:pPr>
            <w:r>
              <w:rPr>
                <w:rFonts w:hint="default" w:ascii="黑体" w:hAnsi="黑体" w:eastAsia="黑体" w:cs="黑体"/>
                <w:b/>
                <w:color w:val="auto"/>
                <w:sz w:val="24"/>
                <w:highlight w:val="none"/>
              </w:rPr>
              <w:t>（二）运营期环境影响和保护措施</w:t>
            </w:r>
          </w:p>
          <w:p w14:paraId="6C70F416">
            <w:pPr>
              <w:adjustRightInd w:val="0"/>
              <w:snapToGrid w:val="0"/>
              <w:spacing w:line="360" w:lineRule="auto"/>
              <w:ind w:firstLine="482" w:firstLineChars="200"/>
              <w:jc w:val="left"/>
              <w:rPr>
                <w:rFonts w:hint="default"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val="en-US" w:eastAsia="zh-CN"/>
              </w:rPr>
              <w:t>1、废气</w:t>
            </w:r>
          </w:p>
          <w:p w14:paraId="6C96D0E1">
            <w:pPr>
              <w:widowControl/>
              <w:spacing w:line="360" w:lineRule="auto"/>
              <w:ind w:firstLine="482" w:firstLineChars="200"/>
              <w:jc w:val="both"/>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废气产生点统计：</w:t>
            </w:r>
            <w:r>
              <w:rPr>
                <w:rFonts w:hint="default" w:ascii="Times New Roman" w:hAnsi="Times New Roman" w:eastAsia="宋体" w:cs="Times New Roman"/>
                <w:b w:val="0"/>
                <w:bCs/>
                <w:color w:val="auto"/>
                <w:kern w:val="2"/>
                <w:sz w:val="24"/>
                <w:szCs w:val="24"/>
                <w:highlight w:val="none"/>
                <w:lang w:val="en-US" w:eastAsia="zh-CN" w:bidi="ar-SA"/>
              </w:rPr>
              <w:t>本项目废气污染物产生点及收集方式情况见下表：</w:t>
            </w:r>
          </w:p>
          <w:p w14:paraId="6195DC87">
            <w:pPr>
              <w:pStyle w:val="14"/>
              <w:bidi w:val="0"/>
              <w:rPr>
                <w:rFonts w:hint="default"/>
                <w:color w:val="auto"/>
                <w:highlight w:val="none"/>
                <w:lang w:val="en-US" w:eastAsia="zh-CN"/>
              </w:rPr>
            </w:pPr>
            <w:r>
              <w:rPr>
                <w:rFonts w:hint="default"/>
                <w:color w:val="auto"/>
                <w:highlight w:val="none"/>
                <w:lang w:val="en-US" w:eastAsia="zh-CN"/>
              </w:rPr>
              <w:t>表4-</w:t>
            </w:r>
            <w:r>
              <w:rPr>
                <w:rFonts w:hint="default"/>
                <w:color w:val="auto"/>
                <w:highlight w:val="none"/>
                <w:lang w:val="en-US" w:eastAsia="zh-CN"/>
              </w:rPr>
              <w:fldChar w:fldCharType="begin"/>
            </w:r>
            <w:r>
              <w:rPr>
                <w:rFonts w:hint="default"/>
                <w:color w:val="auto"/>
                <w:highlight w:val="none"/>
                <w:lang w:val="en-US" w:eastAsia="zh-CN"/>
              </w:rPr>
              <w:instrText xml:space="preserve"> SEQ 表4- \* ARABIC </w:instrText>
            </w:r>
            <w:r>
              <w:rPr>
                <w:rFonts w:hint="default"/>
                <w:color w:val="auto"/>
                <w:highlight w:val="none"/>
                <w:lang w:val="en-US" w:eastAsia="zh-CN"/>
              </w:rPr>
              <w:fldChar w:fldCharType="separate"/>
            </w:r>
            <w:r>
              <w:rPr>
                <w:rFonts w:hint="default"/>
                <w:color w:val="auto"/>
                <w:highlight w:val="none"/>
                <w:lang w:val="en-US" w:eastAsia="zh-CN"/>
              </w:rPr>
              <w:t>1</w:t>
            </w:r>
            <w:r>
              <w:rPr>
                <w:rFonts w:hint="default"/>
                <w:color w:val="auto"/>
                <w:highlight w:val="none"/>
                <w:lang w:val="en-US" w:eastAsia="zh-CN"/>
              </w:rPr>
              <w:fldChar w:fldCharType="end"/>
            </w:r>
            <w:r>
              <w:rPr>
                <w:rFonts w:hint="eastAsia"/>
                <w:color w:val="auto"/>
                <w:highlight w:val="none"/>
                <w:lang w:val="en-US" w:eastAsia="zh-CN"/>
              </w:rPr>
              <w:t xml:space="preserve">  </w:t>
            </w:r>
            <w:r>
              <w:rPr>
                <w:rFonts w:hint="default"/>
                <w:color w:val="auto"/>
                <w:highlight w:val="none"/>
                <w:lang w:val="en-US" w:eastAsia="zh-CN"/>
              </w:rPr>
              <w:t>废气污染物产生点、收集方式及收集效率一览表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515"/>
              <w:gridCol w:w="1080"/>
              <w:gridCol w:w="1147"/>
              <w:gridCol w:w="1417"/>
              <w:gridCol w:w="750"/>
              <w:gridCol w:w="2405"/>
            </w:tblGrid>
            <w:tr w14:paraId="0702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6" w:type="dxa"/>
                  <w:tcBorders>
                    <w:top w:val="single" w:color="auto" w:sz="12" w:space="0"/>
                    <w:bottom w:val="single" w:color="auto" w:sz="4" w:space="0"/>
                    <w:right w:val="single" w:color="auto" w:sz="4" w:space="0"/>
                  </w:tcBorders>
                  <w:vAlign w:val="center"/>
                </w:tcPr>
                <w:p w14:paraId="324D404E">
                  <w:pPr>
                    <w:pStyle w:val="106"/>
                    <w:bidi w:val="0"/>
                    <w:rPr>
                      <w:rFonts w:hint="default"/>
                      <w:b/>
                      <w:bCs/>
                      <w:color w:val="auto"/>
                      <w:highlight w:val="none"/>
                      <w:lang w:val="en-US" w:eastAsia="zh-CN"/>
                    </w:rPr>
                  </w:pPr>
                  <w:r>
                    <w:rPr>
                      <w:rFonts w:hint="default"/>
                      <w:b/>
                      <w:bCs/>
                      <w:color w:val="auto"/>
                      <w:highlight w:val="none"/>
                      <w:lang w:val="en-US" w:eastAsia="zh-CN"/>
                    </w:rPr>
                    <w:t>污染源</w:t>
                  </w:r>
                </w:p>
              </w:tc>
              <w:tc>
                <w:tcPr>
                  <w:tcW w:w="1515" w:type="dxa"/>
                  <w:tcBorders>
                    <w:top w:val="single" w:color="auto" w:sz="12" w:space="0"/>
                    <w:left w:val="single" w:color="auto" w:sz="4" w:space="0"/>
                    <w:bottom w:val="single" w:color="auto" w:sz="4" w:space="0"/>
                    <w:right w:val="single" w:color="auto" w:sz="4" w:space="0"/>
                  </w:tcBorders>
                  <w:vAlign w:val="center"/>
                </w:tcPr>
                <w:p w14:paraId="0FA5CBCA">
                  <w:pPr>
                    <w:pStyle w:val="106"/>
                    <w:bidi w:val="0"/>
                    <w:rPr>
                      <w:rFonts w:hint="default"/>
                      <w:b/>
                      <w:bCs/>
                      <w:color w:val="auto"/>
                      <w:highlight w:val="none"/>
                      <w:lang w:val="en-US" w:eastAsia="zh-CN"/>
                    </w:rPr>
                  </w:pPr>
                  <w:r>
                    <w:rPr>
                      <w:rFonts w:hint="default"/>
                      <w:b/>
                      <w:bCs/>
                      <w:color w:val="auto"/>
                      <w:highlight w:val="none"/>
                      <w:lang w:val="en-US" w:eastAsia="zh-CN"/>
                    </w:rPr>
                    <w:t>污染物</w:t>
                  </w:r>
                </w:p>
              </w:tc>
              <w:tc>
                <w:tcPr>
                  <w:tcW w:w="1080" w:type="dxa"/>
                  <w:tcBorders>
                    <w:top w:val="single" w:color="auto" w:sz="12" w:space="0"/>
                    <w:left w:val="single" w:color="auto" w:sz="4" w:space="0"/>
                    <w:bottom w:val="single" w:color="auto" w:sz="4" w:space="0"/>
                    <w:right w:val="single" w:color="auto" w:sz="4" w:space="0"/>
                  </w:tcBorders>
                  <w:vAlign w:val="center"/>
                </w:tcPr>
                <w:p w14:paraId="02392247">
                  <w:pPr>
                    <w:pStyle w:val="106"/>
                    <w:bidi w:val="0"/>
                    <w:rPr>
                      <w:rFonts w:hint="default"/>
                      <w:b/>
                      <w:bCs/>
                      <w:color w:val="auto"/>
                      <w:highlight w:val="none"/>
                      <w:lang w:val="en-US" w:eastAsia="zh-CN"/>
                    </w:rPr>
                  </w:pPr>
                  <w:r>
                    <w:rPr>
                      <w:rFonts w:hint="default"/>
                      <w:b/>
                      <w:bCs/>
                      <w:color w:val="auto"/>
                      <w:highlight w:val="none"/>
                      <w:lang w:val="en-US" w:eastAsia="zh-CN"/>
                    </w:rPr>
                    <w:t>产生位置</w:t>
                  </w:r>
                </w:p>
              </w:tc>
              <w:tc>
                <w:tcPr>
                  <w:tcW w:w="1147" w:type="dxa"/>
                  <w:tcBorders>
                    <w:top w:val="single" w:color="auto" w:sz="12" w:space="0"/>
                    <w:left w:val="single" w:color="auto" w:sz="4" w:space="0"/>
                    <w:bottom w:val="single" w:color="auto" w:sz="4" w:space="0"/>
                    <w:right w:val="single" w:color="auto" w:sz="4" w:space="0"/>
                  </w:tcBorders>
                  <w:vAlign w:val="center"/>
                </w:tcPr>
                <w:p w14:paraId="3DC1F960">
                  <w:pPr>
                    <w:pStyle w:val="106"/>
                    <w:bidi w:val="0"/>
                    <w:rPr>
                      <w:rFonts w:hint="default"/>
                      <w:b/>
                      <w:bCs/>
                      <w:color w:val="auto"/>
                      <w:highlight w:val="none"/>
                      <w:lang w:val="en-US" w:eastAsia="zh-CN"/>
                    </w:rPr>
                  </w:pPr>
                  <w:r>
                    <w:rPr>
                      <w:rFonts w:hint="default"/>
                      <w:b/>
                      <w:bCs/>
                      <w:color w:val="auto"/>
                      <w:highlight w:val="none"/>
                      <w:lang w:val="en-US" w:eastAsia="zh-CN"/>
                    </w:rPr>
                    <w:t>废气产生点数量</w:t>
                  </w:r>
                </w:p>
              </w:tc>
              <w:tc>
                <w:tcPr>
                  <w:tcW w:w="1417" w:type="dxa"/>
                  <w:tcBorders>
                    <w:top w:val="single" w:color="auto" w:sz="12" w:space="0"/>
                    <w:left w:val="single" w:color="auto" w:sz="4" w:space="0"/>
                    <w:bottom w:val="single" w:color="auto" w:sz="4" w:space="0"/>
                    <w:right w:val="single" w:color="auto" w:sz="4" w:space="0"/>
                  </w:tcBorders>
                  <w:vAlign w:val="center"/>
                </w:tcPr>
                <w:p w14:paraId="67651A35">
                  <w:pPr>
                    <w:pStyle w:val="106"/>
                    <w:bidi w:val="0"/>
                    <w:rPr>
                      <w:rFonts w:hint="default"/>
                      <w:b/>
                      <w:bCs/>
                      <w:color w:val="auto"/>
                      <w:highlight w:val="none"/>
                      <w:lang w:val="en-US" w:eastAsia="zh-CN"/>
                    </w:rPr>
                  </w:pPr>
                  <w:r>
                    <w:rPr>
                      <w:rFonts w:hint="default"/>
                      <w:b/>
                      <w:bCs/>
                      <w:color w:val="auto"/>
                      <w:highlight w:val="none"/>
                      <w:lang w:val="en-US" w:eastAsia="zh-CN"/>
                    </w:rPr>
                    <w:t>废气收集方式</w:t>
                  </w:r>
                </w:p>
              </w:tc>
              <w:tc>
                <w:tcPr>
                  <w:tcW w:w="750" w:type="dxa"/>
                  <w:tcBorders>
                    <w:top w:val="single" w:color="auto" w:sz="12" w:space="0"/>
                    <w:left w:val="single" w:color="auto" w:sz="4" w:space="0"/>
                    <w:bottom w:val="single" w:color="auto" w:sz="4" w:space="0"/>
                    <w:right w:val="single" w:color="auto" w:sz="4" w:space="0"/>
                  </w:tcBorders>
                  <w:vAlign w:val="center"/>
                </w:tcPr>
                <w:p w14:paraId="5733587C">
                  <w:pPr>
                    <w:pStyle w:val="106"/>
                    <w:bidi w:val="0"/>
                    <w:rPr>
                      <w:rFonts w:hint="default"/>
                      <w:b/>
                      <w:bCs/>
                      <w:color w:val="auto"/>
                      <w:highlight w:val="none"/>
                      <w:lang w:val="en-US" w:eastAsia="zh-CN"/>
                    </w:rPr>
                  </w:pPr>
                  <w:r>
                    <w:rPr>
                      <w:rFonts w:hint="default"/>
                      <w:b/>
                      <w:bCs/>
                      <w:color w:val="auto"/>
                      <w:highlight w:val="none"/>
                      <w:lang w:val="en-US" w:eastAsia="zh-CN"/>
                    </w:rPr>
                    <w:t>收集效率</w:t>
                  </w:r>
                </w:p>
              </w:tc>
              <w:tc>
                <w:tcPr>
                  <w:tcW w:w="2405" w:type="dxa"/>
                  <w:tcBorders>
                    <w:top w:val="single" w:color="auto" w:sz="12" w:space="0"/>
                    <w:left w:val="single" w:color="auto" w:sz="4" w:space="0"/>
                    <w:bottom w:val="single" w:color="auto" w:sz="4" w:space="0"/>
                    <w:right w:val="nil"/>
                  </w:tcBorders>
                  <w:vAlign w:val="center"/>
                </w:tcPr>
                <w:p w14:paraId="56CE440B">
                  <w:pPr>
                    <w:pStyle w:val="106"/>
                    <w:bidi w:val="0"/>
                    <w:rPr>
                      <w:rFonts w:hint="default"/>
                      <w:b/>
                      <w:bCs/>
                      <w:color w:val="auto"/>
                      <w:highlight w:val="none"/>
                      <w:lang w:val="en-US" w:eastAsia="zh-CN"/>
                    </w:rPr>
                  </w:pPr>
                  <w:r>
                    <w:rPr>
                      <w:rFonts w:hint="default"/>
                      <w:b/>
                      <w:bCs/>
                      <w:color w:val="auto"/>
                      <w:highlight w:val="none"/>
                      <w:lang w:val="en-US" w:eastAsia="zh-CN"/>
                    </w:rPr>
                    <w:t>处理方式</w:t>
                  </w:r>
                </w:p>
              </w:tc>
            </w:tr>
            <w:tr w14:paraId="3E11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tcBorders>
                    <w:top w:val="single" w:color="auto" w:sz="4" w:space="0"/>
                    <w:left w:val="nil"/>
                    <w:bottom w:val="single" w:color="auto" w:sz="4" w:space="0"/>
                    <w:right w:val="single" w:color="auto" w:sz="4" w:space="0"/>
                  </w:tcBorders>
                  <w:vAlign w:val="center"/>
                </w:tcPr>
                <w:p w14:paraId="34E66DA2">
                  <w:pPr>
                    <w:pStyle w:val="106"/>
                    <w:bidi w:val="0"/>
                    <w:rPr>
                      <w:rFonts w:hint="default"/>
                      <w:color w:val="auto"/>
                      <w:highlight w:val="none"/>
                      <w:lang w:val="en-US" w:eastAsia="zh-CN"/>
                    </w:rPr>
                  </w:pPr>
                  <w:r>
                    <w:rPr>
                      <w:rFonts w:hint="eastAsia"/>
                      <w:color w:val="auto"/>
                      <w:highlight w:val="none"/>
                      <w:lang w:val="en-US" w:eastAsia="zh-CN"/>
                    </w:rPr>
                    <w:t>蒸汽制备</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14:paraId="78AA5E93">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rPr>
                    <w:t>NOx</w:t>
                  </w:r>
                  <w:r>
                    <w:rPr>
                      <w:rFonts w:hint="eastAsia"/>
                      <w:color w:val="auto"/>
                      <w:highlight w:val="none"/>
                    </w:rPr>
                    <w:t>、</w:t>
                  </w:r>
                  <w:r>
                    <w:rPr>
                      <w:color w:val="auto"/>
                      <w:highlight w:val="none"/>
                    </w:rPr>
                    <w:t>SO</w:t>
                  </w:r>
                  <w:r>
                    <w:rPr>
                      <w:color w:val="auto"/>
                      <w:highlight w:val="none"/>
                      <w:vertAlign w:val="subscript"/>
                    </w:rPr>
                    <w:t>2</w:t>
                  </w:r>
                  <w:r>
                    <w:rPr>
                      <w:rFonts w:hint="eastAsia"/>
                      <w:color w:val="auto"/>
                      <w:highlight w:val="none"/>
                    </w:rPr>
                    <w:t>和</w:t>
                  </w:r>
                  <w:r>
                    <w:rPr>
                      <w:rFonts w:hint="eastAsia"/>
                      <w:color w:val="auto"/>
                      <w:highlight w:val="none"/>
                      <w:lang w:val="en-US" w:eastAsia="zh-CN"/>
                    </w:rPr>
                    <w:t>颗粒物（天然气燃烧废气）</w:t>
                  </w:r>
                </w:p>
              </w:tc>
              <w:tc>
                <w:tcPr>
                  <w:tcW w:w="1080" w:type="dxa"/>
                  <w:tcBorders>
                    <w:top w:val="single" w:color="auto" w:sz="4" w:space="0"/>
                    <w:left w:val="single" w:color="auto" w:sz="4" w:space="0"/>
                    <w:bottom w:val="single" w:color="auto" w:sz="4" w:space="0"/>
                    <w:right w:val="single" w:color="auto" w:sz="4" w:space="0"/>
                  </w:tcBorders>
                  <w:vAlign w:val="center"/>
                </w:tcPr>
                <w:p w14:paraId="561EFB57">
                  <w:pPr>
                    <w:pStyle w:val="106"/>
                    <w:bidi w:val="0"/>
                    <w:rPr>
                      <w:rFonts w:hint="default"/>
                      <w:color w:val="auto"/>
                      <w:highlight w:val="none"/>
                      <w:lang w:val="en-US" w:eastAsia="zh-CN"/>
                    </w:rPr>
                  </w:pPr>
                  <w:r>
                    <w:rPr>
                      <w:rFonts w:hint="eastAsia"/>
                      <w:color w:val="auto"/>
                      <w:highlight w:val="none"/>
                      <w:lang w:val="en-US" w:eastAsia="zh-CN"/>
                    </w:rPr>
                    <w:t>蒸汽发生器</w:t>
                  </w:r>
                </w:p>
              </w:tc>
              <w:tc>
                <w:tcPr>
                  <w:tcW w:w="1147" w:type="dxa"/>
                  <w:tcBorders>
                    <w:top w:val="single" w:color="auto" w:sz="4" w:space="0"/>
                    <w:left w:val="single" w:color="auto" w:sz="4" w:space="0"/>
                    <w:bottom w:val="single" w:color="auto" w:sz="4" w:space="0"/>
                    <w:right w:val="single" w:color="auto" w:sz="4" w:space="0"/>
                  </w:tcBorders>
                  <w:vAlign w:val="center"/>
                </w:tcPr>
                <w:p w14:paraId="25D4B5B3">
                  <w:pPr>
                    <w:pStyle w:val="106"/>
                    <w:bidi w:val="0"/>
                    <w:rPr>
                      <w:rFonts w:hint="default"/>
                      <w:color w:val="auto"/>
                      <w:highlight w:val="none"/>
                      <w:lang w:val="en-US" w:eastAsia="zh-CN"/>
                    </w:rPr>
                  </w:pPr>
                  <w:r>
                    <w:rPr>
                      <w:rFonts w:hint="eastAsia"/>
                      <w:color w:val="auto"/>
                      <w:highlight w:val="none"/>
                      <w:lang w:val="en-US" w:eastAsia="zh-CN"/>
                    </w:rPr>
                    <w:t>2个</w:t>
                  </w:r>
                </w:p>
              </w:tc>
              <w:tc>
                <w:tcPr>
                  <w:tcW w:w="1417" w:type="dxa"/>
                  <w:tcBorders>
                    <w:top w:val="single" w:color="auto" w:sz="4" w:space="0"/>
                    <w:left w:val="single" w:color="auto" w:sz="4" w:space="0"/>
                    <w:bottom w:val="single" w:color="auto" w:sz="4" w:space="0"/>
                    <w:right w:val="single" w:color="auto" w:sz="4" w:space="0"/>
                  </w:tcBorders>
                  <w:vAlign w:val="center"/>
                </w:tcPr>
                <w:p w14:paraId="649B207A">
                  <w:pPr>
                    <w:pStyle w:val="106"/>
                    <w:bidi w:val="0"/>
                    <w:rPr>
                      <w:rFonts w:hint="default"/>
                      <w:color w:val="auto"/>
                      <w:highlight w:val="none"/>
                      <w:lang w:val="en-US" w:eastAsia="zh-CN"/>
                    </w:rPr>
                  </w:pPr>
                  <w:r>
                    <w:rPr>
                      <w:rFonts w:hint="eastAsia"/>
                      <w:color w:val="auto"/>
                      <w:highlight w:val="none"/>
                      <w:lang w:val="en-US" w:eastAsia="zh-CN"/>
                    </w:rPr>
                    <w:t>密闭管道收集</w:t>
                  </w:r>
                </w:p>
              </w:tc>
              <w:tc>
                <w:tcPr>
                  <w:tcW w:w="750" w:type="dxa"/>
                  <w:tcBorders>
                    <w:top w:val="single" w:color="auto" w:sz="4" w:space="0"/>
                    <w:left w:val="single" w:color="auto" w:sz="4" w:space="0"/>
                    <w:bottom w:val="single" w:color="auto" w:sz="4" w:space="0"/>
                    <w:right w:val="single" w:color="auto" w:sz="4" w:space="0"/>
                  </w:tcBorders>
                  <w:vAlign w:val="center"/>
                </w:tcPr>
                <w:p w14:paraId="102A9FD8">
                  <w:pPr>
                    <w:pStyle w:val="106"/>
                    <w:bidi w:val="0"/>
                    <w:rPr>
                      <w:rFonts w:hint="default"/>
                      <w:color w:val="auto"/>
                      <w:highlight w:val="none"/>
                      <w:lang w:val="en-US" w:eastAsia="zh-CN"/>
                    </w:rPr>
                  </w:pPr>
                  <w:r>
                    <w:rPr>
                      <w:rFonts w:hint="eastAsia"/>
                      <w:color w:val="auto"/>
                      <w:highlight w:val="none"/>
                      <w:lang w:val="en-US" w:eastAsia="zh-CN"/>
                    </w:rPr>
                    <w:t>100%</w:t>
                  </w:r>
                </w:p>
              </w:tc>
              <w:tc>
                <w:tcPr>
                  <w:tcW w:w="2405" w:type="dxa"/>
                  <w:tcBorders>
                    <w:top w:val="single" w:color="auto" w:sz="4" w:space="0"/>
                    <w:left w:val="single" w:color="auto" w:sz="4" w:space="0"/>
                    <w:bottom w:val="single" w:color="auto" w:sz="4" w:space="0"/>
                    <w:right w:val="nil"/>
                  </w:tcBorders>
                  <w:vAlign w:val="center"/>
                </w:tcPr>
                <w:p w14:paraId="128156CB">
                  <w:pPr>
                    <w:pStyle w:val="106"/>
                    <w:bidi w:val="0"/>
                    <w:rPr>
                      <w:rFonts w:hint="default"/>
                      <w:color w:val="auto"/>
                      <w:highlight w:val="none"/>
                      <w:lang w:val="en-US" w:eastAsia="zh-CN"/>
                    </w:rPr>
                  </w:pPr>
                  <w:r>
                    <w:rPr>
                      <w:rFonts w:hint="eastAsia"/>
                      <w:color w:val="auto"/>
                      <w:highlight w:val="none"/>
                      <w:lang w:val="en-US" w:eastAsia="zh-CN"/>
                    </w:rPr>
                    <w:t>低氮燃烧处理，烟气经1根15</w:t>
                  </w:r>
                  <w:r>
                    <w:rPr>
                      <w:rFonts w:hint="default"/>
                      <w:color w:val="auto"/>
                      <w:highlight w:val="none"/>
                      <w:lang w:val="en-US" w:eastAsia="zh-CN"/>
                    </w:rPr>
                    <w:t>m排气筒（DA00</w:t>
                  </w:r>
                  <w:r>
                    <w:rPr>
                      <w:rFonts w:hint="eastAsia"/>
                      <w:color w:val="auto"/>
                      <w:highlight w:val="none"/>
                      <w:lang w:val="en-US" w:eastAsia="zh-CN"/>
                    </w:rPr>
                    <w:t>1</w:t>
                  </w:r>
                  <w:r>
                    <w:rPr>
                      <w:rFonts w:hint="default"/>
                      <w:color w:val="auto"/>
                      <w:highlight w:val="none"/>
                      <w:lang w:val="en-US" w:eastAsia="zh-CN"/>
                    </w:rPr>
                    <w:t>）</w:t>
                  </w:r>
                  <w:r>
                    <w:rPr>
                      <w:rFonts w:hint="eastAsia"/>
                      <w:color w:val="auto"/>
                      <w:highlight w:val="none"/>
                      <w:lang w:val="en-US" w:eastAsia="zh-CN"/>
                    </w:rPr>
                    <w:t>达标</w:t>
                  </w:r>
                  <w:r>
                    <w:rPr>
                      <w:rFonts w:hint="default"/>
                      <w:color w:val="auto"/>
                      <w:highlight w:val="none"/>
                      <w:lang w:val="en-US" w:eastAsia="zh-CN"/>
                    </w:rPr>
                    <w:t>排放</w:t>
                  </w:r>
                </w:p>
              </w:tc>
            </w:tr>
            <w:tr w14:paraId="4CF5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96" w:type="dxa"/>
                  <w:tcBorders>
                    <w:top w:val="single" w:color="auto" w:sz="4" w:space="0"/>
                    <w:left w:val="nil"/>
                    <w:bottom w:val="single" w:color="auto" w:sz="4" w:space="0"/>
                    <w:right w:val="single" w:color="auto" w:sz="4" w:space="0"/>
                  </w:tcBorders>
                  <w:vAlign w:val="center"/>
                </w:tcPr>
                <w:p w14:paraId="3E01996B">
                  <w:pPr>
                    <w:pStyle w:val="106"/>
                    <w:bidi w:val="0"/>
                    <w:rPr>
                      <w:rFonts w:hint="default"/>
                      <w:color w:val="auto"/>
                      <w:highlight w:val="none"/>
                      <w:lang w:val="en-US" w:eastAsia="zh-CN"/>
                    </w:rPr>
                  </w:pPr>
                  <w:r>
                    <w:rPr>
                      <w:rFonts w:hint="eastAsia"/>
                      <w:color w:val="auto"/>
                      <w:highlight w:val="none"/>
                      <w:lang w:val="en-US" w:eastAsia="zh-CN"/>
                    </w:rPr>
                    <w:t>初步分切</w:t>
                  </w:r>
                </w:p>
              </w:tc>
              <w:tc>
                <w:tcPr>
                  <w:tcW w:w="1515" w:type="dxa"/>
                  <w:tcBorders>
                    <w:top w:val="single" w:color="auto" w:sz="4" w:space="0"/>
                    <w:left w:val="single" w:color="auto" w:sz="4" w:space="0"/>
                    <w:bottom w:val="single" w:color="auto" w:sz="4" w:space="0"/>
                    <w:right w:val="single" w:color="auto" w:sz="4" w:space="0"/>
                  </w:tcBorders>
                  <w:vAlign w:val="center"/>
                </w:tcPr>
                <w:p w14:paraId="4CCB13A1">
                  <w:pPr>
                    <w:pStyle w:val="106"/>
                    <w:bidi w:val="0"/>
                    <w:rPr>
                      <w:rFonts w:hint="eastAsia"/>
                      <w:color w:val="auto"/>
                      <w:highlight w:val="none"/>
                      <w:lang w:val="en-US" w:eastAsia="zh-CN"/>
                    </w:rPr>
                  </w:pPr>
                  <w:r>
                    <w:rPr>
                      <w:rFonts w:hint="eastAsia"/>
                      <w:color w:val="auto"/>
                      <w:highlight w:val="none"/>
                      <w:lang w:val="en-US" w:eastAsia="zh-CN"/>
                    </w:rPr>
                    <w:t>颗粒物</w:t>
                  </w:r>
                </w:p>
              </w:tc>
              <w:tc>
                <w:tcPr>
                  <w:tcW w:w="1080" w:type="dxa"/>
                  <w:tcBorders>
                    <w:top w:val="single" w:color="auto" w:sz="4" w:space="0"/>
                    <w:left w:val="single" w:color="auto" w:sz="4" w:space="0"/>
                    <w:bottom w:val="single" w:color="auto" w:sz="4" w:space="0"/>
                    <w:right w:val="single" w:color="auto" w:sz="4" w:space="0"/>
                  </w:tcBorders>
                  <w:vAlign w:val="center"/>
                </w:tcPr>
                <w:p w14:paraId="3FC64D85">
                  <w:pPr>
                    <w:pStyle w:val="106"/>
                    <w:bidi w:val="0"/>
                    <w:rPr>
                      <w:rFonts w:hint="eastAsia"/>
                      <w:color w:val="auto"/>
                      <w:highlight w:val="none"/>
                      <w:lang w:val="en-US" w:eastAsia="zh-CN"/>
                    </w:rPr>
                  </w:pPr>
                  <w:r>
                    <w:rPr>
                      <w:rFonts w:hint="eastAsia"/>
                      <w:color w:val="auto"/>
                      <w:highlight w:val="none"/>
                      <w:lang w:val="en-US" w:eastAsia="zh-CN"/>
                    </w:rPr>
                    <w:t>高速盘纸分切复卷机</w:t>
                  </w:r>
                </w:p>
              </w:tc>
              <w:tc>
                <w:tcPr>
                  <w:tcW w:w="1147" w:type="dxa"/>
                  <w:tcBorders>
                    <w:top w:val="single" w:color="auto" w:sz="4" w:space="0"/>
                    <w:left w:val="single" w:color="auto" w:sz="4" w:space="0"/>
                    <w:bottom w:val="single" w:color="auto" w:sz="4" w:space="0"/>
                    <w:right w:val="single" w:color="auto" w:sz="4" w:space="0"/>
                  </w:tcBorders>
                  <w:vAlign w:val="center"/>
                </w:tcPr>
                <w:p w14:paraId="53B754AB">
                  <w:pPr>
                    <w:pStyle w:val="106"/>
                    <w:bidi w:val="0"/>
                    <w:rPr>
                      <w:rFonts w:hint="default"/>
                      <w:color w:val="auto"/>
                      <w:highlight w:val="none"/>
                      <w:lang w:val="en-US" w:eastAsia="zh-CN"/>
                    </w:rPr>
                  </w:pPr>
                  <w:r>
                    <w:rPr>
                      <w:rFonts w:hint="eastAsia"/>
                      <w:color w:val="auto"/>
                      <w:highlight w:val="none"/>
                      <w:lang w:val="en-US" w:eastAsia="zh-CN"/>
                    </w:rPr>
                    <w:t>1个</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64420BCF">
                  <w:pPr>
                    <w:pStyle w:val="106"/>
                    <w:bidi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0716FB1">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w:t>
                  </w:r>
                </w:p>
              </w:tc>
              <w:tc>
                <w:tcPr>
                  <w:tcW w:w="2405" w:type="dxa"/>
                  <w:tcBorders>
                    <w:top w:val="single" w:color="auto" w:sz="4" w:space="0"/>
                    <w:left w:val="single" w:color="auto" w:sz="4" w:space="0"/>
                    <w:bottom w:val="single" w:color="auto" w:sz="4" w:space="0"/>
                    <w:right w:val="nil"/>
                  </w:tcBorders>
                  <w:shd w:val="clear" w:color="auto" w:fill="auto"/>
                  <w:vAlign w:val="center"/>
                </w:tcPr>
                <w:p w14:paraId="20C7C2EB">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直接无组织排放</w:t>
                  </w:r>
                </w:p>
              </w:tc>
            </w:tr>
            <w:tr w14:paraId="0C55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96" w:type="dxa"/>
                  <w:tcBorders>
                    <w:top w:val="single" w:color="auto" w:sz="4" w:space="0"/>
                    <w:left w:val="nil"/>
                    <w:bottom w:val="single" w:color="auto" w:sz="4" w:space="0"/>
                    <w:right w:val="single" w:color="auto" w:sz="4" w:space="0"/>
                  </w:tcBorders>
                  <w:vAlign w:val="center"/>
                </w:tcPr>
                <w:p w14:paraId="1638B294">
                  <w:pPr>
                    <w:pStyle w:val="106"/>
                    <w:bidi w:val="0"/>
                    <w:rPr>
                      <w:rFonts w:hint="default"/>
                      <w:color w:val="auto"/>
                      <w:highlight w:val="none"/>
                      <w:lang w:val="en-US" w:eastAsia="zh-CN"/>
                    </w:rPr>
                  </w:pPr>
                  <w:r>
                    <w:rPr>
                      <w:rFonts w:hint="eastAsia"/>
                      <w:color w:val="auto"/>
                      <w:highlight w:val="none"/>
                      <w:lang w:val="en-US" w:eastAsia="zh-CN"/>
                    </w:rPr>
                    <w:t>切纸</w:t>
                  </w:r>
                </w:p>
              </w:tc>
              <w:tc>
                <w:tcPr>
                  <w:tcW w:w="1515" w:type="dxa"/>
                  <w:tcBorders>
                    <w:top w:val="single" w:color="auto" w:sz="4" w:space="0"/>
                    <w:left w:val="single" w:color="auto" w:sz="4" w:space="0"/>
                    <w:bottom w:val="single" w:color="auto" w:sz="4" w:space="0"/>
                    <w:right w:val="single" w:color="auto" w:sz="4" w:space="0"/>
                  </w:tcBorders>
                  <w:vAlign w:val="center"/>
                </w:tcPr>
                <w:p w14:paraId="6071AA3A">
                  <w:pPr>
                    <w:pStyle w:val="106"/>
                    <w:bidi w:val="0"/>
                    <w:rPr>
                      <w:rFonts w:hint="default"/>
                      <w:color w:val="auto"/>
                      <w:highlight w:val="none"/>
                      <w:lang w:val="en-US" w:eastAsia="zh-CN"/>
                    </w:rPr>
                  </w:pPr>
                  <w:r>
                    <w:rPr>
                      <w:rFonts w:hint="eastAsia"/>
                      <w:color w:val="auto"/>
                      <w:highlight w:val="none"/>
                      <w:lang w:val="en-US" w:eastAsia="zh-CN"/>
                    </w:rPr>
                    <w:t>颗粒物</w:t>
                  </w:r>
                </w:p>
              </w:tc>
              <w:tc>
                <w:tcPr>
                  <w:tcW w:w="1080" w:type="dxa"/>
                  <w:tcBorders>
                    <w:top w:val="single" w:color="auto" w:sz="4" w:space="0"/>
                    <w:left w:val="single" w:color="auto" w:sz="4" w:space="0"/>
                    <w:bottom w:val="single" w:color="auto" w:sz="4" w:space="0"/>
                    <w:right w:val="single" w:color="auto" w:sz="4" w:space="0"/>
                  </w:tcBorders>
                  <w:vAlign w:val="center"/>
                </w:tcPr>
                <w:p w14:paraId="73A514B2">
                  <w:pPr>
                    <w:pStyle w:val="106"/>
                    <w:bidi w:val="0"/>
                    <w:rPr>
                      <w:rFonts w:hint="default"/>
                      <w:color w:val="auto"/>
                      <w:highlight w:val="none"/>
                      <w:lang w:val="en-US" w:eastAsia="zh-CN"/>
                    </w:rPr>
                  </w:pPr>
                  <w:r>
                    <w:rPr>
                      <w:rFonts w:hint="eastAsia"/>
                      <w:color w:val="auto"/>
                      <w:highlight w:val="none"/>
                      <w:lang w:val="en-US" w:eastAsia="zh-CN"/>
                    </w:rPr>
                    <w:t>切纸机</w:t>
                  </w:r>
                </w:p>
              </w:tc>
              <w:tc>
                <w:tcPr>
                  <w:tcW w:w="1147" w:type="dxa"/>
                  <w:tcBorders>
                    <w:top w:val="single" w:color="auto" w:sz="4" w:space="0"/>
                    <w:left w:val="single" w:color="auto" w:sz="4" w:space="0"/>
                    <w:bottom w:val="single" w:color="auto" w:sz="4" w:space="0"/>
                    <w:right w:val="single" w:color="auto" w:sz="4" w:space="0"/>
                  </w:tcBorders>
                  <w:vAlign w:val="center"/>
                </w:tcPr>
                <w:p w14:paraId="74D5BEB6">
                  <w:pPr>
                    <w:pStyle w:val="106"/>
                    <w:bidi w:val="0"/>
                    <w:rPr>
                      <w:rFonts w:hint="eastAsia"/>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个</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67C30217">
                  <w:pPr>
                    <w:pStyle w:val="106"/>
                    <w:bidi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8287AB4">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w:t>
                  </w:r>
                </w:p>
              </w:tc>
              <w:tc>
                <w:tcPr>
                  <w:tcW w:w="2405" w:type="dxa"/>
                  <w:tcBorders>
                    <w:top w:val="single" w:color="auto" w:sz="4" w:space="0"/>
                    <w:left w:val="single" w:color="auto" w:sz="4" w:space="0"/>
                    <w:bottom w:val="single" w:color="auto" w:sz="4" w:space="0"/>
                    <w:right w:val="nil"/>
                  </w:tcBorders>
                  <w:shd w:val="clear" w:color="auto" w:fill="auto"/>
                  <w:vAlign w:val="center"/>
                </w:tcPr>
                <w:p w14:paraId="2A3B9EA4">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直接无组织排放</w:t>
                  </w:r>
                </w:p>
              </w:tc>
            </w:tr>
            <w:tr w14:paraId="29C6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96" w:type="dxa"/>
                  <w:tcBorders>
                    <w:top w:val="single" w:color="auto" w:sz="4" w:space="0"/>
                    <w:left w:val="nil"/>
                    <w:bottom w:val="single" w:color="auto" w:sz="12" w:space="0"/>
                    <w:right w:val="single" w:color="auto" w:sz="4" w:space="0"/>
                  </w:tcBorders>
                  <w:vAlign w:val="center"/>
                </w:tcPr>
                <w:p w14:paraId="7B8534FF">
                  <w:pPr>
                    <w:pStyle w:val="106"/>
                    <w:bidi w:val="0"/>
                    <w:rPr>
                      <w:rFonts w:hint="default"/>
                      <w:color w:val="auto"/>
                      <w:highlight w:val="none"/>
                      <w:lang w:val="en-US" w:eastAsia="zh-CN"/>
                    </w:rPr>
                  </w:pPr>
                  <w:r>
                    <w:rPr>
                      <w:rFonts w:hint="eastAsia"/>
                      <w:color w:val="auto"/>
                      <w:highlight w:val="none"/>
                      <w:lang w:val="en-US" w:eastAsia="zh-CN"/>
                    </w:rPr>
                    <w:t>污水处理</w:t>
                  </w:r>
                </w:p>
              </w:tc>
              <w:tc>
                <w:tcPr>
                  <w:tcW w:w="1515" w:type="dxa"/>
                  <w:tcBorders>
                    <w:top w:val="single" w:color="auto" w:sz="4" w:space="0"/>
                    <w:left w:val="single" w:color="auto" w:sz="4" w:space="0"/>
                    <w:bottom w:val="single" w:color="auto" w:sz="12" w:space="0"/>
                    <w:right w:val="single" w:color="auto" w:sz="4" w:space="0"/>
                  </w:tcBorders>
                  <w:vAlign w:val="center"/>
                </w:tcPr>
                <w:p w14:paraId="49E6C270">
                  <w:pPr>
                    <w:pStyle w:val="106"/>
                    <w:bidi w:val="0"/>
                    <w:rPr>
                      <w:rFonts w:hint="default"/>
                      <w:color w:val="auto"/>
                      <w:highlight w:val="none"/>
                      <w:lang w:val="en-US" w:eastAsia="zh-CN"/>
                    </w:rPr>
                  </w:pPr>
                  <w:r>
                    <w:rPr>
                      <w:rFonts w:hint="eastAsia"/>
                      <w:color w:val="auto"/>
                      <w:highlight w:val="none"/>
                      <w:lang w:val="en-US" w:eastAsia="zh-CN"/>
                    </w:rPr>
                    <w:t>氨、硫化氢</w:t>
                  </w:r>
                </w:p>
              </w:tc>
              <w:tc>
                <w:tcPr>
                  <w:tcW w:w="1080" w:type="dxa"/>
                  <w:tcBorders>
                    <w:top w:val="single" w:color="auto" w:sz="4" w:space="0"/>
                    <w:left w:val="single" w:color="auto" w:sz="4" w:space="0"/>
                    <w:bottom w:val="single" w:color="auto" w:sz="12" w:space="0"/>
                    <w:right w:val="single" w:color="auto" w:sz="4" w:space="0"/>
                  </w:tcBorders>
                  <w:vAlign w:val="center"/>
                </w:tcPr>
                <w:p w14:paraId="7E8FE41D">
                  <w:pPr>
                    <w:pStyle w:val="106"/>
                    <w:bidi w:val="0"/>
                    <w:rPr>
                      <w:rFonts w:hint="default"/>
                      <w:color w:val="auto"/>
                      <w:highlight w:val="none"/>
                      <w:lang w:val="en-US" w:eastAsia="zh-CN"/>
                    </w:rPr>
                  </w:pPr>
                  <w:r>
                    <w:rPr>
                      <w:rFonts w:hint="eastAsia"/>
                      <w:color w:val="auto"/>
                      <w:highlight w:val="none"/>
                      <w:lang w:val="en-US" w:eastAsia="zh-CN"/>
                    </w:rPr>
                    <w:t>污水处理池</w:t>
                  </w:r>
                </w:p>
              </w:tc>
              <w:tc>
                <w:tcPr>
                  <w:tcW w:w="1147" w:type="dxa"/>
                  <w:tcBorders>
                    <w:top w:val="single" w:color="auto" w:sz="4" w:space="0"/>
                    <w:left w:val="single" w:color="auto" w:sz="4" w:space="0"/>
                    <w:bottom w:val="single" w:color="auto" w:sz="12" w:space="0"/>
                    <w:right w:val="single" w:color="auto" w:sz="4" w:space="0"/>
                  </w:tcBorders>
                  <w:vAlign w:val="center"/>
                </w:tcPr>
                <w:p w14:paraId="6A791B70">
                  <w:pPr>
                    <w:pStyle w:val="106"/>
                    <w:bidi w:val="0"/>
                    <w:rPr>
                      <w:rFonts w:hint="eastAsia"/>
                      <w:color w:val="auto"/>
                      <w:highlight w:val="none"/>
                      <w:lang w:val="en-US" w:eastAsia="zh-CN"/>
                    </w:rPr>
                  </w:pPr>
                  <w:r>
                    <w:rPr>
                      <w:rFonts w:hint="eastAsia"/>
                      <w:color w:val="auto"/>
                      <w:highlight w:val="none"/>
                      <w:lang w:val="en-US" w:eastAsia="zh-CN"/>
                    </w:rPr>
                    <w:t>1个</w:t>
                  </w:r>
                </w:p>
              </w:tc>
              <w:tc>
                <w:tcPr>
                  <w:tcW w:w="1417" w:type="dxa"/>
                  <w:tcBorders>
                    <w:top w:val="single" w:color="auto" w:sz="4" w:space="0"/>
                    <w:left w:val="single" w:color="auto" w:sz="4" w:space="0"/>
                    <w:bottom w:val="single" w:color="auto" w:sz="12" w:space="0"/>
                    <w:right w:val="single" w:color="auto" w:sz="4" w:space="0"/>
                  </w:tcBorders>
                  <w:shd w:val="clear" w:color="auto" w:fill="auto"/>
                  <w:vAlign w:val="center"/>
                </w:tcPr>
                <w:p w14:paraId="78D78220">
                  <w:pPr>
                    <w:pStyle w:val="106"/>
                    <w:bidi w:val="0"/>
                    <w:ind w:firstLine="0" w:firstLineChars="0"/>
                    <w:jc w:val="center"/>
                    <w:rPr>
                      <w:rFonts w:hint="default"/>
                      <w:color w:val="auto"/>
                      <w:highlight w:val="none"/>
                      <w:lang w:val="en-US" w:eastAsia="zh-CN"/>
                    </w:rPr>
                  </w:pPr>
                  <w:r>
                    <w:rPr>
                      <w:rFonts w:hint="eastAsia"/>
                      <w:color w:val="auto"/>
                      <w:highlight w:val="none"/>
                      <w:lang w:val="en-US" w:eastAsia="zh-CN"/>
                    </w:rPr>
                    <w:t>/</w:t>
                  </w:r>
                </w:p>
              </w:tc>
              <w:tc>
                <w:tcPr>
                  <w:tcW w:w="750" w:type="dxa"/>
                  <w:tcBorders>
                    <w:top w:val="single" w:color="auto" w:sz="4" w:space="0"/>
                    <w:left w:val="single" w:color="auto" w:sz="4" w:space="0"/>
                    <w:bottom w:val="single" w:color="auto" w:sz="12" w:space="0"/>
                    <w:right w:val="single" w:color="auto" w:sz="4" w:space="0"/>
                  </w:tcBorders>
                  <w:shd w:val="clear" w:color="auto" w:fill="auto"/>
                  <w:vAlign w:val="center"/>
                </w:tcPr>
                <w:p w14:paraId="508F19F4">
                  <w:pPr>
                    <w:pStyle w:val="106"/>
                    <w:bidi w:val="0"/>
                    <w:ind w:firstLine="0" w:firstLineChars="0"/>
                    <w:rPr>
                      <w:rFonts w:hint="default"/>
                      <w:color w:val="auto"/>
                      <w:highlight w:val="none"/>
                      <w:lang w:val="en-US" w:eastAsia="zh-CN"/>
                    </w:rPr>
                  </w:pPr>
                  <w:r>
                    <w:rPr>
                      <w:rFonts w:hint="eastAsia"/>
                      <w:color w:val="auto"/>
                      <w:highlight w:val="none"/>
                      <w:lang w:val="en-US" w:eastAsia="zh-CN"/>
                    </w:rPr>
                    <w:t>/</w:t>
                  </w:r>
                </w:p>
              </w:tc>
              <w:tc>
                <w:tcPr>
                  <w:tcW w:w="2405" w:type="dxa"/>
                  <w:tcBorders>
                    <w:top w:val="single" w:color="auto" w:sz="4" w:space="0"/>
                    <w:left w:val="single" w:color="auto" w:sz="4" w:space="0"/>
                    <w:bottom w:val="single" w:color="auto" w:sz="12" w:space="0"/>
                    <w:right w:val="nil"/>
                  </w:tcBorders>
                  <w:shd w:val="clear" w:color="auto" w:fill="auto"/>
                  <w:vAlign w:val="center"/>
                </w:tcPr>
                <w:p w14:paraId="3F4118EB">
                  <w:pPr>
                    <w:pStyle w:val="106"/>
                    <w:bidi w:val="0"/>
                    <w:ind w:firstLine="0" w:firstLineChars="0"/>
                    <w:rPr>
                      <w:rFonts w:hint="default"/>
                      <w:color w:val="auto"/>
                      <w:highlight w:val="none"/>
                      <w:lang w:val="en-US" w:eastAsia="zh-CN"/>
                    </w:rPr>
                  </w:pPr>
                  <w:r>
                    <w:rPr>
                      <w:rFonts w:hint="eastAsia"/>
                      <w:color w:val="auto"/>
                      <w:highlight w:val="none"/>
                      <w:lang w:val="en-US" w:eastAsia="zh-CN"/>
                    </w:rPr>
                    <w:t>加强污泥清理频次、在污泥暂存点喷洒高效的除臭剂、加强污水处理站及区绿化设施、对产生恶臭的设施实施密封作业等措施</w:t>
                  </w:r>
                </w:p>
              </w:tc>
            </w:tr>
          </w:tbl>
          <w:p w14:paraId="45201D62">
            <w:pPr>
              <w:keepNext w:val="0"/>
              <w:keepLines w:val="0"/>
              <w:pageBreakBefore w:val="0"/>
              <w:widowControl/>
              <w:kinsoku/>
              <w:wordWrap/>
              <w:overflowPunct/>
              <w:topLinePunct w:val="0"/>
              <w:autoSpaceDE/>
              <w:autoSpaceDN/>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核算方法：</w:t>
            </w:r>
            <w:r>
              <w:rPr>
                <w:rFonts w:hint="default" w:ascii="Times New Roman" w:hAnsi="Times New Roman" w:eastAsia="宋体" w:cs="Times New Roman"/>
                <w:b w:val="0"/>
                <w:bCs/>
                <w:color w:val="auto"/>
                <w:kern w:val="2"/>
                <w:sz w:val="24"/>
                <w:szCs w:val="24"/>
                <w:highlight w:val="none"/>
                <w:lang w:val="en-US" w:eastAsia="zh-CN" w:bidi="ar-SA"/>
              </w:rPr>
              <w:t>本项目废气污染源核算方法见下表：</w:t>
            </w:r>
          </w:p>
          <w:p w14:paraId="686A0A51">
            <w:pPr>
              <w:pStyle w:val="14"/>
              <w:bidi w:val="0"/>
              <w:rPr>
                <w:rFonts w:hint="eastAsia"/>
                <w:color w:val="auto"/>
                <w:highlight w:val="none"/>
                <w:lang w:val="en-US" w:eastAsia="zh-CN"/>
              </w:rPr>
            </w:pPr>
            <w:r>
              <w:rPr>
                <w:rFonts w:hint="default"/>
                <w:color w:val="auto"/>
                <w:highlight w:val="none"/>
                <w:lang w:val="en-US" w:eastAsia="zh-CN"/>
              </w:rPr>
              <w:t>表4-</w:t>
            </w:r>
            <w:r>
              <w:rPr>
                <w:rFonts w:hint="default"/>
                <w:color w:val="auto"/>
                <w:highlight w:val="none"/>
                <w:lang w:val="en-US" w:eastAsia="zh-CN"/>
              </w:rPr>
              <w:fldChar w:fldCharType="begin"/>
            </w:r>
            <w:r>
              <w:rPr>
                <w:rFonts w:hint="default"/>
                <w:color w:val="auto"/>
                <w:highlight w:val="none"/>
                <w:lang w:val="en-US" w:eastAsia="zh-CN"/>
              </w:rPr>
              <w:instrText xml:space="preserve"> SEQ 表4- \* ARABIC </w:instrText>
            </w:r>
            <w:r>
              <w:rPr>
                <w:rFonts w:hint="default"/>
                <w:color w:val="auto"/>
                <w:highlight w:val="none"/>
                <w:lang w:val="en-US" w:eastAsia="zh-CN"/>
              </w:rPr>
              <w:fldChar w:fldCharType="separate"/>
            </w:r>
            <w:r>
              <w:rPr>
                <w:rFonts w:hint="default"/>
                <w:color w:val="auto"/>
                <w:highlight w:val="none"/>
                <w:lang w:val="en-US" w:eastAsia="zh-CN"/>
              </w:rPr>
              <w:t>2</w:t>
            </w:r>
            <w:r>
              <w:rPr>
                <w:rFonts w:hint="default"/>
                <w:color w:val="auto"/>
                <w:highlight w:val="none"/>
                <w:lang w:val="en-US" w:eastAsia="zh-CN"/>
              </w:rPr>
              <w:fldChar w:fldCharType="end"/>
            </w:r>
            <w:r>
              <w:rPr>
                <w:rFonts w:hint="eastAsia"/>
                <w:color w:val="auto"/>
                <w:highlight w:val="none"/>
                <w:lang w:val="en-US" w:eastAsia="zh-CN"/>
              </w:rPr>
              <w:t xml:space="preserve">  </w:t>
            </w:r>
            <w:r>
              <w:rPr>
                <w:rFonts w:hint="default"/>
                <w:color w:val="auto"/>
                <w:highlight w:val="none"/>
                <w:lang w:val="en-US" w:eastAsia="zh-CN"/>
              </w:rPr>
              <w:t>污染源核算方法一览表</w:t>
            </w:r>
          </w:p>
          <w:tbl>
            <w:tblPr>
              <w:tblStyle w:val="29"/>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2087"/>
              <w:gridCol w:w="1163"/>
              <w:gridCol w:w="3362"/>
              <w:gridCol w:w="1174"/>
            </w:tblGrid>
            <w:tr w14:paraId="0E45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424" w:type="dxa"/>
                  <w:tcBorders>
                    <w:top w:val="single" w:color="auto" w:sz="12" w:space="0"/>
                    <w:bottom w:val="single" w:color="auto" w:sz="4" w:space="0"/>
                    <w:right w:val="single" w:color="auto" w:sz="4" w:space="0"/>
                  </w:tcBorders>
                  <w:vAlign w:val="center"/>
                </w:tcPr>
                <w:p w14:paraId="0EE055BC">
                  <w:pPr>
                    <w:pStyle w:val="106"/>
                    <w:bidi w:val="0"/>
                    <w:rPr>
                      <w:rFonts w:hint="default"/>
                      <w:b/>
                      <w:bCs/>
                      <w:color w:val="auto"/>
                      <w:highlight w:val="none"/>
                      <w:lang w:val="en-US" w:eastAsia="zh-CN"/>
                    </w:rPr>
                  </w:pPr>
                  <w:r>
                    <w:rPr>
                      <w:rFonts w:hint="default"/>
                      <w:b/>
                      <w:bCs/>
                      <w:color w:val="auto"/>
                      <w:highlight w:val="none"/>
                      <w:lang w:val="en-US" w:eastAsia="zh-CN"/>
                    </w:rPr>
                    <w:t>污染源</w:t>
                  </w:r>
                </w:p>
              </w:tc>
              <w:tc>
                <w:tcPr>
                  <w:tcW w:w="2087" w:type="dxa"/>
                  <w:tcBorders>
                    <w:top w:val="single" w:color="auto" w:sz="12" w:space="0"/>
                    <w:left w:val="single" w:color="auto" w:sz="4" w:space="0"/>
                    <w:bottom w:val="single" w:color="auto" w:sz="4" w:space="0"/>
                    <w:right w:val="single" w:color="auto" w:sz="4" w:space="0"/>
                  </w:tcBorders>
                  <w:vAlign w:val="center"/>
                </w:tcPr>
                <w:p w14:paraId="7D53DDD1">
                  <w:pPr>
                    <w:pStyle w:val="106"/>
                    <w:bidi w:val="0"/>
                    <w:rPr>
                      <w:rFonts w:hint="default"/>
                      <w:b/>
                      <w:bCs/>
                      <w:color w:val="auto"/>
                      <w:highlight w:val="none"/>
                      <w:lang w:val="en-US" w:eastAsia="zh-CN"/>
                    </w:rPr>
                  </w:pPr>
                  <w:r>
                    <w:rPr>
                      <w:rFonts w:hint="default"/>
                      <w:b/>
                      <w:bCs/>
                      <w:color w:val="auto"/>
                      <w:highlight w:val="none"/>
                      <w:lang w:val="en-US" w:eastAsia="zh-CN"/>
                    </w:rPr>
                    <w:t>污染物</w:t>
                  </w:r>
                </w:p>
              </w:tc>
              <w:tc>
                <w:tcPr>
                  <w:tcW w:w="1163" w:type="dxa"/>
                  <w:tcBorders>
                    <w:top w:val="single" w:color="auto" w:sz="12" w:space="0"/>
                    <w:left w:val="single" w:color="auto" w:sz="4" w:space="0"/>
                    <w:bottom w:val="single" w:color="auto" w:sz="4" w:space="0"/>
                    <w:right w:val="single" w:color="auto" w:sz="4" w:space="0"/>
                  </w:tcBorders>
                  <w:vAlign w:val="center"/>
                </w:tcPr>
                <w:p w14:paraId="51421748">
                  <w:pPr>
                    <w:pStyle w:val="106"/>
                    <w:bidi w:val="0"/>
                    <w:rPr>
                      <w:rFonts w:hint="default"/>
                      <w:b/>
                      <w:bCs/>
                      <w:color w:val="auto"/>
                      <w:highlight w:val="none"/>
                      <w:lang w:val="en-US" w:eastAsia="zh-CN"/>
                    </w:rPr>
                  </w:pPr>
                  <w:r>
                    <w:rPr>
                      <w:rFonts w:hint="default"/>
                      <w:b/>
                      <w:bCs/>
                      <w:color w:val="auto"/>
                      <w:highlight w:val="none"/>
                      <w:lang w:val="en-US" w:eastAsia="zh-CN"/>
                    </w:rPr>
                    <w:t>核算方法</w:t>
                  </w:r>
                </w:p>
              </w:tc>
              <w:tc>
                <w:tcPr>
                  <w:tcW w:w="3362" w:type="dxa"/>
                  <w:tcBorders>
                    <w:top w:val="single" w:color="auto" w:sz="12" w:space="0"/>
                    <w:left w:val="single" w:color="auto" w:sz="4" w:space="0"/>
                    <w:bottom w:val="single" w:color="auto" w:sz="4" w:space="0"/>
                    <w:right w:val="single" w:color="auto" w:sz="4" w:space="0"/>
                  </w:tcBorders>
                  <w:vAlign w:val="center"/>
                </w:tcPr>
                <w:p w14:paraId="064F2B0A">
                  <w:pPr>
                    <w:pStyle w:val="106"/>
                    <w:bidi w:val="0"/>
                    <w:rPr>
                      <w:rFonts w:hint="default"/>
                      <w:b/>
                      <w:bCs/>
                      <w:color w:val="auto"/>
                      <w:highlight w:val="none"/>
                      <w:lang w:val="en-US" w:eastAsia="zh-CN"/>
                    </w:rPr>
                  </w:pPr>
                  <w:r>
                    <w:rPr>
                      <w:rFonts w:hint="default"/>
                      <w:b/>
                      <w:bCs/>
                      <w:color w:val="auto"/>
                      <w:highlight w:val="none"/>
                      <w:lang w:val="en-US" w:eastAsia="zh-CN"/>
                    </w:rPr>
                    <w:t>方法来源</w:t>
                  </w:r>
                </w:p>
              </w:tc>
              <w:tc>
                <w:tcPr>
                  <w:tcW w:w="1174" w:type="dxa"/>
                  <w:tcBorders>
                    <w:top w:val="single" w:color="auto" w:sz="12" w:space="0"/>
                    <w:left w:val="single" w:color="auto" w:sz="4" w:space="0"/>
                    <w:bottom w:val="single" w:color="auto" w:sz="4" w:space="0"/>
                    <w:right w:val="nil"/>
                  </w:tcBorders>
                  <w:vAlign w:val="center"/>
                </w:tcPr>
                <w:p w14:paraId="31DA3FD8">
                  <w:pPr>
                    <w:pStyle w:val="106"/>
                    <w:bidi w:val="0"/>
                    <w:rPr>
                      <w:rFonts w:hint="default"/>
                      <w:b/>
                      <w:bCs/>
                      <w:color w:val="auto"/>
                      <w:highlight w:val="none"/>
                      <w:lang w:val="en-US" w:eastAsia="zh-CN"/>
                    </w:rPr>
                  </w:pPr>
                  <w:r>
                    <w:rPr>
                      <w:rFonts w:hint="default"/>
                      <w:b/>
                      <w:bCs/>
                      <w:color w:val="auto"/>
                      <w:highlight w:val="none"/>
                      <w:lang w:val="en-US" w:eastAsia="zh-CN"/>
                    </w:rPr>
                    <w:t>备注</w:t>
                  </w:r>
                </w:p>
              </w:tc>
            </w:tr>
            <w:tr w14:paraId="4424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4" w:type="dxa"/>
                  <w:tcBorders>
                    <w:top w:val="single" w:color="auto" w:sz="4" w:space="0"/>
                    <w:left w:val="nil"/>
                    <w:bottom w:val="single" w:color="auto" w:sz="4" w:space="0"/>
                    <w:right w:val="single" w:color="auto" w:sz="4" w:space="0"/>
                  </w:tcBorders>
                  <w:shd w:val="clear" w:color="auto" w:fill="auto"/>
                  <w:vAlign w:val="center"/>
                </w:tcPr>
                <w:p w14:paraId="7C18B54E">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蒸汽制备</w:t>
                  </w:r>
                </w:p>
              </w:tc>
              <w:tc>
                <w:tcPr>
                  <w:tcW w:w="2087" w:type="dxa"/>
                  <w:tcBorders>
                    <w:top w:val="single" w:color="auto" w:sz="4" w:space="0"/>
                    <w:left w:val="single" w:color="auto" w:sz="4" w:space="0"/>
                    <w:bottom w:val="single" w:color="auto" w:sz="4" w:space="0"/>
                    <w:right w:val="single" w:color="auto" w:sz="4" w:space="0"/>
                  </w:tcBorders>
                  <w:shd w:val="clear" w:color="auto" w:fill="auto"/>
                  <w:vAlign w:val="center"/>
                </w:tcPr>
                <w:p w14:paraId="48836C07">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color w:val="auto"/>
                      <w:highlight w:val="none"/>
                    </w:rPr>
                    <w:t>NOx</w:t>
                  </w:r>
                  <w:r>
                    <w:rPr>
                      <w:rFonts w:hint="eastAsia"/>
                      <w:color w:val="auto"/>
                      <w:highlight w:val="none"/>
                    </w:rPr>
                    <w:t>、</w:t>
                  </w:r>
                  <w:r>
                    <w:rPr>
                      <w:color w:val="auto"/>
                      <w:highlight w:val="none"/>
                    </w:rPr>
                    <w:t>SO</w:t>
                  </w:r>
                  <w:r>
                    <w:rPr>
                      <w:color w:val="auto"/>
                      <w:highlight w:val="none"/>
                      <w:vertAlign w:val="subscript"/>
                    </w:rPr>
                    <w:t>2</w:t>
                  </w:r>
                  <w:r>
                    <w:rPr>
                      <w:rFonts w:hint="eastAsia"/>
                      <w:color w:val="auto"/>
                      <w:highlight w:val="none"/>
                    </w:rPr>
                    <w:t>和</w:t>
                  </w:r>
                  <w:r>
                    <w:rPr>
                      <w:rFonts w:hint="eastAsia"/>
                      <w:color w:val="auto"/>
                      <w:highlight w:val="none"/>
                      <w:lang w:val="en-US" w:eastAsia="zh-CN"/>
                    </w:rPr>
                    <w:t>颗粒物（天然气燃烧废气）</w:t>
                  </w:r>
                </w:p>
              </w:tc>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14:paraId="7EF18C10">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排污系数法</w:t>
                  </w:r>
                </w:p>
              </w:tc>
              <w:tc>
                <w:tcPr>
                  <w:tcW w:w="3362" w:type="dxa"/>
                  <w:tcBorders>
                    <w:top w:val="single" w:color="auto" w:sz="4" w:space="0"/>
                    <w:left w:val="single" w:color="auto" w:sz="4" w:space="0"/>
                    <w:bottom w:val="single" w:color="auto" w:sz="4" w:space="0"/>
                    <w:right w:val="single" w:color="auto" w:sz="4" w:space="0"/>
                  </w:tcBorders>
                  <w:shd w:val="clear" w:color="auto" w:fill="auto"/>
                  <w:vAlign w:val="center"/>
                </w:tcPr>
                <w:p w14:paraId="51412786">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《4430工业锅炉（热力供应）行业系数手册》和</w:t>
                  </w:r>
                  <w:r>
                    <w:rPr>
                      <w:rFonts w:hint="default"/>
                      <w:color w:val="auto"/>
                      <w:highlight w:val="none"/>
                      <w:lang w:val="en-US" w:eastAsia="zh-CN"/>
                    </w:rPr>
                    <w:t>《环境保护实用数据手册》</w:t>
                  </w:r>
                </w:p>
              </w:tc>
              <w:tc>
                <w:tcPr>
                  <w:tcW w:w="1174" w:type="dxa"/>
                  <w:tcBorders>
                    <w:top w:val="single" w:color="auto" w:sz="4" w:space="0"/>
                    <w:left w:val="single" w:color="auto" w:sz="4" w:space="0"/>
                    <w:bottom w:val="single" w:color="auto" w:sz="4" w:space="0"/>
                    <w:right w:val="nil"/>
                  </w:tcBorders>
                  <w:shd w:val="clear" w:color="auto" w:fill="auto"/>
                  <w:vAlign w:val="center"/>
                </w:tcPr>
                <w:p w14:paraId="367414E7">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w:t>
                  </w:r>
                </w:p>
              </w:tc>
            </w:tr>
            <w:tr w14:paraId="4907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4" w:type="dxa"/>
                  <w:tcBorders>
                    <w:top w:val="single" w:color="auto" w:sz="4" w:space="0"/>
                    <w:left w:val="nil"/>
                    <w:bottom w:val="single" w:color="auto" w:sz="4" w:space="0"/>
                    <w:right w:val="single" w:color="auto" w:sz="4" w:space="0"/>
                  </w:tcBorders>
                  <w:shd w:val="clear" w:color="auto" w:fill="auto"/>
                  <w:vAlign w:val="center"/>
                </w:tcPr>
                <w:p w14:paraId="531A9D5B">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初步分切、切纸</w:t>
                  </w:r>
                </w:p>
              </w:tc>
              <w:tc>
                <w:tcPr>
                  <w:tcW w:w="2087" w:type="dxa"/>
                  <w:tcBorders>
                    <w:top w:val="single" w:color="auto" w:sz="4" w:space="0"/>
                    <w:left w:val="single" w:color="auto" w:sz="4" w:space="0"/>
                    <w:bottom w:val="single" w:color="auto" w:sz="4" w:space="0"/>
                    <w:right w:val="single" w:color="auto" w:sz="4" w:space="0"/>
                  </w:tcBorders>
                  <w:shd w:val="clear" w:color="auto" w:fill="auto"/>
                  <w:vAlign w:val="center"/>
                </w:tcPr>
                <w:p w14:paraId="5010D5E7">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颗粒物</w:t>
                  </w:r>
                </w:p>
              </w:tc>
              <w:tc>
                <w:tcPr>
                  <w:tcW w:w="1163" w:type="dxa"/>
                  <w:tcBorders>
                    <w:top w:val="single" w:color="auto" w:sz="4" w:space="0"/>
                    <w:left w:val="single" w:color="auto" w:sz="4" w:space="0"/>
                    <w:bottom w:val="single" w:color="auto" w:sz="4" w:space="0"/>
                    <w:right w:val="single" w:color="auto" w:sz="4" w:space="0"/>
                  </w:tcBorders>
                  <w:vAlign w:val="center"/>
                </w:tcPr>
                <w:p w14:paraId="452986E1">
                  <w:pPr>
                    <w:pStyle w:val="106"/>
                    <w:bidi w:val="0"/>
                    <w:rPr>
                      <w:rFonts w:hint="default"/>
                      <w:color w:val="auto"/>
                      <w:highlight w:val="none"/>
                      <w:lang w:val="en-US" w:eastAsia="zh-CN"/>
                    </w:rPr>
                  </w:pPr>
                  <w:r>
                    <w:rPr>
                      <w:rFonts w:hint="eastAsia"/>
                      <w:color w:val="auto"/>
                      <w:highlight w:val="none"/>
                      <w:lang w:val="en-US" w:eastAsia="zh-CN"/>
                    </w:rPr>
                    <w:t>/</w:t>
                  </w:r>
                </w:p>
              </w:tc>
              <w:tc>
                <w:tcPr>
                  <w:tcW w:w="3362" w:type="dxa"/>
                  <w:tcBorders>
                    <w:top w:val="single" w:color="auto" w:sz="4" w:space="0"/>
                    <w:left w:val="single" w:color="auto" w:sz="4" w:space="0"/>
                    <w:bottom w:val="single" w:color="auto" w:sz="4" w:space="0"/>
                    <w:right w:val="single" w:color="auto" w:sz="4" w:space="0"/>
                  </w:tcBorders>
                  <w:vAlign w:val="center"/>
                </w:tcPr>
                <w:p w14:paraId="4CE93B7A">
                  <w:pPr>
                    <w:pStyle w:val="106"/>
                    <w:bidi w:val="0"/>
                    <w:rPr>
                      <w:rFonts w:hint="default"/>
                      <w:color w:val="auto"/>
                      <w:highlight w:val="none"/>
                      <w:lang w:val="en-US" w:eastAsia="zh-CN"/>
                    </w:rPr>
                  </w:pPr>
                  <w:r>
                    <w:rPr>
                      <w:rFonts w:hint="eastAsia"/>
                      <w:color w:val="auto"/>
                      <w:highlight w:val="none"/>
                      <w:lang w:val="en-US" w:eastAsia="zh-CN"/>
                    </w:rPr>
                    <w:t>/</w:t>
                  </w:r>
                </w:p>
              </w:tc>
              <w:tc>
                <w:tcPr>
                  <w:tcW w:w="1174" w:type="dxa"/>
                  <w:tcBorders>
                    <w:top w:val="single" w:color="auto" w:sz="4" w:space="0"/>
                    <w:left w:val="single" w:color="auto" w:sz="4" w:space="0"/>
                    <w:bottom w:val="single" w:color="auto" w:sz="4" w:space="0"/>
                    <w:right w:val="nil"/>
                  </w:tcBorders>
                  <w:vAlign w:val="center"/>
                </w:tcPr>
                <w:p w14:paraId="2741D8A9">
                  <w:pPr>
                    <w:pStyle w:val="106"/>
                    <w:bidi w:val="0"/>
                    <w:rPr>
                      <w:rFonts w:hint="default"/>
                      <w:color w:val="auto"/>
                      <w:highlight w:val="none"/>
                      <w:lang w:val="en-US" w:eastAsia="zh-CN"/>
                    </w:rPr>
                  </w:pPr>
                  <w:r>
                    <w:rPr>
                      <w:rFonts w:hint="eastAsia"/>
                      <w:color w:val="auto"/>
                      <w:highlight w:val="none"/>
                      <w:lang w:val="en-US" w:eastAsia="zh-CN"/>
                    </w:rPr>
                    <w:t>定性分析</w:t>
                  </w:r>
                </w:p>
              </w:tc>
            </w:tr>
            <w:tr w14:paraId="160B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4" w:type="dxa"/>
                  <w:tcBorders>
                    <w:top w:val="single" w:color="auto" w:sz="4" w:space="0"/>
                    <w:left w:val="nil"/>
                    <w:bottom w:val="single" w:color="auto" w:sz="12" w:space="0"/>
                    <w:right w:val="single" w:color="auto" w:sz="4" w:space="0"/>
                  </w:tcBorders>
                  <w:shd w:val="clear" w:color="auto" w:fill="auto"/>
                  <w:vAlign w:val="center"/>
                </w:tcPr>
                <w:p w14:paraId="105489E5">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污水处理</w:t>
                  </w:r>
                </w:p>
              </w:tc>
              <w:tc>
                <w:tcPr>
                  <w:tcW w:w="2087" w:type="dxa"/>
                  <w:tcBorders>
                    <w:top w:val="single" w:color="auto" w:sz="4" w:space="0"/>
                    <w:left w:val="single" w:color="auto" w:sz="4" w:space="0"/>
                    <w:bottom w:val="single" w:color="auto" w:sz="12" w:space="0"/>
                    <w:right w:val="single" w:color="auto" w:sz="4" w:space="0"/>
                  </w:tcBorders>
                  <w:shd w:val="clear" w:color="auto" w:fill="auto"/>
                  <w:vAlign w:val="center"/>
                </w:tcPr>
                <w:p w14:paraId="35D33C18">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氨、硫化氢</w:t>
                  </w:r>
                </w:p>
              </w:tc>
              <w:tc>
                <w:tcPr>
                  <w:tcW w:w="1163" w:type="dxa"/>
                  <w:tcBorders>
                    <w:top w:val="single" w:color="auto" w:sz="4" w:space="0"/>
                    <w:left w:val="single" w:color="auto" w:sz="4" w:space="0"/>
                    <w:bottom w:val="single" w:color="auto" w:sz="12" w:space="0"/>
                    <w:right w:val="single" w:color="auto" w:sz="4" w:space="0"/>
                  </w:tcBorders>
                  <w:vAlign w:val="center"/>
                </w:tcPr>
                <w:p w14:paraId="4125A851">
                  <w:pPr>
                    <w:pStyle w:val="106"/>
                    <w:bidi w:val="0"/>
                    <w:rPr>
                      <w:rFonts w:hint="eastAsia"/>
                      <w:color w:val="auto"/>
                      <w:highlight w:val="none"/>
                      <w:lang w:val="en-US" w:eastAsia="zh-CN"/>
                    </w:rPr>
                  </w:pPr>
                  <w:r>
                    <w:rPr>
                      <w:rFonts w:hint="eastAsia"/>
                      <w:color w:val="auto"/>
                      <w:highlight w:val="none"/>
                      <w:lang w:val="en-US" w:eastAsia="zh-CN"/>
                    </w:rPr>
                    <w:t>排污系数法</w:t>
                  </w:r>
                </w:p>
              </w:tc>
              <w:tc>
                <w:tcPr>
                  <w:tcW w:w="3362" w:type="dxa"/>
                  <w:tcBorders>
                    <w:top w:val="single" w:color="auto" w:sz="4" w:space="0"/>
                    <w:left w:val="single" w:color="auto" w:sz="4" w:space="0"/>
                    <w:bottom w:val="single" w:color="auto" w:sz="12" w:space="0"/>
                    <w:right w:val="single" w:color="auto" w:sz="4" w:space="0"/>
                  </w:tcBorders>
                  <w:vAlign w:val="center"/>
                </w:tcPr>
                <w:p w14:paraId="23276CA0">
                  <w:pPr>
                    <w:pStyle w:val="106"/>
                    <w:bidi w:val="0"/>
                    <w:rPr>
                      <w:rFonts w:hint="eastAsia"/>
                      <w:color w:val="auto"/>
                      <w:highlight w:val="none"/>
                      <w:lang w:val="en-US" w:eastAsia="zh-CN"/>
                    </w:rPr>
                  </w:pPr>
                  <w:r>
                    <w:rPr>
                      <w:rFonts w:hint="eastAsia"/>
                      <w:color w:val="auto"/>
                      <w:highlight w:val="none"/>
                      <w:lang w:val="en-US" w:eastAsia="zh-CN"/>
                    </w:rPr>
                    <w:t>美国EPA对城市污水处理场恶臭污染物产生情况的研究</w:t>
                  </w:r>
                </w:p>
              </w:tc>
              <w:tc>
                <w:tcPr>
                  <w:tcW w:w="1174" w:type="dxa"/>
                  <w:tcBorders>
                    <w:top w:val="single" w:color="auto" w:sz="4" w:space="0"/>
                    <w:left w:val="single" w:color="auto" w:sz="4" w:space="0"/>
                    <w:bottom w:val="single" w:color="auto" w:sz="12" w:space="0"/>
                    <w:right w:val="nil"/>
                  </w:tcBorders>
                  <w:vAlign w:val="center"/>
                </w:tcPr>
                <w:p w14:paraId="4C132B99">
                  <w:pPr>
                    <w:pStyle w:val="106"/>
                    <w:bidi w:val="0"/>
                    <w:rPr>
                      <w:rFonts w:hint="default"/>
                      <w:color w:val="auto"/>
                      <w:highlight w:val="none"/>
                      <w:lang w:val="en-US" w:eastAsia="zh-CN"/>
                    </w:rPr>
                  </w:pPr>
                  <w:r>
                    <w:rPr>
                      <w:rFonts w:hint="eastAsia"/>
                      <w:color w:val="auto"/>
                      <w:highlight w:val="none"/>
                      <w:lang w:val="en-US" w:eastAsia="zh-CN"/>
                    </w:rPr>
                    <w:t>/</w:t>
                  </w:r>
                </w:p>
              </w:tc>
            </w:tr>
          </w:tbl>
          <w:p w14:paraId="363AD2BB">
            <w:pPr>
              <w:keepNext w:val="0"/>
              <w:keepLines w:val="0"/>
              <w:pageBreakBefore w:val="0"/>
              <w:widowControl w:val="0"/>
              <w:numPr>
                <w:ilvl w:val="0"/>
                <w:numId w:val="11"/>
              </w:numPr>
              <w:kinsoku/>
              <w:wordWrap/>
              <w:overflowPunct/>
              <w:topLinePunct w:val="0"/>
              <w:autoSpaceDE w:val="0"/>
              <w:autoSpaceDN w:val="0"/>
              <w:bidi w:val="0"/>
              <w:adjustRightInd w:val="0"/>
              <w:snapToGrid w:val="0"/>
              <w:spacing w:before="157" w:beforeLines="50"/>
              <w:ind w:firstLine="463" w:firstLineChars="192"/>
              <w:textAlignment w:val="auto"/>
              <w:rPr>
                <w:rFonts w:hint="eastAsia"/>
                <w:b/>
                <w:color w:val="auto"/>
                <w:sz w:val="24"/>
                <w:highlight w:val="none"/>
                <w:lang w:val="en-US" w:eastAsia="zh-CN"/>
              </w:rPr>
            </w:pPr>
            <w:r>
              <w:rPr>
                <w:rFonts w:hint="eastAsia"/>
                <w:b/>
                <w:color w:val="auto"/>
                <w:sz w:val="24"/>
                <w:highlight w:val="none"/>
                <w:lang w:val="en-US" w:eastAsia="zh-CN"/>
              </w:rPr>
              <w:t>源强核算、治理及排放情况</w:t>
            </w:r>
          </w:p>
          <w:p w14:paraId="201E960D">
            <w:pPr>
              <w:bidi w:val="0"/>
              <w:rPr>
                <w:rFonts w:hint="eastAsia"/>
                <w:b/>
                <w:bCs/>
                <w:color w:val="auto"/>
                <w:highlight w:val="none"/>
                <w:lang w:val="en-US" w:eastAsia="zh-CN"/>
              </w:rPr>
            </w:pPr>
            <w:r>
              <w:rPr>
                <w:rFonts w:hint="eastAsia"/>
                <w:b/>
                <w:bCs/>
                <w:color w:val="auto"/>
                <w:highlight w:val="none"/>
                <w:lang w:val="en-US" w:eastAsia="zh-CN"/>
              </w:rPr>
              <w:t>①天然气燃烧废气</w:t>
            </w:r>
          </w:p>
          <w:p w14:paraId="36B94D35">
            <w:pPr>
              <w:bidi w:val="0"/>
              <w:rPr>
                <w:rFonts w:hint="eastAsia"/>
                <w:b/>
                <w:bCs/>
                <w:color w:val="auto"/>
                <w:highlight w:val="none"/>
                <w:lang w:val="en-US" w:eastAsia="zh-CN"/>
              </w:rPr>
            </w:pPr>
            <w:r>
              <w:rPr>
                <w:rFonts w:hint="eastAsia"/>
                <w:b/>
                <w:bCs/>
                <w:color w:val="auto"/>
                <w:highlight w:val="none"/>
                <w:lang w:val="en-US" w:eastAsia="zh-CN"/>
              </w:rPr>
              <w:t>产生情况：</w:t>
            </w:r>
          </w:p>
          <w:p w14:paraId="2A8868E1">
            <w:pPr>
              <w:bidi w:val="0"/>
              <w:rPr>
                <w:rFonts w:hint="eastAsia" w:eastAsia="宋体"/>
                <w:color w:val="auto"/>
                <w:highlight w:val="none"/>
                <w:lang w:eastAsia="zh-CN"/>
              </w:rPr>
            </w:pPr>
            <w:r>
              <w:rPr>
                <w:rFonts w:hint="eastAsia"/>
                <w:color w:val="auto"/>
                <w:highlight w:val="none"/>
              </w:rPr>
              <w:t>项目</w:t>
            </w:r>
            <w:r>
              <w:rPr>
                <w:rFonts w:hint="eastAsia"/>
                <w:color w:val="auto"/>
                <w:highlight w:val="none"/>
                <w:lang w:val="en-US" w:eastAsia="zh-CN"/>
              </w:rPr>
              <w:t>拟设置1台20t/h和1台1t/h的天然气加热蒸汽发生器</w:t>
            </w:r>
            <w:r>
              <w:rPr>
                <w:rFonts w:hint="eastAsia"/>
                <w:color w:val="auto"/>
                <w:highlight w:val="none"/>
                <w:lang w:eastAsia="zh-CN"/>
              </w:rPr>
              <w:t>。</w:t>
            </w:r>
            <w:r>
              <w:rPr>
                <w:rFonts w:hint="eastAsia"/>
                <w:color w:val="auto"/>
                <w:highlight w:val="none"/>
              </w:rPr>
              <w:t>天然气燃烧产生的污染物主要为</w:t>
            </w:r>
            <w:r>
              <w:rPr>
                <w:color w:val="auto"/>
                <w:highlight w:val="none"/>
              </w:rPr>
              <w:t>NOx</w:t>
            </w:r>
            <w:r>
              <w:rPr>
                <w:rFonts w:hint="eastAsia"/>
                <w:color w:val="auto"/>
                <w:highlight w:val="none"/>
              </w:rPr>
              <w:t>、</w:t>
            </w:r>
            <w:r>
              <w:rPr>
                <w:color w:val="auto"/>
                <w:highlight w:val="none"/>
              </w:rPr>
              <w:t>SO</w:t>
            </w:r>
            <w:r>
              <w:rPr>
                <w:color w:val="auto"/>
                <w:highlight w:val="none"/>
                <w:vertAlign w:val="subscript"/>
              </w:rPr>
              <w:t>2</w:t>
            </w:r>
            <w:r>
              <w:rPr>
                <w:rFonts w:hint="eastAsia"/>
                <w:color w:val="auto"/>
                <w:highlight w:val="none"/>
              </w:rPr>
              <w:t>和</w:t>
            </w:r>
            <w:r>
              <w:rPr>
                <w:rFonts w:hint="eastAsia"/>
                <w:color w:val="auto"/>
                <w:highlight w:val="none"/>
                <w:lang w:val="en-US" w:eastAsia="zh-CN"/>
              </w:rPr>
              <w:t>颗粒物</w:t>
            </w:r>
            <w:r>
              <w:rPr>
                <w:rFonts w:hint="eastAsia"/>
                <w:color w:val="auto"/>
                <w:highlight w:val="none"/>
                <w:lang w:eastAsia="zh-CN"/>
              </w:rPr>
              <w:t>。</w:t>
            </w:r>
            <w:r>
              <w:rPr>
                <w:rFonts w:hint="eastAsia"/>
                <w:color w:val="auto"/>
                <w:highlight w:val="none"/>
              </w:rPr>
              <w:t>根据建设单位提供资料，项目</w:t>
            </w:r>
            <w:r>
              <w:rPr>
                <w:rFonts w:hint="eastAsia"/>
                <w:color w:val="auto"/>
                <w:highlight w:val="none"/>
                <w:lang w:val="en-US" w:eastAsia="zh-CN"/>
              </w:rPr>
              <w:t>1t/h蒸汽发生器耗气量约75m</w:t>
            </w:r>
            <w:r>
              <w:rPr>
                <w:rFonts w:hint="eastAsia"/>
                <w:color w:val="auto"/>
                <w:highlight w:val="none"/>
                <w:vertAlign w:val="superscript"/>
                <w:lang w:val="en-US" w:eastAsia="zh-CN"/>
              </w:rPr>
              <w:t>3</w:t>
            </w:r>
            <w:r>
              <w:rPr>
                <w:rFonts w:hint="eastAsia"/>
                <w:color w:val="auto"/>
                <w:highlight w:val="none"/>
                <w:lang w:val="en-US" w:eastAsia="zh-CN"/>
              </w:rPr>
              <w:t>/h，项目蒸汽发生器按年运行2700h计，则预计项目</w:t>
            </w:r>
            <w:r>
              <w:rPr>
                <w:rFonts w:hint="eastAsia"/>
                <w:color w:val="auto"/>
                <w:highlight w:val="none"/>
              </w:rPr>
              <w:t>年使用天然气</w:t>
            </w:r>
            <w:r>
              <w:rPr>
                <w:rFonts w:hint="eastAsia"/>
                <w:color w:val="auto"/>
                <w:highlight w:val="none"/>
                <w:lang w:val="en-US" w:eastAsia="zh-CN"/>
              </w:rPr>
              <w:t>量为405</w:t>
            </w:r>
            <w:r>
              <w:rPr>
                <w:rFonts w:hint="eastAsia"/>
                <w:color w:val="auto"/>
                <w:highlight w:val="none"/>
              </w:rPr>
              <w:t>万</w:t>
            </w:r>
            <w:r>
              <w:rPr>
                <w:color w:val="auto"/>
                <w:highlight w:val="none"/>
              </w:rPr>
              <w:t>m</w:t>
            </w:r>
            <w:r>
              <w:rPr>
                <w:color w:val="auto"/>
                <w:highlight w:val="none"/>
                <w:vertAlign w:val="superscript"/>
              </w:rPr>
              <w:t>3</w:t>
            </w:r>
            <w:r>
              <w:rPr>
                <w:rFonts w:hint="eastAsia"/>
                <w:color w:val="auto"/>
                <w:highlight w:val="none"/>
                <w:lang w:eastAsia="zh-CN"/>
              </w:rPr>
              <w:t>。</w:t>
            </w:r>
          </w:p>
          <w:p w14:paraId="26181C7C">
            <w:pPr>
              <w:bidi w:val="0"/>
              <w:rPr>
                <w:rFonts w:hint="eastAsia"/>
                <w:color w:val="auto"/>
                <w:highlight w:val="none"/>
              </w:rPr>
            </w:pPr>
            <w:r>
              <w:rPr>
                <w:rFonts w:hint="eastAsia"/>
                <w:color w:val="auto"/>
                <w:highlight w:val="none"/>
                <w:lang w:val="en-US" w:eastAsia="zh-CN"/>
              </w:rPr>
              <w:t>根据生态环境部发布的排污系数手册中《4430工业锅炉（热力供应）行业系数手册》相关产排污系数，颗粒物产污系数按照</w:t>
            </w:r>
            <w:r>
              <w:rPr>
                <w:rFonts w:hint="eastAsia"/>
                <w:color w:val="auto"/>
                <w:highlight w:val="none"/>
              </w:rPr>
              <w:t>《环境保护实用数据手册》</w:t>
            </w:r>
            <w:r>
              <w:rPr>
                <w:rFonts w:hint="eastAsia"/>
                <w:color w:val="auto"/>
                <w:highlight w:val="none"/>
                <w:lang w:val="en-US" w:eastAsia="zh-CN"/>
              </w:rPr>
              <w:t>中表F.3</w:t>
            </w:r>
            <w:r>
              <w:rPr>
                <w:rFonts w:hint="eastAsia"/>
                <w:color w:val="auto"/>
                <w:highlight w:val="none"/>
              </w:rPr>
              <w:t>提供的产排</w:t>
            </w:r>
            <w:r>
              <w:rPr>
                <w:rFonts w:hint="eastAsia"/>
                <w:color w:val="auto"/>
                <w:highlight w:val="none"/>
                <w:lang w:val="en-US" w:eastAsia="zh-CN"/>
              </w:rPr>
              <w:t>污</w:t>
            </w:r>
            <w:r>
              <w:rPr>
                <w:rFonts w:hint="eastAsia"/>
                <w:color w:val="auto"/>
                <w:highlight w:val="none"/>
              </w:rPr>
              <w:t>系数，本项目</w:t>
            </w:r>
            <w:r>
              <w:rPr>
                <w:rFonts w:hint="eastAsia"/>
                <w:color w:val="auto"/>
                <w:highlight w:val="none"/>
                <w:lang w:val="en-US" w:eastAsia="zh-CN"/>
              </w:rPr>
              <w:t>天然气</w:t>
            </w:r>
            <w:r>
              <w:rPr>
                <w:rFonts w:hint="eastAsia"/>
                <w:color w:val="auto"/>
                <w:highlight w:val="none"/>
              </w:rPr>
              <w:t>燃烧废气</w:t>
            </w:r>
            <w:r>
              <w:rPr>
                <w:rFonts w:hint="eastAsia"/>
                <w:color w:val="auto"/>
                <w:highlight w:val="none"/>
                <w:lang w:val="en-US" w:eastAsia="zh-CN"/>
              </w:rPr>
              <w:t>产污系数</w:t>
            </w:r>
            <w:r>
              <w:rPr>
                <w:rFonts w:hint="eastAsia"/>
                <w:color w:val="auto"/>
                <w:highlight w:val="none"/>
              </w:rPr>
              <w:t>如下表：</w:t>
            </w:r>
          </w:p>
          <w:p w14:paraId="7FAC7E42">
            <w:pPr>
              <w:pStyle w:val="14"/>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eastAsia="宋体"/>
                <w:color w:val="auto"/>
                <w:highlight w:val="none"/>
                <w:lang w:val="en-US" w:eastAsia="zh-CN"/>
              </w:rPr>
            </w:pPr>
            <w:r>
              <w:rPr>
                <w:color w:val="auto"/>
                <w:highlight w:val="none"/>
              </w:rPr>
              <w:t xml:space="preserve">表4- </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3</w:t>
            </w:r>
            <w:r>
              <w:rPr>
                <w:color w:val="auto"/>
                <w:highlight w:val="none"/>
              </w:rPr>
              <w:fldChar w:fldCharType="end"/>
            </w:r>
            <w:r>
              <w:rPr>
                <w:rFonts w:hint="eastAsia"/>
                <w:color w:val="auto"/>
                <w:highlight w:val="none"/>
                <w:lang w:val="en-US" w:eastAsia="zh-CN"/>
              </w:rPr>
              <w:t xml:space="preserve">  项目天然气废气产污系数一览表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2231"/>
              <w:gridCol w:w="3019"/>
              <w:gridCol w:w="1503"/>
            </w:tblGrid>
            <w:tr w14:paraId="11E72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464" w:type="dxa"/>
                  <w:tcBorders>
                    <w:tl2br w:val="nil"/>
                    <w:tr2bl w:val="nil"/>
                  </w:tcBorders>
                  <w:vAlign w:val="center"/>
                </w:tcPr>
                <w:p w14:paraId="72CF809A">
                  <w:pPr>
                    <w:pStyle w:val="108"/>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原料名称</w:t>
                  </w:r>
                </w:p>
              </w:tc>
              <w:tc>
                <w:tcPr>
                  <w:tcW w:w="2229" w:type="dxa"/>
                  <w:tcBorders>
                    <w:tl2br w:val="nil"/>
                    <w:tr2bl w:val="nil"/>
                  </w:tcBorders>
                  <w:vAlign w:val="center"/>
                </w:tcPr>
                <w:p w14:paraId="26AA6354">
                  <w:pPr>
                    <w:pStyle w:val="108"/>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污染物指标</w:t>
                  </w:r>
                </w:p>
              </w:tc>
              <w:tc>
                <w:tcPr>
                  <w:tcW w:w="3016" w:type="dxa"/>
                  <w:tcBorders>
                    <w:tl2br w:val="nil"/>
                    <w:tr2bl w:val="nil"/>
                  </w:tcBorders>
                  <w:vAlign w:val="center"/>
                </w:tcPr>
                <w:p w14:paraId="31CF87F6">
                  <w:pPr>
                    <w:pStyle w:val="108"/>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单位</w:t>
                  </w:r>
                </w:p>
              </w:tc>
              <w:tc>
                <w:tcPr>
                  <w:tcW w:w="1501" w:type="dxa"/>
                  <w:tcBorders>
                    <w:tl2br w:val="nil"/>
                    <w:tr2bl w:val="nil"/>
                  </w:tcBorders>
                  <w:vAlign w:val="center"/>
                </w:tcPr>
                <w:p w14:paraId="7383A1CE">
                  <w:pPr>
                    <w:pStyle w:val="108"/>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产污系数</w:t>
                  </w:r>
                </w:p>
              </w:tc>
            </w:tr>
            <w:tr w14:paraId="456F7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464" w:type="dxa"/>
                  <w:vMerge w:val="restart"/>
                  <w:tcBorders>
                    <w:tl2br w:val="nil"/>
                    <w:tr2bl w:val="nil"/>
                  </w:tcBorders>
                  <w:vAlign w:val="center"/>
                </w:tcPr>
                <w:p w14:paraId="00E4054F">
                  <w:pPr>
                    <w:pStyle w:val="108"/>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天然气</w:t>
                  </w:r>
                </w:p>
              </w:tc>
              <w:tc>
                <w:tcPr>
                  <w:tcW w:w="2229" w:type="dxa"/>
                  <w:tcBorders>
                    <w:tl2br w:val="nil"/>
                    <w:tr2bl w:val="nil"/>
                  </w:tcBorders>
                  <w:vAlign w:val="center"/>
                </w:tcPr>
                <w:p w14:paraId="0C43E800">
                  <w:pPr>
                    <w:pStyle w:val="108"/>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工业废气量</w:t>
                  </w:r>
                </w:p>
              </w:tc>
              <w:tc>
                <w:tcPr>
                  <w:tcW w:w="3016" w:type="dxa"/>
                  <w:tcBorders>
                    <w:tl2br w:val="nil"/>
                    <w:tr2bl w:val="nil"/>
                  </w:tcBorders>
                  <w:vAlign w:val="center"/>
                </w:tcPr>
                <w:p w14:paraId="398453AC">
                  <w:pPr>
                    <w:pStyle w:val="108"/>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标立方米</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万立方米</w:t>
                  </w:r>
                  <w:r>
                    <w:rPr>
                      <w:rFonts w:hint="default" w:ascii="Times New Roman" w:hAnsi="Times New Roman" w:cs="Times New Roman"/>
                      <w:color w:val="auto"/>
                      <w:highlight w:val="none"/>
                    </w:rPr>
                    <w:t>·原料</w:t>
                  </w:r>
                </w:p>
              </w:tc>
              <w:tc>
                <w:tcPr>
                  <w:tcW w:w="1501" w:type="dxa"/>
                  <w:tcBorders>
                    <w:tl2br w:val="nil"/>
                    <w:tr2bl w:val="nil"/>
                  </w:tcBorders>
                  <w:vAlign w:val="center"/>
                </w:tcPr>
                <w:p w14:paraId="0142BEA2">
                  <w:pPr>
                    <w:pStyle w:val="108"/>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107753</w:t>
                  </w:r>
                </w:p>
              </w:tc>
            </w:tr>
            <w:tr w14:paraId="67590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464" w:type="dxa"/>
                  <w:vMerge w:val="continue"/>
                  <w:tcBorders>
                    <w:tl2br w:val="nil"/>
                    <w:tr2bl w:val="nil"/>
                  </w:tcBorders>
                  <w:vAlign w:val="center"/>
                </w:tcPr>
                <w:p w14:paraId="78A31FF4">
                  <w:pPr>
                    <w:pStyle w:val="108"/>
                    <w:jc w:val="center"/>
                    <w:rPr>
                      <w:rFonts w:hint="default" w:ascii="Times New Roman" w:hAnsi="Times New Roman" w:cs="Times New Roman"/>
                      <w:color w:val="auto"/>
                      <w:highlight w:val="none"/>
                    </w:rPr>
                  </w:pPr>
                </w:p>
              </w:tc>
              <w:tc>
                <w:tcPr>
                  <w:tcW w:w="2229" w:type="dxa"/>
                  <w:tcBorders>
                    <w:tl2br w:val="nil"/>
                    <w:tr2bl w:val="nil"/>
                  </w:tcBorders>
                  <w:vAlign w:val="center"/>
                </w:tcPr>
                <w:p w14:paraId="7EF7B171">
                  <w:pPr>
                    <w:pStyle w:val="108"/>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二氧化硫</w:t>
                  </w:r>
                </w:p>
              </w:tc>
              <w:tc>
                <w:tcPr>
                  <w:tcW w:w="3016" w:type="dxa"/>
                  <w:tcBorders>
                    <w:tl2br w:val="nil"/>
                    <w:tr2bl w:val="nil"/>
                  </w:tcBorders>
                  <w:vAlign w:val="center"/>
                </w:tcPr>
                <w:p w14:paraId="3826025A">
                  <w:pPr>
                    <w:pStyle w:val="108"/>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千克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万立方米</w:t>
                  </w:r>
                  <w:r>
                    <w:rPr>
                      <w:rFonts w:hint="default" w:ascii="Times New Roman" w:hAnsi="Times New Roman" w:cs="Times New Roman"/>
                      <w:color w:val="auto"/>
                      <w:highlight w:val="none"/>
                    </w:rPr>
                    <w:t>·原料</w:t>
                  </w:r>
                </w:p>
              </w:tc>
              <w:tc>
                <w:tcPr>
                  <w:tcW w:w="1501" w:type="dxa"/>
                  <w:tcBorders>
                    <w:tl2br w:val="nil"/>
                    <w:tr2bl w:val="nil"/>
                  </w:tcBorders>
                  <w:vAlign w:val="center"/>
                </w:tcPr>
                <w:p w14:paraId="7CEACE30">
                  <w:pPr>
                    <w:pStyle w:val="108"/>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0.02S</w:t>
                  </w:r>
                </w:p>
              </w:tc>
            </w:tr>
            <w:tr w14:paraId="36EB2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464" w:type="dxa"/>
                  <w:vMerge w:val="continue"/>
                  <w:tcBorders>
                    <w:tl2br w:val="nil"/>
                    <w:tr2bl w:val="nil"/>
                  </w:tcBorders>
                  <w:vAlign w:val="center"/>
                </w:tcPr>
                <w:p w14:paraId="4935A2D2">
                  <w:pPr>
                    <w:pStyle w:val="108"/>
                    <w:jc w:val="center"/>
                    <w:rPr>
                      <w:rFonts w:hint="default" w:ascii="Times New Roman" w:hAnsi="Times New Roman" w:cs="Times New Roman"/>
                      <w:color w:val="auto"/>
                      <w:highlight w:val="none"/>
                    </w:rPr>
                  </w:pPr>
                </w:p>
              </w:tc>
              <w:tc>
                <w:tcPr>
                  <w:tcW w:w="2229" w:type="dxa"/>
                  <w:tcBorders>
                    <w:tl2br w:val="nil"/>
                    <w:tr2bl w:val="nil"/>
                  </w:tcBorders>
                  <w:vAlign w:val="center"/>
                </w:tcPr>
                <w:p w14:paraId="665A437B">
                  <w:pPr>
                    <w:pStyle w:val="108"/>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氮氧化物</w:t>
                  </w:r>
                </w:p>
              </w:tc>
              <w:tc>
                <w:tcPr>
                  <w:tcW w:w="3016" w:type="dxa"/>
                  <w:tcBorders>
                    <w:tl2br w:val="nil"/>
                    <w:tr2bl w:val="nil"/>
                  </w:tcBorders>
                  <w:vAlign w:val="center"/>
                </w:tcPr>
                <w:p w14:paraId="677F53B8">
                  <w:pPr>
                    <w:pStyle w:val="108"/>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千克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万立方米</w:t>
                  </w:r>
                  <w:r>
                    <w:rPr>
                      <w:rFonts w:hint="default" w:ascii="Times New Roman" w:hAnsi="Times New Roman" w:cs="Times New Roman"/>
                      <w:color w:val="auto"/>
                      <w:highlight w:val="none"/>
                    </w:rPr>
                    <w:t>·原料</w:t>
                  </w:r>
                </w:p>
              </w:tc>
              <w:tc>
                <w:tcPr>
                  <w:tcW w:w="1501" w:type="dxa"/>
                  <w:tcBorders>
                    <w:tl2br w:val="nil"/>
                    <w:tr2bl w:val="nil"/>
                  </w:tcBorders>
                  <w:vAlign w:val="center"/>
                </w:tcPr>
                <w:p w14:paraId="6AC026E4">
                  <w:pPr>
                    <w:pStyle w:val="108"/>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3.03</w:t>
                  </w:r>
                </w:p>
              </w:tc>
            </w:tr>
            <w:tr w14:paraId="76F40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464" w:type="dxa"/>
                  <w:vMerge w:val="continue"/>
                  <w:tcBorders>
                    <w:tl2br w:val="nil"/>
                    <w:tr2bl w:val="nil"/>
                  </w:tcBorders>
                  <w:vAlign w:val="center"/>
                </w:tcPr>
                <w:p w14:paraId="1963B37D">
                  <w:pPr>
                    <w:pStyle w:val="108"/>
                    <w:jc w:val="center"/>
                    <w:rPr>
                      <w:rFonts w:hint="default" w:ascii="Times New Roman" w:hAnsi="Times New Roman" w:cs="Times New Roman"/>
                      <w:color w:val="auto"/>
                      <w:highlight w:val="none"/>
                    </w:rPr>
                  </w:pPr>
                </w:p>
              </w:tc>
              <w:tc>
                <w:tcPr>
                  <w:tcW w:w="2229" w:type="dxa"/>
                  <w:tcBorders>
                    <w:tl2br w:val="nil"/>
                    <w:tr2bl w:val="nil"/>
                  </w:tcBorders>
                  <w:vAlign w:val="center"/>
                </w:tcPr>
                <w:p w14:paraId="276EB45C">
                  <w:pPr>
                    <w:pStyle w:val="108"/>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颗粒物</w:t>
                  </w:r>
                </w:p>
              </w:tc>
              <w:tc>
                <w:tcPr>
                  <w:tcW w:w="3016" w:type="dxa"/>
                  <w:tcBorders>
                    <w:tl2br w:val="nil"/>
                    <w:tr2bl w:val="nil"/>
                  </w:tcBorders>
                  <w:vAlign w:val="center"/>
                </w:tcPr>
                <w:p w14:paraId="5DEECA91">
                  <w:pPr>
                    <w:pStyle w:val="108"/>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千克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万立方米</w:t>
                  </w:r>
                  <w:r>
                    <w:rPr>
                      <w:rFonts w:hint="default" w:ascii="Times New Roman" w:hAnsi="Times New Roman" w:cs="Times New Roman"/>
                      <w:color w:val="auto"/>
                      <w:highlight w:val="none"/>
                    </w:rPr>
                    <w:t>·原料</w:t>
                  </w:r>
                </w:p>
              </w:tc>
              <w:tc>
                <w:tcPr>
                  <w:tcW w:w="1501" w:type="dxa"/>
                  <w:tcBorders>
                    <w:tl2br w:val="nil"/>
                    <w:tr2bl w:val="nil"/>
                  </w:tcBorders>
                  <w:vAlign w:val="center"/>
                </w:tcPr>
                <w:p w14:paraId="6A8104F7">
                  <w:pPr>
                    <w:pStyle w:val="108"/>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2.86</w:t>
                  </w:r>
                </w:p>
              </w:tc>
            </w:tr>
          </w:tbl>
          <w:p w14:paraId="7381D6A3">
            <w:pPr>
              <w:pStyle w:val="10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注：S指燃气硫分含量，单位mg/m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，本次S取200，则0.02S=4.0。</w:t>
            </w:r>
          </w:p>
          <w:p w14:paraId="0C696938">
            <w:pPr>
              <w:pStyle w:val="102"/>
              <w:keepNext w:val="0"/>
              <w:keepLines w:val="0"/>
              <w:pageBreakBefore w:val="0"/>
              <w:widowControl/>
              <w:kinsoku/>
              <w:wordWrap/>
              <w:overflowPunct/>
              <w:topLinePunct w:val="0"/>
              <w:autoSpaceDE/>
              <w:autoSpaceDN/>
              <w:bidi w:val="0"/>
              <w:adjustRightInd/>
              <w:snapToGrid/>
              <w:spacing w:before="157" w:beforeLines="50"/>
              <w:ind w:firstLine="480"/>
              <w:textAlignment w:val="auto"/>
              <w:rPr>
                <w:rFonts w:hint="default" w:ascii="Times New Roman" w:hAnsi="Times New Roman" w:cs="Times New Roman"/>
                <w:b/>
                <w:bCs w:val="0"/>
                <w:color w:val="FF0000"/>
                <w:highlight w:val="none"/>
                <w:lang w:val="en-US" w:eastAsia="zh-CN"/>
              </w:rPr>
            </w:pPr>
            <w:r>
              <w:rPr>
                <w:rFonts w:hint="eastAsia" w:ascii="Times New Roman" w:hAnsi="Times New Roman" w:cs="Times New Roman"/>
                <w:color w:val="auto"/>
                <w:kern w:val="0"/>
                <w:highlight w:val="none"/>
                <w:lang w:val="en-US" w:eastAsia="zh-CN" w:bidi="ar"/>
              </w:rPr>
              <w:t>天然气燃烧废气</w:t>
            </w:r>
            <w:r>
              <w:rPr>
                <w:rFonts w:hint="default" w:ascii="Times New Roman" w:hAnsi="Times New Roman" w:cs="Times New Roman"/>
                <w:color w:val="auto"/>
                <w:kern w:val="0"/>
                <w:highlight w:val="none"/>
                <w:lang w:val="en-US" w:eastAsia="zh-CN" w:bidi="ar"/>
              </w:rPr>
              <w:t>年</w:t>
            </w:r>
            <w:r>
              <w:rPr>
                <w:rFonts w:hint="eastAsia" w:ascii="Times New Roman" w:hAnsi="Times New Roman" w:cs="Times New Roman"/>
                <w:color w:val="auto"/>
                <w:kern w:val="0"/>
                <w:highlight w:val="none"/>
                <w:lang w:val="en-US" w:eastAsia="zh-CN" w:bidi="ar"/>
              </w:rPr>
              <w:t>排放</w:t>
            </w:r>
            <w:r>
              <w:rPr>
                <w:rFonts w:hint="default" w:ascii="Times New Roman" w:hAnsi="Times New Roman" w:cs="Times New Roman"/>
                <w:color w:val="auto"/>
                <w:kern w:val="0"/>
                <w:highlight w:val="none"/>
                <w:lang w:val="en-US" w:eastAsia="zh-CN" w:bidi="ar"/>
              </w:rPr>
              <w:t>时间按</w:t>
            </w:r>
            <w:r>
              <w:rPr>
                <w:rFonts w:hint="eastAsia" w:cs="Times New Roman"/>
                <w:color w:val="auto"/>
                <w:kern w:val="0"/>
                <w:highlight w:val="none"/>
                <w:lang w:val="en-US" w:eastAsia="zh-CN" w:bidi="ar"/>
              </w:rPr>
              <w:t>27</w:t>
            </w:r>
            <w:r>
              <w:rPr>
                <w:rFonts w:hint="eastAsia" w:ascii="Times New Roman" w:hAnsi="Times New Roman" w:cs="Times New Roman"/>
                <w:color w:val="auto"/>
                <w:kern w:val="0"/>
                <w:highlight w:val="none"/>
                <w:lang w:val="en-US" w:eastAsia="zh-CN" w:bidi="ar"/>
              </w:rPr>
              <w:t>00</w:t>
            </w:r>
            <w:r>
              <w:rPr>
                <w:rFonts w:hint="default" w:ascii="Times New Roman" w:hAnsi="Times New Roman" w:cs="Times New Roman"/>
                <w:color w:val="auto"/>
                <w:kern w:val="0"/>
                <w:highlight w:val="none"/>
                <w:lang w:val="en-US" w:eastAsia="zh-CN" w:bidi="ar"/>
              </w:rPr>
              <w:t>h计</w:t>
            </w:r>
            <w:r>
              <w:rPr>
                <w:rFonts w:hint="eastAsia" w:ascii="Times New Roman" w:hAnsi="Times New Roman" w:cs="Times New Roman"/>
                <w:color w:val="auto"/>
                <w:kern w:val="0"/>
                <w:highlight w:val="none"/>
                <w:lang w:val="en-US" w:eastAsia="zh-CN" w:bidi="ar"/>
              </w:rPr>
              <w:t>。</w:t>
            </w:r>
            <w:r>
              <w:rPr>
                <w:rFonts w:hint="default" w:ascii="Times New Roman" w:hAnsi="Times New Roman" w:cs="Times New Roman"/>
                <w:b w:val="0"/>
                <w:bCs/>
                <w:color w:val="auto"/>
                <w:highlight w:val="none"/>
                <w:lang w:val="en-US" w:eastAsia="zh-CN"/>
              </w:rPr>
              <w:t>经过计算，</w:t>
            </w:r>
            <w:r>
              <w:rPr>
                <w:rFonts w:hint="eastAsia" w:ascii="Times New Roman" w:hAnsi="Times New Roman" w:cs="Times New Roman"/>
                <w:b w:val="0"/>
                <w:bCs/>
                <w:color w:val="auto"/>
                <w:highlight w:val="none"/>
                <w:lang w:val="en-US" w:eastAsia="zh-CN"/>
              </w:rPr>
              <w:t>天然气</w:t>
            </w:r>
            <w:r>
              <w:rPr>
                <w:rFonts w:hint="default" w:ascii="Times New Roman" w:hAnsi="Times New Roman" w:cs="Times New Roman"/>
                <w:b w:val="0"/>
                <w:bCs/>
                <w:color w:val="auto"/>
                <w:highlight w:val="none"/>
                <w:lang w:val="en-US" w:eastAsia="zh-CN"/>
              </w:rPr>
              <w:t>燃烧废气</w:t>
            </w:r>
            <w:r>
              <w:rPr>
                <w:rFonts w:hint="default" w:ascii="Times New Roman" w:hAnsi="Times New Roman" w:cs="Times New Roman"/>
                <w:color w:val="auto"/>
                <w:kern w:val="0"/>
                <w:highlight w:val="none"/>
                <w:lang w:bidi="ar"/>
              </w:rPr>
              <w:t>废气量为</w:t>
            </w:r>
            <w:r>
              <w:rPr>
                <w:rFonts w:hint="eastAsia" w:cs="Times New Roman"/>
                <w:color w:val="auto"/>
                <w:kern w:val="0"/>
                <w:highlight w:val="none"/>
                <w:lang w:val="en-US" w:eastAsia="zh-CN" w:bidi="ar"/>
              </w:rPr>
              <w:t>4.36</w:t>
            </w:r>
            <w:r>
              <w:rPr>
                <w:rFonts w:hint="default" w:ascii="Times New Roman" w:hAnsi="Times New Roman" w:cs="Times New Roman"/>
                <w:color w:val="auto"/>
                <w:kern w:val="0"/>
                <w:highlight w:val="none"/>
                <w:lang w:bidi="ar"/>
              </w:rPr>
              <w:t>×10</w:t>
            </w:r>
            <w:r>
              <w:rPr>
                <w:rFonts w:hint="eastAsia" w:cs="Times New Roman"/>
                <w:color w:val="auto"/>
                <w:kern w:val="0"/>
                <w:highlight w:val="none"/>
                <w:vertAlign w:val="superscript"/>
                <w:lang w:val="en-US" w:eastAsia="zh-CN" w:bidi="ar"/>
              </w:rPr>
              <w:t>7</w:t>
            </w:r>
            <w:r>
              <w:rPr>
                <w:rFonts w:hint="default" w:ascii="Times New Roman" w:hAnsi="Times New Roman" w:cs="Times New Roman"/>
                <w:color w:val="auto"/>
                <w:kern w:val="0"/>
                <w:highlight w:val="none"/>
                <w:lang w:bidi="ar"/>
              </w:rPr>
              <w:t>m</w:t>
            </w:r>
            <w:r>
              <w:rPr>
                <w:rFonts w:hint="default" w:ascii="Times New Roman" w:hAnsi="Times New Roman" w:cs="Times New Roman"/>
                <w:color w:val="auto"/>
                <w:kern w:val="0"/>
                <w:highlight w:val="none"/>
                <w:vertAlign w:val="superscript"/>
                <w:lang w:bidi="ar"/>
              </w:rPr>
              <w:t>3</w:t>
            </w:r>
            <w:r>
              <w:rPr>
                <w:rFonts w:hint="default" w:ascii="Times New Roman" w:hAnsi="Times New Roman" w:cs="Times New Roman"/>
                <w:color w:val="auto"/>
                <w:kern w:val="0"/>
                <w:highlight w:val="none"/>
                <w:lang w:bidi="ar"/>
              </w:rPr>
              <w:t>/a（</w:t>
            </w:r>
            <w:r>
              <w:rPr>
                <w:rFonts w:hint="eastAsia" w:cs="Times New Roman"/>
                <w:color w:val="auto"/>
                <w:kern w:val="0"/>
                <w:highlight w:val="none"/>
                <w:lang w:val="en-US" w:eastAsia="zh-CN" w:bidi="ar"/>
              </w:rPr>
              <w:t>16162.95</w:t>
            </w:r>
            <w:r>
              <w:rPr>
                <w:rFonts w:hint="default" w:ascii="Times New Roman" w:hAnsi="Times New Roman" w:cs="Times New Roman"/>
                <w:color w:val="auto"/>
                <w:kern w:val="0"/>
                <w:highlight w:val="none"/>
                <w:lang w:bidi="ar"/>
              </w:rPr>
              <w:t>m</w:t>
            </w:r>
            <w:r>
              <w:rPr>
                <w:rFonts w:hint="default" w:ascii="Times New Roman" w:hAnsi="Times New Roman" w:cs="Times New Roman"/>
                <w:color w:val="auto"/>
                <w:kern w:val="0"/>
                <w:highlight w:val="none"/>
                <w:vertAlign w:val="superscript"/>
                <w:lang w:bidi="ar"/>
              </w:rPr>
              <w:t>3</w:t>
            </w:r>
            <w:r>
              <w:rPr>
                <w:rFonts w:hint="default" w:ascii="Times New Roman" w:hAnsi="Times New Roman" w:cs="Times New Roman"/>
                <w:color w:val="auto"/>
                <w:kern w:val="0"/>
                <w:highlight w:val="none"/>
                <w:lang w:bidi="ar"/>
              </w:rPr>
              <w:t>/h），SO</w:t>
            </w:r>
            <w:r>
              <w:rPr>
                <w:rFonts w:hint="default" w:ascii="Times New Roman" w:hAnsi="Times New Roman" w:cs="Times New Roman"/>
                <w:color w:val="auto"/>
                <w:kern w:val="0"/>
                <w:highlight w:val="none"/>
                <w:vertAlign w:val="subscript"/>
                <w:lang w:bidi="ar"/>
              </w:rPr>
              <w:t>2</w:t>
            </w:r>
            <w:r>
              <w:rPr>
                <w:rFonts w:hint="default" w:ascii="Times New Roman" w:hAnsi="Times New Roman" w:cs="Times New Roman"/>
                <w:color w:val="auto"/>
                <w:kern w:val="0"/>
                <w:highlight w:val="none"/>
                <w:lang w:bidi="ar"/>
              </w:rPr>
              <w:t>产生量为</w:t>
            </w:r>
            <w:r>
              <w:rPr>
                <w:rFonts w:hint="eastAsia" w:cs="Times New Roman"/>
                <w:color w:val="auto"/>
                <w:kern w:val="0"/>
                <w:highlight w:val="none"/>
                <w:lang w:val="en-US" w:eastAsia="zh-CN" w:bidi="ar"/>
              </w:rPr>
              <w:t>1.6200</w:t>
            </w:r>
            <w:r>
              <w:rPr>
                <w:rFonts w:hint="default" w:ascii="Times New Roman" w:hAnsi="Times New Roman" w:cs="Times New Roman"/>
                <w:color w:val="auto"/>
                <w:kern w:val="0"/>
                <w:highlight w:val="none"/>
                <w:lang w:bidi="ar"/>
              </w:rPr>
              <w:t>t/a，NOx产生量为</w:t>
            </w:r>
            <w:r>
              <w:rPr>
                <w:rFonts w:hint="eastAsia" w:cs="Times New Roman"/>
                <w:color w:val="auto"/>
                <w:kern w:val="0"/>
                <w:highlight w:val="none"/>
                <w:lang w:val="en-US" w:eastAsia="zh-CN" w:bidi="ar"/>
              </w:rPr>
              <w:t>1.2272</w:t>
            </w:r>
            <w:r>
              <w:rPr>
                <w:rFonts w:hint="default" w:ascii="Times New Roman" w:hAnsi="Times New Roman" w:cs="Times New Roman"/>
                <w:color w:val="auto"/>
                <w:kern w:val="0"/>
                <w:highlight w:val="none"/>
                <w:lang w:bidi="ar"/>
              </w:rPr>
              <w:t>t/a</w:t>
            </w:r>
            <w:r>
              <w:rPr>
                <w:rFonts w:hint="eastAsia" w:ascii="Times New Roman" w:hAnsi="Times New Roman" w:cs="Times New Roman"/>
                <w:color w:val="auto"/>
                <w:kern w:val="0"/>
                <w:highlight w:val="none"/>
                <w:lang w:eastAsia="zh-CN" w:bidi="ar"/>
              </w:rPr>
              <w:t>，</w:t>
            </w:r>
            <w:r>
              <w:rPr>
                <w:rFonts w:hint="default" w:ascii="Times New Roman" w:hAnsi="Times New Roman" w:cs="Times New Roman"/>
                <w:color w:val="auto"/>
                <w:kern w:val="0"/>
                <w:highlight w:val="none"/>
                <w:lang w:bidi="ar"/>
              </w:rPr>
              <w:t>颗粒物产生量为</w:t>
            </w:r>
            <w:r>
              <w:rPr>
                <w:rFonts w:hint="eastAsia" w:cs="Times New Roman"/>
                <w:color w:val="auto"/>
                <w:kern w:val="0"/>
                <w:highlight w:val="none"/>
                <w:lang w:val="en-US" w:eastAsia="zh-CN" w:bidi="ar"/>
              </w:rPr>
              <w:t>1.1583</w:t>
            </w:r>
            <w:r>
              <w:rPr>
                <w:rFonts w:hint="default" w:ascii="Times New Roman" w:hAnsi="Times New Roman" w:cs="Times New Roman"/>
                <w:color w:val="auto"/>
                <w:kern w:val="0"/>
                <w:highlight w:val="none"/>
                <w:lang w:bidi="ar"/>
              </w:rPr>
              <w:t>t/a</w:t>
            </w:r>
            <w:r>
              <w:rPr>
                <w:rFonts w:hint="eastAsia" w:ascii="Times New Roman" w:hAnsi="Times New Roman" w:cs="Times New Roman"/>
                <w:color w:val="auto"/>
                <w:kern w:val="0"/>
                <w:highlight w:val="none"/>
                <w:lang w:eastAsia="zh-CN" w:bidi="ar"/>
              </w:rPr>
              <w:t>；</w:t>
            </w:r>
            <w:r>
              <w:rPr>
                <w:rFonts w:hint="default" w:ascii="Times New Roman" w:hAnsi="Times New Roman" w:cs="Times New Roman"/>
                <w:color w:val="auto"/>
                <w:kern w:val="0"/>
                <w:highlight w:val="none"/>
                <w:lang w:bidi="ar"/>
              </w:rPr>
              <w:t>各污染物产生速率分别为SO</w:t>
            </w:r>
            <w:r>
              <w:rPr>
                <w:rFonts w:hint="default" w:ascii="Times New Roman" w:hAnsi="Times New Roman" w:cs="Times New Roman"/>
                <w:color w:val="auto"/>
                <w:kern w:val="0"/>
                <w:highlight w:val="none"/>
                <w:vertAlign w:val="subscript"/>
                <w:lang w:bidi="ar"/>
              </w:rPr>
              <w:t>2</w:t>
            </w:r>
            <w:r>
              <w:rPr>
                <w:rFonts w:hint="default" w:ascii="Times New Roman" w:hAnsi="Times New Roman" w:cs="Times New Roman"/>
                <w:color w:val="auto"/>
                <w:kern w:val="0"/>
                <w:highlight w:val="none"/>
                <w:lang w:bidi="ar"/>
              </w:rPr>
              <w:t>：</w:t>
            </w:r>
            <w:r>
              <w:rPr>
                <w:rFonts w:hint="eastAsia" w:cs="Times New Roman"/>
                <w:color w:val="auto"/>
                <w:kern w:val="0"/>
                <w:highlight w:val="none"/>
                <w:lang w:val="en-US" w:eastAsia="zh-CN" w:bidi="ar"/>
              </w:rPr>
              <w:t>0.6000</w:t>
            </w:r>
            <w:r>
              <w:rPr>
                <w:rFonts w:hint="default" w:ascii="Times New Roman" w:hAnsi="Times New Roman" w:cs="Times New Roman"/>
                <w:color w:val="auto"/>
                <w:kern w:val="0"/>
                <w:highlight w:val="none"/>
                <w:lang w:bidi="ar"/>
              </w:rPr>
              <w:t>kg/h，NOx：</w:t>
            </w:r>
            <w:r>
              <w:rPr>
                <w:rFonts w:hint="eastAsia" w:cs="Times New Roman"/>
                <w:color w:val="auto"/>
                <w:kern w:val="0"/>
                <w:highlight w:val="none"/>
                <w:lang w:val="en-US" w:eastAsia="zh-CN" w:bidi="ar"/>
              </w:rPr>
              <w:t>0.4545</w:t>
            </w:r>
            <w:r>
              <w:rPr>
                <w:rFonts w:hint="default" w:ascii="Times New Roman" w:hAnsi="Times New Roman" w:cs="Times New Roman"/>
                <w:color w:val="auto"/>
                <w:kern w:val="0"/>
                <w:highlight w:val="none"/>
                <w:lang w:bidi="ar"/>
              </w:rPr>
              <w:t>kg/h，颗粒物：</w:t>
            </w:r>
            <w:r>
              <w:rPr>
                <w:rFonts w:hint="eastAsia" w:cs="Times New Roman"/>
                <w:color w:val="auto"/>
                <w:kern w:val="0"/>
                <w:highlight w:val="none"/>
                <w:lang w:val="en-US" w:eastAsia="zh-CN" w:bidi="ar"/>
              </w:rPr>
              <w:t>0.4290</w:t>
            </w:r>
            <w:r>
              <w:rPr>
                <w:rFonts w:hint="default" w:ascii="Times New Roman" w:hAnsi="Times New Roman" w:cs="Times New Roman"/>
                <w:color w:val="auto"/>
                <w:kern w:val="0"/>
                <w:highlight w:val="none"/>
                <w:lang w:bidi="ar"/>
              </w:rPr>
              <w:t>kg/h。</w:t>
            </w:r>
          </w:p>
          <w:p w14:paraId="5138CC3D">
            <w:pPr>
              <w:bidi w:val="0"/>
              <w:rPr>
                <w:rFonts w:hint="eastAsia"/>
                <w:b/>
                <w:bCs/>
                <w:color w:val="auto"/>
                <w:highlight w:val="none"/>
                <w:lang w:val="en-US" w:eastAsia="zh-CN"/>
              </w:rPr>
            </w:pPr>
            <w:r>
              <w:rPr>
                <w:rFonts w:hint="eastAsia"/>
                <w:b/>
                <w:bCs/>
                <w:color w:val="auto"/>
                <w:highlight w:val="none"/>
                <w:lang w:val="en-US" w:eastAsia="zh-CN"/>
              </w:rPr>
              <w:t>治理措施：</w:t>
            </w:r>
          </w:p>
          <w:p w14:paraId="4DCB9342">
            <w:pPr>
              <w:bidi w:val="0"/>
              <w:rPr>
                <w:color w:val="auto"/>
                <w:highlight w:val="none"/>
              </w:rPr>
            </w:pPr>
            <w:r>
              <w:rPr>
                <w:rFonts w:hint="eastAsia"/>
                <w:color w:val="auto"/>
                <w:highlight w:val="none"/>
              </w:rPr>
              <w:t>项目</w:t>
            </w:r>
            <w:r>
              <w:rPr>
                <w:rFonts w:hint="eastAsia"/>
                <w:color w:val="auto"/>
                <w:highlight w:val="none"/>
                <w:lang w:val="en-US" w:eastAsia="zh-CN"/>
              </w:rPr>
              <w:t>蒸汽发生器使用</w:t>
            </w:r>
            <w:r>
              <w:rPr>
                <w:rFonts w:hint="eastAsia"/>
                <w:color w:val="auto"/>
                <w:highlight w:val="none"/>
              </w:rPr>
              <w:t>天然气作为燃料，天然气为清洁能源，参考生态环境部《排放源统计调查产排污核算方法和系数手册》</w:t>
            </w:r>
            <w:r>
              <w:rPr>
                <w:color w:val="auto"/>
                <w:highlight w:val="none"/>
              </w:rPr>
              <w:t xml:space="preserve">4430 </w:t>
            </w:r>
            <w:r>
              <w:rPr>
                <w:rFonts w:hint="eastAsia"/>
                <w:color w:val="auto"/>
                <w:highlight w:val="none"/>
              </w:rPr>
              <w:t>锅炉产排污量核算系数手册，以天然气为燃料的废气可不经末端治理直接排放。</w:t>
            </w:r>
          </w:p>
          <w:p w14:paraId="0823BC68">
            <w:pPr>
              <w:bidi w:val="0"/>
              <w:rPr>
                <w:rFonts w:hint="default" w:eastAsia="宋体"/>
                <w:color w:val="auto"/>
                <w:highlight w:val="none"/>
                <w:lang w:val="en-US" w:eastAsia="zh-CN"/>
              </w:rPr>
            </w:pPr>
            <w:r>
              <w:rPr>
                <w:rFonts w:hint="eastAsia"/>
                <w:color w:val="auto"/>
                <w:highlight w:val="none"/>
              </w:rPr>
              <w:t>本项目</w:t>
            </w:r>
            <w:r>
              <w:rPr>
                <w:rFonts w:hint="eastAsia"/>
                <w:color w:val="auto"/>
                <w:highlight w:val="none"/>
                <w:lang w:val="en-US" w:eastAsia="zh-CN"/>
              </w:rPr>
              <w:t>蒸汽发生器</w:t>
            </w:r>
            <w:r>
              <w:rPr>
                <w:color w:val="auto"/>
                <w:highlight w:val="none"/>
              </w:rPr>
              <w:t>天然气燃烧</w:t>
            </w:r>
            <w:r>
              <w:rPr>
                <w:rFonts w:hint="eastAsia"/>
                <w:color w:val="auto"/>
                <w:highlight w:val="none"/>
                <w:lang w:val="en-US" w:eastAsia="zh-CN"/>
              </w:rPr>
              <w:t>拟设置低氮燃烧，天然气燃烧</w:t>
            </w:r>
            <w:r>
              <w:rPr>
                <w:color w:val="auto"/>
                <w:highlight w:val="none"/>
              </w:rPr>
              <w:t>废气</w:t>
            </w:r>
            <w:r>
              <w:rPr>
                <w:rFonts w:hint="eastAsia"/>
                <w:color w:val="auto"/>
                <w:highlight w:val="none"/>
                <w:lang w:val="en-US" w:eastAsia="zh-CN"/>
              </w:rPr>
              <w:t>拟经过专用管道收集后引至楼顶后经1根15m高排气筒DA001达标排放</w:t>
            </w:r>
            <w:r>
              <w:rPr>
                <w:rFonts w:hint="eastAsia"/>
                <w:color w:val="auto"/>
                <w:highlight w:val="none"/>
              </w:rPr>
              <w:t>。</w:t>
            </w:r>
            <w:r>
              <w:rPr>
                <w:rFonts w:hint="eastAsia"/>
                <w:color w:val="auto"/>
                <w:highlight w:val="none"/>
                <w:lang w:val="en-US" w:eastAsia="zh-CN"/>
              </w:rPr>
              <w:t>天然气燃烧废气排放风机风量按22000m</w:t>
            </w:r>
            <w:r>
              <w:rPr>
                <w:rFonts w:hint="eastAsia"/>
                <w:color w:val="auto"/>
                <w:highlight w:val="none"/>
                <w:vertAlign w:val="superscript"/>
                <w:lang w:val="en-US" w:eastAsia="zh-CN"/>
              </w:rPr>
              <w:t>3</w:t>
            </w:r>
            <w:r>
              <w:rPr>
                <w:rFonts w:hint="eastAsia"/>
                <w:color w:val="auto"/>
                <w:highlight w:val="none"/>
                <w:lang w:val="en-US" w:eastAsia="zh-CN"/>
              </w:rPr>
              <w:t>/h。</w:t>
            </w:r>
          </w:p>
          <w:p w14:paraId="29BE5EEF">
            <w:pPr>
              <w:bidi w:val="0"/>
              <w:rPr>
                <w:rFonts w:hint="default"/>
                <w:b w:val="0"/>
                <w:bCs w:val="0"/>
                <w:color w:val="auto"/>
                <w:highlight w:val="none"/>
                <w:lang w:val="en-US" w:eastAsia="zh-CN"/>
              </w:rPr>
            </w:pPr>
            <w:r>
              <w:rPr>
                <w:rFonts w:hint="eastAsia"/>
                <w:b/>
                <w:bCs/>
                <w:color w:val="auto"/>
                <w:highlight w:val="none"/>
                <w:lang w:val="en-US" w:eastAsia="zh-CN"/>
              </w:rPr>
              <w:t>治理措施可行性分析：</w:t>
            </w:r>
            <w:r>
              <w:rPr>
                <w:rFonts w:hint="eastAsia"/>
                <w:b w:val="0"/>
                <w:bCs w:val="0"/>
                <w:color w:val="auto"/>
                <w:highlight w:val="none"/>
                <w:lang w:val="en-US" w:eastAsia="zh-CN"/>
              </w:rPr>
              <w:t>根据生态环境部《排放源统计调查产排污核算方法和系数手册》4430 锅炉产排污量核算系数手册，低氮燃烧属于氮氧化物治理可行技术。</w:t>
            </w:r>
          </w:p>
          <w:p w14:paraId="3A1765B4">
            <w:pPr>
              <w:bidi w:val="0"/>
              <w:rPr>
                <w:rFonts w:hint="eastAsia"/>
                <w:b/>
                <w:bCs/>
                <w:color w:val="auto"/>
                <w:highlight w:val="none"/>
                <w:lang w:val="en-US" w:eastAsia="zh-CN"/>
              </w:rPr>
            </w:pPr>
            <w:r>
              <w:rPr>
                <w:rFonts w:hint="eastAsia"/>
                <w:b/>
                <w:bCs/>
                <w:color w:val="auto"/>
                <w:highlight w:val="none"/>
                <w:lang w:val="en-US" w:eastAsia="zh-CN"/>
              </w:rPr>
              <w:t>排放情况：</w:t>
            </w:r>
          </w:p>
          <w:p w14:paraId="716F2970">
            <w:pPr>
              <w:pStyle w:val="42"/>
              <w:spacing w:line="360" w:lineRule="auto"/>
              <w:ind w:firstLine="480" w:firstLineChars="200"/>
              <w:rPr>
                <w:rFonts w:hint="eastAsia"/>
                <w:b w:val="0"/>
                <w:bCs w:val="0"/>
                <w:color w:val="auto"/>
                <w:highlight w:val="none"/>
                <w:lang w:val="en-US" w:eastAsia="zh-CN"/>
              </w:rPr>
            </w:pPr>
            <w:r>
              <w:rPr>
                <w:rFonts w:hint="eastAsia"/>
                <w:color w:val="auto"/>
                <w:highlight w:val="none"/>
              </w:rPr>
              <w:t>本项目</w:t>
            </w:r>
            <w:r>
              <w:rPr>
                <w:color w:val="auto"/>
                <w:highlight w:val="none"/>
              </w:rPr>
              <w:t>天然气燃烧</w:t>
            </w:r>
            <w:r>
              <w:rPr>
                <w:rFonts w:hint="eastAsia"/>
                <w:color w:val="auto"/>
                <w:highlight w:val="none"/>
                <w:lang w:val="en-US" w:eastAsia="zh-CN"/>
              </w:rPr>
              <w:t>拟经过专用管道收集后排气筒排放，收</w:t>
            </w:r>
            <w:r>
              <w:rPr>
                <w:rFonts w:hint="eastAsia" w:ascii="Times New Roman" w:hAnsi="Times New Roman" w:eastAsia="宋体" w:cs="Times New Roman"/>
                <w:color w:val="auto"/>
                <w:highlight w:val="none"/>
                <w:lang w:val="en-US" w:eastAsia="zh-CN"/>
              </w:rPr>
              <w:t>集效率按100%计，</w:t>
            </w:r>
            <w:r>
              <w:rPr>
                <w:rFonts w:hint="eastAsia"/>
                <w:color w:val="auto"/>
                <w:highlight w:val="none"/>
                <w:lang w:val="en-US" w:eastAsia="zh-CN"/>
              </w:rPr>
              <w:t>风机风量</w:t>
            </w:r>
            <w:r>
              <w:rPr>
                <w:rFonts w:hint="eastAsia" w:ascii="Times New Roman" w:cs="Times New Roman"/>
                <w:color w:val="auto"/>
                <w:highlight w:val="none"/>
                <w:lang w:val="en-US" w:eastAsia="zh-CN"/>
              </w:rPr>
              <w:t>22000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w:t>
            </w:r>
            <w:r>
              <w:rPr>
                <w:rFonts w:hint="eastAsia" w:ascii="Times New Roman" w:hAnsi="Times New Roman" w:cs="Times New Roman"/>
                <w:color w:val="auto"/>
                <w:highlight w:val="none"/>
                <w:lang w:val="en-US" w:eastAsia="zh-CN"/>
              </w:rPr>
              <w:t>，年运行时间按2</w:t>
            </w:r>
            <w:r>
              <w:rPr>
                <w:rFonts w:hint="eastAsia" w:ascii="Times New Roman" w:cs="Times New Roman"/>
                <w:color w:val="auto"/>
                <w:highlight w:val="none"/>
                <w:lang w:val="en-US" w:eastAsia="zh-CN"/>
              </w:rPr>
              <w:t>7</w:t>
            </w:r>
            <w:r>
              <w:rPr>
                <w:rFonts w:hint="eastAsia" w:ascii="Times New Roman" w:hAnsi="Times New Roman" w:cs="Times New Roman"/>
                <w:color w:val="auto"/>
                <w:highlight w:val="none"/>
                <w:lang w:val="en-US" w:eastAsia="zh-CN"/>
              </w:rPr>
              <w:t>00h计</w:t>
            </w:r>
            <w:r>
              <w:rPr>
                <w:rFonts w:hint="default" w:ascii="Times New Roman" w:hAnsi="Times New Roman" w:cs="Times New Roman"/>
                <w:color w:val="auto"/>
                <w:highlight w:val="none"/>
                <w:lang w:eastAsia="zh-CN"/>
              </w:rPr>
              <w:t>，</w:t>
            </w:r>
            <w:r>
              <w:rPr>
                <w:rFonts w:hint="eastAsia" w:ascii="Times New Roman" w:cs="Times New Roman"/>
                <w:color w:val="auto"/>
                <w:highlight w:val="none"/>
              </w:rPr>
              <w:t>则</w:t>
            </w:r>
            <w:r>
              <w:rPr>
                <w:rFonts w:hint="default" w:ascii="Times New Roman" w:hAnsi="Times New Roman" w:cs="Times New Roman"/>
                <w:color w:val="auto"/>
                <w:kern w:val="0"/>
                <w:highlight w:val="none"/>
                <w:lang w:bidi="ar"/>
              </w:rPr>
              <w:t>SO</w:t>
            </w:r>
            <w:r>
              <w:rPr>
                <w:rFonts w:hint="default" w:ascii="Times New Roman" w:hAnsi="Times New Roman" w:cs="Times New Roman"/>
                <w:color w:val="auto"/>
                <w:kern w:val="0"/>
                <w:highlight w:val="none"/>
                <w:vertAlign w:val="subscript"/>
                <w:lang w:bidi="ar"/>
              </w:rPr>
              <w:t>2</w:t>
            </w:r>
            <w:r>
              <w:rPr>
                <w:rFonts w:hint="eastAsia" w:ascii="Times New Roman" w:hAnsi="Times New Roman" w:cs="Times New Roman"/>
                <w:color w:val="auto"/>
                <w:kern w:val="0"/>
                <w:highlight w:val="none"/>
                <w:lang w:eastAsia="zh-CN" w:bidi="ar"/>
              </w:rPr>
              <w:t>、</w:t>
            </w:r>
            <w:r>
              <w:rPr>
                <w:rFonts w:hint="default" w:ascii="Times New Roman" w:hAnsi="Times New Roman" w:cs="Times New Roman"/>
                <w:color w:val="auto"/>
                <w:kern w:val="0"/>
                <w:highlight w:val="none"/>
                <w:lang w:bidi="ar"/>
              </w:rPr>
              <w:t>NOx</w:t>
            </w:r>
            <w:r>
              <w:rPr>
                <w:rFonts w:hint="eastAsia" w:ascii="Times New Roman" w:hAnsi="Times New Roman" w:cs="Times New Roman"/>
                <w:color w:val="auto"/>
                <w:kern w:val="0"/>
                <w:highlight w:val="none"/>
                <w:lang w:eastAsia="zh-CN" w:bidi="ar"/>
              </w:rPr>
              <w:t>、</w:t>
            </w:r>
            <w:r>
              <w:rPr>
                <w:rFonts w:hint="default" w:ascii="Times New Roman" w:hAnsi="Times New Roman" w:cs="Times New Roman"/>
                <w:color w:val="auto"/>
                <w:kern w:val="0"/>
                <w:highlight w:val="none"/>
                <w:lang w:bidi="ar"/>
              </w:rPr>
              <w:t>颗粒物</w:t>
            </w:r>
            <w:r>
              <w:rPr>
                <w:rFonts w:hint="eastAsia" w:ascii="Times New Roman" w:cs="Times New Roman"/>
                <w:color w:val="auto"/>
                <w:kern w:val="0"/>
                <w:highlight w:val="none"/>
                <w:lang w:val="en-US" w:eastAsia="zh-CN" w:bidi="ar"/>
              </w:rPr>
              <w:t>有组织</w:t>
            </w:r>
            <w:r>
              <w:rPr>
                <w:rFonts w:hint="eastAsia" w:ascii="Times New Roman" w:hAnsi="Times New Roman" w:cs="Times New Roman"/>
                <w:color w:val="auto"/>
                <w:kern w:val="0"/>
                <w:highlight w:val="none"/>
                <w:lang w:val="en-US" w:eastAsia="zh-CN" w:bidi="ar"/>
              </w:rPr>
              <w:t>排放</w:t>
            </w:r>
            <w:r>
              <w:rPr>
                <w:rFonts w:hint="default" w:ascii="Times New Roman" w:hAnsi="Times New Roman" w:cs="Times New Roman"/>
                <w:color w:val="auto"/>
                <w:kern w:val="0"/>
                <w:highlight w:val="none"/>
                <w:lang w:bidi="ar"/>
              </w:rPr>
              <w:t>量</w:t>
            </w:r>
            <w:r>
              <w:rPr>
                <w:rFonts w:hint="eastAsia" w:ascii="Times New Roman" w:hAnsi="Times New Roman" w:cs="Times New Roman"/>
                <w:color w:val="auto"/>
                <w:kern w:val="0"/>
                <w:highlight w:val="none"/>
                <w:lang w:val="en-US" w:eastAsia="zh-CN" w:bidi="ar"/>
              </w:rPr>
              <w:t>分别</w:t>
            </w:r>
            <w:r>
              <w:rPr>
                <w:rFonts w:hint="default" w:ascii="Times New Roman" w:hAnsi="Times New Roman" w:cs="Times New Roman"/>
                <w:color w:val="auto"/>
                <w:kern w:val="0"/>
                <w:highlight w:val="none"/>
                <w:lang w:bidi="ar"/>
              </w:rPr>
              <w:t>为</w:t>
            </w:r>
            <w:r>
              <w:rPr>
                <w:rFonts w:hint="eastAsia" w:ascii="Times New Roman" w:cs="Times New Roman"/>
                <w:color w:val="auto"/>
                <w:kern w:val="0"/>
                <w:highlight w:val="none"/>
                <w:lang w:val="en-US" w:eastAsia="zh-CN" w:bidi="ar"/>
              </w:rPr>
              <w:t>1.6200</w:t>
            </w:r>
            <w:r>
              <w:rPr>
                <w:rFonts w:hint="default" w:ascii="Times New Roman" w:hAnsi="Times New Roman" w:cs="Times New Roman"/>
                <w:color w:val="auto"/>
                <w:kern w:val="0"/>
                <w:highlight w:val="none"/>
                <w:lang w:bidi="ar"/>
              </w:rPr>
              <w:t>t/a</w:t>
            </w:r>
            <w:r>
              <w:rPr>
                <w:rFonts w:hint="eastAsia" w:ascii="Times New Roman" w:hAnsi="Times New Roman" w:cs="Times New Roman"/>
                <w:color w:val="auto"/>
                <w:kern w:val="0"/>
                <w:highlight w:val="none"/>
                <w:lang w:eastAsia="zh-CN" w:bidi="ar"/>
              </w:rPr>
              <w:t>、</w:t>
            </w:r>
            <w:r>
              <w:rPr>
                <w:rFonts w:hint="eastAsia" w:ascii="Times New Roman" w:cs="Times New Roman"/>
                <w:color w:val="auto"/>
                <w:kern w:val="0"/>
                <w:highlight w:val="none"/>
                <w:lang w:val="en-US" w:eastAsia="zh-CN" w:bidi="ar"/>
              </w:rPr>
              <w:t>1.2272</w:t>
            </w:r>
            <w:r>
              <w:rPr>
                <w:rFonts w:hint="default" w:ascii="Times New Roman" w:hAnsi="Times New Roman" w:cs="Times New Roman"/>
                <w:color w:val="auto"/>
                <w:kern w:val="0"/>
                <w:highlight w:val="none"/>
                <w:lang w:bidi="ar"/>
              </w:rPr>
              <w:t>t/a</w:t>
            </w:r>
            <w:r>
              <w:rPr>
                <w:rFonts w:hint="eastAsia" w:ascii="Times New Roman" w:hAnsi="Times New Roman" w:cs="Times New Roman"/>
                <w:color w:val="auto"/>
                <w:kern w:val="0"/>
                <w:highlight w:val="none"/>
                <w:lang w:eastAsia="zh-CN" w:bidi="ar"/>
              </w:rPr>
              <w:t>、</w:t>
            </w:r>
            <w:r>
              <w:rPr>
                <w:rFonts w:hint="eastAsia" w:ascii="Times New Roman" w:cs="Times New Roman"/>
                <w:color w:val="auto"/>
                <w:kern w:val="0"/>
                <w:highlight w:val="none"/>
                <w:lang w:val="en-US" w:eastAsia="zh-CN" w:bidi="ar"/>
              </w:rPr>
              <w:t>1.1583</w:t>
            </w:r>
            <w:r>
              <w:rPr>
                <w:rFonts w:hint="default" w:ascii="Times New Roman" w:hAnsi="Times New Roman" w:cs="Times New Roman"/>
                <w:color w:val="auto"/>
                <w:kern w:val="0"/>
                <w:highlight w:val="none"/>
                <w:lang w:bidi="ar"/>
              </w:rPr>
              <w:t>t/a</w:t>
            </w:r>
            <w:r>
              <w:rPr>
                <w:rFonts w:hint="eastAsia" w:ascii="Times New Roman" w:cs="Times New Roman"/>
                <w:color w:val="auto"/>
                <w:highlight w:val="none"/>
              </w:rPr>
              <w:t>，排放速率分别为</w:t>
            </w:r>
            <w:r>
              <w:rPr>
                <w:rFonts w:hint="eastAsia" w:ascii="Times New Roman" w:cs="Times New Roman"/>
                <w:color w:val="auto"/>
                <w:kern w:val="0"/>
                <w:highlight w:val="none"/>
                <w:lang w:val="en-US" w:eastAsia="zh-CN" w:bidi="ar"/>
              </w:rPr>
              <w:t>0.6000</w:t>
            </w:r>
            <w:r>
              <w:rPr>
                <w:rFonts w:hint="default" w:ascii="Times New Roman" w:hAnsi="Times New Roman" w:cs="Times New Roman"/>
                <w:color w:val="auto"/>
                <w:kern w:val="0"/>
                <w:highlight w:val="none"/>
                <w:lang w:bidi="ar"/>
              </w:rPr>
              <w:t>kg/h</w:t>
            </w:r>
            <w:r>
              <w:rPr>
                <w:rFonts w:hint="eastAsia" w:ascii="Times New Roman" w:hAnsi="Times New Roman" w:cs="Times New Roman"/>
                <w:color w:val="auto"/>
                <w:kern w:val="0"/>
                <w:highlight w:val="none"/>
                <w:lang w:eastAsia="zh-CN" w:bidi="ar"/>
              </w:rPr>
              <w:t>、</w:t>
            </w:r>
            <w:r>
              <w:rPr>
                <w:rFonts w:hint="eastAsia" w:ascii="Times New Roman" w:cs="Times New Roman"/>
                <w:color w:val="auto"/>
                <w:kern w:val="0"/>
                <w:highlight w:val="none"/>
                <w:lang w:val="en-US" w:eastAsia="zh-CN" w:bidi="ar"/>
              </w:rPr>
              <w:t>0.4545</w:t>
            </w:r>
            <w:r>
              <w:rPr>
                <w:rFonts w:hint="default" w:ascii="Times New Roman" w:hAnsi="Times New Roman" w:cs="Times New Roman"/>
                <w:color w:val="auto"/>
                <w:kern w:val="0"/>
                <w:highlight w:val="none"/>
                <w:lang w:bidi="ar"/>
              </w:rPr>
              <w:t>kg/h</w:t>
            </w:r>
            <w:r>
              <w:rPr>
                <w:rFonts w:hint="eastAsia" w:ascii="Times New Roman" w:hAnsi="Times New Roman" w:cs="Times New Roman"/>
                <w:color w:val="auto"/>
                <w:kern w:val="0"/>
                <w:highlight w:val="none"/>
                <w:lang w:eastAsia="zh-CN" w:bidi="ar"/>
              </w:rPr>
              <w:t>、</w:t>
            </w:r>
            <w:r>
              <w:rPr>
                <w:rFonts w:hint="eastAsia" w:ascii="Times New Roman" w:cs="Times New Roman"/>
                <w:color w:val="auto"/>
                <w:kern w:val="0"/>
                <w:highlight w:val="none"/>
                <w:lang w:val="en-US" w:eastAsia="zh-CN" w:bidi="ar"/>
              </w:rPr>
              <w:t>0.4290</w:t>
            </w:r>
            <w:r>
              <w:rPr>
                <w:rFonts w:hint="default" w:ascii="Times New Roman" w:hAnsi="Times New Roman" w:cs="Times New Roman"/>
                <w:color w:val="auto"/>
                <w:kern w:val="0"/>
                <w:highlight w:val="none"/>
                <w:lang w:bidi="ar"/>
              </w:rPr>
              <w:t>kg/h</w:t>
            </w:r>
            <w:r>
              <w:rPr>
                <w:rFonts w:hint="eastAsia" w:ascii="Times New Roman" w:cs="Times New Roman"/>
                <w:color w:val="auto"/>
                <w:highlight w:val="none"/>
                <w:lang w:eastAsia="zh-CN"/>
              </w:rPr>
              <w:t>；</w:t>
            </w:r>
            <w:r>
              <w:rPr>
                <w:rFonts w:hint="eastAsia" w:ascii="Times New Roman" w:cs="Times New Roman"/>
                <w:color w:val="auto"/>
                <w:highlight w:val="none"/>
                <w:lang w:val="en-US" w:eastAsia="zh-CN"/>
              </w:rPr>
              <w:t>排放</w:t>
            </w:r>
            <w:r>
              <w:rPr>
                <w:rFonts w:hint="eastAsia" w:ascii="Times New Roman" w:cs="Times New Roman"/>
                <w:color w:val="auto"/>
                <w:highlight w:val="none"/>
              </w:rPr>
              <w:t>浓度分别为</w:t>
            </w:r>
            <w:r>
              <w:rPr>
                <w:rFonts w:hint="eastAsia" w:ascii="Times New Roman" w:cs="Times New Roman"/>
                <w:color w:val="auto"/>
                <w:highlight w:val="none"/>
                <w:lang w:val="en-US" w:eastAsia="zh-CN"/>
              </w:rPr>
              <w:t>27.27</w:t>
            </w:r>
            <w:r>
              <w:rPr>
                <w:rFonts w:ascii="Times New Roman" w:eastAsia="等线" w:cs="Times New Roman"/>
                <w:color w:val="auto"/>
                <w:highlight w:val="none"/>
              </w:rPr>
              <w:t>mg/m</w:t>
            </w:r>
            <w:r>
              <w:rPr>
                <w:rFonts w:ascii="Times New Roman" w:eastAsia="等线" w:cs="Times New Roman"/>
                <w:color w:val="auto"/>
                <w:highlight w:val="none"/>
                <w:vertAlign w:val="superscript"/>
              </w:rPr>
              <w:t>3</w:t>
            </w:r>
            <w:r>
              <w:rPr>
                <w:rFonts w:hint="eastAsia" w:ascii="Times New Roman" w:cs="Times New Roman"/>
                <w:color w:val="auto"/>
                <w:highlight w:val="none"/>
              </w:rPr>
              <w:t>、</w:t>
            </w:r>
            <w:r>
              <w:rPr>
                <w:rFonts w:hint="eastAsia" w:ascii="Times New Roman" w:cs="Times New Roman"/>
                <w:color w:val="auto"/>
                <w:highlight w:val="none"/>
                <w:lang w:val="en-US" w:eastAsia="zh-CN"/>
              </w:rPr>
              <w:t>20.66</w:t>
            </w:r>
            <w:r>
              <w:rPr>
                <w:rFonts w:ascii="Times New Roman" w:eastAsia="等线" w:cs="Times New Roman"/>
                <w:color w:val="auto"/>
                <w:highlight w:val="none"/>
              </w:rPr>
              <w:t>mg/m</w:t>
            </w:r>
            <w:r>
              <w:rPr>
                <w:rFonts w:ascii="Times New Roman" w:eastAsia="等线" w:cs="Times New Roman"/>
                <w:color w:val="auto"/>
                <w:highlight w:val="none"/>
                <w:vertAlign w:val="superscript"/>
              </w:rPr>
              <w:t>3</w:t>
            </w:r>
            <w:r>
              <w:rPr>
                <w:rFonts w:hint="eastAsia" w:ascii="Times New Roman" w:cs="Times New Roman"/>
                <w:color w:val="auto"/>
                <w:highlight w:val="none"/>
              </w:rPr>
              <w:t>、</w:t>
            </w:r>
            <w:r>
              <w:rPr>
                <w:rFonts w:hint="eastAsia" w:ascii="Times New Roman" w:cs="Times New Roman"/>
                <w:color w:val="auto"/>
                <w:highlight w:val="none"/>
                <w:lang w:val="en-US" w:eastAsia="zh-CN"/>
              </w:rPr>
              <w:t>19.50</w:t>
            </w:r>
            <w:r>
              <w:rPr>
                <w:rFonts w:ascii="Times New Roman" w:eastAsia="等线" w:cs="Times New Roman"/>
                <w:color w:val="auto"/>
                <w:highlight w:val="none"/>
              </w:rPr>
              <w:t>mg/m</w:t>
            </w:r>
            <w:r>
              <w:rPr>
                <w:rFonts w:ascii="Times New Roman" w:eastAsia="等线" w:cs="Times New Roman"/>
                <w:color w:val="auto"/>
                <w:highlight w:val="none"/>
                <w:vertAlign w:val="superscript"/>
              </w:rPr>
              <w:t>3</w:t>
            </w:r>
            <w:r>
              <w:rPr>
                <w:rFonts w:hint="eastAsia" w:ascii="Times New Roman" w:cs="Times New Roman"/>
                <w:color w:val="auto"/>
                <w:highlight w:val="none"/>
              </w:rPr>
              <w:t>。</w:t>
            </w:r>
          </w:p>
          <w:p w14:paraId="5D7B8274">
            <w:pPr>
              <w:bidi w:val="0"/>
              <w:rPr>
                <w:rFonts w:hint="default"/>
                <w:b/>
                <w:bCs/>
                <w:color w:val="auto"/>
                <w:highlight w:val="none"/>
                <w:lang w:val="en-US" w:eastAsia="zh-CN"/>
              </w:rPr>
            </w:pPr>
            <w:r>
              <w:rPr>
                <w:rFonts w:hint="eastAsia"/>
                <w:b/>
                <w:bCs/>
                <w:color w:val="auto"/>
                <w:highlight w:val="none"/>
                <w:lang w:val="en-US" w:eastAsia="zh-CN"/>
              </w:rPr>
              <w:t>②粉尘</w:t>
            </w:r>
          </w:p>
          <w:p w14:paraId="56B27072">
            <w:pPr>
              <w:spacing w:line="360" w:lineRule="auto"/>
              <w:ind w:firstLine="480" w:firstLineChars="200"/>
              <w:rPr>
                <w:color w:val="auto"/>
                <w:kern w:val="0"/>
                <w:sz w:val="24"/>
                <w:highlight w:val="none"/>
              </w:rPr>
            </w:pPr>
            <w:r>
              <w:rPr>
                <w:rFonts w:hint="eastAsia"/>
                <w:color w:val="auto"/>
                <w:sz w:val="24"/>
                <w:highlight w:val="none"/>
              </w:rPr>
              <w:t>项目</w:t>
            </w:r>
            <w:r>
              <w:rPr>
                <w:rFonts w:hint="eastAsia"/>
                <w:color w:val="auto"/>
                <w:sz w:val="24"/>
                <w:highlight w:val="none"/>
                <w:lang w:val="en-US" w:eastAsia="zh-CN"/>
              </w:rPr>
              <w:t>纸制品生产过程中切纸等工序预计会产生少量粉尘</w:t>
            </w:r>
            <w:r>
              <w:rPr>
                <w:rFonts w:hint="eastAsia"/>
                <w:color w:val="auto"/>
                <w:sz w:val="24"/>
                <w:highlight w:val="none"/>
                <w:lang w:eastAsia="zh-CN"/>
              </w:rPr>
              <w:t>。</w:t>
            </w:r>
            <w:r>
              <w:rPr>
                <w:rFonts w:hint="eastAsia"/>
                <w:color w:val="auto"/>
                <w:highlight w:val="none"/>
                <w:lang w:val="en-US" w:eastAsia="zh-CN"/>
              </w:rPr>
              <w:t>项目拟通过在设备纸张裁切部位设置挡板等措施减少颗粒物无组织排放量，经过治理后项目切纸等过程中颗粒物排放量极少</w:t>
            </w:r>
            <w:r>
              <w:rPr>
                <w:rFonts w:hint="eastAsia"/>
                <w:color w:val="auto"/>
                <w:sz w:val="24"/>
                <w:highlight w:val="none"/>
                <w:lang w:val="en-US" w:eastAsia="zh-CN"/>
              </w:rPr>
              <w:t>，基本不会对外环境造成影响</w:t>
            </w:r>
            <w:r>
              <w:rPr>
                <w:rFonts w:hint="eastAsia"/>
                <w:color w:val="auto"/>
                <w:sz w:val="24"/>
                <w:highlight w:val="none"/>
              </w:rPr>
              <w:t>。</w:t>
            </w:r>
          </w:p>
          <w:p w14:paraId="2EBC2652">
            <w:pPr>
              <w:bidi w:val="0"/>
              <w:rPr>
                <w:rFonts w:hint="default"/>
                <w:b/>
                <w:bCs/>
                <w:color w:val="auto"/>
                <w:highlight w:val="none"/>
                <w:lang w:val="en-US" w:eastAsia="zh-CN"/>
              </w:rPr>
            </w:pPr>
            <w:r>
              <w:rPr>
                <w:rFonts w:hint="eastAsia"/>
                <w:b/>
                <w:bCs/>
                <w:color w:val="auto"/>
                <w:highlight w:val="none"/>
                <w:lang w:val="en-US" w:eastAsia="zh-CN"/>
              </w:rPr>
              <w:t>③污水处理池恶臭</w:t>
            </w:r>
          </w:p>
          <w:p w14:paraId="5ED64787">
            <w:pPr>
              <w:bidi w:val="0"/>
              <w:rPr>
                <w:rFonts w:hint="default"/>
                <w:color w:val="auto"/>
                <w:highlight w:val="none"/>
                <w:lang w:val="en-US" w:eastAsia="zh-CN"/>
              </w:rPr>
            </w:pPr>
            <w:r>
              <w:rPr>
                <w:rFonts w:hint="eastAsia"/>
                <w:color w:val="auto"/>
                <w:highlight w:val="none"/>
                <w:lang w:val="en-US" w:eastAsia="zh-CN"/>
              </w:rPr>
              <w:t>本项目生产废水在污水处理及储存过程中，将产生恶臭气体，根据美国EPA对城市污水处理场恶臭污染物产生情况的研究，每处理1gBOD</w:t>
            </w:r>
            <w:r>
              <w:rPr>
                <w:rFonts w:hint="eastAsia"/>
                <w:color w:val="auto"/>
                <w:highlight w:val="none"/>
                <w:vertAlign w:val="subscript"/>
                <w:lang w:val="en-US" w:eastAsia="zh-CN"/>
              </w:rPr>
              <w:t>5</w:t>
            </w:r>
            <w:r>
              <w:rPr>
                <w:rFonts w:hint="eastAsia"/>
                <w:color w:val="auto"/>
                <w:highlight w:val="none"/>
                <w:lang w:val="en-US" w:eastAsia="zh-CN"/>
              </w:rPr>
              <w:t>可产生0.0031gNH</w:t>
            </w:r>
            <w:r>
              <w:rPr>
                <w:rFonts w:hint="eastAsia"/>
                <w:color w:val="auto"/>
                <w:highlight w:val="none"/>
                <w:vertAlign w:val="subscript"/>
                <w:lang w:val="en-US" w:eastAsia="zh-CN"/>
              </w:rPr>
              <w:t>3</w:t>
            </w:r>
            <w:r>
              <w:rPr>
                <w:rFonts w:hint="eastAsia"/>
                <w:color w:val="auto"/>
                <w:highlight w:val="none"/>
                <w:lang w:val="en-US" w:eastAsia="zh-CN"/>
              </w:rPr>
              <w:t>和0.00012gH</w:t>
            </w:r>
            <w:r>
              <w:rPr>
                <w:rFonts w:hint="eastAsia"/>
                <w:color w:val="auto"/>
                <w:highlight w:val="none"/>
                <w:vertAlign w:val="subscript"/>
                <w:lang w:val="en-US" w:eastAsia="zh-CN"/>
              </w:rPr>
              <w:t>2</w:t>
            </w:r>
            <w:r>
              <w:rPr>
                <w:rFonts w:hint="eastAsia"/>
                <w:color w:val="auto"/>
                <w:highlight w:val="none"/>
                <w:lang w:val="en-US" w:eastAsia="zh-CN"/>
              </w:rPr>
              <w:t>S。根据废水治理部分，本项目污水处理去除的BOD</w:t>
            </w:r>
            <w:r>
              <w:rPr>
                <w:rFonts w:hint="eastAsia"/>
                <w:color w:val="auto"/>
                <w:highlight w:val="none"/>
                <w:vertAlign w:val="subscript"/>
                <w:lang w:val="en-US" w:eastAsia="zh-CN"/>
              </w:rPr>
              <w:t>5</w:t>
            </w:r>
            <w:r>
              <w:rPr>
                <w:rFonts w:hint="eastAsia"/>
                <w:color w:val="auto"/>
                <w:highlight w:val="none"/>
                <w:lang w:val="en-US" w:eastAsia="zh-CN"/>
              </w:rPr>
              <w:t>量预计为5.342t/a，则项目污水处理池氨产生量预计0.0166t/a，0.0061kg/h；产生硫化氢量预计为0.00064t/a，0.00024kg/h。本项目拟通过加强污泥清理频次、在污泥暂存点喷洒高效的除臭剂、加强污水处理站及区绿化设施、对产生恶臭的设施实施密封作业等措施后，厂界恶臭可满足《恶臭污染物排放标准》（GB14554-93）中无组织排放浓度限值，对外环境影响很小。</w:t>
            </w:r>
          </w:p>
          <w:p w14:paraId="74950FDE">
            <w:pPr>
              <w:bidi w:val="0"/>
              <w:rPr>
                <w:color w:val="auto"/>
                <w:highlight w:val="none"/>
              </w:rPr>
            </w:pPr>
            <w:r>
              <w:rPr>
                <w:rFonts w:hint="eastAsia"/>
                <w:color w:val="auto"/>
                <w:highlight w:val="none"/>
                <w:lang w:val="en-US" w:eastAsia="zh-CN"/>
              </w:rPr>
              <w:t>综上</w:t>
            </w:r>
            <w:r>
              <w:rPr>
                <w:rFonts w:hint="eastAsia"/>
                <w:color w:val="auto"/>
                <w:highlight w:val="none"/>
              </w:rPr>
              <w:t>，运营期生产废气排放信息见下表：</w:t>
            </w:r>
          </w:p>
        </w:tc>
      </w:tr>
    </w:tbl>
    <w:p w14:paraId="4F699C17">
      <w:pPr>
        <w:ind w:firstLine="420"/>
        <w:rPr>
          <w:color w:val="auto"/>
          <w:highlight w:val="none"/>
        </w:rPr>
        <w:sectPr>
          <w:pgSz w:w="11905" w:h="16838"/>
          <w:pgMar w:top="1701" w:right="1134" w:bottom="1701" w:left="1134" w:header="851" w:footer="1077" w:gutter="0"/>
          <w:pgBorders>
            <w:top w:val="none" w:sz="0" w:space="0"/>
            <w:left w:val="none" w:sz="0" w:space="0"/>
            <w:bottom w:val="none" w:sz="0" w:space="0"/>
            <w:right w:val="none" w:sz="0" w:space="0"/>
          </w:pgBorders>
          <w:pgNumType w:fmt="decimal"/>
          <w:cols w:space="720" w:num="1"/>
          <w:docGrid w:linePitch="312" w:charSpace="0"/>
        </w:sectPr>
      </w:pPr>
    </w:p>
    <w:p w14:paraId="2720EE95">
      <w:pPr>
        <w:pStyle w:val="14"/>
        <w:bidi w:val="0"/>
        <w:rPr>
          <w:rFonts w:hint="default"/>
          <w:color w:val="auto"/>
          <w:highlight w:val="none"/>
        </w:rPr>
      </w:pPr>
      <w:r>
        <w:rPr>
          <w:rFonts w:hint="default"/>
          <w:color w:val="auto"/>
          <w:highlight w:val="none"/>
        </w:rPr>
        <w:t>表4-</w:t>
      </w:r>
      <w:r>
        <w:rPr>
          <w:rFonts w:hint="default"/>
          <w:color w:val="auto"/>
          <w:highlight w:val="none"/>
        </w:rPr>
        <w:fldChar w:fldCharType="begin"/>
      </w:r>
      <w:r>
        <w:rPr>
          <w:rFonts w:hint="default"/>
          <w:color w:val="auto"/>
          <w:highlight w:val="none"/>
        </w:rPr>
        <w:instrText xml:space="preserve"> SEQ 表4- \* ARABIC </w:instrText>
      </w:r>
      <w:r>
        <w:rPr>
          <w:rFonts w:hint="default"/>
          <w:color w:val="auto"/>
          <w:highlight w:val="none"/>
        </w:rPr>
        <w:fldChar w:fldCharType="separate"/>
      </w:r>
      <w:r>
        <w:rPr>
          <w:rFonts w:hint="default"/>
          <w:color w:val="auto"/>
          <w:highlight w:val="none"/>
        </w:rPr>
        <w:t>4</w:t>
      </w:r>
      <w:r>
        <w:rPr>
          <w:rFonts w:hint="default"/>
          <w:color w:val="auto"/>
          <w:highlight w:val="none"/>
        </w:rPr>
        <w:fldChar w:fldCharType="end"/>
      </w:r>
      <w:r>
        <w:rPr>
          <w:rFonts w:hint="eastAsia"/>
          <w:color w:val="auto"/>
          <w:highlight w:val="none"/>
          <w:lang w:val="en-US" w:eastAsia="zh-CN"/>
        </w:rPr>
        <w:t xml:space="preserve">  </w:t>
      </w:r>
      <w:r>
        <w:rPr>
          <w:rFonts w:hint="default"/>
          <w:color w:val="auto"/>
          <w:highlight w:val="none"/>
        </w:rPr>
        <w:t>项目废气污染物产生、治理及排放情况一览表</w:t>
      </w:r>
    </w:p>
    <w:tbl>
      <w:tblPr>
        <w:tblStyle w:val="28"/>
        <w:tblW w:w="1451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25"/>
        <w:gridCol w:w="683"/>
        <w:gridCol w:w="583"/>
        <w:gridCol w:w="734"/>
        <w:gridCol w:w="745"/>
        <w:gridCol w:w="788"/>
        <w:gridCol w:w="767"/>
        <w:gridCol w:w="516"/>
        <w:gridCol w:w="2817"/>
        <w:gridCol w:w="517"/>
        <w:gridCol w:w="466"/>
        <w:gridCol w:w="817"/>
        <w:gridCol w:w="883"/>
        <w:gridCol w:w="734"/>
        <w:gridCol w:w="897"/>
        <w:gridCol w:w="609"/>
        <w:gridCol w:w="764"/>
        <w:gridCol w:w="667"/>
      </w:tblGrid>
      <w:tr w14:paraId="089E26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blHeader/>
          <w:jc w:val="center"/>
        </w:trPr>
        <w:tc>
          <w:tcPr>
            <w:tcW w:w="525" w:type="dxa"/>
            <w:vMerge w:val="restart"/>
            <w:tcBorders>
              <w:tl2br w:val="nil"/>
              <w:tr2bl w:val="nil"/>
            </w:tcBorders>
            <w:noWrap w:val="0"/>
            <w:vAlign w:val="center"/>
          </w:tcPr>
          <w:p w14:paraId="2ADE940E">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产污环节</w:t>
            </w:r>
          </w:p>
        </w:tc>
        <w:tc>
          <w:tcPr>
            <w:tcW w:w="683" w:type="dxa"/>
            <w:vMerge w:val="restart"/>
            <w:tcBorders>
              <w:tl2br w:val="nil"/>
              <w:tr2bl w:val="nil"/>
            </w:tcBorders>
            <w:noWrap w:val="0"/>
            <w:vAlign w:val="center"/>
          </w:tcPr>
          <w:p w14:paraId="5669D6B0">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生产设施</w:t>
            </w:r>
          </w:p>
        </w:tc>
        <w:tc>
          <w:tcPr>
            <w:tcW w:w="1317" w:type="dxa"/>
            <w:gridSpan w:val="2"/>
            <w:vMerge w:val="restart"/>
            <w:tcBorders>
              <w:tl2br w:val="nil"/>
              <w:tr2bl w:val="nil"/>
            </w:tcBorders>
            <w:noWrap w:val="0"/>
            <w:vAlign w:val="center"/>
          </w:tcPr>
          <w:p w14:paraId="42751E5C">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污染物</w:t>
            </w:r>
          </w:p>
        </w:tc>
        <w:tc>
          <w:tcPr>
            <w:tcW w:w="745" w:type="dxa"/>
            <w:vMerge w:val="restart"/>
            <w:tcBorders>
              <w:tl2br w:val="nil"/>
              <w:tr2bl w:val="nil"/>
            </w:tcBorders>
            <w:noWrap w:val="0"/>
            <w:vAlign w:val="center"/>
          </w:tcPr>
          <w:p w14:paraId="7A8EB3E4">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产生量</w:t>
            </w:r>
            <w:r>
              <w:rPr>
                <w:rFonts w:hint="eastAsia" w:cs="Times New Roman"/>
                <w:b/>
                <w:bCs/>
                <w:color w:val="auto"/>
                <w:kern w:val="0"/>
                <w:sz w:val="21"/>
                <w:szCs w:val="21"/>
                <w:highlight w:val="none"/>
                <w:lang w:val="en-US" w:eastAsia="zh-CN" w:bidi="ar"/>
              </w:rPr>
              <w:t>t</w:t>
            </w:r>
            <w:r>
              <w:rPr>
                <w:rFonts w:hint="default" w:ascii="Times New Roman" w:hAnsi="Times New Roman" w:eastAsia="宋体" w:cs="Times New Roman"/>
                <w:b/>
                <w:bCs/>
                <w:color w:val="auto"/>
                <w:kern w:val="0"/>
                <w:sz w:val="21"/>
                <w:szCs w:val="21"/>
                <w:highlight w:val="none"/>
                <w:lang w:bidi="ar"/>
              </w:rPr>
              <w:t>/a</w:t>
            </w:r>
          </w:p>
        </w:tc>
        <w:tc>
          <w:tcPr>
            <w:tcW w:w="788" w:type="dxa"/>
            <w:vMerge w:val="restart"/>
            <w:tcBorders>
              <w:tl2br w:val="nil"/>
              <w:tr2bl w:val="nil"/>
            </w:tcBorders>
            <w:noWrap w:val="0"/>
            <w:vAlign w:val="center"/>
          </w:tcPr>
          <w:p w14:paraId="666A6C9B">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产生速率kg/h</w:t>
            </w:r>
          </w:p>
        </w:tc>
        <w:tc>
          <w:tcPr>
            <w:tcW w:w="767" w:type="dxa"/>
            <w:vMerge w:val="restart"/>
            <w:tcBorders>
              <w:tl2br w:val="nil"/>
              <w:tr2bl w:val="nil"/>
            </w:tcBorders>
            <w:noWrap w:val="0"/>
            <w:vAlign w:val="center"/>
          </w:tcPr>
          <w:p w14:paraId="69F48E7A">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风量</w:t>
            </w:r>
          </w:p>
          <w:p w14:paraId="340640D3">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m</w:t>
            </w:r>
            <w:r>
              <w:rPr>
                <w:rFonts w:hint="default" w:ascii="Times New Roman" w:hAnsi="Times New Roman" w:eastAsia="宋体" w:cs="Times New Roman"/>
                <w:b/>
                <w:bCs/>
                <w:color w:val="auto"/>
                <w:kern w:val="0"/>
                <w:sz w:val="21"/>
                <w:szCs w:val="21"/>
                <w:highlight w:val="none"/>
                <w:vertAlign w:val="superscript"/>
                <w:lang w:bidi="ar"/>
              </w:rPr>
              <w:t>3</w:t>
            </w:r>
            <w:r>
              <w:rPr>
                <w:rFonts w:hint="default" w:ascii="Times New Roman" w:hAnsi="Times New Roman" w:eastAsia="宋体" w:cs="Times New Roman"/>
                <w:b/>
                <w:bCs/>
                <w:color w:val="auto"/>
                <w:kern w:val="0"/>
                <w:sz w:val="21"/>
                <w:szCs w:val="21"/>
                <w:highlight w:val="none"/>
                <w:lang w:bidi="ar"/>
              </w:rPr>
              <w:t>/h</w:t>
            </w:r>
          </w:p>
        </w:tc>
        <w:tc>
          <w:tcPr>
            <w:tcW w:w="516" w:type="dxa"/>
            <w:vMerge w:val="restart"/>
            <w:tcBorders>
              <w:tl2br w:val="nil"/>
              <w:tr2bl w:val="nil"/>
            </w:tcBorders>
            <w:noWrap w:val="0"/>
            <w:vAlign w:val="center"/>
          </w:tcPr>
          <w:p w14:paraId="47D584D5">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收集效率</w:t>
            </w:r>
          </w:p>
        </w:tc>
        <w:tc>
          <w:tcPr>
            <w:tcW w:w="2817" w:type="dxa"/>
            <w:vMerge w:val="restart"/>
            <w:tcBorders>
              <w:tl2br w:val="nil"/>
              <w:tr2bl w:val="nil"/>
            </w:tcBorders>
            <w:noWrap w:val="0"/>
            <w:vAlign w:val="center"/>
          </w:tcPr>
          <w:p w14:paraId="0F6614AB">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处理措施</w:t>
            </w:r>
          </w:p>
        </w:tc>
        <w:tc>
          <w:tcPr>
            <w:tcW w:w="517" w:type="dxa"/>
            <w:vMerge w:val="restart"/>
            <w:tcBorders>
              <w:tl2br w:val="nil"/>
              <w:tr2bl w:val="nil"/>
            </w:tcBorders>
            <w:noWrap w:val="0"/>
            <w:vAlign w:val="center"/>
          </w:tcPr>
          <w:p w14:paraId="685CAEBD">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处理效率</w:t>
            </w:r>
          </w:p>
        </w:tc>
        <w:tc>
          <w:tcPr>
            <w:tcW w:w="466" w:type="dxa"/>
            <w:vMerge w:val="restart"/>
            <w:tcBorders>
              <w:tl2br w:val="nil"/>
              <w:tr2bl w:val="nil"/>
            </w:tcBorders>
            <w:noWrap w:val="0"/>
            <w:vAlign w:val="center"/>
          </w:tcPr>
          <w:p w14:paraId="7C078A4A">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排放方式</w:t>
            </w:r>
          </w:p>
        </w:tc>
        <w:tc>
          <w:tcPr>
            <w:tcW w:w="817" w:type="dxa"/>
            <w:vMerge w:val="restart"/>
            <w:tcBorders>
              <w:tl2br w:val="nil"/>
              <w:tr2bl w:val="nil"/>
            </w:tcBorders>
            <w:noWrap w:val="0"/>
            <w:vAlign w:val="center"/>
          </w:tcPr>
          <w:p w14:paraId="33157DE9">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是否为推荐可行技术</w:t>
            </w:r>
          </w:p>
        </w:tc>
        <w:tc>
          <w:tcPr>
            <w:tcW w:w="883" w:type="dxa"/>
            <w:vMerge w:val="restart"/>
            <w:tcBorders>
              <w:tl2br w:val="nil"/>
              <w:tr2bl w:val="nil"/>
            </w:tcBorders>
            <w:noWrap w:val="0"/>
            <w:vAlign w:val="center"/>
          </w:tcPr>
          <w:p w14:paraId="61BECD43">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排放量</w:t>
            </w:r>
            <w:r>
              <w:rPr>
                <w:rFonts w:hint="eastAsia" w:cs="Times New Roman"/>
                <w:b/>
                <w:bCs/>
                <w:color w:val="auto"/>
                <w:kern w:val="0"/>
                <w:sz w:val="21"/>
                <w:szCs w:val="21"/>
                <w:highlight w:val="none"/>
                <w:lang w:val="en-US" w:eastAsia="zh-CN" w:bidi="ar"/>
              </w:rPr>
              <w:t>t</w:t>
            </w:r>
            <w:r>
              <w:rPr>
                <w:rFonts w:hint="default" w:ascii="Times New Roman" w:hAnsi="Times New Roman" w:eastAsia="宋体" w:cs="Times New Roman"/>
                <w:b/>
                <w:bCs/>
                <w:color w:val="auto"/>
                <w:kern w:val="0"/>
                <w:sz w:val="21"/>
                <w:szCs w:val="21"/>
                <w:highlight w:val="none"/>
                <w:lang w:bidi="ar"/>
              </w:rPr>
              <w:t>/a</w:t>
            </w:r>
          </w:p>
        </w:tc>
        <w:tc>
          <w:tcPr>
            <w:tcW w:w="734" w:type="dxa"/>
            <w:vMerge w:val="restart"/>
            <w:tcBorders>
              <w:tl2br w:val="nil"/>
              <w:tr2bl w:val="nil"/>
            </w:tcBorders>
            <w:noWrap w:val="0"/>
            <w:vAlign w:val="center"/>
          </w:tcPr>
          <w:p w14:paraId="2EFDA0C1">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排放速率kg/h</w:t>
            </w:r>
          </w:p>
        </w:tc>
        <w:tc>
          <w:tcPr>
            <w:tcW w:w="897" w:type="dxa"/>
            <w:vMerge w:val="restart"/>
            <w:tcBorders>
              <w:tl2br w:val="nil"/>
              <w:tr2bl w:val="nil"/>
            </w:tcBorders>
            <w:noWrap w:val="0"/>
            <w:vAlign w:val="center"/>
          </w:tcPr>
          <w:p w14:paraId="6EA90EC4">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排放浓度mg/m</w:t>
            </w:r>
            <w:r>
              <w:rPr>
                <w:rFonts w:hint="default" w:ascii="Times New Roman" w:hAnsi="Times New Roman" w:eastAsia="宋体" w:cs="Times New Roman"/>
                <w:b/>
                <w:bCs/>
                <w:color w:val="auto"/>
                <w:kern w:val="0"/>
                <w:sz w:val="21"/>
                <w:szCs w:val="21"/>
                <w:highlight w:val="none"/>
                <w:vertAlign w:val="superscript"/>
                <w:lang w:bidi="ar"/>
              </w:rPr>
              <w:t>3</w:t>
            </w:r>
          </w:p>
        </w:tc>
        <w:tc>
          <w:tcPr>
            <w:tcW w:w="1373" w:type="dxa"/>
            <w:gridSpan w:val="2"/>
            <w:tcBorders>
              <w:tl2br w:val="nil"/>
              <w:tr2bl w:val="nil"/>
            </w:tcBorders>
            <w:noWrap w:val="0"/>
            <w:vAlign w:val="center"/>
          </w:tcPr>
          <w:p w14:paraId="3E2CE29B">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eastAsia"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排放标准</w:t>
            </w:r>
          </w:p>
        </w:tc>
        <w:tc>
          <w:tcPr>
            <w:tcW w:w="667" w:type="dxa"/>
            <w:vMerge w:val="restart"/>
            <w:tcBorders>
              <w:tl2br w:val="nil"/>
              <w:tr2bl w:val="nil"/>
            </w:tcBorders>
            <w:noWrap w:val="0"/>
            <w:vAlign w:val="center"/>
          </w:tcPr>
          <w:p w14:paraId="0567B9C4">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bidi="ar"/>
              </w:rPr>
              <w:t>处理设备年运行时间h</w:t>
            </w:r>
          </w:p>
        </w:tc>
      </w:tr>
      <w:tr w14:paraId="314DB3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blHeader/>
          <w:jc w:val="center"/>
        </w:trPr>
        <w:tc>
          <w:tcPr>
            <w:tcW w:w="525" w:type="dxa"/>
            <w:vMerge w:val="continue"/>
            <w:tcBorders>
              <w:tl2br w:val="nil"/>
              <w:tr2bl w:val="nil"/>
            </w:tcBorders>
            <w:noWrap w:val="0"/>
            <w:vAlign w:val="center"/>
          </w:tcPr>
          <w:p w14:paraId="7625B6F3">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683" w:type="dxa"/>
            <w:vMerge w:val="continue"/>
            <w:tcBorders>
              <w:tl2br w:val="nil"/>
              <w:tr2bl w:val="nil"/>
            </w:tcBorders>
            <w:noWrap w:val="0"/>
            <w:vAlign w:val="center"/>
          </w:tcPr>
          <w:p w14:paraId="5F852959">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1317" w:type="dxa"/>
            <w:gridSpan w:val="2"/>
            <w:vMerge w:val="continue"/>
            <w:tcBorders>
              <w:tl2br w:val="nil"/>
              <w:tr2bl w:val="nil"/>
            </w:tcBorders>
            <w:noWrap w:val="0"/>
            <w:vAlign w:val="center"/>
          </w:tcPr>
          <w:p w14:paraId="6DC22B7A">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745" w:type="dxa"/>
            <w:vMerge w:val="continue"/>
            <w:tcBorders>
              <w:tl2br w:val="nil"/>
              <w:tr2bl w:val="nil"/>
            </w:tcBorders>
            <w:noWrap w:val="0"/>
            <w:vAlign w:val="center"/>
          </w:tcPr>
          <w:p w14:paraId="1B302EEF">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788" w:type="dxa"/>
            <w:vMerge w:val="continue"/>
            <w:tcBorders>
              <w:tl2br w:val="nil"/>
              <w:tr2bl w:val="nil"/>
            </w:tcBorders>
            <w:noWrap w:val="0"/>
            <w:vAlign w:val="center"/>
          </w:tcPr>
          <w:p w14:paraId="3FCED31D">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767" w:type="dxa"/>
            <w:vMerge w:val="continue"/>
            <w:tcBorders>
              <w:tl2br w:val="nil"/>
              <w:tr2bl w:val="nil"/>
            </w:tcBorders>
            <w:noWrap w:val="0"/>
            <w:vAlign w:val="center"/>
          </w:tcPr>
          <w:p w14:paraId="1F4D9283">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516" w:type="dxa"/>
            <w:vMerge w:val="continue"/>
            <w:tcBorders>
              <w:tl2br w:val="nil"/>
              <w:tr2bl w:val="nil"/>
            </w:tcBorders>
            <w:noWrap w:val="0"/>
            <w:vAlign w:val="center"/>
          </w:tcPr>
          <w:p w14:paraId="42DB553B">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2817" w:type="dxa"/>
            <w:vMerge w:val="continue"/>
            <w:tcBorders>
              <w:tl2br w:val="nil"/>
              <w:tr2bl w:val="nil"/>
            </w:tcBorders>
            <w:noWrap w:val="0"/>
            <w:vAlign w:val="center"/>
          </w:tcPr>
          <w:p w14:paraId="70AAC0CC">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517" w:type="dxa"/>
            <w:vMerge w:val="continue"/>
            <w:tcBorders>
              <w:tl2br w:val="nil"/>
              <w:tr2bl w:val="nil"/>
            </w:tcBorders>
            <w:noWrap w:val="0"/>
            <w:vAlign w:val="center"/>
          </w:tcPr>
          <w:p w14:paraId="0C364E48">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466" w:type="dxa"/>
            <w:vMerge w:val="continue"/>
            <w:tcBorders>
              <w:tl2br w:val="nil"/>
              <w:tr2bl w:val="nil"/>
            </w:tcBorders>
            <w:noWrap w:val="0"/>
            <w:vAlign w:val="center"/>
          </w:tcPr>
          <w:p w14:paraId="570C22BD">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817" w:type="dxa"/>
            <w:vMerge w:val="continue"/>
            <w:tcBorders>
              <w:tl2br w:val="nil"/>
              <w:tr2bl w:val="nil"/>
            </w:tcBorders>
            <w:noWrap w:val="0"/>
            <w:vAlign w:val="center"/>
          </w:tcPr>
          <w:p w14:paraId="201DE64D">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883" w:type="dxa"/>
            <w:vMerge w:val="continue"/>
            <w:tcBorders>
              <w:tl2br w:val="nil"/>
              <w:tr2bl w:val="nil"/>
            </w:tcBorders>
            <w:noWrap w:val="0"/>
            <w:vAlign w:val="center"/>
          </w:tcPr>
          <w:p w14:paraId="2123228F">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734" w:type="dxa"/>
            <w:vMerge w:val="continue"/>
            <w:tcBorders>
              <w:tl2br w:val="nil"/>
              <w:tr2bl w:val="nil"/>
            </w:tcBorders>
            <w:noWrap w:val="0"/>
            <w:vAlign w:val="center"/>
          </w:tcPr>
          <w:p w14:paraId="0806061C">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897" w:type="dxa"/>
            <w:vMerge w:val="continue"/>
            <w:tcBorders>
              <w:tl2br w:val="nil"/>
              <w:tr2bl w:val="nil"/>
            </w:tcBorders>
            <w:noWrap w:val="0"/>
            <w:vAlign w:val="center"/>
          </w:tcPr>
          <w:p w14:paraId="0B0466A1">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c>
          <w:tcPr>
            <w:tcW w:w="609" w:type="dxa"/>
            <w:tcBorders>
              <w:tl2br w:val="nil"/>
              <w:tr2bl w:val="nil"/>
            </w:tcBorders>
            <w:noWrap w:val="0"/>
            <w:vAlign w:val="center"/>
          </w:tcPr>
          <w:p w14:paraId="0334B765">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bidi="ar"/>
              </w:rPr>
              <w:t>速率kg/h</w:t>
            </w:r>
          </w:p>
        </w:tc>
        <w:tc>
          <w:tcPr>
            <w:tcW w:w="764" w:type="dxa"/>
            <w:tcBorders>
              <w:tl2br w:val="nil"/>
              <w:tr2bl w:val="nil"/>
            </w:tcBorders>
            <w:noWrap w:val="0"/>
            <w:vAlign w:val="center"/>
          </w:tcPr>
          <w:p w14:paraId="31D7EFEA">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bidi="ar"/>
              </w:rPr>
              <w:t>浓度mg/m</w:t>
            </w:r>
            <w:r>
              <w:rPr>
                <w:rFonts w:hint="default" w:ascii="Times New Roman" w:hAnsi="Times New Roman" w:eastAsia="宋体" w:cs="Times New Roman"/>
                <w:b/>
                <w:bCs/>
                <w:color w:val="auto"/>
                <w:kern w:val="0"/>
                <w:sz w:val="21"/>
                <w:szCs w:val="21"/>
                <w:highlight w:val="none"/>
                <w:vertAlign w:val="superscript"/>
                <w:lang w:bidi="ar"/>
              </w:rPr>
              <w:t>3</w:t>
            </w:r>
          </w:p>
        </w:tc>
        <w:tc>
          <w:tcPr>
            <w:tcW w:w="667" w:type="dxa"/>
            <w:vMerge w:val="continue"/>
            <w:tcBorders>
              <w:tl2br w:val="nil"/>
              <w:tr2bl w:val="nil"/>
            </w:tcBorders>
            <w:noWrap w:val="0"/>
            <w:vAlign w:val="center"/>
          </w:tcPr>
          <w:p w14:paraId="68D0BEC5">
            <w:pPr>
              <w:keepNext w:val="0"/>
              <w:keepLines w:val="0"/>
              <w:pageBreakBefore w:val="0"/>
              <w:widowControl/>
              <w:kinsoku/>
              <w:wordWrap/>
              <w:overflowPunct/>
              <w:topLinePunct w:val="0"/>
              <w:bidi w:val="0"/>
              <w:spacing w:line="240" w:lineRule="auto"/>
              <w:ind w:left="-120" w:leftChars="-50" w:right="-120" w:rightChars="-50" w:firstLine="0" w:firstLineChars="0"/>
              <w:jc w:val="center"/>
              <w:textAlignment w:val="center"/>
              <w:rPr>
                <w:color w:val="auto"/>
                <w:sz w:val="21"/>
                <w:szCs w:val="21"/>
                <w:highlight w:val="none"/>
              </w:rPr>
            </w:pPr>
          </w:p>
        </w:tc>
      </w:tr>
      <w:tr w14:paraId="17154C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blHeader/>
          <w:jc w:val="center"/>
        </w:trPr>
        <w:tc>
          <w:tcPr>
            <w:tcW w:w="525" w:type="dxa"/>
            <w:vMerge w:val="restart"/>
            <w:tcBorders>
              <w:tl2br w:val="nil"/>
              <w:tr2bl w:val="nil"/>
            </w:tcBorders>
            <w:noWrap w:val="0"/>
            <w:vAlign w:val="center"/>
          </w:tcPr>
          <w:p w14:paraId="1AD368FF">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制高温蒸汽</w:t>
            </w:r>
          </w:p>
        </w:tc>
        <w:tc>
          <w:tcPr>
            <w:tcW w:w="683" w:type="dxa"/>
            <w:vMerge w:val="restart"/>
            <w:tcBorders>
              <w:tl2br w:val="nil"/>
              <w:tr2bl w:val="nil"/>
            </w:tcBorders>
            <w:noWrap w:val="0"/>
            <w:vAlign w:val="center"/>
          </w:tcPr>
          <w:p w14:paraId="30B74E02">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蒸汽发生器</w:t>
            </w:r>
          </w:p>
        </w:tc>
        <w:tc>
          <w:tcPr>
            <w:tcW w:w="583" w:type="dxa"/>
            <w:vMerge w:val="restart"/>
            <w:tcBorders>
              <w:tl2br w:val="nil"/>
              <w:tr2bl w:val="nil"/>
            </w:tcBorders>
            <w:noWrap w:val="0"/>
            <w:vAlign w:val="center"/>
          </w:tcPr>
          <w:p w14:paraId="58DF474B">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天然气燃烧废气</w:t>
            </w:r>
          </w:p>
        </w:tc>
        <w:tc>
          <w:tcPr>
            <w:tcW w:w="734" w:type="dxa"/>
            <w:tcBorders>
              <w:tl2br w:val="nil"/>
              <w:tr2bl w:val="nil"/>
            </w:tcBorders>
            <w:shd w:val="clear" w:color="auto" w:fill="auto"/>
            <w:noWrap w:val="0"/>
            <w:vAlign w:val="center"/>
          </w:tcPr>
          <w:p w14:paraId="51AB9564">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SO</w:t>
            </w:r>
            <w:r>
              <w:rPr>
                <w:rFonts w:hint="eastAsia" w:ascii="Times New Roman" w:hAnsi="Times New Roman" w:eastAsia="宋体" w:cs="Times New Roman"/>
                <w:color w:val="auto"/>
                <w:kern w:val="0"/>
                <w:sz w:val="21"/>
                <w:szCs w:val="21"/>
                <w:highlight w:val="none"/>
                <w:vertAlign w:val="subscript"/>
                <w:lang w:val="en-US" w:eastAsia="zh-CN" w:bidi="ar"/>
              </w:rPr>
              <w:t>2</w:t>
            </w:r>
          </w:p>
        </w:tc>
        <w:tc>
          <w:tcPr>
            <w:tcW w:w="745" w:type="dxa"/>
            <w:tcBorders>
              <w:tl2br w:val="nil"/>
              <w:tr2bl w:val="nil"/>
            </w:tcBorders>
            <w:noWrap w:val="0"/>
            <w:vAlign w:val="center"/>
          </w:tcPr>
          <w:p w14:paraId="1C2CCD82">
            <w:pPr>
              <w:pStyle w:val="106"/>
              <w:keepNext w:val="0"/>
              <w:keepLines w:val="0"/>
              <w:pageBreakBefore w:val="0"/>
              <w:kinsoku/>
              <w:wordWrap/>
              <w:overflowPunct/>
              <w:topLinePunct w:val="0"/>
              <w:bidi w:val="0"/>
              <w:ind w:left="-120" w:leftChars="-50" w:right="-120" w:rightChars="-50"/>
              <w:jc w:val="center"/>
              <w:rPr>
                <w:rFonts w:hint="default"/>
                <w:color w:val="auto"/>
                <w:highlight w:val="none"/>
                <w:lang w:val="en-US" w:eastAsia="zh-CN"/>
              </w:rPr>
            </w:pPr>
            <w:r>
              <w:rPr>
                <w:rFonts w:hint="eastAsia"/>
                <w:color w:val="auto"/>
                <w:highlight w:val="none"/>
                <w:lang w:val="en-US" w:eastAsia="zh-CN"/>
              </w:rPr>
              <w:t>1.6200</w:t>
            </w:r>
          </w:p>
        </w:tc>
        <w:tc>
          <w:tcPr>
            <w:tcW w:w="788" w:type="dxa"/>
            <w:tcBorders>
              <w:tl2br w:val="nil"/>
              <w:tr2bl w:val="nil"/>
            </w:tcBorders>
            <w:noWrap w:val="0"/>
            <w:vAlign w:val="center"/>
          </w:tcPr>
          <w:p w14:paraId="1E6D03F2">
            <w:pPr>
              <w:pStyle w:val="106"/>
              <w:keepNext w:val="0"/>
              <w:keepLines w:val="0"/>
              <w:pageBreakBefore w:val="0"/>
              <w:kinsoku/>
              <w:wordWrap/>
              <w:overflowPunct/>
              <w:topLinePunct w:val="0"/>
              <w:bidi w:val="0"/>
              <w:ind w:left="-120" w:leftChars="-50" w:right="-120" w:rightChars="-50"/>
              <w:jc w:val="center"/>
              <w:rPr>
                <w:rFonts w:hint="default"/>
                <w:color w:val="auto"/>
                <w:highlight w:val="none"/>
                <w:lang w:val="en-US" w:eastAsia="zh-CN"/>
              </w:rPr>
            </w:pPr>
            <w:r>
              <w:rPr>
                <w:rFonts w:hint="eastAsia"/>
                <w:color w:val="auto"/>
                <w:highlight w:val="none"/>
                <w:lang w:val="en-US" w:eastAsia="zh-CN"/>
              </w:rPr>
              <w:t>0.6000</w:t>
            </w:r>
          </w:p>
        </w:tc>
        <w:tc>
          <w:tcPr>
            <w:tcW w:w="767" w:type="dxa"/>
            <w:vMerge w:val="restart"/>
            <w:tcBorders>
              <w:tl2br w:val="nil"/>
              <w:tr2bl w:val="nil"/>
            </w:tcBorders>
            <w:noWrap w:val="0"/>
            <w:vAlign w:val="center"/>
          </w:tcPr>
          <w:p w14:paraId="76DB454E">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22000</w:t>
            </w:r>
          </w:p>
        </w:tc>
        <w:tc>
          <w:tcPr>
            <w:tcW w:w="516" w:type="dxa"/>
            <w:vMerge w:val="restart"/>
            <w:tcBorders>
              <w:tl2br w:val="nil"/>
              <w:tr2bl w:val="nil"/>
            </w:tcBorders>
            <w:noWrap w:val="0"/>
            <w:vAlign w:val="center"/>
          </w:tcPr>
          <w:p w14:paraId="66C47B34">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w:t>
            </w:r>
            <w:r>
              <w:rPr>
                <w:rFonts w:hint="eastAsia" w:ascii="Times New Roman" w:hAnsi="Times New Roman" w:eastAsia="宋体" w:cs="Times New Roman"/>
                <w:color w:val="auto"/>
                <w:kern w:val="0"/>
                <w:sz w:val="21"/>
                <w:szCs w:val="21"/>
                <w:highlight w:val="none"/>
                <w:lang w:val="en-US" w:eastAsia="zh-CN" w:bidi="ar"/>
              </w:rPr>
              <w:t>%</w:t>
            </w:r>
          </w:p>
        </w:tc>
        <w:tc>
          <w:tcPr>
            <w:tcW w:w="2817" w:type="dxa"/>
            <w:vMerge w:val="restart"/>
            <w:tcBorders>
              <w:tl2br w:val="nil"/>
              <w:tr2bl w:val="nil"/>
            </w:tcBorders>
            <w:noWrap w:val="0"/>
            <w:vAlign w:val="center"/>
          </w:tcPr>
          <w:p w14:paraId="40859EB1">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低氮燃烧后经专用</w:t>
            </w:r>
            <w:r>
              <w:rPr>
                <w:rFonts w:hint="eastAsia" w:ascii="Times New Roman" w:hAnsi="Times New Roman" w:eastAsia="宋体" w:cs="Times New Roman"/>
                <w:color w:val="auto"/>
                <w:kern w:val="0"/>
                <w:sz w:val="21"/>
                <w:szCs w:val="21"/>
                <w:highlight w:val="none"/>
                <w:lang w:val="en-US" w:eastAsia="zh-CN" w:bidi="ar"/>
              </w:rPr>
              <w:t>集气管道引至楼顶经1根</w:t>
            </w:r>
            <w:r>
              <w:rPr>
                <w:rFonts w:hint="eastAsia" w:eastAsia="宋体" w:cs="Times New Roman"/>
                <w:color w:val="auto"/>
                <w:kern w:val="0"/>
                <w:sz w:val="21"/>
                <w:szCs w:val="21"/>
                <w:highlight w:val="none"/>
                <w:lang w:val="en-US" w:eastAsia="zh-CN" w:bidi="ar"/>
              </w:rPr>
              <w:t>15</w:t>
            </w:r>
            <w:r>
              <w:rPr>
                <w:rFonts w:hint="eastAsia" w:ascii="Times New Roman" w:hAnsi="Times New Roman" w:eastAsia="宋体" w:cs="Times New Roman"/>
                <w:color w:val="auto"/>
                <w:kern w:val="0"/>
                <w:sz w:val="21"/>
                <w:szCs w:val="21"/>
                <w:highlight w:val="none"/>
                <w:lang w:val="en-US" w:eastAsia="zh-CN" w:bidi="ar"/>
              </w:rPr>
              <w:t>m排气筒（DA00</w:t>
            </w:r>
            <w:r>
              <w:rPr>
                <w:rFonts w:hint="eastAsia"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）达标排放</w:t>
            </w:r>
          </w:p>
        </w:tc>
        <w:tc>
          <w:tcPr>
            <w:tcW w:w="517" w:type="dxa"/>
            <w:vMerge w:val="restart"/>
            <w:tcBorders>
              <w:tl2br w:val="nil"/>
              <w:tr2bl w:val="nil"/>
            </w:tcBorders>
            <w:noWrap w:val="0"/>
            <w:vAlign w:val="center"/>
          </w:tcPr>
          <w:p w14:paraId="710BA07F">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466" w:type="dxa"/>
            <w:vMerge w:val="restart"/>
            <w:tcBorders>
              <w:tl2br w:val="nil"/>
              <w:tr2bl w:val="nil"/>
            </w:tcBorders>
            <w:noWrap w:val="0"/>
            <w:vAlign w:val="center"/>
          </w:tcPr>
          <w:p w14:paraId="358169FA">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有组织</w:t>
            </w:r>
          </w:p>
        </w:tc>
        <w:tc>
          <w:tcPr>
            <w:tcW w:w="817" w:type="dxa"/>
            <w:vMerge w:val="restart"/>
            <w:tcBorders>
              <w:tl2br w:val="nil"/>
              <w:tr2bl w:val="nil"/>
            </w:tcBorders>
            <w:noWrap w:val="0"/>
            <w:vAlign w:val="center"/>
          </w:tcPr>
          <w:p w14:paraId="27CB786E">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是</w:t>
            </w:r>
          </w:p>
        </w:tc>
        <w:tc>
          <w:tcPr>
            <w:tcW w:w="883" w:type="dxa"/>
            <w:tcBorders>
              <w:tl2br w:val="nil"/>
              <w:tr2bl w:val="nil"/>
            </w:tcBorders>
            <w:noWrap w:val="0"/>
            <w:vAlign w:val="center"/>
          </w:tcPr>
          <w:p w14:paraId="14AADA87">
            <w:pPr>
              <w:pStyle w:val="106"/>
              <w:keepNext w:val="0"/>
              <w:keepLines w:val="0"/>
              <w:pageBreakBefore w:val="0"/>
              <w:widowControl w:val="0"/>
              <w:kinsoku/>
              <w:wordWrap/>
              <w:overflowPunct/>
              <w:topLinePunct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1.6200</w:t>
            </w:r>
          </w:p>
        </w:tc>
        <w:tc>
          <w:tcPr>
            <w:tcW w:w="734" w:type="dxa"/>
            <w:tcBorders>
              <w:tl2br w:val="nil"/>
              <w:tr2bl w:val="nil"/>
            </w:tcBorders>
            <w:noWrap w:val="0"/>
            <w:vAlign w:val="center"/>
          </w:tcPr>
          <w:p w14:paraId="0208B11C">
            <w:pPr>
              <w:pStyle w:val="106"/>
              <w:keepNext w:val="0"/>
              <w:keepLines w:val="0"/>
              <w:pageBreakBefore w:val="0"/>
              <w:widowControl w:val="0"/>
              <w:kinsoku/>
              <w:wordWrap/>
              <w:overflowPunct/>
              <w:topLinePunct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0.6000</w:t>
            </w:r>
          </w:p>
        </w:tc>
        <w:tc>
          <w:tcPr>
            <w:tcW w:w="897" w:type="dxa"/>
            <w:tcBorders>
              <w:tl2br w:val="nil"/>
              <w:tr2bl w:val="nil"/>
            </w:tcBorders>
            <w:noWrap w:val="0"/>
            <w:vAlign w:val="center"/>
          </w:tcPr>
          <w:p w14:paraId="67DECD6B">
            <w:pPr>
              <w:pStyle w:val="106"/>
              <w:keepNext w:val="0"/>
              <w:keepLines w:val="0"/>
              <w:pageBreakBefore w:val="0"/>
              <w:widowControl w:val="0"/>
              <w:kinsoku/>
              <w:wordWrap/>
              <w:overflowPunct/>
              <w:topLinePunct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27.27</w:t>
            </w:r>
          </w:p>
        </w:tc>
        <w:tc>
          <w:tcPr>
            <w:tcW w:w="609" w:type="dxa"/>
            <w:tcBorders>
              <w:tl2br w:val="nil"/>
              <w:tr2bl w:val="nil"/>
            </w:tcBorders>
            <w:shd w:val="clear" w:color="auto" w:fill="auto"/>
            <w:noWrap w:val="0"/>
            <w:vAlign w:val="center"/>
          </w:tcPr>
          <w:p w14:paraId="7427CC55">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4" w:type="dxa"/>
            <w:tcBorders>
              <w:tl2br w:val="nil"/>
              <w:tr2bl w:val="nil"/>
            </w:tcBorders>
            <w:shd w:val="clear" w:color="auto" w:fill="auto"/>
            <w:noWrap w:val="0"/>
            <w:vAlign w:val="center"/>
          </w:tcPr>
          <w:p w14:paraId="77ACF691">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50</w:t>
            </w:r>
          </w:p>
        </w:tc>
        <w:tc>
          <w:tcPr>
            <w:tcW w:w="667" w:type="dxa"/>
            <w:tcBorders>
              <w:tl2br w:val="nil"/>
              <w:tr2bl w:val="nil"/>
            </w:tcBorders>
            <w:noWrap w:val="0"/>
            <w:vAlign w:val="center"/>
          </w:tcPr>
          <w:p w14:paraId="2BAB091F">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2700</w:t>
            </w:r>
          </w:p>
        </w:tc>
      </w:tr>
      <w:tr w14:paraId="6290EC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blHeader/>
          <w:jc w:val="center"/>
        </w:trPr>
        <w:tc>
          <w:tcPr>
            <w:tcW w:w="525" w:type="dxa"/>
            <w:vMerge w:val="continue"/>
            <w:tcBorders>
              <w:tl2br w:val="nil"/>
              <w:tr2bl w:val="nil"/>
            </w:tcBorders>
            <w:noWrap w:val="0"/>
            <w:vAlign w:val="center"/>
          </w:tcPr>
          <w:p w14:paraId="1FA69D5C">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683" w:type="dxa"/>
            <w:vMerge w:val="continue"/>
            <w:tcBorders>
              <w:tl2br w:val="nil"/>
              <w:tr2bl w:val="nil"/>
            </w:tcBorders>
            <w:noWrap w:val="0"/>
            <w:vAlign w:val="center"/>
          </w:tcPr>
          <w:p w14:paraId="567A2B6D">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583" w:type="dxa"/>
            <w:vMerge w:val="continue"/>
            <w:tcBorders>
              <w:tl2br w:val="nil"/>
              <w:tr2bl w:val="nil"/>
            </w:tcBorders>
            <w:noWrap w:val="0"/>
            <w:vAlign w:val="center"/>
          </w:tcPr>
          <w:p w14:paraId="487F7748">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734" w:type="dxa"/>
            <w:tcBorders>
              <w:tl2br w:val="nil"/>
              <w:tr2bl w:val="nil"/>
            </w:tcBorders>
            <w:shd w:val="clear" w:color="auto" w:fill="auto"/>
            <w:noWrap w:val="0"/>
            <w:vAlign w:val="center"/>
          </w:tcPr>
          <w:p w14:paraId="3D2D8B89">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NOx</w:t>
            </w:r>
          </w:p>
        </w:tc>
        <w:tc>
          <w:tcPr>
            <w:tcW w:w="745" w:type="dxa"/>
            <w:tcBorders>
              <w:tl2br w:val="nil"/>
              <w:tr2bl w:val="nil"/>
            </w:tcBorders>
            <w:noWrap w:val="0"/>
            <w:vAlign w:val="center"/>
          </w:tcPr>
          <w:p w14:paraId="58EF40BD">
            <w:pPr>
              <w:pStyle w:val="106"/>
              <w:keepNext w:val="0"/>
              <w:keepLines w:val="0"/>
              <w:pageBreakBefore w:val="0"/>
              <w:kinsoku/>
              <w:wordWrap/>
              <w:overflowPunct/>
              <w:topLinePunct w:val="0"/>
              <w:bidi w:val="0"/>
              <w:ind w:left="-120" w:leftChars="-50" w:right="-120" w:rightChars="-50"/>
              <w:jc w:val="center"/>
              <w:rPr>
                <w:rFonts w:hint="default"/>
                <w:color w:val="auto"/>
                <w:highlight w:val="none"/>
                <w:lang w:val="en-US" w:eastAsia="zh-CN"/>
              </w:rPr>
            </w:pPr>
            <w:r>
              <w:rPr>
                <w:rFonts w:hint="eastAsia"/>
                <w:color w:val="auto"/>
                <w:highlight w:val="none"/>
                <w:lang w:val="en-US" w:eastAsia="zh-CN"/>
              </w:rPr>
              <w:t>1.2272</w:t>
            </w:r>
          </w:p>
        </w:tc>
        <w:tc>
          <w:tcPr>
            <w:tcW w:w="788" w:type="dxa"/>
            <w:tcBorders>
              <w:tl2br w:val="nil"/>
              <w:tr2bl w:val="nil"/>
            </w:tcBorders>
            <w:noWrap w:val="0"/>
            <w:vAlign w:val="center"/>
          </w:tcPr>
          <w:p w14:paraId="201D0D5C">
            <w:pPr>
              <w:pStyle w:val="106"/>
              <w:keepNext w:val="0"/>
              <w:keepLines w:val="0"/>
              <w:pageBreakBefore w:val="0"/>
              <w:kinsoku/>
              <w:wordWrap/>
              <w:overflowPunct/>
              <w:topLinePunct w:val="0"/>
              <w:bidi w:val="0"/>
              <w:ind w:left="-120" w:leftChars="-50" w:right="-120" w:rightChars="-50"/>
              <w:jc w:val="center"/>
              <w:rPr>
                <w:rFonts w:hint="default"/>
                <w:color w:val="auto"/>
                <w:highlight w:val="none"/>
                <w:lang w:val="en-US" w:eastAsia="zh-CN"/>
              </w:rPr>
            </w:pPr>
            <w:r>
              <w:rPr>
                <w:rFonts w:hint="eastAsia"/>
                <w:color w:val="auto"/>
                <w:highlight w:val="none"/>
                <w:lang w:val="en-US" w:eastAsia="zh-CN"/>
              </w:rPr>
              <w:t>0.4545</w:t>
            </w:r>
          </w:p>
        </w:tc>
        <w:tc>
          <w:tcPr>
            <w:tcW w:w="767" w:type="dxa"/>
            <w:vMerge w:val="continue"/>
            <w:tcBorders>
              <w:tl2br w:val="nil"/>
              <w:tr2bl w:val="nil"/>
            </w:tcBorders>
            <w:noWrap w:val="0"/>
            <w:vAlign w:val="center"/>
          </w:tcPr>
          <w:p w14:paraId="2D6B4C09">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516" w:type="dxa"/>
            <w:vMerge w:val="continue"/>
            <w:tcBorders>
              <w:tl2br w:val="nil"/>
              <w:tr2bl w:val="nil"/>
            </w:tcBorders>
            <w:noWrap w:val="0"/>
            <w:vAlign w:val="center"/>
          </w:tcPr>
          <w:p w14:paraId="0D5EE185">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2817" w:type="dxa"/>
            <w:vMerge w:val="continue"/>
            <w:tcBorders>
              <w:tl2br w:val="nil"/>
              <w:tr2bl w:val="nil"/>
            </w:tcBorders>
            <w:noWrap w:val="0"/>
            <w:vAlign w:val="center"/>
          </w:tcPr>
          <w:p w14:paraId="76AF01D5">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517" w:type="dxa"/>
            <w:vMerge w:val="continue"/>
            <w:tcBorders>
              <w:tl2br w:val="nil"/>
              <w:tr2bl w:val="nil"/>
            </w:tcBorders>
            <w:noWrap w:val="0"/>
            <w:vAlign w:val="center"/>
          </w:tcPr>
          <w:p w14:paraId="34CF5FB9">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466" w:type="dxa"/>
            <w:vMerge w:val="continue"/>
            <w:tcBorders>
              <w:tl2br w:val="nil"/>
              <w:tr2bl w:val="nil"/>
            </w:tcBorders>
            <w:noWrap w:val="0"/>
            <w:vAlign w:val="center"/>
          </w:tcPr>
          <w:p w14:paraId="1A038A52">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817" w:type="dxa"/>
            <w:vMerge w:val="continue"/>
            <w:tcBorders>
              <w:tl2br w:val="nil"/>
              <w:tr2bl w:val="nil"/>
            </w:tcBorders>
            <w:noWrap w:val="0"/>
            <w:vAlign w:val="center"/>
          </w:tcPr>
          <w:p w14:paraId="2F255C84">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83" w:type="dxa"/>
            <w:tcBorders>
              <w:tl2br w:val="nil"/>
              <w:tr2bl w:val="nil"/>
            </w:tcBorders>
            <w:noWrap w:val="0"/>
            <w:vAlign w:val="center"/>
          </w:tcPr>
          <w:p w14:paraId="7329393A">
            <w:pPr>
              <w:pStyle w:val="106"/>
              <w:keepNext w:val="0"/>
              <w:keepLines w:val="0"/>
              <w:pageBreakBefore w:val="0"/>
              <w:widowControl w:val="0"/>
              <w:kinsoku/>
              <w:wordWrap/>
              <w:overflowPunct/>
              <w:topLinePunct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1.2272</w:t>
            </w:r>
          </w:p>
        </w:tc>
        <w:tc>
          <w:tcPr>
            <w:tcW w:w="734" w:type="dxa"/>
            <w:tcBorders>
              <w:tl2br w:val="nil"/>
              <w:tr2bl w:val="nil"/>
            </w:tcBorders>
            <w:noWrap w:val="0"/>
            <w:vAlign w:val="center"/>
          </w:tcPr>
          <w:p w14:paraId="3CF99BAC">
            <w:pPr>
              <w:pStyle w:val="106"/>
              <w:keepNext w:val="0"/>
              <w:keepLines w:val="0"/>
              <w:pageBreakBefore w:val="0"/>
              <w:widowControl w:val="0"/>
              <w:kinsoku/>
              <w:wordWrap/>
              <w:overflowPunct/>
              <w:topLinePunct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0.4545</w:t>
            </w:r>
          </w:p>
        </w:tc>
        <w:tc>
          <w:tcPr>
            <w:tcW w:w="897" w:type="dxa"/>
            <w:tcBorders>
              <w:tl2br w:val="nil"/>
              <w:tr2bl w:val="nil"/>
            </w:tcBorders>
            <w:noWrap w:val="0"/>
            <w:vAlign w:val="center"/>
          </w:tcPr>
          <w:p w14:paraId="040022DA">
            <w:pPr>
              <w:pStyle w:val="106"/>
              <w:keepNext w:val="0"/>
              <w:keepLines w:val="0"/>
              <w:pageBreakBefore w:val="0"/>
              <w:widowControl w:val="0"/>
              <w:kinsoku/>
              <w:wordWrap/>
              <w:overflowPunct/>
              <w:topLinePunct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20.66</w:t>
            </w:r>
          </w:p>
        </w:tc>
        <w:tc>
          <w:tcPr>
            <w:tcW w:w="609" w:type="dxa"/>
            <w:tcBorders>
              <w:tl2br w:val="nil"/>
              <w:tr2bl w:val="nil"/>
            </w:tcBorders>
            <w:shd w:val="clear" w:color="auto" w:fill="auto"/>
            <w:noWrap w:val="0"/>
            <w:vAlign w:val="center"/>
          </w:tcPr>
          <w:p w14:paraId="14B0D2C0">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4" w:type="dxa"/>
            <w:tcBorders>
              <w:tl2br w:val="nil"/>
              <w:tr2bl w:val="nil"/>
            </w:tcBorders>
            <w:shd w:val="clear" w:color="auto" w:fill="auto"/>
            <w:noWrap w:val="0"/>
            <w:vAlign w:val="center"/>
          </w:tcPr>
          <w:p w14:paraId="648184E9">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150</w:t>
            </w:r>
          </w:p>
        </w:tc>
        <w:tc>
          <w:tcPr>
            <w:tcW w:w="667" w:type="dxa"/>
            <w:tcBorders>
              <w:tl2br w:val="nil"/>
              <w:tr2bl w:val="nil"/>
            </w:tcBorders>
            <w:noWrap w:val="0"/>
            <w:vAlign w:val="center"/>
          </w:tcPr>
          <w:p w14:paraId="714F30D3">
            <w:pPr>
              <w:pStyle w:val="106"/>
              <w:bidi w:val="0"/>
              <w:rPr>
                <w:rFonts w:hint="eastAsia"/>
                <w:color w:val="auto"/>
                <w:lang w:val="en-US" w:eastAsia="zh-CN"/>
              </w:rPr>
            </w:pPr>
            <w:r>
              <w:rPr>
                <w:rFonts w:hint="eastAsia"/>
                <w:color w:val="auto"/>
                <w:lang w:val="en-US" w:eastAsia="zh-CN"/>
              </w:rPr>
              <w:t>2700</w:t>
            </w:r>
          </w:p>
        </w:tc>
      </w:tr>
      <w:tr w14:paraId="02E6BB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blHeader/>
          <w:jc w:val="center"/>
        </w:trPr>
        <w:tc>
          <w:tcPr>
            <w:tcW w:w="525" w:type="dxa"/>
            <w:vMerge w:val="continue"/>
            <w:tcBorders>
              <w:tl2br w:val="nil"/>
              <w:tr2bl w:val="nil"/>
            </w:tcBorders>
            <w:noWrap w:val="0"/>
            <w:vAlign w:val="center"/>
          </w:tcPr>
          <w:p w14:paraId="262F84C3">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683" w:type="dxa"/>
            <w:vMerge w:val="continue"/>
            <w:tcBorders>
              <w:tl2br w:val="nil"/>
              <w:tr2bl w:val="nil"/>
            </w:tcBorders>
            <w:noWrap w:val="0"/>
            <w:vAlign w:val="center"/>
          </w:tcPr>
          <w:p w14:paraId="3176B5A3">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583" w:type="dxa"/>
            <w:vMerge w:val="continue"/>
            <w:tcBorders>
              <w:tl2br w:val="nil"/>
              <w:tr2bl w:val="nil"/>
            </w:tcBorders>
            <w:noWrap w:val="0"/>
            <w:vAlign w:val="center"/>
          </w:tcPr>
          <w:p w14:paraId="13BE286E">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734" w:type="dxa"/>
            <w:tcBorders>
              <w:tl2br w:val="nil"/>
              <w:tr2bl w:val="nil"/>
            </w:tcBorders>
            <w:shd w:val="clear" w:color="auto" w:fill="auto"/>
            <w:noWrap w:val="0"/>
            <w:vAlign w:val="center"/>
          </w:tcPr>
          <w:p w14:paraId="1AEBC995">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颗粒物</w:t>
            </w:r>
          </w:p>
        </w:tc>
        <w:tc>
          <w:tcPr>
            <w:tcW w:w="745" w:type="dxa"/>
            <w:tcBorders>
              <w:tl2br w:val="nil"/>
              <w:tr2bl w:val="nil"/>
            </w:tcBorders>
            <w:noWrap w:val="0"/>
            <w:vAlign w:val="center"/>
          </w:tcPr>
          <w:p w14:paraId="0C66D793">
            <w:pPr>
              <w:pStyle w:val="106"/>
              <w:keepNext w:val="0"/>
              <w:keepLines w:val="0"/>
              <w:pageBreakBefore w:val="0"/>
              <w:kinsoku/>
              <w:wordWrap/>
              <w:overflowPunct/>
              <w:topLinePunct w:val="0"/>
              <w:bidi w:val="0"/>
              <w:ind w:left="-120" w:leftChars="-50" w:right="-120" w:rightChars="-50"/>
              <w:jc w:val="center"/>
              <w:rPr>
                <w:rFonts w:hint="default"/>
                <w:color w:val="auto"/>
                <w:highlight w:val="none"/>
                <w:lang w:val="en-US" w:eastAsia="zh-CN"/>
              </w:rPr>
            </w:pPr>
            <w:r>
              <w:rPr>
                <w:rFonts w:hint="eastAsia"/>
                <w:color w:val="auto"/>
                <w:highlight w:val="none"/>
                <w:lang w:val="en-US" w:eastAsia="zh-CN"/>
              </w:rPr>
              <w:t>1.1583</w:t>
            </w:r>
          </w:p>
        </w:tc>
        <w:tc>
          <w:tcPr>
            <w:tcW w:w="788" w:type="dxa"/>
            <w:tcBorders>
              <w:tl2br w:val="nil"/>
              <w:tr2bl w:val="nil"/>
            </w:tcBorders>
            <w:noWrap w:val="0"/>
            <w:vAlign w:val="center"/>
          </w:tcPr>
          <w:p w14:paraId="366CC724">
            <w:pPr>
              <w:pStyle w:val="106"/>
              <w:keepNext w:val="0"/>
              <w:keepLines w:val="0"/>
              <w:pageBreakBefore w:val="0"/>
              <w:kinsoku/>
              <w:wordWrap/>
              <w:overflowPunct/>
              <w:topLinePunct w:val="0"/>
              <w:bidi w:val="0"/>
              <w:ind w:left="-120" w:leftChars="-50" w:right="-120" w:rightChars="-50"/>
              <w:jc w:val="center"/>
              <w:rPr>
                <w:rFonts w:hint="default"/>
                <w:color w:val="auto"/>
                <w:highlight w:val="none"/>
                <w:lang w:val="en-US" w:eastAsia="zh-CN"/>
              </w:rPr>
            </w:pPr>
            <w:r>
              <w:rPr>
                <w:rFonts w:hint="eastAsia"/>
                <w:color w:val="auto"/>
                <w:highlight w:val="none"/>
                <w:lang w:val="en-US" w:eastAsia="zh-CN"/>
              </w:rPr>
              <w:t>0.4290</w:t>
            </w:r>
          </w:p>
        </w:tc>
        <w:tc>
          <w:tcPr>
            <w:tcW w:w="767" w:type="dxa"/>
            <w:vMerge w:val="continue"/>
            <w:tcBorders>
              <w:tl2br w:val="nil"/>
              <w:tr2bl w:val="nil"/>
            </w:tcBorders>
            <w:noWrap w:val="0"/>
            <w:vAlign w:val="center"/>
          </w:tcPr>
          <w:p w14:paraId="6905EE4A">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516" w:type="dxa"/>
            <w:vMerge w:val="continue"/>
            <w:tcBorders>
              <w:tl2br w:val="nil"/>
              <w:tr2bl w:val="nil"/>
            </w:tcBorders>
            <w:noWrap w:val="0"/>
            <w:vAlign w:val="center"/>
          </w:tcPr>
          <w:p w14:paraId="3B546B0A">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2817" w:type="dxa"/>
            <w:vMerge w:val="continue"/>
            <w:tcBorders>
              <w:tl2br w:val="nil"/>
              <w:tr2bl w:val="nil"/>
            </w:tcBorders>
            <w:noWrap w:val="0"/>
            <w:vAlign w:val="center"/>
          </w:tcPr>
          <w:p w14:paraId="6A731302">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517" w:type="dxa"/>
            <w:vMerge w:val="continue"/>
            <w:tcBorders>
              <w:tl2br w:val="nil"/>
              <w:tr2bl w:val="nil"/>
            </w:tcBorders>
            <w:noWrap w:val="0"/>
            <w:vAlign w:val="center"/>
          </w:tcPr>
          <w:p w14:paraId="1B2CCD36">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466" w:type="dxa"/>
            <w:vMerge w:val="continue"/>
            <w:tcBorders>
              <w:tl2br w:val="nil"/>
              <w:tr2bl w:val="nil"/>
            </w:tcBorders>
            <w:noWrap w:val="0"/>
            <w:vAlign w:val="center"/>
          </w:tcPr>
          <w:p w14:paraId="3FFE0521">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817" w:type="dxa"/>
            <w:vMerge w:val="continue"/>
            <w:tcBorders>
              <w:tl2br w:val="nil"/>
              <w:tr2bl w:val="nil"/>
            </w:tcBorders>
            <w:noWrap w:val="0"/>
            <w:vAlign w:val="center"/>
          </w:tcPr>
          <w:p w14:paraId="3BB60570">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883" w:type="dxa"/>
            <w:tcBorders>
              <w:tl2br w:val="nil"/>
              <w:tr2bl w:val="nil"/>
            </w:tcBorders>
            <w:noWrap w:val="0"/>
            <w:vAlign w:val="center"/>
          </w:tcPr>
          <w:p w14:paraId="399B53CC">
            <w:pPr>
              <w:pStyle w:val="106"/>
              <w:keepNext w:val="0"/>
              <w:keepLines w:val="0"/>
              <w:pageBreakBefore w:val="0"/>
              <w:widowControl w:val="0"/>
              <w:kinsoku/>
              <w:wordWrap/>
              <w:overflowPunct/>
              <w:topLinePunct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1.1583</w:t>
            </w:r>
          </w:p>
        </w:tc>
        <w:tc>
          <w:tcPr>
            <w:tcW w:w="734" w:type="dxa"/>
            <w:tcBorders>
              <w:tl2br w:val="nil"/>
              <w:tr2bl w:val="nil"/>
            </w:tcBorders>
            <w:noWrap w:val="0"/>
            <w:vAlign w:val="center"/>
          </w:tcPr>
          <w:p w14:paraId="10B5F68F">
            <w:pPr>
              <w:pStyle w:val="106"/>
              <w:keepNext w:val="0"/>
              <w:keepLines w:val="0"/>
              <w:pageBreakBefore w:val="0"/>
              <w:widowControl w:val="0"/>
              <w:kinsoku/>
              <w:wordWrap/>
              <w:overflowPunct/>
              <w:topLinePunct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0.4290</w:t>
            </w:r>
          </w:p>
        </w:tc>
        <w:tc>
          <w:tcPr>
            <w:tcW w:w="897" w:type="dxa"/>
            <w:tcBorders>
              <w:tl2br w:val="nil"/>
              <w:tr2bl w:val="nil"/>
            </w:tcBorders>
            <w:noWrap w:val="0"/>
            <w:vAlign w:val="center"/>
          </w:tcPr>
          <w:p w14:paraId="29CE3EF7">
            <w:pPr>
              <w:pStyle w:val="106"/>
              <w:keepNext w:val="0"/>
              <w:keepLines w:val="0"/>
              <w:pageBreakBefore w:val="0"/>
              <w:widowControl w:val="0"/>
              <w:kinsoku/>
              <w:wordWrap/>
              <w:overflowPunct/>
              <w:topLinePunct w:val="0"/>
              <w:bidi w:val="0"/>
              <w:adjustRightInd w:val="0"/>
              <w:snapToGrid w:val="0"/>
              <w:ind w:left="-120" w:leftChars="-50" w:right="-120" w:rightChars="-50"/>
              <w:jc w:val="center"/>
              <w:textAlignment w:val="auto"/>
              <w:rPr>
                <w:rFonts w:hint="default"/>
                <w:color w:val="auto"/>
                <w:highlight w:val="none"/>
                <w:lang w:val="en-US" w:eastAsia="zh-CN"/>
              </w:rPr>
            </w:pPr>
            <w:r>
              <w:rPr>
                <w:rFonts w:hint="eastAsia"/>
                <w:color w:val="auto"/>
                <w:highlight w:val="none"/>
                <w:lang w:val="en-US" w:eastAsia="zh-CN"/>
              </w:rPr>
              <w:t>19.50</w:t>
            </w:r>
          </w:p>
        </w:tc>
        <w:tc>
          <w:tcPr>
            <w:tcW w:w="609" w:type="dxa"/>
            <w:tcBorders>
              <w:tl2br w:val="nil"/>
              <w:tr2bl w:val="nil"/>
            </w:tcBorders>
            <w:shd w:val="clear" w:color="auto" w:fill="auto"/>
            <w:noWrap w:val="0"/>
            <w:vAlign w:val="center"/>
          </w:tcPr>
          <w:p w14:paraId="5367F35B">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4" w:type="dxa"/>
            <w:tcBorders>
              <w:tl2br w:val="nil"/>
              <w:tr2bl w:val="nil"/>
            </w:tcBorders>
            <w:shd w:val="clear" w:color="auto" w:fill="auto"/>
            <w:noWrap w:val="0"/>
            <w:vAlign w:val="center"/>
          </w:tcPr>
          <w:p w14:paraId="67847F55">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20</w:t>
            </w:r>
          </w:p>
        </w:tc>
        <w:tc>
          <w:tcPr>
            <w:tcW w:w="667" w:type="dxa"/>
            <w:tcBorders>
              <w:tl2br w:val="nil"/>
              <w:tr2bl w:val="nil"/>
            </w:tcBorders>
            <w:noWrap w:val="0"/>
            <w:vAlign w:val="center"/>
          </w:tcPr>
          <w:p w14:paraId="3A1D91F9">
            <w:pPr>
              <w:pStyle w:val="106"/>
              <w:bidi w:val="0"/>
              <w:rPr>
                <w:rFonts w:hint="eastAsia"/>
                <w:color w:val="auto"/>
                <w:lang w:val="en-US" w:eastAsia="zh-CN"/>
              </w:rPr>
            </w:pPr>
            <w:r>
              <w:rPr>
                <w:rFonts w:hint="eastAsia"/>
                <w:color w:val="auto"/>
                <w:lang w:val="en-US" w:eastAsia="zh-CN"/>
              </w:rPr>
              <w:t>2700</w:t>
            </w:r>
          </w:p>
        </w:tc>
      </w:tr>
    </w:tbl>
    <w:p w14:paraId="587F45B6">
      <w:pPr>
        <w:ind w:firstLine="420"/>
        <w:rPr>
          <w:color w:val="auto"/>
          <w:highlight w:val="none"/>
        </w:rPr>
        <w:sectPr>
          <w:pgSz w:w="16838" w:h="11905" w:orient="landscape"/>
          <w:pgMar w:top="1134" w:right="1701" w:bottom="1134"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9436"/>
      </w:tblGrid>
      <w:tr w14:paraId="27B4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Align w:val="center"/>
          </w:tcPr>
          <w:p w14:paraId="0D45305B">
            <w:pPr>
              <w:ind w:firstLine="0" w:firstLineChars="0"/>
              <w:jc w:val="center"/>
              <w:rPr>
                <w:b/>
                <w:bCs/>
                <w:color w:val="auto"/>
                <w:highlight w:val="none"/>
              </w:rPr>
            </w:pPr>
            <w:r>
              <w:rPr>
                <w:rFonts w:hint="eastAsia"/>
                <w:b/>
                <w:bCs/>
                <w:color w:val="auto"/>
                <w:highlight w:val="none"/>
              </w:rPr>
              <w:t>运营</w:t>
            </w:r>
          </w:p>
          <w:p w14:paraId="4B1F28D6">
            <w:pPr>
              <w:ind w:firstLine="0" w:firstLineChars="0"/>
              <w:jc w:val="center"/>
              <w:rPr>
                <w:b/>
                <w:bCs/>
                <w:color w:val="auto"/>
                <w:highlight w:val="none"/>
              </w:rPr>
            </w:pPr>
            <w:r>
              <w:rPr>
                <w:rFonts w:hint="eastAsia"/>
                <w:b/>
                <w:bCs/>
                <w:color w:val="auto"/>
                <w:highlight w:val="none"/>
              </w:rPr>
              <w:t>期环</w:t>
            </w:r>
          </w:p>
          <w:p w14:paraId="630F138E">
            <w:pPr>
              <w:ind w:firstLine="0" w:firstLineChars="0"/>
              <w:jc w:val="center"/>
              <w:rPr>
                <w:b/>
                <w:bCs/>
                <w:color w:val="auto"/>
                <w:highlight w:val="none"/>
              </w:rPr>
            </w:pPr>
            <w:r>
              <w:rPr>
                <w:rFonts w:hint="eastAsia"/>
                <w:b/>
                <w:bCs/>
                <w:color w:val="auto"/>
                <w:highlight w:val="none"/>
              </w:rPr>
              <w:t>境影</w:t>
            </w:r>
          </w:p>
          <w:p w14:paraId="18E0FEC7">
            <w:pPr>
              <w:ind w:firstLine="0" w:firstLineChars="0"/>
              <w:jc w:val="center"/>
              <w:rPr>
                <w:b/>
                <w:bCs/>
                <w:color w:val="auto"/>
                <w:highlight w:val="none"/>
              </w:rPr>
            </w:pPr>
            <w:r>
              <w:rPr>
                <w:rFonts w:hint="eastAsia"/>
                <w:b/>
                <w:bCs/>
                <w:color w:val="auto"/>
                <w:highlight w:val="none"/>
              </w:rPr>
              <w:t>响和</w:t>
            </w:r>
          </w:p>
          <w:p w14:paraId="03D29023">
            <w:pPr>
              <w:ind w:firstLine="0" w:firstLineChars="0"/>
              <w:jc w:val="center"/>
              <w:rPr>
                <w:b/>
                <w:bCs/>
                <w:color w:val="auto"/>
                <w:highlight w:val="none"/>
              </w:rPr>
            </w:pPr>
            <w:r>
              <w:rPr>
                <w:rFonts w:hint="eastAsia"/>
                <w:b/>
                <w:bCs/>
                <w:color w:val="auto"/>
                <w:highlight w:val="none"/>
              </w:rPr>
              <w:t>保护</w:t>
            </w:r>
          </w:p>
          <w:p w14:paraId="06E2B760">
            <w:pPr>
              <w:ind w:firstLine="0" w:firstLineChars="0"/>
              <w:jc w:val="center"/>
              <w:rPr>
                <w:b/>
                <w:bCs/>
                <w:color w:val="auto"/>
                <w:highlight w:val="none"/>
              </w:rPr>
            </w:pPr>
            <w:r>
              <w:rPr>
                <w:rFonts w:hint="eastAsia"/>
                <w:b/>
                <w:bCs/>
                <w:color w:val="auto"/>
                <w:highlight w:val="none"/>
              </w:rPr>
              <w:t>措施</w:t>
            </w:r>
          </w:p>
        </w:tc>
        <w:tc>
          <w:tcPr>
            <w:tcW w:w="9436" w:type="dxa"/>
          </w:tcPr>
          <w:p w14:paraId="71D8A51A">
            <w:pPr>
              <w:spacing w:line="360" w:lineRule="auto"/>
              <w:ind w:firstLine="480" w:firstLineChars="200"/>
              <w:rPr>
                <w:rFonts w:hint="eastAsia" w:cs="Times New Roman"/>
                <w:color w:val="auto"/>
                <w:sz w:val="24"/>
                <w:szCs w:val="24"/>
                <w:highlight w:val="none"/>
              </w:rPr>
            </w:pPr>
            <w:r>
              <w:rPr>
                <w:rFonts w:hint="eastAsia"/>
                <w:b w:val="0"/>
                <w:bCs w:val="0"/>
                <w:color w:val="auto"/>
                <w:sz w:val="24"/>
                <w:highlight w:val="none"/>
                <w:lang w:val="en-US" w:eastAsia="zh-CN"/>
              </w:rPr>
              <w:t>本项目排气筒废气排放情况见下表。</w:t>
            </w:r>
          </w:p>
          <w:p w14:paraId="112DDC26">
            <w:pPr>
              <w:pStyle w:val="14"/>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lang w:val="en-US" w:eastAsia="zh-CN"/>
              </w:rPr>
              <w:t xml:space="preserve">  本项目排气筒废气排放情况</w:t>
            </w:r>
          </w:p>
          <w:tbl>
            <w:tblPr>
              <w:tblStyle w:val="29"/>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18"/>
              <w:gridCol w:w="1040"/>
              <w:gridCol w:w="1100"/>
              <w:gridCol w:w="1283"/>
              <w:gridCol w:w="1448"/>
              <w:gridCol w:w="1448"/>
              <w:gridCol w:w="1133"/>
            </w:tblGrid>
            <w:tr w14:paraId="1CA0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dxa"/>
                  <w:vMerge w:val="restart"/>
                  <w:tcBorders>
                    <w:top w:val="single" w:color="000000" w:sz="12" w:space="0"/>
                    <w:bottom w:val="single" w:color="000000" w:sz="4" w:space="0"/>
                    <w:right w:val="single" w:color="000000" w:sz="4" w:space="0"/>
                  </w:tcBorders>
                  <w:vAlign w:val="center"/>
                </w:tcPr>
                <w:p w14:paraId="61640859">
                  <w:pPr>
                    <w:pStyle w:val="102"/>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排气筒编号</w:t>
                  </w:r>
                </w:p>
              </w:tc>
              <w:tc>
                <w:tcPr>
                  <w:tcW w:w="918" w:type="dxa"/>
                  <w:vMerge w:val="restart"/>
                  <w:tcBorders>
                    <w:top w:val="single" w:color="000000" w:sz="12" w:space="0"/>
                    <w:left w:val="single" w:color="000000" w:sz="4" w:space="0"/>
                    <w:bottom w:val="single" w:color="000000" w:sz="4" w:space="0"/>
                    <w:right w:val="single" w:color="000000" w:sz="4" w:space="0"/>
                  </w:tcBorders>
                  <w:vAlign w:val="center"/>
                </w:tcPr>
                <w:p w14:paraId="51B4F578">
                  <w:pPr>
                    <w:pStyle w:val="102"/>
                    <w:spacing w:line="240" w:lineRule="auto"/>
                    <w:ind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kern w:val="2"/>
                      <w:sz w:val="21"/>
                      <w:szCs w:val="21"/>
                      <w:highlight w:val="none"/>
                      <w:lang w:val="en-US" w:eastAsia="zh-CN" w:bidi="ar-SA"/>
                    </w:rPr>
                    <w:t>污染物</w:t>
                  </w:r>
                </w:p>
              </w:tc>
              <w:tc>
                <w:tcPr>
                  <w:tcW w:w="1040" w:type="dxa"/>
                  <w:vMerge w:val="restart"/>
                  <w:tcBorders>
                    <w:top w:val="single" w:color="000000" w:sz="12" w:space="0"/>
                    <w:left w:val="single" w:color="000000" w:sz="4" w:space="0"/>
                    <w:bottom w:val="single" w:color="000000" w:sz="4" w:space="0"/>
                    <w:right w:val="single" w:color="000000" w:sz="4" w:space="0"/>
                  </w:tcBorders>
                  <w:vAlign w:val="center"/>
                </w:tcPr>
                <w:p w14:paraId="681C0E38">
                  <w:pPr>
                    <w:pStyle w:val="102"/>
                    <w:spacing w:line="240" w:lineRule="auto"/>
                    <w:ind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kern w:val="2"/>
                      <w:sz w:val="21"/>
                      <w:szCs w:val="21"/>
                      <w:highlight w:val="none"/>
                      <w:lang w:val="en-US" w:eastAsia="zh-CN" w:bidi="ar-SA"/>
                    </w:rPr>
                    <w:t>排放量</w:t>
                  </w:r>
                </w:p>
              </w:tc>
              <w:tc>
                <w:tcPr>
                  <w:tcW w:w="1100" w:type="dxa"/>
                  <w:vMerge w:val="restart"/>
                  <w:tcBorders>
                    <w:top w:val="single" w:color="000000" w:sz="12" w:space="0"/>
                    <w:left w:val="single" w:color="000000" w:sz="4" w:space="0"/>
                    <w:bottom w:val="single" w:color="000000" w:sz="4" w:space="0"/>
                    <w:right w:val="single" w:color="000000" w:sz="4" w:space="0"/>
                  </w:tcBorders>
                  <w:vAlign w:val="center"/>
                </w:tcPr>
                <w:p w14:paraId="3B34AFA4">
                  <w:pPr>
                    <w:pStyle w:val="102"/>
                    <w:spacing w:line="240" w:lineRule="auto"/>
                    <w:ind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kern w:val="2"/>
                      <w:sz w:val="21"/>
                      <w:szCs w:val="21"/>
                      <w:highlight w:val="none"/>
                      <w:lang w:val="en-US" w:eastAsia="zh-CN" w:bidi="ar-SA"/>
                    </w:rPr>
                    <w:t>排放速率</w:t>
                  </w:r>
                </w:p>
              </w:tc>
              <w:tc>
                <w:tcPr>
                  <w:tcW w:w="1283" w:type="dxa"/>
                  <w:vMerge w:val="restart"/>
                  <w:tcBorders>
                    <w:top w:val="single" w:color="000000" w:sz="12" w:space="0"/>
                    <w:left w:val="single" w:color="000000" w:sz="4" w:space="0"/>
                    <w:bottom w:val="single" w:color="000000" w:sz="4" w:space="0"/>
                    <w:right w:val="single" w:color="000000" w:sz="4" w:space="0"/>
                  </w:tcBorders>
                  <w:vAlign w:val="center"/>
                </w:tcPr>
                <w:p w14:paraId="30B44028">
                  <w:pPr>
                    <w:pStyle w:val="102"/>
                    <w:spacing w:line="240" w:lineRule="auto"/>
                    <w:ind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kern w:val="2"/>
                      <w:sz w:val="21"/>
                      <w:szCs w:val="21"/>
                      <w:highlight w:val="none"/>
                      <w:lang w:val="en-US" w:eastAsia="zh-CN" w:bidi="ar-SA"/>
                    </w:rPr>
                    <w:t>排放浓度</w:t>
                  </w:r>
                </w:p>
              </w:tc>
              <w:tc>
                <w:tcPr>
                  <w:tcW w:w="2896" w:type="dxa"/>
                  <w:gridSpan w:val="2"/>
                  <w:tcBorders>
                    <w:top w:val="single" w:color="000000" w:sz="12" w:space="0"/>
                    <w:left w:val="single" w:color="000000" w:sz="4" w:space="0"/>
                    <w:bottom w:val="single" w:color="000000" w:sz="4" w:space="0"/>
                    <w:right w:val="single" w:color="000000" w:sz="4" w:space="0"/>
                  </w:tcBorders>
                  <w:vAlign w:val="center"/>
                </w:tcPr>
                <w:p w14:paraId="73DA45CD">
                  <w:pPr>
                    <w:pStyle w:val="102"/>
                    <w:spacing w:line="240" w:lineRule="auto"/>
                    <w:ind w:firstLine="0" w:firstLineChars="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排放标准</w:t>
                  </w:r>
                </w:p>
              </w:tc>
              <w:tc>
                <w:tcPr>
                  <w:tcW w:w="1133" w:type="dxa"/>
                  <w:vMerge w:val="restart"/>
                  <w:tcBorders>
                    <w:top w:val="single" w:color="000000" w:sz="12" w:space="0"/>
                    <w:left w:val="single" w:color="000000" w:sz="4" w:space="0"/>
                    <w:bottom w:val="single" w:color="000000" w:sz="4" w:space="0"/>
                    <w:right w:val="nil"/>
                  </w:tcBorders>
                  <w:vAlign w:val="center"/>
                </w:tcPr>
                <w:p w14:paraId="6AE0554A">
                  <w:pPr>
                    <w:pStyle w:val="102"/>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达标情况</w:t>
                  </w:r>
                </w:p>
              </w:tc>
            </w:tr>
            <w:tr w14:paraId="395E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dxa"/>
                  <w:vMerge w:val="continue"/>
                  <w:tcBorders>
                    <w:top w:val="single" w:color="000000" w:sz="4" w:space="0"/>
                    <w:left w:val="nil"/>
                    <w:bottom w:val="single" w:color="000000" w:sz="4" w:space="0"/>
                    <w:right w:val="single" w:color="000000" w:sz="4" w:space="0"/>
                  </w:tcBorders>
                  <w:vAlign w:val="center"/>
                </w:tcPr>
                <w:p w14:paraId="6176D2E3">
                  <w:pPr>
                    <w:pStyle w:val="102"/>
                    <w:spacing w:line="240" w:lineRule="auto"/>
                    <w:ind w:firstLine="0" w:firstLineChars="0"/>
                    <w:jc w:val="center"/>
                    <w:rPr>
                      <w:color w:val="auto"/>
                      <w:highlight w:val="none"/>
                    </w:rPr>
                  </w:pPr>
                </w:p>
              </w:tc>
              <w:tc>
                <w:tcPr>
                  <w:tcW w:w="918" w:type="dxa"/>
                  <w:vMerge w:val="continue"/>
                  <w:tcBorders>
                    <w:top w:val="single" w:color="000000" w:sz="4" w:space="0"/>
                    <w:left w:val="single" w:color="000000" w:sz="4" w:space="0"/>
                    <w:bottom w:val="single" w:color="000000" w:sz="4" w:space="0"/>
                    <w:right w:val="single" w:color="000000" w:sz="4" w:space="0"/>
                  </w:tcBorders>
                  <w:vAlign w:val="center"/>
                </w:tcPr>
                <w:p w14:paraId="74664F06">
                  <w:pPr>
                    <w:pStyle w:val="102"/>
                    <w:spacing w:line="240" w:lineRule="auto"/>
                    <w:ind w:firstLine="0" w:firstLineChars="0"/>
                    <w:jc w:val="center"/>
                    <w:rPr>
                      <w:color w:val="auto"/>
                      <w:highlight w:val="none"/>
                    </w:rPr>
                  </w:pPr>
                </w:p>
              </w:tc>
              <w:tc>
                <w:tcPr>
                  <w:tcW w:w="1040" w:type="dxa"/>
                  <w:vMerge w:val="continue"/>
                  <w:tcBorders>
                    <w:top w:val="single" w:color="000000" w:sz="4" w:space="0"/>
                    <w:left w:val="single" w:color="000000" w:sz="4" w:space="0"/>
                    <w:bottom w:val="single" w:color="000000" w:sz="4" w:space="0"/>
                    <w:right w:val="single" w:color="000000" w:sz="4" w:space="0"/>
                  </w:tcBorders>
                  <w:vAlign w:val="center"/>
                </w:tcPr>
                <w:p w14:paraId="3A0EB096">
                  <w:pPr>
                    <w:pStyle w:val="102"/>
                    <w:spacing w:line="240" w:lineRule="auto"/>
                    <w:ind w:firstLine="0" w:firstLineChars="0"/>
                    <w:jc w:val="center"/>
                    <w:rPr>
                      <w:color w:val="auto"/>
                      <w:highlight w:val="none"/>
                    </w:rPr>
                  </w:pPr>
                </w:p>
              </w:tc>
              <w:tc>
                <w:tcPr>
                  <w:tcW w:w="1100" w:type="dxa"/>
                  <w:vMerge w:val="continue"/>
                  <w:tcBorders>
                    <w:top w:val="single" w:color="000000" w:sz="4" w:space="0"/>
                    <w:left w:val="single" w:color="000000" w:sz="4" w:space="0"/>
                    <w:bottom w:val="single" w:color="000000" w:sz="4" w:space="0"/>
                    <w:right w:val="single" w:color="000000" w:sz="4" w:space="0"/>
                  </w:tcBorders>
                  <w:vAlign w:val="center"/>
                </w:tcPr>
                <w:p w14:paraId="518F6D27">
                  <w:pPr>
                    <w:pStyle w:val="102"/>
                    <w:spacing w:line="240" w:lineRule="auto"/>
                    <w:ind w:firstLine="0" w:firstLineChars="0"/>
                    <w:jc w:val="center"/>
                    <w:rPr>
                      <w:color w:val="auto"/>
                      <w:highlight w:val="none"/>
                    </w:rPr>
                  </w:pPr>
                </w:p>
              </w:tc>
              <w:tc>
                <w:tcPr>
                  <w:tcW w:w="1283" w:type="dxa"/>
                  <w:vMerge w:val="continue"/>
                  <w:tcBorders>
                    <w:top w:val="single" w:color="000000" w:sz="4" w:space="0"/>
                    <w:left w:val="single" w:color="000000" w:sz="4" w:space="0"/>
                    <w:bottom w:val="single" w:color="000000" w:sz="4" w:space="0"/>
                    <w:right w:val="single" w:color="000000" w:sz="4" w:space="0"/>
                  </w:tcBorders>
                  <w:vAlign w:val="center"/>
                </w:tcPr>
                <w:p w14:paraId="14F97DCE">
                  <w:pPr>
                    <w:pStyle w:val="102"/>
                    <w:spacing w:line="240" w:lineRule="auto"/>
                    <w:ind w:firstLine="0" w:firstLineChars="0"/>
                    <w:jc w:val="center"/>
                    <w:rPr>
                      <w:color w:val="auto"/>
                      <w:highlight w:val="none"/>
                    </w:rPr>
                  </w:pPr>
                </w:p>
              </w:tc>
              <w:tc>
                <w:tcPr>
                  <w:tcW w:w="1448" w:type="dxa"/>
                  <w:tcBorders>
                    <w:top w:val="single" w:color="000000" w:sz="4" w:space="0"/>
                    <w:left w:val="single" w:color="000000" w:sz="4" w:space="0"/>
                    <w:bottom w:val="single" w:color="000000" w:sz="4" w:space="0"/>
                    <w:right w:val="single" w:color="000000" w:sz="4" w:space="0"/>
                  </w:tcBorders>
                  <w:vAlign w:val="center"/>
                </w:tcPr>
                <w:p w14:paraId="3103068B">
                  <w:pPr>
                    <w:pStyle w:val="102"/>
                    <w:spacing w:line="240" w:lineRule="auto"/>
                    <w:ind w:firstLine="0" w:firstLineChars="0"/>
                    <w:jc w:val="center"/>
                    <w:rPr>
                      <w:rFonts w:hint="default" w:eastAsia="宋体"/>
                      <w:color w:val="auto"/>
                      <w:highlight w:val="none"/>
                      <w:lang w:val="en-US" w:eastAsia="zh-CN"/>
                    </w:rPr>
                  </w:pPr>
                  <w:r>
                    <w:rPr>
                      <w:rFonts w:hint="eastAsia" w:cs="Times New Roman"/>
                      <w:b/>
                      <w:color w:val="auto"/>
                      <w:sz w:val="21"/>
                      <w:szCs w:val="21"/>
                      <w:highlight w:val="none"/>
                      <w:lang w:val="en-US" w:eastAsia="zh-CN"/>
                    </w:rPr>
                    <w:t>速率kg/h</w:t>
                  </w:r>
                </w:p>
              </w:tc>
              <w:tc>
                <w:tcPr>
                  <w:tcW w:w="1448" w:type="dxa"/>
                  <w:tcBorders>
                    <w:top w:val="single" w:color="000000" w:sz="4" w:space="0"/>
                    <w:left w:val="single" w:color="000000" w:sz="4" w:space="0"/>
                    <w:bottom w:val="single" w:color="000000" w:sz="4" w:space="0"/>
                    <w:right w:val="single" w:color="000000" w:sz="4" w:space="0"/>
                  </w:tcBorders>
                  <w:vAlign w:val="center"/>
                </w:tcPr>
                <w:p w14:paraId="6799BBDA">
                  <w:pPr>
                    <w:pStyle w:val="102"/>
                    <w:spacing w:line="240" w:lineRule="auto"/>
                    <w:ind w:firstLine="0" w:firstLineChars="0"/>
                    <w:jc w:val="center"/>
                    <w:rPr>
                      <w:color w:val="auto"/>
                      <w:highlight w:val="none"/>
                    </w:rPr>
                  </w:pPr>
                  <w:r>
                    <w:rPr>
                      <w:rFonts w:hint="eastAsia" w:cs="Times New Roman"/>
                      <w:b/>
                      <w:color w:val="auto"/>
                      <w:sz w:val="21"/>
                      <w:szCs w:val="21"/>
                      <w:highlight w:val="none"/>
                      <w:lang w:val="en-US" w:eastAsia="zh-CN"/>
                    </w:rPr>
                    <w:t>浓度</w:t>
                  </w:r>
                  <w:r>
                    <w:rPr>
                      <w:rFonts w:hint="default" w:ascii="Times New Roman" w:hAnsi="Times New Roman" w:cs="Times New Roman"/>
                      <w:b/>
                      <w:color w:val="auto"/>
                      <w:sz w:val="21"/>
                      <w:szCs w:val="21"/>
                      <w:highlight w:val="none"/>
                    </w:rPr>
                    <w:t>mg/m</w:t>
                  </w:r>
                  <w:r>
                    <w:rPr>
                      <w:rFonts w:hint="default" w:ascii="Times New Roman" w:hAnsi="Times New Roman" w:cs="Times New Roman"/>
                      <w:b/>
                      <w:color w:val="auto"/>
                      <w:sz w:val="21"/>
                      <w:szCs w:val="21"/>
                      <w:highlight w:val="none"/>
                      <w:vertAlign w:val="superscript"/>
                    </w:rPr>
                    <w:t>3</w:t>
                  </w:r>
                </w:p>
              </w:tc>
              <w:tc>
                <w:tcPr>
                  <w:tcW w:w="1133" w:type="dxa"/>
                  <w:vMerge w:val="continue"/>
                  <w:tcBorders>
                    <w:top w:val="single" w:color="000000" w:sz="4" w:space="0"/>
                    <w:left w:val="single" w:color="000000" w:sz="4" w:space="0"/>
                    <w:bottom w:val="single" w:color="000000" w:sz="4" w:space="0"/>
                    <w:right w:val="nil"/>
                  </w:tcBorders>
                  <w:vAlign w:val="center"/>
                </w:tcPr>
                <w:p w14:paraId="240BE8CC">
                  <w:pPr>
                    <w:pStyle w:val="102"/>
                    <w:spacing w:line="240" w:lineRule="auto"/>
                    <w:ind w:firstLine="0" w:firstLineChars="0"/>
                    <w:jc w:val="center"/>
                    <w:rPr>
                      <w:color w:val="auto"/>
                      <w:highlight w:val="none"/>
                    </w:rPr>
                  </w:pPr>
                </w:p>
              </w:tc>
            </w:tr>
            <w:tr w14:paraId="59F7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dxa"/>
                  <w:vMerge w:val="restart"/>
                  <w:tcBorders>
                    <w:top w:val="single" w:color="000000" w:sz="4" w:space="0"/>
                    <w:left w:val="nil"/>
                    <w:bottom w:val="single" w:color="000000" w:sz="4" w:space="0"/>
                    <w:right w:val="single" w:color="000000" w:sz="4" w:space="0"/>
                  </w:tcBorders>
                  <w:vAlign w:val="center"/>
                </w:tcPr>
                <w:p w14:paraId="69297B71">
                  <w:pPr>
                    <w:pStyle w:val="102"/>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DA001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AC03">
                  <w:pPr>
                    <w:pStyle w:val="102"/>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颗粒物</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2B3D">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1.1583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4948">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0.4290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AB3C">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19.50</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AB62">
                  <w:pPr>
                    <w:pStyle w:val="106"/>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7D32">
                  <w:pPr>
                    <w:pStyle w:val="106"/>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20</w:t>
                  </w:r>
                </w:p>
              </w:tc>
              <w:tc>
                <w:tcPr>
                  <w:tcW w:w="1133" w:type="dxa"/>
                  <w:tcBorders>
                    <w:top w:val="single" w:color="000000" w:sz="4" w:space="0"/>
                    <w:left w:val="single" w:color="000000" w:sz="4" w:space="0"/>
                    <w:bottom w:val="single" w:color="000000" w:sz="4" w:space="0"/>
                    <w:right w:val="nil"/>
                  </w:tcBorders>
                  <w:shd w:val="clear" w:color="auto" w:fill="auto"/>
                  <w:vAlign w:val="center"/>
                </w:tcPr>
                <w:p w14:paraId="318C8DAF">
                  <w:pPr>
                    <w:pStyle w:val="102"/>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达标</w:t>
                  </w:r>
                </w:p>
              </w:tc>
            </w:tr>
            <w:tr w14:paraId="7B764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dxa"/>
                  <w:vMerge w:val="continue"/>
                  <w:tcBorders>
                    <w:top w:val="single" w:color="000000" w:sz="4" w:space="0"/>
                    <w:left w:val="nil"/>
                    <w:bottom w:val="single" w:color="000000" w:sz="4" w:space="0"/>
                    <w:right w:val="single" w:color="000000" w:sz="4" w:space="0"/>
                  </w:tcBorders>
                  <w:vAlign w:val="center"/>
                </w:tcPr>
                <w:p w14:paraId="06B6305D">
                  <w:pPr>
                    <w:pStyle w:val="102"/>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4A92">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SO</w:t>
                  </w:r>
                  <w:r>
                    <w:rPr>
                      <w:rFonts w:hint="eastAsia" w:ascii="Times New Roman" w:hAnsi="Times New Roman" w:eastAsia="宋体" w:cs="Times New Roman"/>
                      <w:color w:val="auto"/>
                      <w:kern w:val="0"/>
                      <w:sz w:val="21"/>
                      <w:szCs w:val="21"/>
                      <w:highlight w:val="none"/>
                      <w:vertAlign w:val="subscript"/>
                      <w:lang w:val="en-US" w:eastAsia="zh-CN" w:bidi="ar"/>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591D">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1.6200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757E">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0.6000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C3E0">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27.27</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D8E1">
                  <w:pPr>
                    <w:pStyle w:val="106"/>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89FB">
                  <w:pPr>
                    <w:pStyle w:val="106"/>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50</w:t>
                  </w:r>
                </w:p>
              </w:tc>
              <w:tc>
                <w:tcPr>
                  <w:tcW w:w="1133" w:type="dxa"/>
                  <w:tcBorders>
                    <w:top w:val="single" w:color="000000" w:sz="4" w:space="0"/>
                    <w:left w:val="single" w:color="000000" w:sz="4" w:space="0"/>
                    <w:bottom w:val="single" w:color="000000" w:sz="4" w:space="0"/>
                    <w:right w:val="nil"/>
                  </w:tcBorders>
                  <w:shd w:val="clear" w:color="auto" w:fill="auto"/>
                  <w:vAlign w:val="center"/>
                </w:tcPr>
                <w:p w14:paraId="6E9D4968">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达标</w:t>
                  </w:r>
                </w:p>
              </w:tc>
            </w:tr>
            <w:tr w14:paraId="2E34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dxa"/>
                  <w:vMerge w:val="continue"/>
                  <w:tcBorders>
                    <w:top w:val="single" w:color="000000" w:sz="4" w:space="0"/>
                    <w:left w:val="nil"/>
                    <w:bottom w:val="single" w:color="000000" w:sz="12" w:space="0"/>
                    <w:right w:val="single" w:color="000000" w:sz="4" w:space="0"/>
                  </w:tcBorders>
                  <w:vAlign w:val="center"/>
                </w:tcPr>
                <w:p w14:paraId="1719A8A6">
                  <w:pPr>
                    <w:pStyle w:val="102"/>
                    <w:spacing w:line="240" w:lineRule="auto"/>
                    <w:ind w:firstLine="0" w:firstLineChars="0"/>
                    <w:jc w:val="center"/>
                    <w:rPr>
                      <w:rFonts w:hint="default" w:cs="Times New Roman"/>
                      <w:bCs/>
                      <w:color w:val="auto"/>
                      <w:kern w:val="2"/>
                      <w:sz w:val="21"/>
                      <w:szCs w:val="21"/>
                      <w:highlight w:val="none"/>
                      <w:lang w:val="en-US" w:eastAsia="zh-CN" w:bidi="ar-SA"/>
                    </w:rPr>
                  </w:pPr>
                </w:p>
              </w:tc>
              <w:tc>
                <w:tcPr>
                  <w:tcW w:w="918"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1C8D00ED">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NOx</w:t>
                  </w:r>
                </w:p>
              </w:tc>
              <w:tc>
                <w:tcPr>
                  <w:tcW w:w="1040"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4F9F72CA">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1.2272</w:t>
                  </w:r>
                </w:p>
              </w:tc>
              <w:tc>
                <w:tcPr>
                  <w:tcW w:w="1100"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4989B471">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0.4545</w:t>
                  </w:r>
                </w:p>
              </w:tc>
              <w:tc>
                <w:tcPr>
                  <w:tcW w:w="1283"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2BBB45EB">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20.66</w:t>
                  </w:r>
                </w:p>
              </w:tc>
              <w:tc>
                <w:tcPr>
                  <w:tcW w:w="1448"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3594018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1448"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73E4886C">
                  <w:pPr>
                    <w:pStyle w:val="106"/>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150</w:t>
                  </w:r>
                </w:p>
              </w:tc>
              <w:tc>
                <w:tcPr>
                  <w:tcW w:w="1133" w:type="dxa"/>
                  <w:tcBorders>
                    <w:top w:val="single" w:color="000000" w:sz="4" w:space="0"/>
                    <w:left w:val="single" w:color="000000" w:sz="4" w:space="0"/>
                    <w:bottom w:val="single" w:color="000000" w:sz="12" w:space="0"/>
                    <w:right w:val="nil"/>
                  </w:tcBorders>
                  <w:shd w:val="clear" w:color="auto" w:fill="auto"/>
                  <w:vAlign w:val="center"/>
                </w:tcPr>
                <w:p w14:paraId="1262602E">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olor w:val="auto"/>
                      <w:highlight w:val="none"/>
                      <w:lang w:val="en-US" w:eastAsia="zh-CN"/>
                    </w:rPr>
                    <w:t>达标</w:t>
                  </w:r>
                </w:p>
              </w:tc>
            </w:tr>
          </w:tbl>
          <w:p w14:paraId="068EA91C">
            <w:pPr>
              <w:keepNext w:val="0"/>
              <w:keepLines w:val="0"/>
              <w:pageBreakBefore w:val="0"/>
              <w:widowControl w:val="0"/>
              <w:kinsoku/>
              <w:wordWrap/>
              <w:overflowPunct/>
              <w:topLinePunct w:val="0"/>
              <w:autoSpaceDE w:val="0"/>
              <w:autoSpaceDN w:val="0"/>
              <w:bidi w:val="0"/>
              <w:adjustRightInd w:val="0"/>
              <w:snapToGrid w:val="0"/>
              <w:spacing w:before="120" w:line="360" w:lineRule="auto"/>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项目废气污染物排放统计如下：</w:t>
            </w:r>
          </w:p>
          <w:p w14:paraId="075FE10F">
            <w:pPr>
              <w:pStyle w:val="14"/>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6</w:t>
            </w:r>
            <w:r>
              <w:rPr>
                <w:color w:val="auto"/>
                <w:highlight w:val="none"/>
              </w:rPr>
              <w:fldChar w:fldCharType="end"/>
            </w:r>
            <w:r>
              <w:rPr>
                <w:rFonts w:hint="eastAsia"/>
                <w:color w:val="auto"/>
                <w:highlight w:val="none"/>
                <w:lang w:val="en-US" w:eastAsia="zh-CN"/>
              </w:rPr>
              <w:t xml:space="preserve">  运营期废气污染物排放统计表</w:t>
            </w:r>
          </w:p>
          <w:tbl>
            <w:tblPr>
              <w:tblStyle w:val="28"/>
              <w:tblW w:w="5000" w:type="pct"/>
              <w:tblInd w:w="0" w:type="dxa"/>
              <w:tblLayout w:type="fixed"/>
              <w:tblCellMar>
                <w:top w:w="0" w:type="dxa"/>
                <w:left w:w="108" w:type="dxa"/>
                <w:bottom w:w="0" w:type="dxa"/>
                <w:right w:w="108" w:type="dxa"/>
              </w:tblCellMar>
            </w:tblPr>
            <w:tblGrid>
              <w:gridCol w:w="2091"/>
              <w:gridCol w:w="2091"/>
              <w:gridCol w:w="2519"/>
              <w:gridCol w:w="2519"/>
            </w:tblGrid>
            <w:tr w14:paraId="61FB3004">
              <w:tblPrEx>
                <w:tblCellMar>
                  <w:top w:w="0" w:type="dxa"/>
                  <w:left w:w="108" w:type="dxa"/>
                  <w:bottom w:w="0" w:type="dxa"/>
                  <w:right w:w="108" w:type="dxa"/>
                </w:tblCellMar>
              </w:tblPrEx>
              <w:trPr>
                <w:trHeight w:val="397" w:hRule="atLeast"/>
              </w:trPr>
              <w:tc>
                <w:tcPr>
                  <w:tcW w:w="1133" w:type="pct"/>
                  <w:tcBorders>
                    <w:top w:val="single" w:color="000000" w:sz="12" w:space="0"/>
                    <w:left w:val="single" w:color="auto" w:sz="4" w:space="0"/>
                    <w:bottom w:val="single" w:color="000000" w:sz="4" w:space="0"/>
                    <w:right w:val="single" w:color="000000" w:sz="4" w:space="0"/>
                  </w:tcBorders>
                  <w:shd w:val="clear" w:color="auto" w:fill="auto"/>
                  <w:vAlign w:val="center"/>
                </w:tcPr>
                <w:p w14:paraId="0330FDEA">
                  <w:pPr>
                    <w:pStyle w:val="106"/>
                    <w:bidi w:val="0"/>
                    <w:rPr>
                      <w:b/>
                      <w:bCs/>
                      <w:color w:val="auto"/>
                      <w:highlight w:val="none"/>
                    </w:rPr>
                  </w:pPr>
                  <w:r>
                    <w:rPr>
                      <w:rFonts w:hint="eastAsia"/>
                      <w:b/>
                      <w:bCs/>
                      <w:color w:val="auto"/>
                      <w:highlight w:val="none"/>
                    </w:rPr>
                    <w:t>污染物</w:t>
                  </w:r>
                </w:p>
              </w:tc>
              <w:tc>
                <w:tcPr>
                  <w:tcW w:w="1133"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09899A7E">
                  <w:pPr>
                    <w:pStyle w:val="106"/>
                    <w:bidi w:val="0"/>
                    <w:rPr>
                      <w:b/>
                      <w:bCs/>
                      <w:color w:val="auto"/>
                      <w:highlight w:val="none"/>
                    </w:rPr>
                  </w:pPr>
                  <w:r>
                    <w:rPr>
                      <w:rFonts w:hint="eastAsia"/>
                      <w:b/>
                      <w:bCs/>
                      <w:color w:val="auto"/>
                      <w:highlight w:val="none"/>
                    </w:rPr>
                    <w:t>有组织排放量（</w:t>
                  </w:r>
                  <w:r>
                    <w:rPr>
                      <w:b/>
                      <w:bCs/>
                      <w:color w:val="auto"/>
                      <w:highlight w:val="none"/>
                    </w:rPr>
                    <w:t>t/a</w:t>
                  </w:r>
                  <w:r>
                    <w:rPr>
                      <w:rFonts w:hint="eastAsia"/>
                      <w:b/>
                      <w:bCs/>
                      <w:color w:val="auto"/>
                      <w:highlight w:val="none"/>
                    </w:rPr>
                    <w:t>）</w:t>
                  </w:r>
                </w:p>
              </w:tc>
              <w:tc>
                <w:tcPr>
                  <w:tcW w:w="1366"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7EF89080">
                  <w:pPr>
                    <w:pStyle w:val="106"/>
                    <w:bidi w:val="0"/>
                    <w:rPr>
                      <w:b/>
                      <w:bCs/>
                      <w:color w:val="auto"/>
                      <w:highlight w:val="none"/>
                    </w:rPr>
                  </w:pPr>
                  <w:r>
                    <w:rPr>
                      <w:rFonts w:hint="eastAsia"/>
                      <w:b/>
                      <w:bCs/>
                      <w:color w:val="auto"/>
                      <w:highlight w:val="none"/>
                    </w:rPr>
                    <w:t>无组织排放量（</w:t>
                  </w:r>
                  <w:r>
                    <w:rPr>
                      <w:b/>
                      <w:bCs/>
                      <w:color w:val="auto"/>
                      <w:highlight w:val="none"/>
                    </w:rPr>
                    <w:t>t/a</w:t>
                  </w:r>
                  <w:r>
                    <w:rPr>
                      <w:rFonts w:hint="eastAsia"/>
                      <w:b/>
                      <w:bCs/>
                      <w:color w:val="auto"/>
                      <w:highlight w:val="none"/>
                    </w:rPr>
                    <w:t>）</w:t>
                  </w:r>
                </w:p>
              </w:tc>
              <w:tc>
                <w:tcPr>
                  <w:tcW w:w="1366" w:type="pct"/>
                  <w:tcBorders>
                    <w:top w:val="single" w:color="000000" w:sz="12" w:space="0"/>
                    <w:left w:val="single" w:color="000000" w:sz="4" w:space="0"/>
                    <w:bottom w:val="single" w:color="000000" w:sz="4" w:space="0"/>
                    <w:right w:val="nil"/>
                  </w:tcBorders>
                  <w:shd w:val="clear" w:color="auto" w:fill="auto"/>
                  <w:vAlign w:val="center"/>
                </w:tcPr>
                <w:p w14:paraId="20CC8AF2">
                  <w:pPr>
                    <w:pStyle w:val="106"/>
                    <w:bidi w:val="0"/>
                    <w:rPr>
                      <w:b/>
                      <w:bCs/>
                      <w:color w:val="auto"/>
                      <w:highlight w:val="none"/>
                    </w:rPr>
                  </w:pPr>
                  <w:r>
                    <w:rPr>
                      <w:rFonts w:hint="eastAsia"/>
                      <w:b/>
                      <w:bCs/>
                      <w:color w:val="auto"/>
                      <w:highlight w:val="none"/>
                    </w:rPr>
                    <w:t>合计（</w:t>
                  </w:r>
                  <w:r>
                    <w:rPr>
                      <w:b/>
                      <w:bCs/>
                      <w:color w:val="auto"/>
                      <w:highlight w:val="none"/>
                    </w:rPr>
                    <w:t>t/a</w:t>
                  </w:r>
                  <w:r>
                    <w:rPr>
                      <w:rFonts w:hint="eastAsia"/>
                      <w:b/>
                      <w:bCs/>
                      <w:color w:val="auto"/>
                      <w:highlight w:val="none"/>
                    </w:rPr>
                    <w:t>）</w:t>
                  </w:r>
                </w:p>
              </w:tc>
            </w:tr>
            <w:tr w14:paraId="0ABA1AD3">
              <w:tblPrEx>
                <w:tblCellMar>
                  <w:top w:w="0" w:type="dxa"/>
                  <w:left w:w="108" w:type="dxa"/>
                  <w:bottom w:w="0" w:type="dxa"/>
                  <w:right w:w="108" w:type="dxa"/>
                </w:tblCellMar>
              </w:tblPrEx>
              <w:trPr>
                <w:trHeight w:val="397" w:hRule="atLeast"/>
              </w:trPr>
              <w:tc>
                <w:tcPr>
                  <w:tcW w:w="1133" w:type="pct"/>
                  <w:tcBorders>
                    <w:top w:val="single" w:color="000000" w:sz="4" w:space="0"/>
                    <w:left w:val="nil"/>
                    <w:bottom w:val="single" w:color="000000" w:sz="4" w:space="0"/>
                    <w:right w:val="single" w:color="000000" w:sz="4" w:space="0"/>
                  </w:tcBorders>
                  <w:shd w:val="clear" w:color="auto" w:fill="auto"/>
                  <w:vAlign w:val="center"/>
                </w:tcPr>
                <w:p w14:paraId="382B266F">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颗粒物</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C58C0">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default"/>
                      <w:color w:val="auto"/>
                      <w:highlight w:val="none"/>
                      <w:lang w:val="en-US" w:eastAsia="zh-CN"/>
                    </w:rPr>
                  </w:pPr>
                  <w:r>
                    <w:rPr>
                      <w:rFonts w:hint="eastAsia"/>
                      <w:color w:val="auto"/>
                      <w:highlight w:val="none"/>
                      <w:lang w:val="en-US" w:eastAsia="zh-CN"/>
                    </w:rPr>
                    <w:t>1.1583</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F7FFA">
                  <w:pPr>
                    <w:pStyle w:val="106"/>
                    <w:bidi w:val="0"/>
                    <w:rPr>
                      <w:rFonts w:hint="default"/>
                      <w:color w:val="auto"/>
                      <w:highlight w:val="none"/>
                      <w:lang w:val="en-US" w:eastAsia="zh-CN"/>
                    </w:rPr>
                  </w:pPr>
                  <w:r>
                    <w:rPr>
                      <w:rFonts w:hint="eastAsia"/>
                      <w:color w:val="auto"/>
                      <w:highlight w:val="none"/>
                      <w:lang w:val="en-US" w:eastAsia="zh-CN"/>
                    </w:rPr>
                    <w:t>/</w:t>
                  </w:r>
                </w:p>
              </w:tc>
              <w:tc>
                <w:tcPr>
                  <w:tcW w:w="1366" w:type="pct"/>
                  <w:tcBorders>
                    <w:top w:val="single" w:color="000000" w:sz="4" w:space="0"/>
                    <w:left w:val="single" w:color="000000" w:sz="4" w:space="0"/>
                    <w:bottom w:val="single" w:color="000000" w:sz="4" w:space="0"/>
                    <w:right w:val="nil"/>
                  </w:tcBorders>
                  <w:shd w:val="clear" w:color="auto" w:fill="auto"/>
                  <w:vAlign w:val="center"/>
                </w:tcPr>
                <w:p w14:paraId="4CF6B948">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1.1583</w:t>
                  </w:r>
                </w:p>
              </w:tc>
            </w:tr>
            <w:tr w14:paraId="162273DA">
              <w:tblPrEx>
                <w:tblCellMar>
                  <w:top w:w="0" w:type="dxa"/>
                  <w:left w:w="108" w:type="dxa"/>
                  <w:bottom w:w="0" w:type="dxa"/>
                  <w:right w:w="108" w:type="dxa"/>
                </w:tblCellMar>
              </w:tblPrEx>
              <w:trPr>
                <w:trHeight w:val="397" w:hRule="atLeast"/>
              </w:trPr>
              <w:tc>
                <w:tcPr>
                  <w:tcW w:w="1133" w:type="pct"/>
                  <w:tcBorders>
                    <w:top w:val="single" w:color="000000" w:sz="4" w:space="0"/>
                    <w:left w:val="nil"/>
                    <w:bottom w:val="single" w:color="000000" w:sz="4" w:space="0"/>
                    <w:right w:val="single" w:color="000000" w:sz="4" w:space="0"/>
                  </w:tcBorders>
                  <w:shd w:val="clear" w:color="auto" w:fill="auto"/>
                  <w:vAlign w:val="center"/>
                </w:tcPr>
                <w:p w14:paraId="58BA819A">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color w:val="auto"/>
                      <w:highlight w:val="none"/>
                    </w:rPr>
                  </w:pPr>
                  <w:r>
                    <w:rPr>
                      <w:rFonts w:hint="eastAsia" w:cs="Times New Roman"/>
                      <w:color w:val="auto"/>
                      <w:kern w:val="0"/>
                      <w:sz w:val="21"/>
                      <w:szCs w:val="21"/>
                      <w:highlight w:val="none"/>
                      <w:lang w:val="en-US" w:eastAsia="zh-CN" w:bidi="ar-SA"/>
                    </w:rPr>
                    <w:t>SO</w:t>
                  </w:r>
                  <w:r>
                    <w:rPr>
                      <w:rFonts w:hint="eastAsia" w:cs="Times New Roman"/>
                      <w:color w:val="auto"/>
                      <w:kern w:val="0"/>
                      <w:sz w:val="21"/>
                      <w:szCs w:val="21"/>
                      <w:highlight w:val="none"/>
                      <w:vertAlign w:val="subscript"/>
                      <w:lang w:val="en-US" w:eastAsia="zh-CN" w:bidi="ar-SA"/>
                    </w:rPr>
                    <w:t>2</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AC8B1">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default"/>
                      <w:color w:val="auto"/>
                      <w:highlight w:val="none"/>
                      <w:lang w:val="en-US" w:eastAsia="zh-CN"/>
                    </w:rPr>
                  </w:pPr>
                  <w:r>
                    <w:rPr>
                      <w:rFonts w:hint="eastAsia"/>
                      <w:color w:val="auto"/>
                      <w:highlight w:val="none"/>
                      <w:lang w:val="en-US" w:eastAsia="zh-CN"/>
                    </w:rPr>
                    <w:t>1.6200</w:t>
                  </w:r>
                </w:p>
              </w:tc>
              <w:tc>
                <w:tcPr>
                  <w:tcW w:w="1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1D64F">
                  <w:pPr>
                    <w:pStyle w:val="106"/>
                    <w:bidi w:val="0"/>
                    <w:rPr>
                      <w:rFonts w:hint="default"/>
                      <w:color w:val="auto"/>
                      <w:highlight w:val="none"/>
                      <w:lang w:val="en-US" w:eastAsia="zh-CN"/>
                    </w:rPr>
                  </w:pPr>
                  <w:r>
                    <w:rPr>
                      <w:rFonts w:hint="eastAsia"/>
                      <w:color w:val="auto"/>
                      <w:highlight w:val="none"/>
                      <w:lang w:val="en-US" w:eastAsia="zh-CN"/>
                    </w:rPr>
                    <w:t>/</w:t>
                  </w:r>
                </w:p>
              </w:tc>
              <w:tc>
                <w:tcPr>
                  <w:tcW w:w="1366" w:type="pct"/>
                  <w:tcBorders>
                    <w:top w:val="single" w:color="000000" w:sz="4" w:space="0"/>
                    <w:left w:val="single" w:color="000000" w:sz="4" w:space="0"/>
                    <w:bottom w:val="single" w:color="000000" w:sz="4" w:space="0"/>
                    <w:right w:val="nil"/>
                  </w:tcBorders>
                  <w:shd w:val="clear" w:color="auto" w:fill="auto"/>
                  <w:vAlign w:val="center"/>
                </w:tcPr>
                <w:p w14:paraId="354794C1">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1.6200</w:t>
                  </w:r>
                </w:p>
              </w:tc>
            </w:tr>
            <w:tr w14:paraId="20E5E7B0">
              <w:tblPrEx>
                <w:tblCellMar>
                  <w:top w:w="0" w:type="dxa"/>
                  <w:left w:w="108" w:type="dxa"/>
                  <w:bottom w:w="0" w:type="dxa"/>
                  <w:right w:w="108" w:type="dxa"/>
                </w:tblCellMar>
              </w:tblPrEx>
              <w:trPr>
                <w:trHeight w:val="397" w:hRule="atLeast"/>
              </w:trPr>
              <w:tc>
                <w:tcPr>
                  <w:tcW w:w="1133" w:type="pct"/>
                  <w:tcBorders>
                    <w:top w:val="single" w:color="000000" w:sz="4" w:space="0"/>
                    <w:left w:val="nil"/>
                    <w:bottom w:val="single" w:color="000000" w:sz="12" w:space="0"/>
                    <w:right w:val="single" w:color="000000" w:sz="4" w:space="0"/>
                  </w:tcBorders>
                  <w:shd w:val="clear" w:color="auto" w:fill="auto"/>
                  <w:vAlign w:val="center"/>
                </w:tcPr>
                <w:p w14:paraId="2C235383">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color w:val="auto"/>
                      <w:highlight w:val="none"/>
                    </w:rPr>
                  </w:pPr>
                  <w:r>
                    <w:rPr>
                      <w:rFonts w:hint="eastAsia" w:cs="Times New Roman"/>
                      <w:color w:val="auto"/>
                      <w:kern w:val="0"/>
                      <w:sz w:val="21"/>
                      <w:szCs w:val="21"/>
                      <w:highlight w:val="none"/>
                      <w:lang w:val="en-US" w:eastAsia="zh-CN"/>
                    </w:rPr>
                    <w:t>NOx</w:t>
                  </w:r>
                </w:p>
              </w:tc>
              <w:tc>
                <w:tcPr>
                  <w:tcW w:w="1133"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6247861B">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default"/>
                      <w:color w:val="auto"/>
                      <w:highlight w:val="none"/>
                      <w:lang w:val="en-US" w:eastAsia="zh-CN"/>
                    </w:rPr>
                  </w:pPr>
                  <w:r>
                    <w:rPr>
                      <w:rFonts w:hint="eastAsia"/>
                      <w:color w:val="auto"/>
                      <w:highlight w:val="none"/>
                      <w:lang w:val="en-US" w:eastAsia="zh-CN"/>
                    </w:rPr>
                    <w:t>1.2272</w:t>
                  </w:r>
                </w:p>
              </w:tc>
              <w:tc>
                <w:tcPr>
                  <w:tcW w:w="1366"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6CF0AF85">
                  <w:pPr>
                    <w:pStyle w:val="106"/>
                    <w:bidi w:val="0"/>
                    <w:rPr>
                      <w:rFonts w:hint="default"/>
                      <w:color w:val="auto"/>
                      <w:highlight w:val="none"/>
                      <w:lang w:val="en-US" w:eastAsia="zh-CN"/>
                    </w:rPr>
                  </w:pPr>
                  <w:r>
                    <w:rPr>
                      <w:rFonts w:hint="eastAsia"/>
                      <w:color w:val="auto"/>
                      <w:highlight w:val="none"/>
                      <w:lang w:val="en-US" w:eastAsia="zh-CN"/>
                    </w:rPr>
                    <w:t>/</w:t>
                  </w:r>
                </w:p>
              </w:tc>
              <w:tc>
                <w:tcPr>
                  <w:tcW w:w="1366" w:type="pct"/>
                  <w:tcBorders>
                    <w:top w:val="single" w:color="000000" w:sz="4" w:space="0"/>
                    <w:left w:val="single" w:color="000000" w:sz="4" w:space="0"/>
                    <w:bottom w:val="single" w:color="000000" w:sz="12" w:space="0"/>
                    <w:right w:val="nil"/>
                  </w:tcBorders>
                  <w:shd w:val="clear" w:color="auto" w:fill="auto"/>
                  <w:vAlign w:val="center"/>
                </w:tcPr>
                <w:p w14:paraId="688A68DD">
                  <w:pPr>
                    <w:pStyle w:val="106"/>
                    <w:keepNext w:val="0"/>
                    <w:keepLines w:val="0"/>
                    <w:pageBreakBefore w:val="0"/>
                    <w:widowControl w:val="0"/>
                    <w:kinsoku/>
                    <w:wordWrap/>
                    <w:overflowPunct/>
                    <w:topLinePunct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1.2272</w:t>
                  </w:r>
                </w:p>
              </w:tc>
            </w:tr>
          </w:tbl>
          <w:p w14:paraId="053B639F">
            <w:pPr>
              <w:keepNext w:val="0"/>
              <w:keepLines w:val="0"/>
              <w:pageBreakBefore w:val="0"/>
              <w:widowControl w:val="0"/>
              <w:kinsoku/>
              <w:wordWrap/>
              <w:overflowPunct/>
              <w:topLinePunct w:val="0"/>
              <w:autoSpaceDE w:val="0"/>
              <w:autoSpaceDN w:val="0"/>
              <w:bidi w:val="0"/>
              <w:adjustRightInd w:val="0"/>
              <w:snapToGrid w:val="0"/>
              <w:spacing w:before="120"/>
              <w:textAlignment w:val="auto"/>
              <w:rPr>
                <w:rFonts w:hint="default"/>
                <w:b/>
                <w:bCs/>
                <w:color w:val="auto"/>
                <w:highlight w:val="none"/>
                <w:lang w:val="en-US" w:eastAsia="zh-CN"/>
              </w:rPr>
            </w:pPr>
            <w:r>
              <w:rPr>
                <w:rFonts w:hint="eastAsia"/>
                <w:b/>
                <w:bCs/>
                <w:color w:val="auto"/>
                <w:highlight w:val="none"/>
                <w:lang w:val="en-US" w:eastAsia="zh-CN"/>
              </w:rPr>
              <w:t>（2）排放口基本信息</w:t>
            </w:r>
          </w:p>
          <w:p w14:paraId="7A59E5BE">
            <w:pPr>
              <w:widowControl/>
              <w:spacing w:line="360" w:lineRule="auto"/>
              <w:ind w:firstLine="480" w:firstLineChars="200"/>
              <w:jc w:val="both"/>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本项目大气排放口设置情况见下表。</w:t>
            </w:r>
          </w:p>
          <w:p w14:paraId="4BA43619">
            <w:pPr>
              <w:pStyle w:val="14"/>
              <w:bidi w:val="0"/>
              <w:rPr>
                <w:rFonts w:hint="default"/>
                <w:color w:val="auto"/>
                <w:highlight w:val="none"/>
                <w:lang w:val="en-US" w:eastAsia="zh-CN"/>
              </w:rPr>
            </w:pPr>
            <w:r>
              <w:rPr>
                <w:rFonts w:hint="default"/>
                <w:color w:val="auto"/>
                <w:highlight w:val="none"/>
                <w:lang w:val="en-US" w:eastAsia="zh-CN"/>
              </w:rPr>
              <w:t>表4-</w:t>
            </w:r>
            <w:r>
              <w:rPr>
                <w:rFonts w:hint="default"/>
                <w:color w:val="auto"/>
                <w:highlight w:val="none"/>
                <w:lang w:val="en-US" w:eastAsia="zh-CN"/>
              </w:rPr>
              <w:fldChar w:fldCharType="begin"/>
            </w:r>
            <w:r>
              <w:rPr>
                <w:rFonts w:hint="default"/>
                <w:color w:val="auto"/>
                <w:highlight w:val="none"/>
                <w:lang w:val="en-US" w:eastAsia="zh-CN"/>
              </w:rPr>
              <w:instrText xml:space="preserve"> SEQ 表4- \* ARABIC </w:instrText>
            </w:r>
            <w:r>
              <w:rPr>
                <w:rFonts w:hint="default"/>
                <w:color w:val="auto"/>
                <w:highlight w:val="none"/>
                <w:lang w:val="en-US" w:eastAsia="zh-CN"/>
              </w:rPr>
              <w:fldChar w:fldCharType="separate"/>
            </w:r>
            <w:r>
              <w:rPr>
                <w:rFonts w:hint="default"/>
                <w:color w:val="auto"/>
                <w:highlight w:val="none"/>
                <w:lang w:val="en-US" w:eastAsia="zh-CN"/>
              </w:rPr>
              <w:t>7</w:t>
            </w:r>
            <w:r>
              <w:rPr>
                <w:rFonts w:hint="default"/>
                <w:color w:val="auto"/>
                <w:highlight w:val="none"/>
                <w:lang w:val="en-US" w:eastAsia="zh-CN"/>
              </w:rPr>
              <w:fldChar w:fldCharType="end"/>
            </w:r>
            <w:r>
              <w:rPr>
                <w:rFonts w:hint="eastAsia"/>
                <w:color w:val="auto"/>
                <w:highlight w:val="none"/>
                <w:lang w:val="en-US" w:eastAsia="zh-CN"/>
              </w:rPr>
              <w:t xml:space="preserve">  </w:t>
            </w:r>
            <w:r>
              <w:rPr>
                <w:rFonts w:hint="default"/>
                <w:color w:val="auto"/>
                <w:highlight w:val="none"/>
                <w:lang w:val="en-US" w:eastAsia="zh-CN"/>
              </w:rPr>
              <w:t>项目废气排气筒设置情况一览表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
              <w:gridCol w:w="1223"/>
              <w:gridCol w:w="1223"/>
              <w:gridCol w:w="835"/>
              <w:gridCol w:w="569"/>
              <w:gridCol w:w="920"/>
              <w:gridCol w:w="813"/>
              <w:gridCol w:w="1703"/>
              <w:gridCol w:w="996"/>
            </w:tblGrid>
            <w:tr w14:paraId="18121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928"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7F608F36">
                  <w:pPr>
                    <w:widowControl/>
                    <w:autoSpaceDE/>
                    <w:autoSpaceDN/>
                    <w:adjustRightInd/>
                    <w:snapToGrid/>
                    <w:spacing w:line="240" w:lineRule="auto"/>
                    <w:ind w:firstLine="0" w:firstLineChars="0"/>
                    <w:jc w:val="center"/>
                    <w:textAlignment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bidi="ar"/>
                    </w:rPr>
                    <w:t>排气筒编号</w:t>
                  </w:r>
                </w:p>
              </w:tc>
              <w:tc>
                <w:tcPr>
                  <w:tcW w:w="2446" w:type="dxa"/>
                  <w:gridSpan w:val="2"/>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33649140">
                  <w:pPr>
                    <w:widowControl/>
                    <w:autoSpaceDE/>
                    <w:autoSpaceDN/>
                    <w:adjustRightInd/>
                    <w:snapToGrid/>
                    <w:spacing w:line="240" w:lineRule="auto"/>
                    <w:ind w:firstLine="0" w:firstLineChars="0"/>
                    <w:jc w:val="center"/>
                    <w:textAlignment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排气筒底部中心坐标</w:t>
                  </w:r>
                </w:p>
              </w:tc>
              <w:tc>
                <w:tcPr>
                  <w:tcW w:w="3137" w:type="dxa"/>
                  <w:gridSpan w:val="4"/>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31670B59">
                  <w:pPr>
                    <w:widowControl/>
                    <w:autoSpaceDE/>
                    <w:autoSpaceDN/>
                    <w:adjustRightInd/>
                    <w:snapToGrid/>
                    <w:spacing w:line="240" w:lineRule="auto"/>
                    <w:ind w:firstLine="0" w:firstLineChars="0"/>
                    <w:jc w:val="center"/>
                    <w:textAlignment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排气筒参数</w:t>
                  </w:r>
                </w:p>
              </w:tc>
              <w:tc>
                <w:tcPr>
                  <w:tcW w:w="1703"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14:paraId="5BBC5550">
                  <w:pPr>
                    <w:widowControl/>
                    <w:autoSpaceDE/>
                    <w:autoSpaceDN/>
                    <w:adjustRightInd/>
                    <w:snapToGrid/>
                    <w:spacing w:line="240" w:lineRule="auto"/>
                    <w:ind w:firstLine="0" w:firstLineChars="0"/>
                    <w:jc w:val="center"/>
                    <w:textAlignment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bidi="ar"/>
                    </w:rPr>
                    <w:t>排放口名称</w:t>
                  </w:r>
                </w:p>
              </w:tc>
              <w:tc>
                <w:tcPr>
                  <w:tcW w:w="996" w:type="dxa"/>
                  <w:vMerge w:val="restart"/>
                  <w:tcBorders>
                    <w:top w:val="single" w:color="000000" w:sz="12" w:space="0"/>
                    <w:left w:val="single" w:color="000000" w:sz="4" w:space="0"/>
                    <w:bottom w:val="single" w:color="000000" w:sz="4" w:space="0"/>
                    <w:right w:val="nil"/>
                  </w:tcBorders>
                  <w:shd w:val="clear" w:color="auto" w:fill="auto"/>
                  <w:vAlign w:val="center"/>
                </w:tcPr>
                <w:p w14:paraId="75C48B9B">
                  <w:pPr>
                    <w:widowControl/>
                    <w:autoSpaceDE/>
                    <w:autoSpaceDN/>
                    <w:adjustRightInd/>
                    <w:snapToGrid/>
                    <w:spacing w:line="240" w:lineRule="auto"/>
                    <w:ind w:firstLine="0" w:firstLineChars="0"/>
                    <w:jc w:val="center"/>
                    <w:textAlignment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bidi="ar"/>
                    </w:rPr>
                    <w:t>排放口类型</w:t>
                  </w:r>
                </w:p>
              </w:tc>
            </w:tr>
            <w:tr w14:paraId="67F63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928" w:type="dxa"/>
                  <w:vMerge w:val="continue"/>
                  <w:tcBorders>
                    <w:top w:val="single" w:color="000000" w:sz="4" w:space="0"/>
                    <w:left w:val="nil"/>
                    <w:bottom w:val="single" w:color="000000" w:sz="4" w:space="0"/>
                    <w:right w:val="single" w:color="000000" w:sz="4" w:space="0"/>
                  </w:tcBorders>
                  <w:shd w:val="clear" w:color="auto" w:fill="auto"/>
                  <w:vAlign w:val="center"/>
                </w:tcPr>
                <w:p w14:paraId="0138AEF8">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24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FD73D">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p>
              </w:tc>
              <w:tc>
                <w:tcPr>
                  <w:tcW w:w="313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86CB6">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A4771">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996" w:type="dxa"/>
                  <w:vMerge w:val="continue"/>
                  <w:tcBorders>
                    <w:top w:val="single" w:color="000000" w:sz="4" w:space="0"/>
                    <w:left w:val="single" w:color="000000" w:sz="4" w:space="0"/>
                    <w:bottom w:val="single" w:color="000000" w:sz="4" w:space="0"/>
                    <w:right w:val="nil"/>
                  </w:tcBorders>
                  <w:shd w:val="clear" w:color="auto" w:fill="auto"/>
                  <w:vAlign w:val="center"/>
                </w:tcPr>
                <w:p w14:paraId="6D4DD46B">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r>
            <w:tr w14:paraId="1EB5E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28" w:type="dxa"/>
                  <w:vMerge w:val="continue"/>
                  <w:tcBorders>
                    <w:top w:val="single" w:color="000000" w:sz="4" w:space="0"/>
                    <w:left w:val="nil"/>
                    <w:bottom w:val="single" w:color="000000" w:sz="4" w:space="0"/>
                    <w:right w:val="single" w:color="000000" w:sz="4" w:space="0"/>
                  </w:tcBorders>
                  <w:shd w:val="clear" w:color="auto" w:fill="auto"/>
                  <w:vAlign w:val="center"/>
                </w:tcPr>
                <w:p w14:paraId="283D268A">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9397">
                  <w:pPr>
                    <w:widowControl/>
                    <w:autoSpaceDE/>
                    <w:autoSpaceDN/>
                    <w:adjustRightInd/>
                    <w:snapToGrid/>
                    <w:spacing w:line="240" w:lineRule="auto"/>
                    <w:ind w:firstLine="0" w:firstLineChars="0"/>
                    <w:jc w:val="center"/>
                    <w:textAlignment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经度</w:t>
                  </w:r>
                  <w:r>
                    <w:rPr>
                      <w:rFonts w:hint="default" w:ascii="Times New Roman" w:hAnsi="Times New Roman" w:cs="Times New Roman"/>
                      <w:b/>
                      <w:bCs/>
                      <w:color w:val="auto"/>
                      <w:kern w:val="0"/>
                      <w:sz w:val="21"/>
                      <w:szCs w:val="21"/>
                      <w:highlight w:val="none"/>
                    </w:rPr>
                    <w:t>°</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D9FB">
                  <w:pPr>
                    <w:widowControl/>
                    <w:autoSpaceDE/>
                    <w:autoSpaceDN/>
                    <w:adjustRightInd/>
                    <w:snapToGrid/>
                    <w:spacing w:line="240" w:lineRule="auto"/>
                    <w:ind w:firstLine="0" w:firstLineChars="0"/>
                    <w:jc w:val="center"/>
                    <w:textAlignment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纬度</w:t>
                  </w:r>
                  <w:r>
                    <w:rPr>
                      <w:rFonts w:hint="default" w:ascii="Times New Roman" w:hAnsi="Times New Roman" w:cs="Times New Roman"/>
                      <w:b/>
                      <w:bCs/>
                      <w:color w:val="auto"/>
                      <w:kern w:val="0"/>
                      <w:sz w:val="21"/>
                      <w:szCs w:val="21"/>
                      <w:highlight w:val="none"/>
                    </w:rPr>
                    <w:t>°</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2EA9">
                  <w:pPr>
                    <w:widowControl/>
                    <w:autoSpaceDE/>
                    <w:autoSpaceDN/>
                    <w:adjustRightInd/>
                    <w:snapToGrid/>
                    <w:spacing w:line="240" w:lineRule="auto"/>
                    <w:ind w:firstLine="0" w:firstLineChars="0"/>
                    <w:jc w:val="center"/>
                    <w:textAlignment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高度m</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B534">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内径m</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F588">
                  <w:pPr>
                    <w:widowControl/>
                    <w:autoSpaceDE/>
                    <w:autoSpaceDN/>
                    <w:adjustRightInd/>
                    <w:snapToGrid/>
                    <w:spacing w:line="240" w:lineRule="auto"/>
                    <w:ind w:firstLine="0" w:firstLineChars="0"/>
                    <w:jc w:val="center"/>
                    <w:textAlignment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温度℃</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2B74">
                  <w:pPr>
                    <w:widowControl/>
                    <w:autoSpaceDE/>
                    <w:autoSpaceDN/>
                    <w:adjustRightInd/>
                    <w:snapToGrid/>
                    <w:spacing w:line="240" w:lineRule="auto"/>
                    <w:ind w:firstLine="0" w:firstLineChars="0"/>
                    <w:jc w:val="center"/>
                    <w:textAlignment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风量m</w:t>
                  </w:r>
                  <w:r>
                    <w:rPr>
                      <w:rFonts w:hint="default" w:ascii="Times New Roman" w:hAnsi="Times New Roman" w:cs="Times New Roman"/>
                      <w:b/>
                      <w:bCs/>
                      <w:color w:val="auto"/>
                      <w:kern w:val="0"/>
                      <w:sz w:val="21"/>
                      <w:szCs w:val="21"/>
                      <w:highlight w:val="none"/>
                      <w:vertAlign w:val="superscript"/>
                      <w:lang w:bidi="ar"/>
                    </w:rPr>
                    <w:t>3</w:t>
                  </w:r>
                  <w:r>
                    <w:rPr>
                      <w:rFonts w:hint="default" w:ascii="Times New Roman" w:hAnsi="Times New Roman" w:cs="Times New Roman"/>
                      <w:b/>
                      <w:bCs/>
                      <w:color w:val="auto"/>
                      <w:kern w:val="0"/>
                      <w:sz w:val="21"/>
                      <w:szCs w:val="21"/>
                      <w:highlight w:val="none"/>
                      <w:lang w:bidi="ar"/>
                    </w:rPr>
                    <w:t>/h</w:t>
                  </w: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CD98E">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996" w:type="dxa"/>
                  <w:vMerge w:val="continue"/>
                  <w:tcBorders>
                    <w:top w:val="single" w:color="000000" w:sz="4" w:space="0"/>
                    <w:left w:val="single" w:color="000000" w:sz="4" w:space="0"/>
                    <w:bottom w:val="single" w:color="000000" w:sz="4" w:space="0"/>
                    <w:right w:val="nil"/>
                  </w:tcBorders>
                  <w:shd w:val="clear" w:color="auto" w:fill="auto"/>
                  <w:vAlign w:val="center"/>
                </w:tcPr>
                <w:p w14:paraId="067B61C6">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r>
            <w:tr w14:paraId="79099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28" w:type="dxa"/>
                  <w:tcBorders>
                    <w:top w:val="single" w:color="000000" w:sz="4" w:space="0"/>
                    <w:left w:val="nil"/>
                    <w:bottom w:val="single" w:color="000000" w:sz="12" w:space="0"/>
                    <w:right w:val="single" w:color="000000" w:sz="4" w:space="0"/>
                  </w:tcBorders>
                  <w:shd w:val="clear" w:color="auto" w:fill="auto"/>
                  <w:vAlign w:val="center"/>
                </w:tcPr>
                <w:p w14:paraId="6CD3F11E">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DA00</w:t>
                  </w:r>
                  <w:r>
                    <w:rPr>
                      <w:rFonts w:hint="default" w:ascii="Times New Roman" w:hAnsi="Times New Roman" w:cs="Times New Roman"/>
                      <w:color w:val="auto"/>
                      <w:kern w:val="0"/>
                      <w:sz w:val="21"/>
                      <w:szCs w:val="21"/>
                      <w:highlight w:val="none"/>
                      <w:lang w:val="en-US" w:eastAsia="zh-CN" w:bidi="ar"/>
                    </w:rPr>
                    <w:t>1</w:t>
                  </w:r>
                </w:p>
              </w:tc>
              <w:tc>
                <w:tcPr>
                  <w:tcW w:w="1223"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5B758A6E">
                  <w:pPr>
                    <w:widowControl/>
                    <w:autoSpaceDE/>
                    <w:autoSpaceDN/>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105.497246</w:t>
                  </w:r>
                </w:p>
              </w:tc>
              <w:tc>
                <w:tcPr>
                  <w:tcW w:w="1223"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685EFC6D">
                  <w:pPr>
                    <w:widowControl/>
                    <w:autoSpaceDE/>
                    <w:autoSpaceDN/>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30.363387</w:t>
                  </w:r>
                </w:p>
              </w:tc>
              <w:tc>
                <w:tcPr>
                  <w:tcW w:w="835"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44D63154">
                  <w:pPr>
                    <w:widowControl/>
                    <w:autoSpaceDE/>
                    <w:autoSpaceDN/>
                    <w:adjustRightInd/>
                    <w:snapToGrid/>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w:t>
                  </w:r>
                </w:p>
              </w:tc>
              <w:tc>
                <w:tcPr>
                  <w:tcW w:w="569"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1B6830B4">
                  <w:pPr>
                    <w:widowControl/>
                    <w:autoSpaceDE/>
                    <w:autoSpaceDN/>
                    <w:adjustRightInd/>
                    <w:snapToGrid/>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w:t>
                  </w:r>
                </w:p>
              </w:tc>
              <w:tc>
                <w:tcPr>
                  <w:tcW w:w="920"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303872C3">
                  <w:pPr>
                    <w:widowControl/>
                    <w:autoSpaceDE/>
                    <w:autoSpaceDN/>
                    <w:adjustRightInd/>
                    <w:snapToGrid/>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常温</w:t>
                  </w:r>
                </w:p>
              </w:tc>
              <w:tc>
                <w:tcPr>
                  <w:tcW w:w="813"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25FF5C0E">
                  <w:pPr>
                    <w:widowControl/>
                    <w:autoSpaceDE/>
                    <w:autoSpaceDN/>
                    <w:adjustRightInd/>
                    <w:snapToGrid/>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22000</w:t>
                  </w:r>
                </w:p>
              </w:tc>
              <w:tc>
                <w:tcPr>
                  <w:tcW w:w="1703"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5320ED00">
                  <w:pPr>
                    <w:widowControl/>
                    <w:autoSpaceDE/>
                    <w:autoSpaceDN/>
                    <w:adjustRightInd/>
                    <w:snapToGrid/>
                    <w:spacing w:line="240" w:lineRule="auto"/>
                    <w:ind w:firstLine="0" w:firstLineChars="0"/>
                    <w:jc w:val="center"/>
                    <w:textAlignment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天然气燃烧废气排口</w:t>
                  </w:r>
                </w:p>
              </w:tc>
              <w:tc>
                <w:tcPr>
                  <w:tcW w:w="996" w:type="dxa"/>
                  <w:tcBorders>
                    <w:top w:val="single" w:color="000000" w:sz="4" w:space="0"/>
                    <w:left w:val="single" w:color="000000" w:sz="4" w:space="0"/>
                    <w:bottom w:val="single" w:color="000000" w:sz="12" w:space="0"/>
                    <w:right w:val="nil"/>
                  </w:tcBorders>
                  <w:shd w:val="clear" w:color="auto" w:fill="auto"/>
                  <w:vAlign w:val="center"/>
                </w:tcPr>
                <w:p w14:paraId="16868B6E">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一般排放口</w:t>
                  </w:r>
                </w:p>
              </w:tc>
            </w:tr>
          </w:tbl>
          <w:p w14:paraId="21D13623">
            <w:pPr>
              <w:keepNext w:val="0"/>
              <w:keepLines w:val="0"/>
              <w:pageBreakBefore w:val="0"/>
              <w:widowControl w:val="0"/>
              <w:kinsoku/>
              <w:wordWrap/>
              <w:overflowPunct/>
              <w:topLinePunct w:val="0"/>
              <w:autoSpaceDE w:val="0"/>
              <w:autoSpaceDN w:val="0"/>
              <w:bidi w:val="0"/>
              <w:adjustRightInd w:val="0"/>
              <w:snapToGrid w:val="0"/>
              <w:spacing w:before="120"/>
              <w:textAlignment w:val="auto"/>
              <w:rPr>
                <w:rFonts w:hint="default"/>
                <w:b/>
                <w:bCs/>
                <w:color w:val="auto"/>
                <w:highlight w:val="none"/>
                <w:lang w:val="en-US" w:eastAsia="zh-CN"/>
              </w:rPr>
            </w:pPr>
            <w:r>
              <w:rPr>
                <w:rFonts w:hint="eastAsia"/>
                <w:b/>
                <w:bCs/>
                <w:color w:val="auto"/>
                <w:highlight w:val="none"/>
                <w:lang w:val="en-US" w:eastAsia="zh-CN"/>
              </w:rPr>
              <w:t>（3）非正常或事故排放情况</w:t>
            </w:r>
          </w:p>
          <w:p w14:paraId="322A6C45">
            <w:pPr>
              <w:spacing w:line="360" w:lineRule="auto"/>
              <w:ind w:firstLine="480" w:firstLineChars="200"/>
              <w:rPr>
                <w:rFonts w:cs="Times New Roman"/>
                <w:color w:val="auto"/>
                <w:sz w:val="24"/>
                <w:szCs w:val="24"/>
                <w:highlight w:val="none"/>
              </w:rPr>
            </w:pPr>
            <w:r>
              <w:rPr>
                <w:rFonts w:hint="eastAsia" w:cs="Times New Roman"/>
                <w:color w:val="auto"/>
                <w:sz w:val="24"/>
                <w:szCs w:val="24"/>
                <w:highlight w:val="none"/>
                <w:lang w:val="en-US" w:eastAsia="zh-CN"/>
              </w:rPr>
              <w:t>①</w:t>
            </w:r>
            <w:r>
              <w:rPr>
                <w:rFonts w:hint="eastAsia" w:cs="Times New Roman"/>
                <w:color w:val="auto"/>
                <w:sz w:val="24"/>
                <w:szCs w:val="24"/>
                <w:highlight w:val="none"/>
              </w:rPr>
              <w:t>非正常</w:t>
            </w:r>
            <w:r>
              <w:rPr>
                <w:rFonts w:hint="eastAsia" w:cs="Times New Roman"/>
                <w:color w:val="auto"/>
                <w:sz w:val="24"/>
                <w:szCs w:val="24"/>
                <w:highlight w:val="none"/>
                <w:lang w:val="en-US" w:eastAsia="zh-CN"/>
              </w:rPr>
              <w:t>或事故</w:t>
            </w:r>
            <w:r>
              <w:rPr>
                <w:rFonts w:hint="eastAsia" w:cs="Times New Roman"/>
                <w:color w:val="auto"/>
                <w:sz w:val="24"/>
                <w:szCs w:val="24"/>
                <w:highlight w:val="none"/>
              </w:rPr>
              <w:t>排放情形</w:t>
            </w:r>
          </w:p>
          <w:p w14:paraId="2088674A">
            <w:pPr>
              <w:spacing w:line="360" w:lineRule="auto"/>
              <w:ind w:firstLine="360" w:firstLineChars="150"/>
              <w:rPr>
                <w:color w:val="auto"/>
                <w:sz w:val="24"/>
                <w:szCs w:val="24"/>
                <w:highlight w:val="none"/>
              </w:rPr>
            </w:pPr>
            <w:r>
              <w:rPr>
                <w:rFonts w:hint="eastAsia"/>
                <w:color w:val="auto"/>
                <w:sz w:val="24"/>
                <w:szCs w:val="24"/>
                <w:highlight w:val="none"/>
              </w:rPr>
              <w:t>非正常排放是指生产过程中开停工、设备检修、工艺设备运转异常等非正常工况下的污染物排放，以及污染物排放控制措施达不到应有效率等情况下的排放。根据工艺设备运行分析，项目可能发生的非正常排放主要为废气治理设施故障导致处理效率下降。</w:t>
            </w:r>
          </w:p>
          <w:p w14:paraId="2BEF3BA7">
            <w:pPr>
              <w:spacing w:line="360" w:lineRule="auto"/>
              <w:ind w:firstLine="360" w:firstLineChars="150"/>
              <w:rPr>
                <w:color w:val="auto"/>
                <w:sz w:val="24"/>
                <w:szCs w:val="24"/>
                <w:highlight w:val="none"/>
              </w:rPr>
            </w:pPr>
            <w:r>
              <w:rPr>
                <w:rFonts w:hint="eastAsia"/>
                <w:color w:val="auto"/>
                <w:sz w:val="24"/>
                <w:szCs w:val="24"/>
                <w:highlight w:val="none"/>
              </w:rPr>
              <w:t>本项目非正常工况下的废气排放主要考虑</w:t>
            </w:r>
            <w:r>
              <w:rPr>
                <w:rFonts w:hint="eastAsia"/>
                <w:color w:val="auto"/>
                <w:sz w:val="24"/>
                <w:szCs w:val="24"/>
                <w:highlight w:val="none"/>
                <w:lang w:val="en-US" w:eastAsia="zh-CN"/>
              </w:rPr>
              <w:t>废气治理设施</w:t>
            </w:r>
            <w:r>
              <w:rPr>
                <w:rFonts w:hint="eastAsia"/>
                <w:color w:val="auto"/>
                <w:sz w:val="24"/>
                <w:szCs w:val="24"/>
                <w:highlight w:val="none"/>
              </w:rPr>
              <w:t>故障导致</w:t>
            </w:r>
            <w:r>
              <w:rPr>
                <w:rFonts w:hint="eastAsia"/>
                <w:color w:val="auto"/>
                <w:sz w:val="24"/>
                <w:szCs w:val="24"/>
                <w:highlight w:val="none"/>
                <w:lang w:val="en-US" w:eastAsia="zh-CN"/>
              </w:rPr>
              <w:t>废气收集后</w:t>
            </w:r>
            <w:r>
              <w:rPr>
                <w:rFonts w:hint="eastAsia"/>
                <w:color w:val="auto"/>
                <w:sz w:val="24"/>
                <w:szCs w:val="24"/>
                <w:highlight w:val="none"/>
              </w:rPr>
              <w:t>未经处理直接外排的情况。本次评价考虑最大不利影响，即</w:t>
            </w:r>
            <w:r>
              <w:rPr>
                <w:rFonts w:hint="eastAsia"/>
                <w:color w:val="auto"/>
                <w:sz w:val="24"/>
                <w:szCs w:val="24"/>
                <w:highlight w:val="none"/>
                <w:lang w:val="en-US" w:eastAsia="zh-CN"/>
              </w:rPr>
              <w:t>发现废气治理设施</w:t>
            </w:r>
            <w:r>
              <w:rPr>
                <w:rFonts w:hint="eastAsia"/>
                <w:color w:val="auto"/>
                <w:sz w:val="24"/>
                <w:szCs w:val="24"/>
                <w:highlight w:val="none"/>
              </w:rPr>
              <w:t>故障</w:t>
            </w:r>
            <w:r>
              <w:rPr>
                <w:rFonts w:hint="eastAsia"/>
                <w:color w:val="auto"/>
                <w:sz w:val="24"/>
                <w:szCs w:val="24"/>
                <w:highlight w:val="none"/>
                <w:lang w:eastAsia="zh-CN"/>
              </w:rPr>
              <w:t>，</w:t>
            </w:r>
            <w:r>
              <w:rPr>
                <w:rFonts w:hint="eastAsia"/>
                <w:color w:val="auto"/>
                <w:sz w:val="24"/>
                <w:szCs w:val="24"/>
                <w:highlight w:val="none"/>
                <w:lang w:val="en-US" w:eastAsia="zh-CN"/>
              </w:rPr>
              <w:t>生产线停车</w:t>
            </w:r>
            <w:r>
              <w:rPr>
                <w:rFonts w:hint="eastAsia"/>
                <w:color w:val="auto"/>
                <w:sz w:val="24"/>
                <w:szCs w:val="24"/>
                <w:highlight w:val="none"/>
              </w:rPr>
              <w:t>。</w:t>
            </w:r>
          </w:p>
          <w:p w14:paraId="13D0513C">
            <w:pPr>
              <w:spacing w:line="360" w:lineRule="auto"/>
              <w:ind w:firstLine="360" w:firstLineChars="150"/>
              <w:rPr>
                <w:color w:val="auto"/>
                <w:sz w:val="24"/>
                <w:szCs w:val="24"/>
                <w:highlight w:val="none"/>
              </w:rPr>
            </w:pPr>
            <w:r>
              <w:rPr>
                <w:rFonts w:hint="eastAsia"/>
                <w:color w:val="auto"/>
                <w:sz w:val="24"/>
                <w:szCs w:val="24"/>
                <w:highlight w:val="none"/>
                <w:lang w:val="en-US" w:eastAsia="zh-CN"/>
              </w:rPr>
              <w:t>②</w:t>
            </w:r>
            <w:r>
              <w:rPr>
                <w:rFonts w:hint="eastAsia"/>
                <w:color w:val="auto"/>
                <w:sz w:val="24"/>
                <w:szCs w:val="24"/>
                <w:highlight w:val="none"/>
              </w:rPr>
              <w:t>非正常</w:t>
            </w:r>
            <w:r>
              <w:rPr>
                <w:rFonts w:hint="eastAsia"/>
                <w:color w:val="auto"/>
                <w:sz w:val="24"/>
                <w:szCs w:val="24"/>
                <w:highlight w:val="none"/>
                <w:lang w:val="en-US" w:eastAsia="zh-CN"/>
              </w:rPr>
              <w:t>或事故</w:t>
            </w:r>
            <w:r>
              <w:rPr>
                <w:rFonts w:hint="eastAsia"/>
                <w:color w:val="auto"/>
                <w:sz w:val="24"/>
                <w:szCs w:val="24"/>
                <w:highlight w:val="none"/>
              </w:rPr>
              <w:t>排放源核算</w:t>
            </w:r>
          </w:p>
          <w:p w14:paraId="39C91CED">
            <w:pPr>
              <w:spacing w:line="360" w:lineRule="auto"/>
              <w:ind w:firstLine="360" w:firstLineChars="150"/>
              <w:rPr>
                <w:color w:val="auto"/>
                <w:sz w:val="24"/>
                <w:szCs w:val="24"/>
                <w:highlight w:val="none"/>
              </w:rPr>
            </w:pPr>
            <w:r>
              <w:rPr>
                <w:rFonts w:hint="eastAsia"/>
                <w:color w:val="auto"/>
                <w:sz w:val="24"/>
                <w:szCs w:val="24"/>
                <w:highlight w:val="none"/>
              </w:rPr>
              <w:t>根据分析，项目非正常排放源核算结果见下表。</w:t>
            </w:r>
          </w:p>
          <w:p w14:paraId="25958791">
            <w:pPr>
              <w:pStyle w:val="14"/>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lang w:val="en-US" w:eastAsia="zh-CN"/>
              </w:rPr>
              <w:t xml:space="preserve">  非正常排放源强核算表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678"/>
              <w:gridCol w:w="1367"/>
              <w:gridCol w:w="1483"/>
              <w:gridCol w:w="933"/>
              <w:gridCol w:w="1134"/>
              <w:gridCol w:w="1138"/>
              <w:gridCol w:w="1489"/>
            </w:tblGrid>
            <w:tr w14:paraId="38A2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jc w:val="center"/>
              </w:trPr>
              <w:tc>
                <w:tcPr>
                  <w:tcW w:w="536" w:type="pct"/>
                  <w:tcBorders>
                    <w:top w:val="single" w:color="000000" w:sz="12" w:space="0"/>
                    <w:bottom w:val="single" w:color="000000" w:sz="4" w:space="0"/>
                    <w:right w:val="single" w:color="000000" w:sz="4" w:space="0"/>
                  </w:tcBorders>
                  <w:shd w:val="clear" w:color="auto" w:fill="auto"/>
                  <w:vAlign w:val="center"/>
                </w:tcPr>
                <w:p w14:paraId="635D8DCD">
                  <w:pPr>
                    <w:pStyle w:val="106"/>
                    <w:bidi w:val="0"/>
                    <w:rPr>
                      <w:b/>
                      <w:bCs/>
                      <w:color w:val="auto"/>
                      <w:highlight w:val="none"/>
                    </w:rPr>
                  </w:pPr>
                  <w:r>
                    <w:rPr>
                      <w:b/>
                      <w:bCs/>
                      <w:color w:val="auto"/>
                      <w:highlight w:val="none"/>
                    </w:rPr>
                    <w:t>非正常排放源</w:t>
                  </w:r>
                </w:p>
              </w:tc>
              <w:tc>
                <w:tcPr>
                  <w:tcW w:w="368" w:type="pct"/>
                  <w:tcBorders>
                    <w:top w:val="single" w:color="000000" w:sz="12" w:space="0"/>
                    <w:left w:val="single" w:color="000000" w:sz="4" w:space="0"/>
                    <w:bottom w:val="single" w:color="000000" w:sz="4" w:space="0"/>
                    <w:right w:val="single" w:color="000000" w:sz="4" w:space="0"/>
                  </w:tcBorders>
                  <w:vAlign w:val="center"/>
                </w:tcPr>
                <w:p w14:paraId="3D27EB13">
                  <w:pPr>
                    <w:pStyle w:val="106"/>
                    <w:bidi w:val="0"/>
                    <w:rPr>
                      <w:b/>
                      <w:bCs/>
                      <w:color w:val="auto"/>
                      <w:highlight w:val="none"/>
                    </w:rPr>
                  </w:pPr>
                  <w:r>
                    <w:rPr>
                      <w:b/>
                      <w:bCs/>
                      <w:color w:val="auto"/>
                      <w:highlight w:val="none"/>
                    </w:rPr>
                    <w:t>污染因子</w:t>
                  </w:r>
                </w:p>
              </w:tc>
              <w:tc>
                <w:tcPr>
                  <w:tcW w:w="742"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3F721962">
                  <w:pPr>
                    <w:pStyle w:val="106"/>
                    <w:bidi w:val="0"/>
                    <w:rPr>
                      <w:b/>
                      <w:bCs/>
                      <w:color w:val="auto"/>
                      <w:highlight w:val="none"/>
                    </w:rPr>
                  </w:pPr>
                  <w:r>
                    <w:rPr>
                      <w:b/>
                      <w:bCs/>
                      <w:color w:val="auto"/>
                      <w:highlight w:val="none"/>
                    </w:rPr>
                    <w:t>非正常排放速率</w:t>
                  </w:r>
                  <w:r>
                    <w:rPr>
                      <w:rFonts w:hint="eastAsia"/>
                      <w:b/>
                      <w:bCs/>
                      <w:color w:val="auto"/>
                      <w:highlight w:val="none"/>
                    </w:rPr>
                    <w:t>（kg</w:t>
                  </w:r>
                  <w:r>
                    <w:rPr>
                      <w:b/>
                      <w:bCs/>
                      <w:color w:val="auto"/>
                      <w:highlight w:val="none"/>
                    </w:rPr>
                    <w:t>/h</w:t>
                  </w:r>
                  <w:r>
                    <w:rPr>
                      <w:rFonts w:hint="eastAsia"/>
                      <w:b/>
                      <w:bCs/>
                      <w:color w:val="auto"/>
                      <w:highlight w:val="none"/>
                    </w:rPr>
                    <w:t>）</w:t>
                  </w:r>
                </w:p>
              </w:tc>
              <w:tc>
                <w:tcPr>
                  <w:tcW w:w="805"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6306A68A">
                  <w:pPr>
                    <w:pStyle w:val="106"/>
                    <w:bidi w:val="0"/>
                    <w:rPr>
                      <w:b/>
                      <w:bCs/>
                      <w:color w:val="auto"/>
                      <w:highlight w:val="none"/>
                    </w:rPr>
                  </w:pPr>
                  <w:r>
                    <w:rPr>
                      <w:b/>
                      <w:bCs/>
                      <w:color w:val="auto"/>
                      <w:highlight w:val="none"/>
                    </w:rPr>
                    <w:t>非正常排放</w:t>
                  </w:r>
                  <w:r>
                    <w:rPr>
                      <w:rFonts w:hint="eastAsia"/>
                      <w:b/>
                      <w:bCs/>
                      <w:color w:val="auto"/>
                      <w:highlight w:val="none"/>
                      <w:lang w:val="en-US" w:eastAsia="zh-CN"/>
                    </w:rPr>
                    <w:t>浓度</w:t>
                  </w:r>
                  <w:r>
                    <w:rPr>
                      <w:rFonts w:hint="eastAsia"/>
                      <w:b/>
                      <w:bCs/>
                      <w:color w:val="auto"/>
                      <w:highlight w:val="none"/>
                    </w:rPr>
                    <w:t>（</w:t>
                  </w:r>
                  <w:r>
                    <w:rPr>
                      <w:rFonts w:hint="eastAsia"/>
                      <w:b/>
                      <w:bCs/>
                      <w:color w:val="auto"/>
                      <w:highlight w:val="none"/>
                      <w:lang w:val="en-US" w:eastAsia="zh-CN"/>
                    </w:rPr>
                    <w:t>mg</w:t>
                  </w:r>
                  <w:r>
                    <w:rPr>
                      <w:b/>
                      <w:bCs/>
                      <w:color w:val="auto"/>
                      <w:highlight w:val="none"/>
                    </w:rPr>
                    <w:t>/</w:t>
                  </w:r>
                  <w:r>
                    <w:rPr>
                      <w:rFonts w:hint="eastAsia"/>
                      <w:b/>
                      <w:bCs/>
                      <w:color w:val="auto"/>
                      <w:highlight w:val="none"/>
                      <w:lang w:val="en-US" w:eastAsia="zh-CN"/>
                    </w:rPr>
                    <w:t>m</w:t>
                  </w:r>
                  <w:r>
                    <w:rPr>
                      <w:rFonts w:hint="eastAsia"/>
                      <w:b/>
                      <w:bCs/>
                      <w:color w:val="auto"/>
                      <w:highlight w:val="none"/>
                      <w:vertAlign w:val="superscript"/>
                      <w:lang w:val="en-US" w:eastAsia="zh-CN"/>
                    </w:rPr>
                    <w:t>3</w:t>
                  </w:r>
                  <w:r>
                    <w:rPr>
                      <w:rFonts w:hint="eastAsia"/>
                      <w:b/>
                      <w:bCs/>
                      <w:color w:val="auto"/>
                      <w:highlight w:val="none"/>
                    </w:rPr>
                    <w:t>）</w:t>
                  </w:r>
                </w:p>
              </w:tc>
              <w:tc>
                <w:tcPr>
                  <w:tcW w:w="506"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1744AA8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b/>
                      <w:bCs/>
                      <w:color w:val="auto"/>
                      <w:highlight w:val="none"/>
                    </w:rPr>
                  </w:pPr>
                  <w:r>
                    <w:rPr>
                      <w:b/>
                      <w:bCs/>
                      <w:color w:val="auto"/>
                      <w:highlight w:val="none"/>
                    </w:rPr>
                    <w:t>单次持续时间</w:t>
                  </w:r>
                  <w:r>
                    <w:rPr>
                      <w:rFonts w:hint="eastAsia"/>
                      <w:b/>
                      <w:bCs/>
                      <w:color w:val="auto"/>
                      <w:highlight w:val="none"/>
                    </w:rPr>
                    <w:t>（</w:t>
                  </w:r>
                  <w:r>
                    <w:rPr>
                      <w:b/>
                      <w:bCs/>
                      <w:color w:val="auto"/>
                      <w:highlight w:val="none"/>
                    </w:rPr>
                    <w:t>h</w:t>
                  </w:r>
                  <w:r>
                    <w:rPr>
                      <w:rFonts w:hint="eastAsia"/>
                      <w:b/>
                      <w:bCs/>
                      <w:color w:val="auto"/>
                      <w:highlight w:val="none"/>
                    </w:rPr>
                    <w:t>）</w:t>
                  </w:r>
                </w:p>
              </w:tc>
              <w:tc>
                <w:tcPr>
                  <w:tcW w:w="615"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404DF1E7">
                  <w:pPr>
                    <w:pStyle w:val="106"/>
                    <w:bidi w:val="0"/>
                    <w:rPr>
                      <w:b/>
                      <w:bCs/>
                      <w:color w:val="auto"/>
                      <w:highlight w:val="none"/>
                    </w:rPr>
                  </w:pPr>
                  <w:r>
                    <w:rPr>
                      <w:b/>
                      <w:bCs/>
                      <w:color w:val="auto"/>
                      <w:highlight w:val="none"/>
                    </w:rPr>
                    <w:t>年发生频次</w:t>
                  </w:r>
                  <w:r>
                    <w:rPr>
                      <w:rFonts w:hint="eastAsia"/>
                      <w:b/>
                      <w:bCs/>
                      <w:color w:val="auto"/>
                      <w:highlight w:val="none"/>
                    </w:rPr>
                    <w:t>（</w:t>
                  </w:r>
                  <w:r>
                    <w:rPr>
                      <w:b/>
                      <w:bCs/>
                      <w:color w:val="auto"/>
                      <w:highlight w:val="none"/>
                    </w:rPr>
                    <w:t>次</w:t>
                  </w:r>
                  <w:r>
                    <w:rPr>
                      <w:rFonts w:hint="eastAsia"/>
                      <w:b/>
                      <w:bCs/>
                      <w:color w:val="auto"/>
                      <w:highlight w:val="none"/>
                    </w:rPr>
                    <w:t>）</w:t>
                  </w:r>
                </w:p>
              </w:tc>
              <w:tc>
                <w:tcPr>
                  <w:tcW w:w="617" w:type="pct"/>
                  <w:tcBorders>
                    <w:top w:val="single" w:color="000000" w:sz="12" w:space="0"/>
                    <w:left w:val="single" w:color="000000" w:sz="4" w:space="0"/>
                    <w:bottom w:val="single" w:color="000000" w:sz="4" w:space="0"/>
                    <w:right w:val="single" w:color="000000" w:sz="4" w:space="0"/>
                  </w:tcBorders>
                  <w:shd w:val="clear" w:color="auto" w:fill="auto"/>
                  <w:vAlign w:val="center"/>
                </w:tcPr>
                <w:p w14:paraId="7B1CAFF3">
                  <w:pPr>
                    <w:pStyle w:val="106"/>
                    <w:bidi w:val="0"/>
                    <w:rPr>
                      <w:rFonts w:hint="default" w:eastAsia="宋体"/>
                      <w:b/>
                      <w:bCs/>
                      <w:color w:val="auto"/>
                      <w:highlight w:val="none"/>
                      <w:lang w:val="en-US" w:eastAsia="zh-CN"/>
                    </w:rPr>
                  </w:pPr>
                  <w:r>
                    <w:rPr>
                      <w:rFonts w:hint="eastAsia"/>
                      <w:b/>
                      <w:bCs/>
                      <w:color w:val="auto"/>
                      <w:highlight w:val="none"/>
                      <w:lang w:val="en-US" w:eastAsia="zh-CN"/>
                    </w:rPr>
                    <w:t>排放标准</w:t>
                  </w:r>
                  <w:r>
                    <w:rPr>
                      <w:rFonts w:hint="eastAsia"/>
                      <w:b/>
                      <w:bCs/>
                      <w:color w:val="auto"/>
                      <w:highlight w:val="none"/>
                    </w:rPr>
                    <w:t>（</w:t>
                  </w:r>
                  <w:r>
                    <w:rPr>
                      <w:rFonts w:hint="eastAsia"/>
                      <w:b/>
                      <w:bCs/>
                      <w:color w:val="auto"/>
                      <w:highlight w:val="none"/>
                      <w:lang w:val="en-US" w:eastAsia="zh-CN"/>
                    </w:rPr>
                    <w:t>mg</w:t>
                  </w:r>
                  <w:r>
                    <w:rPr>
                      <w:b/>
                      <w:bCs/>
                      <w:color w:val="auto"/>
                      <w:highlight w:val="none"/>
                    </w:rPr>
                    <w:t>/</w:t>
                  </w:r>
                  <w:r>
                    <w:rPr>
                      <w:rFonts w:hint="eastAsia"/>
                      <w:b/>
                      <w:bCs/>
                      <w:color w:val="auto"/>
                      <w:highlight w:val="none"/>
                      <w:lang w:val="en-US" w:eastAsia="zh-CN"/>
                    </w:rPr>
                    <w:t>m</w:t>
                  </w:r>
                  <w:r>
                    <w:rPr>
                      <w:rFonts w:hint="eastAsia"/>
                      <w:b/>
                      <w:bCs/>
                      <w:color w:val="auto"/>
                      <w:highlight w:val="none"/>
                      <w:vertAlign w:val="superscript"/>
                      <w:lang w:val="en-US" w:eastAsia="zh-CN"/>
                    </w:rPr>
                    <w:t>3</w:t>
                  </w:r>
                  <w:r>
                    <w:rPr>
                      <w:rFonts w:hint="eastAsia"/>
                      <w:b/>
                      <w:bCs/>
                      <w:color w:val="auto"/>
                      <w:highlight w:val="none"/>
                    </w:rPr>
                    <w:t>）</w:t>
                  </w:r>
                </w:p>
              </w:tc>
              <w:tc>
                <w:tcPr>
                  <w:tcW w:w="808" w:type="pct"/>
                  <w:tcBorders>
                    <w:top w:val="single" w:color="000000" w:sz="12" w:space="0"/>
                    <w:left w:val="single" w:color="000000" w:sz="4" w:space="0"/>
                    <w:bottom w:val="single" w:color="000000" w:sz="4" w:space="0"/>
                    <w:right w:val="nil"/>
                  </w:tcBorders>
                  <w:shd w:val="clear" w:color="auto" w:fill="auto"/>
                  <w:vAlign w:val="center"/>
                </w:tcPr>
                <w:p w14:paraId="5C6A3038">
                  <w:pPr>
                    <w:pStyle w:val="106"/>
                    <w:bidi w:val="0"/>
                    <w:rPr>
                      <w:rFonts w:hint="default"/>
                      <w:b/>
                      <w:bCs/>
                      <w:color w:val="auto"/>
                      <w:highlight w:val="none"/>
                      <w:lang w:val="en-US" w:eastAsia="zh-CN"/>
                    </w:rPr>
                  </w:pPr>
                  <w:r>
                    <w:rPr>
                      <w:rFonts w:hint="eastAsia"/>
                      <w:b/>
                      <w:bCs/>
                      <w:color w:val="auto"/>
                      <w:highlight w:val="none"/>
                      <w:lang w:val="en-US" w:eastAsia="zh-CN"/>
                    </w:rPr>
                    <w:t>应对措施</w:t>
                  </w:r>
                </w:p>
              </w:tc>
            </w:tr>
            <w:tr w14:paraId="2D47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36" w:type="pct"/>
                  <w:tcBorders>
                    <w:top w:val="single" w:color="000000" w:sz="4" w:space="0"/>
                    <w:left w:val="nil"/>
                    <w:bottom w:val="single" w:color="000000" w:sz="12" w:space="0"/>
                    <w:right w:val="single" w:color="000000" w:sz="4" w:space="0"/>
                  </w:tcBorders>
                  <w:shd w:val="clear" w:color="auto" w:fill="auto"/>
                  <w:vAlign w:val="center"/>
                </w:tcPr>
                <w:p w14:paraId="4A7104DD">
                  <w:pPr>
                    <w:widowControl/>
                    <w:autoSpaceDE/>
                    <w:autoSpaceDN/>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DA00</w:t>
                  </w:r>
                  <w:r>
                    <w:rPr>
                      <w:rFonts w:hint="default" w:ascii="Times New Roman" w:hAnsi="Times New Roman" w:cs="Times New Roman"/>
                      <w:color w:val="auto"/>
                      <w:kern w:val="0"/>
                      <w:sz w:val="21"/>
                      <w:szCs w:val="21"/>
                      <w:highlight w:val="none"/>
                      <w:lang w:val="en-US" w:eastAsia="zh-CN" w:bidi="ar"/>
                    </w:rPr>
                    <w:t>1</w:t>
                  </w:r>
                </w:p>
              </w:tc>
              <w:tc>
                <w:tcPr>
                  <w:tcW w:w="368"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0CF74A79">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0"/>
                      <w:sz w:val="21"/>
                      <w:szCs w:val="21"/>
                      <w:highlight w:val="none"/>
                      <w:lang w:val="en-US" w:eastAsia="zh-CN"/>
                    </w:rPr>
                    <w:t>NOx</w:t>
                  </w:r>
                </w:p>
              </w:tc>
              <w:tc>
                <w:tcPr>
                  <w:tcW w:w="742"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16D6482A">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0.4290</w:t>
                  </w:r>
                </w:p>
              </w:tc>
              <w:tc>
                <w:tcPr>
                  <w:tcW w:w="805"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63AE8297">
                  <w:pPr>
                    <w:pStyle w:val="106"/>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195</w:t>
                  </w:r>
                </w:p>
              </w:tc>
              <w:tc>
                <w:tcPr>
                  <w:tcW w:w="506"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00C75520">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color w:val="auto"/>
                      <w:highlight w:val="none"/>
                    </w:rPr>
                    <w:t>1</w:t>
                  </w:r>
                </w:p>
              </w:tc>
              <w:tc>
                <w:tcPr>
                  <w:tcW w:w="615"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0291D5E5">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w:t>
                  </w:r>
                </w:p>
              </w:tc>
              <w:tc>
                <w:tcPr>
                  <w:tcW w:w="617" w:type="pct"/>
                  <w:tcBorders>
                    <w:top w:val="single" w:color="000000" w:sz="4" w:space="0"/>
                    <w:left w:val="single" w:color="000000" w:sz="4" w:space="0"/>
                    <w:bottom w:val="single" w:color="000000" w:sz="12" w:space="0"/>
                    <w:right w:val="single" w:color="000000" w:sz="4" w:space="0"/>
                  </w:tcBorders>
                  <w:shd w:val="clear" w:color="auto" w:fill="auto"/>
                  <w:vAlign w:val="center"/>
                </w:tcPr>
                <w:p w14:paraId="0FEF3F3F">
                  <w:pPr>
                    <w:pStyle w:val="106"/>
                    <w:bidi w:val="0"/>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150</w:t>
                  </w:r>
                </w:p>
              </w:tc>
              <w:tc>
                <w:tcPr>
                  <w:tcW w:w="808" w:type="pct"/>
                  <w:tcBorders>
                    <w:top w:val="single" w:color="000000" w:sz="4" w:space="0"/>
                    <w:left w:val="single" w:color="000000" w:sz="4" w:space="0"/>
                    <w:bottom w:val="single" w:color="000000" w:sz="12" w:space="0"/>
                    <w:right w:val="nil"/>
                  </w:tcBorders>
                  <w:shd w:val="clear" w:color="auto" w:fill="auto"/>
                  <w:vAlign w:val="center"/>
                </w:tcPr>
                <w:p w14:paraId="12F88763">
                  <w:pPr>
                    <w:pStyle w:val="106"/>
                    <w:bidi w:val="0"/>
                    <w:rPr>
                      <w:rFonts w:hint="eastAsia"/>
                      <w:color w:val="auto"/>
                      <w:highlight w:val="none"/>
                      <w:lang w:val="en-US" w:eastAsia="zh-CN"/>
                    </w:rPr>
                  </w:pPr>
                  <w:r>
                    <w:rPr>
                      <w:rFonts w:ascii="宋体" w:hAnsi="宋体" w:eastAsia="宋体" w:cs="宋体"/>
                      <w:color w:val="auto"/>
                      <w:sz w:val="21"/>
                      <w:szCs w:val="21"/>
                      <w:highlight w:val="none"/>
                    </w:rPr>
                    <w:t>加强废气治理措施维护，定期检修，做好环保设备巡检记录</w:t>
                  </w:r>
                </w:p>
              </w:tc>
            </w:tr>
          </w:tbl>
          <w:p w14:paraId="79D9CDE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360" w:firstLineChars="150"/>
              <w:textAlignment w:val="auto"/>
              <w:rPr>
                <w:bCs/>
                <w:color w:val="auto"/>
                <w:sz w:val="24"/>
                <w:szCs w:val="24"/>
                <w:highlight w:val="none"/>
              </w:rPr>
            </w:pPr>
            <w:r>
              <w:rPr>
                <w:rFonts w:hint="eastAsia"/>
                <w:bCs/>
                <w:color w:val="auto"/>
                <w:sz w:val="24"/>
                <w:szCs w:val="24"/>
                <w:highlight w:val="none"/>
                <w:lang w:val="en-US" w:eastAsia="zh-CN"/>
              </w:rPr>
              <w:t>③</w:t>
            </w:r>
            <w:r>
              <w:rPr>
                <w:rFonts w:hint="eastAsia"/>
                <w:bCs/>
                <w:color w:val="auto"/>
                <w:sz w:val="24"/>
                <w:szCs w:val="24"/>
                <w:highlight w:val="none"/>
              </w:rPr>
              <w:t>非正常</w:t>
            </w:r>
            <w:r>
              <w:rPr>
                <w:rFonts w:hint="eastAsia"/>
                <w:bCs/>
                <w:color w:val="auto"/>
                <w:sz w:val="24"/>
                <w:szCs w:val="24"/>
                <w:highlight w:val="none"/>
                <w:lang w:val="en-US" w:eastAsia="zh-CN"/>
              </w:rPr>
              <w:t>或事故</w:t>
            </w:r>
            <w:r>
              <w:rPr>
                <w:rFonts w:hint="eastAsia"/>
                <w:bCs/>
                <w:color w:val="auto"/>
                <w:sz w:val="24"/>
                <w:szCs w:val="24"/>
                <w:highlight w:val="none"/>
              </w:rPr>
              <w:t>排放控制措施</w:t>
            </w:r>
          </w:p>
          <w:p w14:paraId="33BE2ADC">
            <w:pPr>
              <w:spacing w:line="360" w:lineRule="auto"/>
              <w:ind w:firstLine="360" w:firstLineChars="150"/>
              <w:rPr>
                <w:color w:val="auto"/>
                <w:sz w:val="24"/>
                <w:szCs w:val="24"/>
                <w:highlight w:val="none"/>
              </w:rPr>
            </w:pPr>
            <w:r>
              <w:rPr>
                <w:rFonts w:hint="eastAsia"/>
                <w:color w:val="auto"/>
                <w:sz w:val="24"/>
                <w:szCs w:val="24"/>
                <w:highlight w:val="none"/>
              </w:rPr>
              <w:t>为防范非正常</w:t>
            </w:r>
            <w:r>
              <w:rPr>
                <w:rFonts w:hint="eastAsia"/>
                <w:color w:val="auto"/>
                <w:sz w:val="24"/>
                <w:szCs w:val="24"/>
                <w:highlight w:val="none"/>
                <w:lang w:eastAsia="zh-CN"/>
              </w:rPr>
              <w:t>排放</w:t>
            </w:r>
            <w:r>
              <w:rPr>
                <w:rFonts w:hint="eastAsia"/>
                <w:color w:val="auto"/>
                <w:sz w:val="24"/>
                <w:szCs w:val="24"/>
                <w:highlight w:val="none"/>
              </w:rPr>
              <w:t>对环境的影响，环评要求：建设单位应合理安排设备检修，应加强环保设施的日常维护和保养，确保其稳定、正常运行；一旦废气处理设施故障停机，企业必须马上停产维修，待其正常运行后方可恢复生产。</w:t>
            </w:r>
          </w:p>
          <w:p w14:paraId="6A20F5D5">
            <w:pPr>
              <w:bidi w:val="0"/>
              <w:rPr>
                <w:rFonts w:hint="default"/>
                <w:b/>
                <w:bCs/>
                <w:color w:val="auto"/>
                <w:highlight w:val="none"/>
              </w:rPr>
            </w:pPr>
            <w:r>
              <w:rPr>
                <w:rFonts w:hint="default"/>
                <w:b/>
                <w:bCs/>
                <w:color w:val="auto"/>
                <w:highlight w:val="none"/>
              </w:rPr>
              <w:t>（</w:t>
            </w:r>
            <w:r>
              <w:rPr>
                <w:rFonts w:hint="eastAsia"/>
                <w:b/>
                <w:bCs/>
                <w:color w:val="auto"/>
                <w:highlight w:val="none"/>
                <w:lang w:val="en-US" w:eastAsia="zh-CN"/>
              </w:rPr>
              <w:t>4</w:t>
            </w:r>
            <w:r>
              <w:rPr>
                <w:rFonts w:hint="default"/>
                <w:b/>
                <w:bCs/>
                <w:color w:val="auto"/>
                <w:highlight w:val="none"/>
              </w:rPr>
              <w:t>）废气污染源监测计划</w:t>
            </w:r>
          </w:p>
          <w:p w14:paraId="00EA86BB">
            <w:pPr>
              <w:bidi w:val="0"/>
              <w:rPr>
                <w:rFonts w:hint="default"/>
                <w:color w:val="auto"/>
                <w:highlight w:val="none"/>
              </w:rPr>
            </w:pPr>
            <w:r>
              <w:rPr>
                <w:rFonts w:hint="default"/>
                <w:color w:val="auto"/>
                <w:highlight w:val="none"/>
              </w:rPr>
              <w:t>本次环评参照《排污单位自行监测技术指南总则》</w:t>
            </w:r>
            <w:r>
              <w:rPr>
                <w:rFonts w:hint="eastAsia"/>
                <w:color w:val="auto"/>
                <w:highlight w:val="none"/>
                <w:lang w:eastAsia="zh-CN"/>
              </w:rPr>
              <w:t>（</w:t>
            </w:r>
            <w:r>
              <w:rPr>
                <w:rFonts w:hint="default"/>
                <w:color w:val="auto"/>
                <w:highlight w:val="none"/>
              </w:rPr>
              <w:t>HJ819-2017</w:t>
            </w:r>
            <w:r>
              <w:rPr>
                <w:rFonts w:hint="eastAsia"/>
                <w:color w:val="auto"/>
                <w:highlight w:val="none"/>
                <w:lang w:eastAsia="zh-CN"/>
              </w:rPr>
              <w:t>）</w:t>
            </w:r>
            <w:r>
              <w:rPr>
                <w:rFonts w:hint="eastAsia"/>
                <w:color w:val="auto"/>
                <w:highlight w:val="none"/>
                <w:lang w:val="en-US" w:eastAsia="zh-CN"/>
              </w:rPr>
              <w:t>以及</w:t>
            </w:r>
            <w:r>
              <w:rPr>
                <w:rFonts w:hint="default"/>
                <w:color w:val="auto"/>
                <w:highlight w:val="none"/>
              </w:rPr>
              <w:t>《排污许可证申请与核发技术规范食品制造工业一方便食品、食品及饲料添加剂制造工业》</w:t>
            </w:r>
            <w:r>
              <w:rPr>
                <w:rFonts w:hint="eastAsia"/>
                <w:color w:val="auto"/>
                <w:highlight w:val="none"/>
                <w:lang w:eastAsia="zh-CN"/>
              </w:rPr>
              <w:t>（</w:t>
            </w:r>
            <w:r>
              <w:rPr>
                <w:rFonts w:hint="default"/>
                <w:color w:val="auto"/>
                <w:highlight w:val="none"/>
              </w:rPr>
              <w:t>HJ</w:t>
            </w:r>
            <w:r>
              <w:rPr>
                <w:rFonts w:hint="eastAsia"/>
                <w:color w:val="auto"/>
                <w:highlight w:val="none"/>
                <w:lang w:val="en-US" w:eastAsia="zh-CN"/>
              </w:rPr>
              <w:t xml:space="preserve"> 1030.3</w:t>
            </w:r>
            <w:r>
              <w:rPr>
                <w:rFonts w:hint="default"/>
                <w:color w:val="auto"/>
                <w:highlight w:val="none"/>
              </w:rPr>
              <w:t>-20</w:t>
            </w:r>
            <w:r>
              <w:rPr>
                <w:rFonts w:hint="eastAsia"/>
                <w:color w:val="auto"/>
                <w:highlight w:val="none"/>
                <w:lang w:val="en-US" w:eastAsia="zh-CN"/>
              </w:rPr>
              <w:t>19</w:t>
            </w:r>
            <w:r>
              <w:rPr>
                <w:rFonts w:hint="eastAsia"/>
                <w:color w:val="auto"/>
                <w:highlight w:val="none"/>
                <w:lang w:eastAsia="zh-CN"/>
              </w:rPr>
              <w:t>）、</w:t>
            </w:r>
            <w:r>
              <w:rPr>
                <w:rFonts w:hint="default"/>
                <w:color w:val="auto"/>
                <w:highlight w:val="none"/>
              </w:rPr>
              <w:t>《排污许可证申请与核发技术规范总则》（HJ942-2018）</w:t>
            </w:r>
            <w:r>
              <w:rPr>
                <w:rFonts w:hint="eastAsia"/>
                <w:color w:val="auto"/>
                <w:highlight w:val="none"/>
                <w:lang w:eastAsia="zh-CN"/>
              </w:rPr>
              <w:t>，</w:t>
            </w:r>
            <w:r>
              <w:rPr>
                <w:rFonts w:hint="eastAsia"/>
                <w:color w:val="auto"/>
                <w:highlight w:val="none"/>
                <w:lang w:val="en-US" w:eastAsia="zh-CN"/>
              </w:rPr>
              <w:t>并</w:t>
            </w:r>
            <w:r>
              <w:rPr>
                <w:rFonts w:hint="default"/>
                <w:color w:val="auto"/>
                <w:highlight w:val="none"/>
              </w:rPr>
              <w:t>结合本项目排污情况，提出项目生产运行阶段的污染源监测计划，详见下表：</w:t>
            </w:r>
          </w:p>
          <w:p w14:paraId="0C553959">
            <w:pPr>
              <w:pStyle w:val="14"/>
              <w:bidi w:val="0"/>
              <w:rPr>
                <w:rFonts w:hint="default"/>
                <w:color w:val="auto"/>
                <w:highlight w:val="none"/>
              </w:rPr>
            </w:pPr>
            <w:r>
              <w:rPr>
                <w:rFonts w:hint="default"/>
                <w:color w:val="auto"/>
                <w:highlight w:val="none"/>
              </w:rPr>
              <w:t>表4-</w:t>
            </w:r>
            <w:r>
              <w:rPr>
                <w:rFonts w:hint="default"/>
                <w:color w:val="auto"/>
                <w:highlight w:val="none"/>
              </w:rPr>
              <w:fldChar w:fldCharType="begin"/>
            </w:r>
            <w:r>
              <w:rPr>
                <w:rFonts w:hint="default"/>
                <w:color w:val="auto"/>
                <w:highlight w:val="none"/>
              </w:rPr>
              <w:instrText xml:space="preserve"> SEQ 表4- \* ARABIC </w:instrText>
            </w:r>
            <w:r>
              <w:rPr>
                <w:rFonts w:hint="default"/>
                <w:color w:val="auto"/>
                <w:highlight w:val="none"/>
              </w:rPr>
              <w:fldChar w:fldCharType="separate"/>
            </w:r>
            <w:r>
              <w:rPr>
                <w:rFonts w:hint="default"/>
                <w:color w:val="auto"/>
                <w:highlight w:val="none"/>
              </w:rPr>
              <w:t>9</w:t>
            </w:r>
            <w:r>
              <w:rPr>
                <w:rFonts w:hint="default"/>
                <w:color w:val="auto"/>
                <w:highlight w:val="none"/>
              </w:rPr>
              <w:fldChar w:fldCharType="end"/>
            </w:r>
            <w:r>
              <w:rPr>
                <w:rFonts w:hint="eastAsia"/>
                <w:color w:val="auto"/>
                <w:highlight w:val="none"/>
                <w:lang w:val="en-US" w:eastAsia="zh-CN"/>
              </w:rPr>
              <w:t xml:space="preserve">  </w:t>
            </w:r>
            <w:r>
              <w:rPr>
                <w:rFonts w:hint="default"/>
                <w:color w:val="auto"/>
                <w:highlight w:val="none"/>
              </w:rPr>
              <w:t>废气自行监测计划表</w:t>
            </w:r>
          </w:p>
          <w:tbl>
            <w:tblPr>
              <w:tblStyle w:val="2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3"/>
              <w:gridCol w:w="1028"/>
              <w:gridCol w:w="1753"/>
              <w:gridCol w:w="597"/>
              <w:gridCol w:w="5039"/>
            </w:tblGrid>
            <w:tr w14:paraId="65B2E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430" w:type="pct"/>
                  <w:tcBorders>
                    <w:top w:val="single" w:color="000000" w:sz="12" w:space="0"/>
                    <w:bottom w:val="single" w:color="000000" w:sz="4" w:space="0"/>
                    <w:right w:val="single" w:color="000000" w:sz="4" w:space="0"/>
                  </w:tcBorders>
                  <w:vAlign w:val="center"/>
                </w:tcPr>
                <w:p w14:paraId="2B307BC5">
                  <w:pPr>
                    <w:pStyle w:val="106"/>
                    <w:bidi w:val="0"/>
                    <w:rPr>
                      <w:rFonts w:hint="default"/>
                      <w:b/>
                      <w:bCs/>
                      <w:color w:val="auto"/>
                      <w:highlight w:val="none"/>
                    </w:rPr>
                  </w:pPr>
                  <w:r>
                    <w:rPr>
                      <w:rFonts w:hint="default"/>
                      <w:b/>
                      <w:bCs/>
                      <w:color w:val="auto"/>
                      <w:highlight w:val="none"/>
                    </w:rPr>
                    <w:t>排放形式</w:t>
                  </w:r>
                </w:p>
              </w:tc>
              <w:tc>
                <w:tcPr>
                  <w:tcW w:w="558" w:type="pct"/>
                  <w:tcBorders>
                    <w:top w:val="single" w:color="000000" w:sz="12" w:space="0"/>
                    <w:left w:val="single" w:color="000000" w:sz="4" w:space="0"/>
                    <w:bottom w:val="single" w:color="000000" w:sz="4" w:space="0"/>
                    <w:right w:val="single" w:color="000000" w:sz="4" w:space="0"/>
                  </w:tcBorders>
                  <w:vAlign w:val="center"/>
                </w:tcPr>
                <w:p w14:paraId="307CFD11">
                  <w:pPr>
                    <w:pStyle w:val="106"/>
                    <w:bidi w:val="0"/>
                    <w:rPr>
                      <w:rFonts w:hint="default"/>
                      <w:b/>
                      <w:bCs/>
                      <w:color w:val="auto"/>
                      <w:highlight w:val="none"/>
                    </w:rPr>
                  </w:pPr>
                  <w:r>
                    <w:rPr>
                      <w:rFonts w:hint="default"/>
                      <w:b/>
                      <w:bCs/>
                      <w:color w:val="auto"/>
                      <w:highlight w:val="none"/>
                    </w:rPr>
                    <w:t>监测点位</w:t>
                  </w:r>
                </w:p>
              </w:tc>
              <w:tc>
                <w:tcPr>
                  <w:tcW w:w="951" w:type="pct"/>
                  <w:tcBorders>
                    <w:top w:val="single" w:color="000000" w:sz="12" w:space="0"/>
                    <w:left w:val="single" w:color="000000" w:sz="4" w:space="0"/>
                    <w:bottom w:val="single" w:color="000000" w:sz="4" w:space="0"/>
                    <w:right w:val="single" w:color="000000" w:sz="4" w:space="0"/>
                  </w:tcBorders>
                  <w:vAlign w:val="center"/>
                </w:tcPr>
                <w:p w14:paraId="12EBF761">
                  <w:pPr>
                    <w:pStyle w:val="106"/>
                    <w:bidi w:val="0"/>
                    <w:rPr>
                      <w:rFonts w:hint="default"/>
                      <w:b/>
                      <w:bCs/>
                      <w:color w:val="auto"/>
                      <w:highlight w:val="none"/>
                    </w:rPr>
                  </w:pPr>
                  <w:r>
                    <w:rPr>
                      <w:rFonts w:hint="default"/>
                      <w:b/>
                      <w:bCs/>
                      <w:color w:val="auto"/>
                      <w:highlight w:val="none"/>
                    </w:rPr>
                    <w:t>监测项目</w:t>
                  </w:r>
                </w:p>
              </w:tc>
              <w:tc>
                <w:tcPr>
                  <w:tcW w:w="324" w:type="pct"/>
                  <w:tcBorders>
                    <w:top w:val="single" w:color="000000" w:sz="12" w:space="0"/>
                    <w:left w:val="single" w:color="000000" w:sz="4" w:space="0"/>
                    <w:bottom w:val="single" w:color="000000" w:sz="4" w:space="0"/>
                    <w:right w:val="single" w:color="000000" w:sz="4" w:space="0"/>
                  </w:tcBorders>
                  <w:vAlign w:val="center"/>
                </w:tcPr>
                <w:p w14:paraId="3340CD15">
                  <w:pPr>
                    <w:pStyle w:val="106"/>
                    <w:bidi w:val="0"/>
                    <w:rPr>
                      <w:rFonts w:hint="default"/>
                      <w:b/>
                      <w:bCs/>
                      <w:color w:val="auto"/>
                      <w:highlight w:val="none"/>
                    </w:rPr>
                  </w:pPr>
                  <w:r>
                    <w:rPr>
                      <w:rFonts w:hint="default"/>
                      <w:b/>
                      <w:bCs/>
                      <w:color w:val="auto"/>
                      <w:highlight w:val="none"/>
                    </w:rPr>
                    <w:t>监测频次</w:t>
                  </w:r>
                </w:p>
              </w:tc>
              <w:tc>
                <w:tcPr>
                  <w:tcW w:w="2735" w:type="pct"/>
                  <w:tcBorders>
                    <w:top w:val="single" w:color="000000" w:sz="12" w:space="0"/>
                    <w:left w:val="single" w:color="000000" w:sz="4" w:space="0"/>
                    <w:bottom w:val="single" w:color="000000" w:sz="4" w:space="0"/>
                    <w:right w:val="nil"/>
                  </w:tcBorders>
                  <w:vAlign w:val="center"/>
                </w:tcPr>
                <w:p w14:paraId="31DA6FBD">
                  <w:pPr>
                    <w:pStyle w:val="106"/>
                    <w:bidi w:val="0"/>
                    <w:rPr>
                      <w:rFonts w:hint="default"/>
                      <w:b/>
                      <w:bCs/>
                      <w:color w:val="auto"/>
                      <w:highlight w:val="none"/>
                    </w:rPr>
                  </w:pPr>
                  <w:r>
                    <w:rPr>
                      <w:rFonts w:hint="default"/>
                      <w:b/>
                      <w:bCs/>
                      <w:color w:val="auto"/>
                      <w:highlight w:val="none"/>
                    </w:rPr>
                    <w:t>执行排放标准</w:t>
                  </w:r>
                </w:p>
              </w:tc>
            </w:tr>
            <w:tr w14:paraId="386FA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430" w:type="pct"/>
                  <w:tcBorders>
                    <w:top w:val="single" w:color="000000" w:sz="4" w:space="0"/>
                    <w:left w:val="nil"/>
                    <w:bottom w:val="single" w:color="000000" w:sz="4" w:space="0"/>
                    <w:right w:val="single" w:color="000000" w:sz="4" w:space="0"/>
                  </w:tcBorders>
                  <w:vAlign w:val="center"/>
                </w:tcPr>
                <w:p w14:paraId="6D07E28D">
                  <w:pPr>
                    <w:pStyle w:val="106"/>
                    <w:bidi w:val="0"/>
                    <w:rPr>
                      <w:rFonts w:hint="default"/>
                      <w:color w:val="auto"/>
                      <w:highlight w:val="none"/>
                      <w:lang w:val="en-US" w:eastAsia="zh-CN"/>
                    </w:rPr>
                  </w:pPr>
                  <w:r>
                    <w:rPr>
                      <w:rFonts w:hint="default"/>
                      <w:color w:val="auto"/>
                      <w:highlight w:val="none"/>
                      <w:lang w:val="en-US" w:eastAsia="zh-CN"/>
                    </w:rPr>
                    <w:t>有组织</w:t>
                  </w:r>
                </w:p>
              </w:tc>
              <w:tc>
                <w:tcPr>
                  <w:tcW w:w="558" w:type="pct"/>
                  <w:tcBorders>
                    <w:top w:val="single" w:color="000000" w:sz="4" w:space="0"/>
                    <w:left w:val="single" w:color="000000" w:sz="4" w:space="0"/>
                    <w:bottom w:val="single" w:color="000000" w:sz="4" w:space="0"/>
                    <w:right w:val="single" w:color="000000" w:sz="4" w:space="0"/>
                  </w:tcBorders>
                  <w:vAlign w:val="center"/>
                </w:tcPr>
                <w:p w14:paraId="3BD93491">
                  <w:pPr>
                    <w:pStyle w:val="106"/>
                    <w:bidi w:val="0"/>
                    <w:rPr>
                      <w:rFonts w:hint="default" w:eastAsia="宋体"/>
                      <w:color w:val="auto"/>
                      <w:highlight w:val="none"/>
                      <w:lang w:val="en-US" w:eastAsia="zh-CN"/>
                    </w:rPr>
                  </w:pPr>
                  <w:r>
                    <w:rPr>
                      <w:rFonts w:hint="eastAsia"/>
                      <w:color w:val="auto"/>
                      <w:highlight w:val="none"/>
                    </w:rPr>
                    <w:t>DA001</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708C5">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颗粒物</w:t>
                  </w:r>
                  <w:r>
                    <w:rPr>
                      <w:rFonts w:hint="eastAsia"/>
                      <w:color w:val="auto"/>
                      <w:highlight w:val="none"/>
                      <w:lang w:eastAsia="zh-CN"/>
                    </w:rPr>
                    <w:t>、</w:t>
                  </w:r>
                  <w:r>
                    <w:rPr>
                      <w:color w:val="auto"/>
                      <w:highlight w:val="none"/>
                    </w:rPr>
                    <w:t>SO</w:t>
                  </w:r>
                  <w:r>
                    <w:rPr>
                      <w:color w:val="auto"/>
                      <w:highlight w:val="none"/>
                      <w:vertAlign w:val="subscript"/>
                    </w:rPr>
                    <w:t>2</w:t>
                  </w:r>
                  <w:r>
                    <w:rPr>
                      <w:rFonts w:hint="eastAsia"/>
                      <w:color w:val="auto"/>
                      <w:highlight w:val="none"/>
                      <w:vertAlign w:val="baseline"/>
                      <w:lang w:eastAsia="zh-CN"/>
                    </w:rPr>
                    <w:t>、</w:t>
                  </w:r>
                  <w:r>
                    <w:rPr>
                      <w:color w:val="auto"/>
                      <w:highlight w:val="none"/>
                    </w:rPr>
                    <w:t>NOx</w:t>
                  </w:r>
                  <w:r>
                    <w:rPr>
                      <w:rFonts w:hint="eastAsia"/>
                      <w:color w:val="auto"/>
                      <w:highlight w:val="none"/>
                      <w:lang w:val="en-US" w:eastAsia="zh-CN"/>
                    </w:rPr>
                    <w:t>、烟气黑度</w:t>
                  </w:r>
                </w:p>
              </w:tc>
              <w:tc>
                <w:tcPr>
                  <w:tcW w:w="3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96A9F1">
                  <w:pPr>
                    <w:pStyle w:val="106"/>
                    <w:bidi w:val="0"/>
                    <w:ind w:firstLine="0" w:firstLineChars="0"/>
                    <w:rPr>
                      <w:rFonts w:hint="default"/>
                      <w:color w:val="auto"/>
                      <w:highlight w:val="none"/>
                      <w:lang w:val="en-US" w:eastAsia="zh-CN"/>
                    </w:rPr>
                  </w:pPr>
                  <w:r>
                    <w:rPr>
                      <w:rFonts w:hint="eastAsia"/>
                      <w:color w:val="auto"/>
                      <w:highlight w:val="none"/>
                      <w:lang w:val="en-US" w:eastAsia="zh-CN"/>
                    </w:rPr>
                    <w:t>1次/半年</w:t>
                  </w:r>
                </w:p>
              </w:tc>
              <w:tc>
                <w:tcPr>
                  <w:tcW w:w="2735" w:type="pct"/>
                  <w:tcBorders>
                    <w:top w:val="single" w:color="000000" w:sz="4" w:space="0"/>
                    <w:left w:val="single" w:color="000000" w:sz="4" w:space="0"/>
                    <w:bottom w:val="single" w:color="000000" w:sz="4" w:space="0"/>
                    <w:right w:val="nil"/>
                  </w:tcBorders>
                  <w:shd w:val="clear" w:color="auto" w:fill="auto"/>
                  <w:vAlign w:val="center"/>
                </w:tcPr>
                <w:p w14:paraId="42912CAC">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eastAsia="zh-CN"/>
                    </w:rPr>
                    <w:t>《锅炉大气污染物综合排放标准》（GB13271-2014）</w:t>
                  </w:r>
                  <w:r>
                    <w:rPr>
                      <w:rFonts w:hint="eastAsia"/>
                      <w:color w:val="auto"/>
                      <w:highlight w:val="none"/>
                    </w:rPr>
                    <w:t>表</w:t>
                  </w:r>
                  <w:r>
                    <w:rPr>
                      <w:rFonts w:hint="eastAsia"/>
                      <w:color w:val="auto"/>
                      <w:highlight w:val="none"/>
                      <w:lang w:val="en-US" w:eastAsia="zh-CN"/>
                    </w:rPr>
                    <w:t>3</w:t>
                  </w:r>
                  <w:r>
                    <w:rPr>
                      <w:rFonts w:hint="eastAsia"/>
                      <w:color w:val="auto"/>
                      <w:highlight w:val="none"/>
                    </w:rPr>
                    <w:t>中</w:t>
                  </w:r>
                  <w:r>
                    <w:rPr>
                      <w:rFonts w:hint="eastAsia"/>
                      <w:color w:val="auto"/>
                      <w:highlight w:val="none"/>
                      <w:lang w:val="en-US" w:eastAsia="zh-CN"/>
                    </w:rPr>
                    <w:t>燃气锅炉</w:t>
                  </w:r>
                  <w:r>
                    <w:rPr>
                      <w:rFonts w:hint="eastAsia"/>
                      <w:color w:val="auto"/>
                      <w:highlight w:val="none"/>
                    </w:rPr>
                    <w:t>排放限值要求</w:t>
                  </w:r>
                </w:p>
              </w:tc>
            </w:tr>
            <w:tr w14:paraId="42DAD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430" w:type="pct"/>
                  <w:tcBorders>
                    <w:top w:val="single" w:color="000000" w:sz="4" w:space="0"/>
                    <w:left w:val="nil"/>
                    <w:bottom w:val="single" w:color="000000" w:sz="12" w:space="0"/>
                    <w:right w:val="single" w:color="000000" w:sz="4" w:space="0"/>
                  </w:tcBorders>
                  <w:vAlign w:val="center"/>
                </w:tcPr>
                <w:p w14:paraId="4C93C7F4">
                  <w:pPr>
                    <w:pStyle w:val="106"/>
                    <w:bidi w:val="0"/>
                    <w:rPr>
                      <w:rFonts w:hint="default" w:eastAsia="宋体"/>
                      <w:color w:val="auto"/>
                      <w:highlight w:val="none"/>
                      <w:lang w:val="en-US" w:eastAsia="zh-CN"/>
                    </w:rPr>
                  </w:pPr>
                  <w:r>
                    <w:rPr>
                      <w:rFonts w:hint="eastAsia"/>
                      <w:color w:val="auto"/>
                      <w:highlight w:val="none"/>
                      <w:lang w:val="en-US" w:eastAsia="zh-CN"/>
                    </w:rPr>
                    <w:t>无组织</w:t>
                  </w:r>
                </w:p>
              </w:tc>
              <w:tc>
                <w:tcPr>
                  <w:tcW w:w="558" w:type="pct"/>
                  <w:tcBorders>
                    <w:top w:val="single" w:color="000000" w:sz="4" w:space="0"/>
                    <w:left w:val="single" w:color="000000" w:sz="4" w:space="0"/>
                    <w:bottom w:val="single" w:color="000000" w:sz="12" w:space="0"/>
                    <w:right w:val="single" w:color="000000" w:sz="4" w:space="0"/>
                  </w:tcBorders>
                  <w:vAlign w:val="center"/>
                </w:tcPr>
                <w:p w14:paraId="7ABFA95E">
                  <w:pPr>
                    <w:pStyle w:val="106"/>
                    <w:bidi w:val="0"/>
                    <w:rPr>
                      <w:rFonts w:hint="default"/>
                      <w:color w:val="auto"/>
                      <w:highlight w:val="none"/>
                      <w:lang w:val="en-US" w:eastAsia="zh-CN"/>
                    </w:rPr>
                  </w:pPr>
                  <w:r>
                    <w:rPr>
                      <w:rFonts w:hint="default"/>
                      <w:color w:val="auto"/>
                      <w:highlight w:val="none"/>
                      <w:lang w:val="en-US" w:eastAsia="zh-CN"/>
                    </w:rPr>
                    <w:t>厂界四周</w:t>
                  </w:r>
                </w:p>
              </w:tc>
              <w:tc>
                <w:tcPr>
                  <w:tcW w:w="951" w:type="pct"/>
                  <w:tcBorders>
                    <w:top w:val="single" w:color="000000" w:sz="4" w:space="0"/>
                    <w:left w:val="single" w:color="000000" w:sz="4" w:space="0"/>
                    <w:bottom w:val="single" w:color="000000" w:sz="12" w:space="0"/>
                    <w:right w:val="single" w:color="000000" w:sz="4" w:space="0"/>
                  </w:tcBorders>
                  <w:vAlign w:val="center"/>
                </w:tcPr>
                <w:p w14:paraId="2282B41A">
                  <w:pPr>
                    <w:pStyle w:val="106"/>
                    <w:bidi w:val="0"/>
                    <w:rPr>
                      <w:rFonts w:hint="default"/>
                      <w:color w:val="auto"/>
                      <w:highlight w:val="none"/>
                      <w:lang w:val="en-US" w:eastAsia="zh-CN"/>
                    </w:rPr>
                  </w:pPr>
                  <w:r>
                    <w:rPr>
                      <w:rFonts w:hint="eastAsia"/>
                      <w:color w:val="auto"/>
                      <w:highlight w:val="none"/>
                    </w:rPr>
                    <w:t>颗粒物</w:t>
                  </w:r>
                </w:p>
              </w:tc>
              <w:tc>
                <w:tcPr>
                  <w:tcW w:w="324" w:type="pct"/>
                  <w:vMerge w:val="continue"/>
                  <w:tcBorders>
                    <w:top w:val="single" w:color="000000" w:sz="4" w:space="0"/>
                    <w:left w:val="single" w:color="000000" w:sz="4" w:space="0"/>
                    <w:bottom w:val="single" w:color="000000" w:sz="12" w:space="0"/>
                    <w:right w:val="single" w:color="000000" w:sz="4" w:space="0"/>
                  </w:tcBorders>
                  <w:vAlign w:val="center"/>
                </w:tcPr>
                <w:p w14:paraId="767F4649">
                  <w:pPr>
                    <w:pStyle w:val="106"/>
                    <w:bidi w:val="0"/>
                    <w:rPr>
                      <w:rFonts w:hint="default"/>
                      <w:color w:val="auto"/>
                      <w:highlight w:val="none"/>
                      <w:lang w:val="en-US" w:eastAsia="zh-CN"/>
                    </w:rPr>
                  </w:pPr>
                </w:p>
              </w:tc>
              <w:tc>
                <w:tcPr>
                  <w:tcW w:w="2735" w:type="pct"/>
                  <w:tcBorders>
                    <w:top w:val="single" w:color="000000" w:sz="4" w:space="0"/>
                    <w:left w:val="single" w:color="000000" w:sz="4" w:space="0"/>
                    <w:bottom w:val="single" w:color="000000" w:sz="12" w:space="0"/>
                    <w:right w:val="nil"/>
                  </w:tcBorders>
                  <w:vAlign w:val="center"/>
                </w:tcPr>
                <w:p w14:paraId="139BA873">
                  <w:pPr>
                    <w:pStyle w:val="106"/>
                    <w:bidi w:val="0"/>
                    <w:rPr>
                      <w:rFonts w:hint="default" w:eastAsia="宋体"/>
                      <w:color w:val="auto"/>
                      <w:highlight w:val="none"/>
                      <w:lang w:val="en-US" w:eastAsia="zh-CN"/>
                    </w:rPr>
                  </w:pPr>
                  <w:r>
                    <w:rPr>
                      <w:rFonts w:hint="eastAsia"/>
                      <w:color w:val="auto"/>
                      <w:highlight w:val="none"/>
                    </w:rPr>
                    <w:t>《大气污染物综合放标准》（GB16297-1996）</w:t>
                  </w:r>
                  <w:r>
                    <w:rPr>
                      <w:rFonts w:hint="eastAsia"/>
                      <w:color w:val="auto"/>
                      <w:highlight w:val="none"/>
                      <w:lang w:val="en-US" w:eastAsia="zh-CN"/>
                    </w:rPr>
                    <w:t>表2中无组织排放限值</w:t>
                  </w:r>
                </w:p>
              </w:tc>
            </w:tr>
          </w:tbl>
          <w:p w14:paraId="28C7D4D5">
            <w:pPr>
              <w:keepNext w:val="0"/>
              <w:keepLines w:val="0"/>
              <w:pageBreakBefore w:val="0"/>
              <w:widowControl w:val="0"/>
              <w:kinsoku/>
              <w:wordWrap/>
              <w:overflowPunct/>
              <w:topLinePunct w:val="0"/>
              <w:autoSpaceDE w:val="0"/>
              <w:autoSpaceDN w:val="0"/>
              <w:bidi w:val="0"/>
              <w:adjustRightInd w:val="0"/>
              <w:snapToGrid w:val="0"/>
              <w:spacing w:before="157" w:beforeLines="50"/>
              <w:ind w:firstLine="463" w:firstLineChars="192"/>
              <w:textAlignment w:val="auto"/>
              <w:rPr>
                <w:rFonts w:hint="eastAsia" w:eastAsia="宋体"/>
                <w:b/>
                <w:color w:val="auto"/>
                <w:sz w:val="24"/>
                <w:highlight w:val="none"/>
                <w:lang w:val="en-US" w:eastAsia="zh-CN"/>
              </w:rPr>
            </w:pPr>
            <w:r>
              <w:rPr>
                <w:rFonts w:hint="eastAsia"/>
                <w:b/>
                <w:color w:val="auto"/>
                <w:sz w:val="24"/>
                <w:highlight w:val="none"/>
                <w:lang w:val="en-US" w:eastAsia="zh-CN"/>
              </w:rPr>
              <w:t>（5）</w:t>
            </w:r>
            <w:r>
              <w:rPr>
                <w:rFonts w:hint="eastAsia"/>
                <w:b/>
                <w:color w:val="auto"/>
                <w:sz w:val="24"/>
                <w:highlight w:val="none"/>
              </w:rPr>
              <w:t>环境影响</w:t>
            </w:r>
            <w:r>
              <w:rPr>
                <w:rFonts w:hint="eastAsia"/>
                <w:b/>
                <w:color w:val="auto"/>
                <w:sz w:val="24"/>
                <w:highlight w:val="none"/>
                <w:lang w:val="en-US" w:eastAsia="zh-CN"/>
              </w:rPr>
              <w:t>结论</w:t>
            </w:r>
          </w:p>
          <w:p w14:paraId="20B466F7">
            <w:pPr>
              <w:pStyle w:val="15"/>
              <w:keepNext w:val="0"/>
              <w:keepLines w:val="0"/>
              <w:pageBreakBefore w:val="0"/>
              <w:widowControl w:val="0"/>
              <w:kinsoku/>
              <w:wordWrap/>
              <w:overflowPunct/>
              <w:topLinePunct w:val="0"/>
              <w:autoSpaceDE w:val="0"/>
              <w:autoSpaceDN w:val="0"/>
              <w:bidi w:val="0"/>
              <w:adjustRightInd w:val="0"/>
              <w:snapToGrid w:val="0"/>
              <w:spacing w:before="0"/>
              <w:textAlignment w:val="auto"/>
              <w:rPr>
                <w:rFonts w:hint="eastAsia"/>
                <w:color w:val="auto"/>
                <w:szCs w:val="21"/>
                <w:highlight w:val="none"/>
              </w:rPr>
            </w:pPr>
            <w:r>
              <w:rPr>
                <w:rFonts w:hint="eastAsia"/>
                <w:color w:val="auto"/>
                <w:highlight w:val="none"/>
              </w:rPr>
              <w:t>本项目所在区域属于环境</w:t>
            </w:r>
            <w:r>
              <w:rPr>
                <w:rFonts w:hint="eastAsia"/>
                <w:color w:val="auto"/>
                <w:highlight w:val="none"/>
                <w:lang w:val="en-US" w:eastAsia="zh-CN"/>
              </w:rPr>
              <w:t>空气</w:t>
            </w:r>
            <w:r>
              <w:rPr>
                <w:rFonts w:hint="eastAsia"/>
                <w:color w:val="auto"/>
                <w:highlight w:val="none"/>
              </w:rPr>
              <w:t>质量</w:t>
            </w:r>
            <w:r>
              <w:rPr>
                <w:rFonts w:hint="eastAsia"/>
                <w:color w:val="auto"/>
                <w:highlight w:val="none"/>
                <w:lang w:val="en-US" w:eastAsia="zh-CN"/>
              </w:rPr>
              <w:t>不</w:t>
            </w:r>
            <w:r>
              <w:rPr>
                <w:rFonts w:hint="default" w:ascii="Times New Roman" w:hAnsi="Times New Roman" w:cs="Times New Roman"/>
                <w:color w:val="auto"/>
                <w:highlight w:val="none"/>
              </w:rPr>
              <w:t>达标区，项目周边500m范围内</w:t>
            </w:r>
            <w:r>
              <w:rPr>
                <w:rFonts w:hint="eastAsia" w:ascii="Times New Roman" w:hAnsi="Times New Roman" w:cs="Times New Roman"/>
                <w:color w:val="auto"/>
                <w:highlight w:val="none"/>
                <w:lang w:val="en-US" w:eastAsia="zh-CN"/>
              </w:rPr>
              <w:t>无</w:t>
            </w:r>
            <w:r>
              <w:rPr>
                <w:rFonts w:hint="default" w:ascii="Times New Roman" w:hAnsi="Times New Roman" w:cs="Times New Roman"/>
                <w:color w:val="auto"/>
                <w:highlight w:val="none"/>
              </w:rPr>
              <w:t>环境保护目标。根据源强及达标排放情况分析、污染防治技术分析可知，本项目</w:t>
            </w:r>
            <w:r>
              <w:rPr>
                <w:rFonts w:hint="eastAsia" w:ascii="Times New Roman" w:hAnsi="Times New Roman" w:cs="Times New Roman"/>
                <w:color w:val="auto"/>
                <w:highlight w:val="none"/>
                <w:lang w:val="en-US" w:eastAsia="zh-CN"/>
              </w:rPr>
              <w:t>天然气燃烧废气</w:t>
            </w:r>
            <w:r>
              <w:rPr>
                <w:rFonts w:hint="default" w:ascii="Times New Roman" w:hAnsi="Times New Roman" w:cs="Times New Roman"/>
                <w:color w:val="auto"/>
                <w:highlight w:val="none"/>
              </w:rPr>
              <w:t>经对应污染治理措施后均能够实现达标排放</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切纸过程颗粒物</w:t>
            </w:r>
            <w:r>
              <w:rPr>
                <w:rFonts w:hint="default" w:ascii="Times New Roman" w:hAnsi="Times New Roman" w:cs="Times New Roman"/>
                <w:color w:val="auto"/>
                <w:highlight w:val="none"/>
                <w:lang w:val="en-US" w:eastAsia="zh-CN"/>
              </w:rPr>
              <w:t>直接无组织排放</w:t>
            </w:r>
            <w:r>
              <w:rPr>
                <w:rFonts w:hint="default" w:ascii="Times New Roman" w:hAnsi="Times New Roman" w:cs="Times New Roman"/>
                <w:color w:val="auto"/>
                <w:highlight w:val="none"/>
              </w:rPr>
              <w:t>。</w:t>
            </w:r>
            <w:r>
              <w:rPr>
                <w:rFonts w:hint="eastAsia"/>
                <w:color w:val="auto"/>
                <w:szCs w:val="21"/>
                <w:highlight w:val="none"/>
              </w:rPr>
              <w:t>因此，本项目</w:t>
            </w:r>
            <w:r>
              <w:rPr>
                <w:rFonts w:hint="eastAsia"/>
                <w:color w:val="auto"/>
                <w:szCs w:val="21"/>
                <w:highlight w:val="none"/>
                <w:lang w:val="en-US" w:eastAsia="zh-CN"/>
              </w:rPr>
              <w:t>颗粒物、</w:t>
            </w:r>
            <w:r>
              <w:rPr>
                <w:rFonts w:hint="default" w:ascii="Times New Roman" w:hAnsi="Times New Roman" w:cs="Times New Roman"/>
                <w:color w:val="auto"/>
                <w:szCs w:val="21"/>
                <w:highlight w:val="none"/>
                <w:lang w:val="en-US" w:eastAsia="zh-CN"/>
              </w:rPr>
              <w:t>SO</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lang w:val="en-US" w:eastAsia="zh-CN"/>
              </w:rPr>
              <w:t>、NOx</w:t>
            </w:r>
            <w:r>
              <w:rPr>
                <w:rFonts w:hint="eastAsia"/>
                <w:color w:val="auto"/>
                <w:szCs w:val="21"/>
                <w:highlight w:val="none"/>
                <w:lang w:val="en-US" w:eastAsia="zh-CN"/>
              </w:rPr>
              <w:t>等污染物经过治理后达标排放</w:t>
            </w:r>
            <w:r>
              <w:rPr>
                <w:rFonts w:hint="eastAsia"/>
                <w:color w:val="auto"/>
                <w:szCs w:val="21"/>
                <w:highlight w:val="none"/>
              </w:rPr>
              <w:t>对</w:t>
            </w:r>
            <w:r>
              <w:rPr>
                <w:rFonts w:hint="eastAsia" w:ascii="Times New Roman" w:cs="Times New Roman"/>
                <w:color w:val="auto"/>
                <w:highlight w:val="none"/>
              </w:rPr>
              <w:t>周边环境影响</w:t>
            </w:r>
            <w:r>
              <w:rPr>
                <w:rFonts w:hint="eastAsia" w:ascii="Times New Roman" w:cs="Times New Roman"/>
                <w:color w:val="auto"/>
                <w:highlight w:val="none"/>
                <w:lang w:val="en-US" w:eastAsia="zh-CN"/>
              </w:rPr>
              <w:t>较小</w:t>
            </w:r>
            <w:r>
              <w:rPr>
                <w:rFonts w:hint="eastAsia"/>
                <w:color w:val="auto"/>
                <w:szCs w:val="21"/>
                <w:highlight w:val="none"/>
              </w:rPr>
              <w:t>。</w:t>
            </w:r>
          </w:p>
          <w:p w14:paraId="265BF05C">
            <w:pPr>
              <w:bidi w:val="0"/>
              <w:rPr>
                <w:rFonts w:hint="eastAsia"/>
                <w:color w:val="auto"/>
                <w:highlight w:val="none"/>
              </w:rPr>
            </w:pPr>
            <w:r>
              <w:rPr>
                <w:rFonts w:hint="eastAsia"/>
                <w:color w:val="auto"/>
                <w:highlight w:val="none"/>
                <w:lang w:val="en-US" w:eastAsia="zh-CN"/>
              </w:rPr>
              <w:t>综上，</w:t>
            </w:r>
            <w:r>
              <w:rPr>
                <w:rFonts w:hint="eastAsia"/>
                <w:color w:val="auto"/>
                <w:highlight w:val="none"/>
              </w:rPr>
              <w:t>项目废气污染物排放强度低，建设单位只要严格落实本环评提出的各项废气治理措施，在确保本项目产生的废气污染物达标排放并满足总量控制要求前提下，本项目废气排放不会对周边大气环境质量造成明显影响，属于可接受范围。</w:t>
            </w:r>
          </w:p>
          <w:p w14:paraId="6C34F38D">
            <w:pPr>
              <w:adjustRightInd w:val="0"/>
              <w:snapToGrid w:val="0"/>
              <w:spacing w:line="360" w:lineRule="auto"/>
              <w:ind w:firstLine="482" w:firstLineChars="200"/>
              <w:jc w:val="left"/>
              <w:rPr>
                <w:rFonts w:hint="default"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val="en-US" w:eastAsia="zh-CN"/>
              </w:rPr>
              <w:t>2、废水</w:t>
            </w:r>
          </w:p>
          <w:p w14:paraId="74CF358A">
            <w:pPr>
              <w:ind w:firstLine="463" w:firstLineChars="192"/>
              <w:rPr>
                <w:rFonts w:hint="default" w:eastAsia="宋体"/>
                <w:b/>
                <w:color w:val="auto"/>
                <w:sz w:val="24"/>
                <w:highlight w:val="none"/>
                <w:lang w:val="en-US" w:eastAsia="zh-CN"/>
              </w:rPr>
            </w:pPr>
            <w:r>
              <w:rPr>
                <w:rFonts w:hint="eastAsia"/>
                <w:b/>
                <w:color w:val="auto"/>
                <w:sz w:val="24"/>
                <w:highlight w:val="none"/>
                <w:lang w:eastAsia="zh-CN"/>
              </w:rPr>
              <w:t>（</w:t>
            </w:r>
            <w:r>
              <w:rPr>
                <w:rFonts w:hint="eastAsia"/>
                <w:b/>
                <w:color w:val="auto"/>
                <w:sz w:val="24"/>
                <w:highlight w:val="none"/>
                <w:lang w:val="en-US" w:eastAsia="zh-CN"/>
              </w:rPr>
              <w:t>1</w:t>
            </w:r>
            <w:r>
              <w:rPr>
                <w:rFonts w:hint="eastAsia"/>
                <w:b/>
                <w:color w:val="auto"/>
                <w:sz w:val="24"/>
                <w:highlight w:val="none"/>
                <w:lang w:eastAsia="zh-CN"/>
              </w:rPr>
              <w:t>）</w:t>
            </w:r>
            <w:r>
              <w:rPr>
                <w:rFonts w:hint="eastAsia"/>
                <w:b/>
                <w:color w:val="auto"/>
                <w:sz w:val="24"/>
                <w:highlight w:val="none"/>
              </w:rPr>
              <w:t>废水</w:t>
            </w:r>
            <w:r>
              <w:rPr>
                <w:rFonts w:hint="eastAsia"/>
                <w:b/>
                <w:color w:val="auto"/>
                <w:sz w:val="24"/>
                <w:highlight w:val="none"/>
                <w:lang w:val="en-US" w:eastAsia="zh-CN"/>
              </w:rPr>
              <w:t>产生情况</w:t>
            </w:r>
          </w:p>
          <w:p w14:paraId="2D73AF7E">
            <w:pPr>
              <w:ind w:firstLine="460" w:firstLineChars="192"/>
              <w:rPr>
                <w:rFonts w:hint="default"/>
                <w:bCs/>
                <w:color w:val="auto"/>
                <w:sz w:val="24"/>
                <w:highlight w:val="none"/>
                <w:lang w:val="en-US"/>
              </w:rPr>
            </w:pPr>
            <w:r>
              <w:rPr>
                <w:rFonts w:hint="eastAsia"/>
                <w:bCs/>
                <w:color w:val="auto"/>
                <w:sz w:val="24"/>
                <w:highlight w:val="none"/>
              </w:rPr>
              <w:t>根据前文水平衡分析</w:t>
            </w:r>
            <w:r>
              <w:rPr>
                <w:rFonts w:hint="eastAsia"/>
                <w:b w:val="0"/>
                <w:bCs w:val="0"/>
                <w:color w:val="auto"/>
                <w:highlight w:val="none"/>
                <w:lang w:val="en-US" w:eastAsia="zh-CN"/>
              </w:rPr>
              <w:t>，</w:t>
            </w:r>
            <w:r>
              <w:rPr>
                <w:rFonts w:hint="eastAsia"/>
                <w:color w:val="auto"/>
                <w:highlight w:val="none"/>
                <w:lang w:val="en-US" w:eastAsia="zh-CN"/>
              </w:rPr>
              <w:t>项目营运期废水主要为生活污水、原料清洗废水、设备清洗废水、漂烫废水、蒸汽发生器废水、地面清洁废水、实验器皿清洗废水。</w:t>
            </w:r>
          </w:p>
          <w:p w14:paraId="2335D529">
            <w:pPr>
              <w:bidi w:val="0"/>
              <w:rPr>
                <w:rFonts w:hint="default"/>
                <w:b/>
                <w:bCs/>
                <w:color w:val="auto"/>
                <w:highlight w:val="none"/>
                <w:lang w:val="en-US" w:eastAsia="zh-CN"/>
              </w:rPr>
            </w:pPr>
            <w:r>
              <w:rPr>
                <w:rFonts w:hint="eastAsia"/>
                <w:b/>
                <w:bCs/>
                <w:color w:val="auto"/>
                <w:highlight w:val="none"/>
                <w:lang w:val="en-US" w:eastAsia="zh-CN"/>
              </w:rPr>
              <w:t>①生活污水</w:t>
            </w:r>
          </w:p>
          <w:p w14:paraId="0DA357F6">
            <w:pPr>
              <w:ind w:firstLine="480"/>
              <w:rPr>
                <w:bCs/>
                <w:color w:val="auto"/>
                <w:sz w:val="24"/>
                <w:highlight w:val="none"/>
              </w:rPr>
            </w:pPr>
            <w:r>
              <w:rPr>
                <w:rFonts w:hint="eastAsia"/>
                <w:color w:val="auto"/>
                <w:sz w:val="24"/>
                <w:szCs w:val="32"/>
                <w:highlight w:val="none"/>
                <w:lang w:val="en-US" w:eastAsia="zh-CN"/>
              </w:rPr>
              <w:t>本项目劳动定员60人</w:t>
            </w:r>
            <w:r>
              <w:rPr>
                <w:rFonts w:hint="eastAsia"/>
                <w:color w:val="auto"/>
                <w:sz w:val="24"/>
                <w:szCs w:val="32"/>
                <w:highlight w:val="none"/>
              </w:rPr>
              <w:t>，年工作日</w:t>
            </w:r>
            <w:r>
              <w:rPr>
                <w:rFonts w:hint="eastAsia"/>
                <w:color w:val="auto"/>
                <w:sz w:val="24"/>
                <w:szCs w:val="32"/>
                <w:highlight w:val="none"/>
                <w:lang w:val="en-US" w:eastAsia="zh-CN"/>
              </w:rPr>
              <w:t>300</w:t>
            </w:r>
            <w:r>
              <w:rPr>
                <w:rFonts w:hint="eastAsia"/>
                <w:color w:val="auto"/>
                <w:sz w:val="24"/>
                <w:szCs w:val="32"/>
                <w:highlight w:val="none"/>
                <w:lang w:eastAsia="zh-CN"/>
              </w:rPr>
              <w:t>天</w:t>
            </w:r>
            <w:r>
              <w:rPr>
                <w:rFonts w:hint="eastAsia"/>
                <w:color w:val="auto"/>
                <w:sz w:val="24"/>
                <w:szCs w:val="32"/>
                <w:highlight w:val="none"/>
              </w:rPr>
              <w:t>。项目</w:t>
            </w:r>
            <w:r>
              <w:rPr>
                <w:rFonts w:hint="eastAsia"/>
                <w:color w:val="auto"/>
                <w:sz w:val="24"/>
                <w:szCs w:val="32"/>
                <w:highlight w:val="none"/>
                <w:lang w:val="en-US" w:eastAsia="zh-CN"/>
              </w:rPr>
              <w:t>不设食宿</w:t>
            </w:r>
            <w:r>
              <w:rPr>
                <w:rFonts w:hint="eastAsia"/>
                <w:color w:val="auto"/>
                <w:sz w:val="24"/>
                <w:szCs w:val="32"/>
                <w:highlight w:val="none"/>
              </w:rPr>
              <w:t>。参考《四川省用水定额》（川府函〔2021〕8号），按</w:t>
            </w:r>
            <w:r>
              <w:rPr>
                <w:rFonts w:hint="eastAsia"/>
                <w:color w:val="auto"/>
                <w:sz w:val="24"/>
                <w:szCs w:val="32"/>
                <w:highlight w:val="none"/>
                <w:lang w:val="en-US" w:eastAsia="zh-CN"/>
              </w:rPr>
              <w:t>5</w:t>
            </w:r>
            <w:r>
              <w:rPr>
                <w:rFonts w:hint="eastAsia"/>
                <w:color w:val="auto"/>
                <w:sz w:val="24"/>
                <w:szCs w:val="32"/>
                <w:highlight w:val="none"/>
              </w:rPr>
              <w:t>0L/</w:t>
            </w:r>
            <w:r>
              <w:rPr>
                <w:rFonts w:hint="eastAsia"/>
                <w:color w:val="auto"/>
                <w:sz w:val="24"/>
                <w:szCs w:val="32"/>
                <w:highlight w:val="none"/>
                <w:lang w:val="en-US" w:eastAsia="zh-CN"/>
              </w:rPr>
              <w:t>人·d计</w:t>
            </w:r>
            <w:r>
              <w:rPr>
                <w:rFonts w:hint="eastAsia"/>
                <w:color w:val="auto"/>
                <w:sz w:val="24"/>
                <w:szCs w:val="32"/>
                <w:highlight w:val="none"/>
              </w:rPr>
              <w:t>，则厂区生活用水量为</w:t>
            </w:r>
            <w:r>
              <w:rPr>
                <w:rFonts w:hint="eastAsia"/>
                <w:color w:val="auto"/>
                <w:sz w:val="24"/>
                <w:szCs w:val="32"/>
                <w:highlight w:val="none"/>
                <w:lang w:val="en-US" w:eastAsia="zh-CN"/>
              </w:rPr>
              <w:t>3.0</w:t>
            </w:r>
            <w:r>
              <w:rPr>
                <w:rFonts w:hint="eastAsia"/>
                <w:color w:val="auto"/>
                <w:sz w:val="24"/>
                <w:szCs w:val="32"/>
                <w:highlight w:val="none"/>
              </w:rPr>
              <w:t>m</w:t>
            </w:r>
            <w:r>
              <w:rPr>
                <w:rFonts w:hint="eastAsia"/>
                <w:color w:val="auto"/>
                <w:sz w:val="24"/>
                <w:szCs w:val="32"/>
                <w:highlight w:val="none"/>
                <w:vertAlign w:val="superscript"/>
              </w:rPr>
              <w:t>3</w:t>
            </w:r>
            <w:r>
              <w:rPr>
                <w:rFonts w:hint="eastAsia"/>
                <w:color w:val="auto"/>
                <w:sz w:val="24"/>
                <w:szCs w:val="32"/>
                <w:highlight w:val="none"/>
              </w:rPr>
              <w:t>/d</w:t>
            </w:r>
            <w:r>
              <w:rPr>
                <w:rFonts w:hint="eastAsia"/>
                <w:color w:val="auto"/>
                <w:sz w:val="24"/>
                <w:szCs w:val="32"/>
                <w:highlight w:val="none"/>
                <w:lang w:eastAsia="zh-CN"/>
              </w:rPr>
              <w:t>（</w:t>
            </w:r>
            <w:r>
              <w:rPr>
                <w:rFonts w:hint="eastAsia"/>
                <w:color w:val="auto"/>
                <w:sz w:val="24"/>
                <w:szCs w:val="32"/>
                <w:highlight w:val="none"/>
                <w:lang w:val="en-US" w:eastAsia="zh-CN"/>
              </w:rPr>
              <w:t>900</w:t>
            </w:r>
            <w:r>
              <w:rPr>
                <w:rFonts w:hint="eastAsia"/>
                <w:color w:val="auto"/>
                <w:sz w:val="24"/>
                <w:szCs w:val="32"/>
                <w:highlight w:val="none"/>
              </w:rPr>
              <w:t>m</w:t>
            </w:r>
            <w:r>
              <w:rPr>
                <w:rFonts w:hint="eastAsia"/>
                <w:color w:val="auto"/>
                <w:sz w:val="24"/>
                <w:szCs w:val="32"/>
                <w:highlight w:val="none"/>
                <w:vertAlign w:val="superscript"/>
              </w:rPr>
              <w:t>3</w:t>
            </w:r>
            <w:r>
              <w:rPr>
                <w:rFonts w:hint="eastAsia"/>
                <w:color w:val="auto"/>
                <w:sz w:val="24"/>
                <w:szCs w:val="32"/>
                <w:highlight w:val="none"/>
              </w:rPr>
              <w:t>/a</w:t>
            </w:r>
            <w:r>
              <w:rPr>
                <w:rFonts w:hint="eastAsia"/>
                <w:color w:val="auto"/>
                <w:sz w:val="24"/>
                <w:szCs w:val="32"/>
                <w:highlight w:val="none"/>
                <w:lang w:eastAsia="zh-CN"/>
              </w:rPr>
              <w:t>）</w:t>
            </w:r>
            <w:r>
              <w:rPr>
                <w:rFonts w:hint="eastAsia"/>
                <w:color w:val="auto"/>
                <w:sz w:val="24"/>
                <w:szCs w:val="32"/>
                <w:highlight w:val="none"/>
              </w:rPr>
              <w:t>。排放系数按0.</w:t>
            </w:r>
            <w:r>
              <w:rPr>
                <w:rFonts w:hint="eastAsia"/>
                <w:color w:val="auto"/>
                <w:sz w:val="24"/>
                <w:szCs w:val="32"/>
                <w:highlight w:val="none"/>
                <w:lang w:val="en-US" w:eastAsia="zh-CN"/>
              </w:rPr>
              <w:t>9</w:t>
            </w:r>
            <w:r>
              <w:rPr>
                <w:rFonts w:hint="eastAsia"/>
                <w:color w:val="auto"/>
                <w:sz w:val="24"/>
                <w:szCs w:val="32"/>
                <w:highlight w:val="none"/>
              </w:rPr>
              <w:t>计，则厂区员工生活污水产生量为</w:t>
            </w:r>
            <w:r>
              <w:rPr>
                <w:rFonts w:hint="eastAsia"/>
                <w:color w:val="auto"/>
                <w:sz w:val="24"/>
                <w:szCs w:val="32"/>
                <w:highlight w:val="none"/>
                <w:lang w:val="en-US" w:eastAsia="zh-CN"/>
              </w:rPr>
              <w:t>2.7</w:t>
            </w:r>
            <w:r>
              <w:rPr>
                <w:rFonts w:hint="eastAsia"/>
                <w:color w:val="auto"/>
                <w:sz w:val="24"/>
                <w:szCs w:val="32"/>
                <w:highlight w:val="none"/>
              </w:rPr>
              <w:t>m</w:t>
            </w:r>
            <w:r>
              <w:rPr>
                <w:rFonts w:hint="eastAsia"/>
                <w:color w:val="auto"/>
                <w:sz w:val="24"/>
                <w:szCs w:val="32"/>
                <w:highlight w:val="none"/>
                <w:vertAlign w:val="superscript"/>
              </w:rPr>
              <w:t>3</w:t>
            </w:r>
            <w:r>
              <w:rPr>
                <w:rFonts w:hint="eastAsia"/>
                <w:color w:val="auto"/>
                <w:sz w:val="24"/>
                <w:szCs w:val="32"/>
                <w:highlight w:val="none"/>
              </w:rPr>
              <w:t>/d</w:t>
            </w:r>
            <w:r>
              <w:rPr>
                <w:rFonts w:hint="eastAsia"/>
                <w:color w:val="auto"/>
                <w:sz w:val="24"/>
                <w:szCs w:val="32"/>
                <w:highlight w:val="none"/>
                <w:lang w:eastAsia="zh-CN"/>
              </w:rPr>
              <w:t>（</w:t>
            </w:r>
            <w:r>
              <w:rPr>
                <w:rFonts w:hint="eastAsia"/>
                <w:color w:val="auto"/>
                <w:sz w:val="24"/>
                <w:szCs w:val="32"/>
                <w:highlight w:val="none"/>
                <w:lang w:val="en-US" w:eastAsia="zh-CN"/>
              </w:rPr>
              <w:t>810</w:t>
            </w:r>
            <w:r>
              <w:rPr>
                <w:rFonts w:hint="eastAsia"/>
                <w:color w:val="auto"/>
                <w:sz w:val="24"/>
                <w:szCs w:val="32"/>
                <w:highlight w:val="none"/>
              </w:rPr>
              <w:t>m</w:t>
            </w:r>
            <w:r>
              <w:rPr>
                <w:rFonts w:hint="eastAsia"/>
                <w:color w:val="auto"/>
                <w:sz w:val="24"/>
                <w:szCs w:val="32"/>
                <w:highlight w:val="none"/>
                <w:vertAlign w:val="superscript"/>
              </w:rPr>
              <w:t>3</w:t>
            </w:r>
            <w:r>
              <w:rPr>
                <w:rFonts w:hint="eastAsia"/>
                <w:color w:val="auto"/>
                <w:sz w:val="24"/>
                <w:szCs w:val="32"/>
                <w:highlight w:val="none"/>
              </w:rPr>
              <w:t>/a</w:t>
            </w:r>
            <w:r>
              <w:rPr>
                <w:rFonts w:hint="eastAsia"/>
                <w:color w:val="auto"/>
                <w:sz w:val="24"/>
                <w:szCs w:val="32"/>
                <w:highlight w:val="none"/>
                <w:lang w:eastAsia="zh-CN"/>
              </w:rPr>
              <w:t>）</w:t>
            </w:r>
            <w:r>
              <w:rPr>
                <w:rFonts w:hint="eastAsia"/>
                <w:color w:val="auto"/>
                <w:sz w:val="24"/>
                <w:szCs w:val="32"/>
                <w:highlight w:val="none"/>
              </w:rPr>
              <w:t>。</w:t>
            </w:r>
            <w:r>
              <w:rPr>
                <w:rFonts w:hint="eastAsia"/>
                <w:bCs/>
                <w:color w:val="auto"/>
                <w:sz w:val="24"/>
                <w:highlight w:val="none"/>
              </w:rPr>
              <w:t>主要污染物为COD</w:t>
            </w:r>
            <w:r>
              <w:rPr>
                <w:rFonts w:hint="eastAsia"/>
                <w:bCs/>
                <w:color w:val="auto"/>
                <w:sz w:val="24"/>
                <w:highlight w:val="none"/>
                <w:vertAlign w:val="subscript"/>
              </w:rPr>
              <w:t>cr</w:t>
            </w:r>
            <w:r>
              <w:rPr>
                <w:rFonts w:hint="eastAsia"/>
                <w:bCs/>
                <w:color w:val="auto"/>
                <w:sz w:val="24"/>
                <w:highlight w:val="none"/>
              </w:rPr>
              <w:t>、BOD</w:t>
            </w:r>
            <w:r>
              <w:rPr>
                <w:rFonts w:hint="eastAsia"/>
                <w:bCs/>
                <w:color w:val="auto"/>
                <w:sz w:val="24"/>
                <w:highlight w:val="none"/>
                <w:vertAlign w:val="subscript"/>
              </w:rPr>
              <w:t>5</w:t>
            </w:r>
            <w:r>
              <w:rPr>
                <w:rFonts w:hint="eastAsia"/>
                <w:bCs/>
                <w:color w:val="auto"/>
                <w:sz w:val="24"/>
                <w:highlight w:val="none"/>
              </w:rPr>
              <w:t>、SS、氨氮</w:t>
            </w:r>
            <w:r>
              <w:rPr>
                <w:rFonts w:hint="eastAsia"/>
                <w:bCs/>
                <w:color w:val="auto"/>
                <w:sz w:val="24"/>
                <w:highlight w:val="none"/>
                <w:lang w:val="en-US" w:eastAsia="zh-CN"/>
              </w:rPr>
              <w:t>等</w:t>
            </w:r>
            <w:r>
              <w:rPr>
                <w:rFonts w:hint="eastAsia"/>
                <w:bCs/>
                <w:color w:val="auto"/>
                <w:sz w:val="24"/>
                <w:highlight w:val="none"/>
              </w:rPr>
              <w:t>。</w:t>
            </w:r>
          </w:p>
          <w:p w14:paraId="445F6845">
            <w:pPr>
              <w:spacing w:line="360" w:lineRule="auto"/>
              <w:ind w:firstLine="482" w:firstLineChars="200"/>
              <w:rPr>
                <w:rFonts w:hint="default"/>
                <w:b/>
                <w:bCs/>
                <w:color w:val="auto"/>
                <w:sz w:val="24"/>
                <w:szCs w:val="32"/>
                <w:highlight w:val="none"/>
                <w:lang w:val="en-US" w:eastAsia="zh-CN"/>
              </w:rPr>
            </w:pPr>
            <w:r>
              <w:rPr>
                <w:rFonts w:hint="eastAsia"/>
                <w:b/>
                <w:bCs/>
                <w:color w:val="auto"/>
                <w:sz w:val="24"/>
                <w:szCs w:val="32"/>
                <w:highlight w:val="none"/>
                <w:lang w:val="en-US" w:eastAsia="zh-CN"/>
              </w:rPr>
              <w:t>②原料清洗废水</w:t>
            </w:r>
          </w:p>
          <w:p w14:paraId="26F980B3">
            <w:pPr>
              <w:ind w:firstLine="480"/>
              <w:rPr>
                <w:color w:val="FF0000"/>
                <w:sz w:val="24"/>
                <w:szCs w:val="32"/>
                <w:highlight w:val="none"/>
              </w:rPr>
            </w:pPr>
            <w:r>
              <w:rPr>
                <w:rFonts w:hint="eastAsia"/>
                <w:bCs/>
                <w:color w:val="auto"/>
                <w:kern w:val="24"/>
                <w:sz w:val="24"/>
                <w:szCs w:val="24"/>
                <w:highlight w:val="none"/>
              </w:rPr>
              <w:t>根据建设单位提供资料，</w:t>
            </w:r>
            <w:r>
              <w:rPr>
                <w:rFonts w:hint="eastAsia"/>
                <w:bCs/>
                <w:color w:val="auto"/>
                <w:kern w:val="24"/>
                <w:sz w:val="24"/>
                <w:szCs w:val="24"/>
                <w:highlight w:val="none"/>
                <w:lang w:val="en-US" w:eastAsia="zh-CN"/>
              </w:rPr>
              <w:t>项目产品生产过程中所有果蔬等均需进行清洗</w:t>
            </w:r>
            <w:r>
              <w:rPr>
                <w:rFonts w:hint="eastAsia"/>
                <w:bCs/>
                <w:color w:val="auto"/>
                <w:kern w:val="24"/>
                <w:sz w:val="24"/>
                <w:szCs w:val="24"/>
                <w:highlight w:val="none"/>
                <w:lang w:eastAsia="zh-CN"/>
              </w:rPr>
              <w:t>，</w:t>
            </w:r>
            <w:r>
              <w:rPr>
                <w:rFonts w:hint="eastAsia"/>
                <w:bCs/>
                <w:color w:val="auto"/>
                <w:kern w:val="24"/>
                <w:sz w:val="24"/>
                <w:szCs w:val="24"/>
                <w:highlight w:val="none"/>
                <w:lang w:val="en-US" w:eastAsia="zh-CN"/>
              </w:rPr>
              <w:t>根据建设单位提供的资料，项目果蔬清洗主要为高压喷淋和气泡清洗，根据清洗原料的不同用水量不同，根据建设单位生产经验，果蔬清洗高压喷淋时间在3min左右，项目拟设高压喷淋机4台，</w:t>
            </w:r>
            <w:r>
              <w:rPr>
                <w:rFonts w:hint="eastAsia" w:cs="Arial"/>
                <w:color w:val="auto"/>
                <w:sz w:val="24"/>
                <w:highlight w:val="none"/>
                <w:lang w:val="en-US" w:eastAsia="zh-CN"/>
              </w:rPr>
              <w:t>高压喷淋机出水量均在10L/min左右，高压喷淋机运行按每天运行5h计，则果蔬高压喷淋用水量为12m</w:t>
            </w:r>
            <w:r>
              <w:rPr>
                <w:rFonts w:hint="eastAsia" w:cs="Arial"/>
                <w:color w:val="auto"/>
                <w:sz w:val="24"/>
                <w:highlight w:val="none"/>
                <w:vertAlign w:val="superscript"/>
                <w:lang w:val="en-US" w:eastAsia="zh-CN"/>
              </w:rPr>
              <w:t>3</w:t>
            </w:r>
            <w:r>
              <w:rPr>
                <w:rFonts w:hint="eastAsia" w:cs="Arial"/>
                <w:color w:val="auto"/>
                <w:sz w:val="24"/>
                <w:highlight w:val="none"/>
                <w:lang w:val="en-US" w:eastAsia="zh-CN"/>
              </w:rPr>
              <w:t>/d</w:t>
            </w:r>
            <w:r>
              <w:rPr>
                <w:rFonts w:hint="eastAsia"/>
                <w:bCs/>
                <w:color w:val="auto"/>
                <w:kern w:val="24"/>
                <w:sz w:val="24"/>
                <w:szCs w:val="24"/>
                <w:highlight w:val="none"/>
                <w:lang w:val="en-US" w:eastAsia="zh-CN"/>
              </w:rPr>
              <w:t>；</w:t>
            </w:r>
            <w:r>
              <w:rPr>
                <w:rFonts w:hint="eastAsia" w:cs="Arial"/>
                <w:color w:val="auto"/>
                <w:sz w:val="24"/>
                <w:highlight w:val="none"/>
                <w:lang w:val="en-US" w:eastAsia="zh-CN"/>
              </w:rPr>
              <w:t>项目拟设4台气泡清洗机，水容量约2m</w:t>
            </w:r>
            <w:r>
              <w:rPr>
                <w:rFonts w:hint="eastAsia" w:cs="Arial"/>
                <w:color w:val="auto"/>
                <w:sz w:val="24"/>
                <w:highlight w:val="none"/>
                <w:vertAlign w:val="superscript"/>
                <w:lang w:val="en-US" w:eastAsia="zh-CN"/>
              </w:rPr>
              <w:t>3</w:t>
            </w:r>
            <w:r>
              <w:rPr>
                <w:rFonts w:hint="eastAsia" w:cs="Arial"/>
                <w:color w:val="auto"/>
                <w:sz w:val="24"/>
                <w:highlight w:val="none"/>
                <w:lang w:val="en-US" w:eastAsia="zh-CN"/>
              </w:rPr>
              <w:t>，预计每天更换1次，则气泡清洗机用水量为8m</w:t>
            </w:r>
            <w:r>
              <w:rPr>
                <w:rFonts w:hint="eastAsia" w:cs="Arial"/>
                <w:color w:val="auto"/>
                <w:sz w:val="24"/>
                <w:highlight w:val="none"/>
                <w:vertAlign w:val="superscript"/>
                <w:lang w:val="en-US" w:eastAsia="zh-CN"/>
              </w:rPr>
              <w:t>3</w:t>
            </w:r>
            <w:r>
              <w:rPr>
                <w:rFonts w:hint="eastAsia" w:cs="Arial"/>
                <w:color w:val="auto"/>
                <w:sz w:val="24"/>
                <w:highlight w:val="none"/>
                <w:lang w:val="en-US" w:eastAsia="zh-CN"/>
              </w:rPr>
              <w:t>/d。</w:t>
            </w:r>
            <w:r>
              <w:rPr>
                <w:rFonts w:hint="eastAsia"/>
                <w:bCs/>
                <w:color w:val="auto"/>
                <w:kern w:val="24"/>
                <w:sz w:val="24"/>
                <w:szCs w:val="24"/>
                <w:highlight w:val="none"/>
                <w:lang w:val="en-US" w:eastAsia="zh-CN"/>
              </w:rPr>
              <w:t>综上，项目预计原料清洗用水量合计为20.0m</w:t>
            </w:r>
            <w:r>
              <w:rPr>
                <w:rFonts w:hint="eastAsia"/>
                <w:bCs/>
                <w:color w:val="auto"/>
                <w:kern w:val="24"/>
                <w:sz w:val="24"/>
                <w:szCs w:val="24"/>
                <w:highlight w:val="none"/>
                <w:vertAlign w:val="superscript"/>
                <w:lang w:val="en-US" w:eastAsia="zh-CN"/>
              </w:rPr>
              <w:t>3</w:t>
            </w:r>
            <w:r>
              <w:rPr>
                <w:rFonts w:hint="eastAsia"/>
                <w:bCs/>
                <w:color w:val="auto"/>
                <w:kern w:val="24"/>
                <w:sz w:val="24"/>
                <w:szCs w:val="24"/>
                <w:highlight w:val="none"/>
                <w:lang w:val="en-US" w:eastAsia="zh-CN"/>
              </w:rPr>
              <w:t>/d（6000m</w:t>
            </w:r>
            <w:r>
              <w:rPr>
                <w:rFonts w:hint="eastAsia"/>
                <w:bCs/>
                <w:color w:val="auto"/>
                <w:kern w:val="24"/>
                <w:sz w:val="24"/>
                <w:szCs w:val="24"/>
                <w:highlight w:val="none"/>
                <w:vertAlign w:val="superscript"/>
                <w:lang w:val="en-US" w:eastAsia="zh-CN"/>
              </w:rPr>
              <w:t>3</w:t>
            </w:r>
            <w:r>
              <w:rPr>
                <w:rFonts w:hint="eastAsia"/>
                <w:bCs/>
                <w:color w:val="auto"/>
                <w:kern w:val="24"/>
                <w:sz w:val="24"/>
                <w:szCs w:val="24"/>
                <w:highlight w:val="none"/>
                <w:lang w:val="en-US" w:eastAsia="zh-CN"/>
              </w:rPr>
              <w:t>/a）</w:t>
            </w:r>
            <w:r>
              <w:rPr>
                <w:rFonts w:hint="eastAsia"/>
                <w:bCs/>
                <w:color w:val="auto"/>
                <w:kern w:val="24"/>
                <w:sz w:val="24"/>
                <w:szCs w:val="24"/>
                <w:highlight w:val="none"/>
              </w:rPr>
              <w:t>，</w:t>
            </w:r>
            <w:r>
              <w:rPr>
                <w:rFonts w:hint="eastAsia"/>
                <w:bCs/>
                <w:color w:val="auto"/>
                <w:kern w:val="24"/>
                <w:sz w:val="24"/>
                <w:szCs w:val="24"/>
                <w:highlight w:val="none"/>
                <w:lang w:val="en-US" w:eastAsia="zh-CN"/>
              </w:rPr>
              <w:t>排污系数按0.9计，原料清洗废水产生量</w:t>
            </w:r>
            <w:r>
              <w:rPr>
                <w:rFonts w:hint="eastAsia"/>
                <w:bCs/>
                <w:color w:val="auto"/>
                <w:kern w:val="24"/>
                <w:sz w:val="24"/>
                <w:szCs w:val="24"/>
                <w:highlight w:val="none"/>
              </w:rPr>
              <w:t>为</w:t>
            </w:r>
            <w:r>
              <w:rPr>
                <w:rFonts w:hint="eastAsia"/>
                <w:bCs/>
                <w:color w:val="auto"/>
                <w:kern w:val="24"/>
                <w:sz w:val="24"/>
                <w:szCs w:val="24"/>
                <w:highlight w:val="none"/>
                <w:lang w:val="en-US" w:eastAsia="zh-CN"/>
              </w:rPr>
              <w:t>18.0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w:t>
            </w:r>
            <w:r>
              <w:rPr>
                <w:rFonts w:hint="eastAsia"/>
                <w:bCs/>
                <w:color w:val="auto"/>
                <w:kern w:val="24"/>
                <w:sz w:val="24"/>
                <w:szCs w:val="24"/>
                <w:highlight w:val="none"/>
              </w:rPr>
              <w:t>（</w:t>
            </w:r>
            <w:r>
              <w:rPr>
                <w:rFonts w:hint="eastAsia"/>
                <w:bCs/>
                <w:color w:val="auto"/>
                <w:kern w:val="24"/>
                <w:sz w:val="24"/>
                <w:szCs w:val="24"/>
                <w:highlight w:val="none"/>
                <w:lang w:val="en-US" w:eastAsia="zh-CN"/>
              </w:rPr>
              <w:t>5400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color w:val="auto"/>
                <w:sz w:val="24"/>
                <w:szCs w:val="32"/>
                <w:highlight w:val="none"/>
              </w:rPr>
              <w:t>。</w:t>
            </w:r>
            <w:r>
              <w:rPr>
                <w:rFonts w:hint="eastAsia"/>
                <w:bCs/>
                <w:color w:val="auto"/>
                <w:sz w:val="24"/>
                <w:highlight w:val="none"/>
              </w:rPr>
              <w:t>主要污染物为</w:t>
            </w:r>
            <w:r>
              <w:rPr>
                <w:rFonts w:hint="eastAsia"/>
                <w:color w:val="auto"/>
                <w:highlight w:val="none"/>
              </w:rPr>
              <w:t>COD、BOD</w:t>
            </w:r>
            <w:r>
              <w:rPr>
                <w:rFonts w:hint="eastAsia"/>
                <w:color w:val="auto"/>
                <w:highlight w:val="none"/>
                <w:vertAlign w:val="subscript"/>
              </w:rPr>
              <w:t>5</w:t>
            </w:r>
            <w:r>
              <w:rPr>
                <w:rFonts w:hint="eastAsia"/>
                <w:color w:val="auto"/>
                <w:highlight w:val="none"/>
                <w:lang w:eastAsia="zh-CN"/>
              </w:rPr>
              <w:t>、</w:t>
            </w:r>
            <w:r>
              <w:rPr>
                <w:rFonts w:hint="eastAsia"/>
                <w:color w:val="auto"/>
                <w:highlight w:val="none"/>
              </w:rPr>
              <w:t>SS</w:t>
            </w:r>
            <w:r>
              <w:rPr>
                <w:rFonts w:hint="eastAsia"/>
                <w:color w:val="auto"/>
                <w:highlight w:val="none"/>
                <w:lang w:eastAsia="zh-CN"/>
              </w:rPr>
              <w:t>、</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-N、TP等。</w:t>
            </w:r>
          </w:p>
          <w:p w14:paraId="636BAF75">
            <w:pPr>
              <w:spacing w:line="360" w:lineRule="auto"/>
              <w:ind w:firstLine="482" w:firstLineChars="200"/>
              <w:rPr>
                <w:b/>
                <w:bCs/>
                <w:color w:val="auto"/>
                <w:kern w:val="24"/>
                <w:sz w:val="24"/>
                <w:szCs w:val="24"/>
                <w:highlight w:val="none"/>
              </w:rPr>
            </w:pPr>
            <w:r>
              <w:rPr>
                <w:rFonts w:hint="eastAsia"/>
                <w:b/>
                <w:bCs/>
                <w:color w:val="auto"/>
                <w:sz w:val="24"/>
                <w:szCs w:val="32"/>
                <w:highlight w:val="none"/>
                <w:lang w:val="en-US" w:eastAsia="zh-CN"/>
              </w:rPr>
              <w:t>③设备清洗废水</w:t>
            </w:r>
          </w:p>
          <w:p w14:paraId="56E37CF0">
            <w:pPr>
              <w:spacing w:line="360" w:lineRule="auto"/>
              <w:ind w:firstLine="480" w:firstLineChars="200"/>
              <w:rPr>
                <w:rFonts w:hint="eastAsia"/>
                <w:bCs/>
                <w:color w:val="auto"/>
                <w:kern w:val="24"/>
                <w:sz w:val="24"/>
                <w:szCs w:val="24"/>
                <w:highlight w:val="none"/>
              </w:rPr>
            </w:pPr>
            <w:r>
              <w:rPr>
                <w:rFonts w:hint="eastAsia"/>
                <w:bCs/>
                <w:color w:val="auto"/>
                <w:kern w:val="24"/>
                <w:sz w:val="24"/>
                <w:szCs w:val="24"/>
                <w:highlight w:val="none"/>
              </w:rPr>
              <w:t>根据建设单位提供资料，</w:t>
            </w:r>
            <w:r>
              <w:rPr>
                <w:rFonts w:hint="eastAsia"/>
                <w:bCs/>
                <w:color w:val="auto"/>
                <w:kern w:val="24"/>
                <w:sz w:val="24"/>
                <w:szCs w:val="24"/>
                <w:highlight w:val="none"/>
                <w:lang w:val="en-US" w:eastAsia="zh-CN"/>
              </w:rPr>
              <w:t>项目生产过程中生产设备需每天进行清洗</w:t>
            </w:r>
            <w:r>
              <w:rPr>
                <w:rFonts w:hint="eastAsia"/>
                <w:bCs/>
                <w:color w:val="auto"/>
                <w:kern w:val="24"/>
                <w:sz w:val="24"/>
                <w:szCs w:val="24"/>
                <w:highlight w:val="none"/>
              </w:rPr>
              <w:t>，</w:t>
            </w:r>
            <w:r>
              <w:rPr>
                <w:rFonts w:hint="eastAsia"/>
                <w:bCs/>
                <w:color w:val="auto"/>
                <w:kern w:val="24"/>
                <w:sz w:val="24"/>
                <w:szCs w:val="24"/>
                <w:highlight w:val="none"/>
                <w:lang w:val="en-US" w:eastAsia="zh-CN"/>
              </w:rPr>
              <w:t>预计设备清洗用水量约2</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w:t>
            </w:r>
            <w:r>
              <w:rPr>
                <w:rFonts w:hint="eastAsia"/>
                <w:bCs/>
                <w:color w:val="auto"/>
                <w:kern w:val="24"/>
                <w:sz w:val="24"/>
                <w:szCs w:val="24"/>
                <w:highlight w:val="none"/>
              </w:rPr>
              <w:t>（</w:t>
            </w:r>
            <w:r>
              <w:rPr>
                <w:rFonts w:hint="eastAsia"/>
                <w:bCs/>
                <w:color w:val="auto"/>
                <w:kern w:val="24"/>
                <w:sz w:val="24"/>
                <w:szCs w:val="24"/>
                <w:highlight w:val="none"/>
                <w:lang w:val="en-US" w:eastAsia="zh-CN"/>
              </w:rPr>
              <w:t>600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eastAsia="zh-CN"/>
              </w:rPr>
              <w:t>，</w:t>
            </w:r>
            <w:r>
              <w:rPr>
                <w:rFonts w:hint="eastAsia"/>
                <w:bCs/>
                <w:color w:val="auto"/>
                <w:kern w:val="24"/>
                <w:sz w:val="24"/>
                <w:szCs w:val="24"/>
                <w:highlight w:val="none"/>
                <w:lang w:val="en-US" w:eastAsia="zh-CN"/>
              </w:rPr>
              <w:t>排污系数按0.9计，则设备清洗废水排放量为1.8</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d（540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val="en-US" w:eastAsia="zh-CN"/>
              </w:rPr>
              <w:t>）</w:t>
            </w:r>
            <w:r>
              <w:rPr>
                <w:rFonts w:hint="eastAsia"/>
                <w:bCs/>
                <w:color w:val="auto"/>
                <w:kern w:val="24"/>
                <w:sz w:val="24"/>
                <w:szCs w:val="24"/>
                <w:highlight w:val="none"/>
              </w:rPr>
              <w:t>。</w:t>
            </w:r>
            <w:r>
              <w:rPr>
                <w:rFonts w:hint="eastAsia"/>
                <w:bCs/>
                <w:color w:val="auto"/>
                <w:sz w:val="24"/>
                <w:highlight w:val="none"/>
              </w:rPr>
              <w:t>主要污染物为COD</w:t>
            </w:r>
            <w:r>
              <w:rPr>
                <w:rFonts w:hint="eastAsia"/>
                <w:bCs/>
                <w:color w:val="auto"/>
                <w:sz w:val="24"/>
                <w:highlight w:val="none"/>
                <w:vertAlign w:val="subscript"/>
              </w:rPr>
              <w:t>cr</w:t>
            </w:r>
            <w:r>
              <w:rPr>
                <w:rFonts w:hint="eastAsia"/>
                <w:bCs/>
                <w:color w:val="auto"/>
                <w:sz w:val="24"/>
                <w:highlight w:val="none"/>
              </w:rPr>
              <w:t>、BOD</w:t>
            </w:r>
            <w:r>
              <w:rPr>
                <w:rFonts w:hint="eastAsia"/>
                <w:bCs/>
                <w:color w:val="auto"/>
                <w:sz w:val="24"/>
                <w:highlight w:val="none"/>
                <w:vertAlign w:val="subscript"/>
              </w:rPr>
              <w:t>5</w:t>
            </w:r>
            <w:r>
              <w:rPr>
                <w:rFonts w:hint="eastAsia"/>
                <w:bCs/>
                <w:color w:val="auto"/>
                <w:sz w:val="24"/>
                <w:highlight w:val="none"/>
              </w:rPr>
              <w:t>、SS</w:t>
            </w:r>
            <w:r>
              <w:rPr>
                <w:rFonts w:hint="eastAsia"/>
                <w:bCs/>
                <w:color w:val="auto"/>
                <w:sz w:val="24"/>
                <w:highlight w:val="none"/>
                <w:lang w:eastAsia="zh-CN"/>
              </w:rPr>
              <w:t>、</w:t>
            </w:r>
            <w:r>
              <w:rPr>
                <w:rFonts w:hint="eastAsia"/>
                <w:bCs/>
                <w:color w:val="auto"/>
                <w:sz w:val="24"/>
                <w:highlight w:val="none"/>
                <w:lang w:val="en-US" w:eastAsia="zh-CN"/>
              </w:rPr>
              <w:t>TP、动植物油等。</w:t>
            </w:r>
          </w:p>
          <w:p w14:paraId="5A22DE8F">
            <w:pPr>
              <w:ind w:firstLine="480"/>
              <w:rPr>
                <w:rFonts w:hint="default"/>
                <w:b/>
                <w:bCs/>
                <w:color w:val="auto"/>
                <w:sz w:val="24"/>
                <w:szCs w:val="32"/>
                <w:highlight w:val="none"/>
                <w:lang w:val="en-US" w:eastAsia="zh-CN"/>
              </w:rPr>
            </w:pPr>
            <w:r>
              <w:rPr>
                <w:rFonts w:hint="eastAsia"/>
                <w:b/>
                <w:bCs/>
                <w:color w:val="auto"/>
                <w:sz w:val="24"/>
                <w:szCs w:val="32"/>
                <w:highlight w:val="none"/>
                <w:lang w:val="en-US" w:eastAsia="zh-CN"/>
              </w:rPr>
              <w:t>④漂烫废水</w:t>
            </w:r>
          </w:p>
          <w:p w14:paraId="4E519F30">
            <w:pPr>
              <w:ind w:firstLine="480"/>
              <w:rPr>
                <w:rFonts w:hint="eastAsia"/>
                <w:b/>
                <w:bCs/>
                <w:color w:val="auto"/>
                <w:sz w:val="24"/>
                <w:szCs w:val="32"/>
                <w:highlight w:val="none"/>
                <w:lang w:val="en-US" w:eastAsia="zh-CN"/>
              </w:rPr>
            </w:pPr>
            <w:r>
              <w:rPr>
                <w:rFonts w:hint="eastAsia"/>
                <w:bCs/>
                <w:color w:val="auto"/>
                <w:kern w:val="24"/>
                <w:sz w:val="24"/>
                <w:szCs w:val="24"/>
                <w:highlight w:val="none"/>
              </w:rPr>
              <w:t>根据建设单位提供资料，</w:t>
            </w:r>
            <w:r>
              <w:rPr>
                <w:rFonts w:hint="eastAsia"/>
                <w:bCs/>
                <w:color w:val="auto"/>
                <w:kern w:val="24"/>
                <w:sz w:val="24"/>
                <w:szCs w:val="24"/>
                <w:highlight w:val="none"/>
                <w:lang w:val="en-US" w:eastAsia="zh-CN"/>
              </w:rPr>
              <w:t>项目冻干生产工艺过程中预计果蔬漂烫用水（包括漂烫过程中补充用水）量约4.0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w:t>
            </w:r>
            <w:r>
              <w:rPr>
                <w:rFonts w:hint="eastAsia"/>
                <w:bCs/>
                <w:color w:val="auto"/>
                <w:kern w:val="24"/>
                <w:sz w:val="24"/>
                <w:szCs w:val="24"/>
                <w:highlight w:val="none"/>
              </w:rPr>
              <w:t>（</w:t>
            </w:r>
            <w:r>
              <w:rPr>
                <w:rFonts w:hint="eastAsia"/>
                <w:bCs/>
                <w:color w:val="auto"/>
                <w:kern w:val="24"/>
                <w:sz w:val="24"/>
                <w:szCs w:val="24"/>
                <w:highlight w:val="none"/>
                <w:lang w:val="en-US" w:eastAsia="zh-CN"/>
              </w:rPr>
              <w:t>1200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eastAsia="zh-CN"/>
              </w:rPr>
              <w:t>，</w:t>
            </w:r>
            <w:r>
              <w:rPr>
                <w:rFonts w:hint="eastAsia"/>
                <w:bCs/>
                <w:color w:val="auto"/>
                <w:kern w:val="24"/>
                <w:sz w:val="24"/>
                <w:szCs w:val="24"/>
                <w:highlight w:val="none"/>
                <w:lang w:val="en-US" w:eastAsia="zh-CN"/>
              </w:rPr>
              <w:t>漂烫用水预计每天排放1次，排污系数按0.5计，则漂烫废水排放量为2.0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d（600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val="en-US" w:eastAsia="zh-CN"/>
              </w:rPr>
              <w:t>））</w:t>
            </w:r>
            <w:r>
              <w:rPr>
                <w:rFonts w:hint="eastAsia"/>
                <w:bCs/>
                <w:color w:val="auto"/>
                <w:kern w:val="24"/>
                <w:sz w:val="24"/>
                <w:szCs w:val="24"/>
                <w:highlight w:val="none"/>
              </w:rPr>
              <w:t>。</w:t>
            </w:r>
            <w:r>
              <w:rPr>
                <w:rFonts w:hint="eastAsia"/>
                <w:bCs/>
                <w:color w:val="auto"/>
                <w:sz w:val="24"/>
                <w:highlight w:val="none"/>
              </w:rPr>
              <w:t>主要污染物为COD</w:t>
            </w:r>
            <w:r>
              <w:rPr>
                <w:rFonts w:hint="eastAsia"/>
                <w:bCs/>
                <w:color w:val="auto"/>
                <w:sz w:val="24"/>
                <w:highlight w:val="none"/>
                <w:vertAlign w:val="subscript"/>
              </w:rPr>
              <w:t>cr</w:t>
            </w:r>
            <w:r>
              <w:rPr>
                <w:rFonts w:hint="eastAsia"/>
                <w:bCs/>
                <w:color w:val="auto"/>
                <w:sz w:val="24"/>
                <w:highlight w:val="none"/>
                <w:vertAlign w:val="baseline"/>
                <w:lang w:eastAsia="zh-CN"/>
              </w:rPr>
              <w:t>、</w:t>
            </w:r>
            <w:r>
              <w:rPr>
                <w:rFonts w:hint="eastAsia"/>
                <w:bCs/>
                <w:color w:val="auto"/>
                <w:sz w:val="24"/>
                <w:highlight w:val="none"/>
              </w:rPr>
              <w:t>BOD</w:t>
            </w:r>
            <w:r>
              <w:rPr>
                <w:rFonts w:hint="eastAsia"/>
                <w:bCs/>
                <w:color w:val="auto"/>
                <w:sz w:val="24"/>
                <w:highlight w:val="none"/>
                <w:vertAlign w:val="subscript"/>
              </w:rPr>
              <w:t>5</w:t>
            </w:r>
            <w:r>
              <w:rPr>
                <w:rFonts w:hint="eastAsia"/>
                <w:bCs/>
                <w:color w:val="auto"/>
                <w:sz w:val="24"/>
                <w:highlight w:val="none"/>
              </w:rPr>
              <w:t>、SS</w:t>
            </w:r>
            <w:r>
              <w:rPr>
                <w:rFonts w:hint="eastAsia"/>
                <w:bCs/>
                <w:color w:val="auto"/>
                <w:sz w:val="24"/>
                <w:highlight w:val="none"/>
                <w:lang w:eastAsia="zh-CN"/>
              </w:rPr>
              <w:t>、</w:t>
            </w:r>
            <w:r>
              <w:rPr>
                <w:rFonts w:hint="eastAsia"/>
                <w:bCs/>
                <w:color w:val="auto"/>
                <w:sz w:val="24"/>
                <w:highlight w:val="none"/>
                <w:vertAlign w:val="baseline"/>
                <w:lang w:val="en-US" w:eastAsia="zh-CN"/>
              </w:rPr>
              <w:t>pH</w:t>
            </w:r>
            <w:r>
              <w:rPr>
                <w:rFonts w:hint="eastAsia"/>
                <w:bCs/>
                <w:color w:val="auto"/>
                <w:sz w:val="24"/>
                <w:highlight w:val="none"/>
                <w:lang w:val="en-US" w:eastAsia="zh-CN"/>
              </w:rPr>
              <w:t>等。</w:t>
            </w:r>
          </w:p>
          <w:p w14:paraId="75F5B13A">
            <w:pPr>
              <w:pStyle w:val="2"/>
              <w:rPr>
                <w:rFonts w:hint="default"/>
                <w:b/>
                <w:bCs w:val="0"/>
                <w:color w:val="auto"/>
                <w:kern w:val="24"/>
                <w:sz w:val="24"/>
                <w:szCs w:val="24"/>
                <w:highlight w:val="none"/>
                <w:lang w:val="en-US" w:eastAsia="zh-CN"/>
              </w:rPr>
            </w:pPr>
            <w:r>
              <w:rPr>
                <w:rFonts w:hint="eastAsia"/>
                <w:b/>
                <w:bCs w:val="0"/>
                <w:color w:val="auto"/>
                <w:kern w:val="24"/>
                <w:sz w:val="24"/>
                <w:szCs w:val="24"/>
                <w:highlight w:val="none"/>
                <w:lang w:val="en-US" w:eastAsia="zh-CN"/>
              </w:rPr>
              <w:t>⑤猪肉解冻废水</w:t>
            </w:r>
          </w:p>
          <w:p w14:paraId="6E2E4986">
            <w:pPr>
              <w:bidi w:val="0"/>
              <w:rPr>
                <w:rFonts w:hint="default"/>
                <w:lang w:val="en-US" w:eastAsia="zh-CN"/>
              </w:rPr>
            </w:pPr>
            <w:r>
              <w:rPr>
                <w:rFonts w:hint="eastAsia"/>
                <w:lang w:val="en-US" w:eastAsia="zh-CN"/>
              </w:rPr>
              <w:t>午餐肉罐头生产过程中需对冻库中拿出的猪肉使用气泡解冻池进行解冻，解冻池水容量约10m</w:t>
            </w:r>
            <w:r>
              <w:rPr>
                <w:rFonts w:hint="eastAsia"/>
                <w:vertAlign w:val="superscript"/>
                <w:lang w:val="en-US" w:eastAsia="zh-CN"/>
              </w:rPr>
              <w:t>3</w:t>
            </w:r>
            <w:r>
              <w:rPr>
                <w:rFonts w:hint="eastAsia"/>
                <w:lang w:val="en-US" w:eastAsia="zh-CN"/>
              </w:rPr>
              <w:t>，解冻水循环使用，预计每天更换1次，</w:t>
            </w:r>
            <w:r>
              <w:rPr>
                <w:rFonts w:hint="eastAsia"/>
                <w:bCs/>
                <w:color w:val="auto"/>
                <w:kern w:val="24"/>
                <w:sz w:val="24"/>
                <w:szCs w:val="24"/>
                <w:highlight w:val="none"/>
                <w:lang w:val="en-US" w:eastAsia="zh-CN"/>
              </w:rPr>
              <w:t>排污系数按0.8计，则空罐及实罐清洗废水排放量为8.0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w:t>
            </w:r>
            <w:r>
              <w:rPr>
                <w:rFonts w:hint="eastAsia"/>
                <w:bCs/>
                <w:color w:val="auto"/>
                <w:kern w:val="24"/>
                <w:sz w:val="24"/>
                <w:szCs w:val="24"/>
                <w:highlight w:val="none"/>
                <w:lang w:val="en-US" w:eastAsia="zh-CN"/>
              </w:rPr>
              <w:t>d（2400</w:t>
            </w:r>
            <w:r>
              <w:rPr>
                <w:rFonts w:hint="eastAsia"/>
                <w:bCs/>
                <w:color w:val="auto"/>
                <w:kern w:val="24"/>
                <w:sz w:val="24"/>
                <w:szCs w:val="24"/>
                <w:highlight w:val="none"/>
              </w:rPr>
              <w:t>m</w:t>
            </w:r>
            <w:r>
              <w:rPr>
                <w:rFonts w:hint="eastAsia"/>
                <w:bCs/>
                <w:color w:val="auto"/>
                <w:kern w:val="24"/>
                <w:sz w:val="24"/>
                <w:szCs w:val="24"/>
                <w:highlight w:val="none"/>
                <w:vertAlign w:val="superscript"/>
              </w:rPr>
              <w:t>3</w:t>
            </w:r>
            <w:r>
              <w:rPr>
                <w:rFonts w:hint="eastAsia"/>
                <w:bCs/>
                <w:color w:val="auto"/>
                <w:kern w:val="24"/>
                <w:sz w:val="24"/>
                <w:szCs w:val="24"/>
                <w:highlight w:val="none"/>
              </w:rPr>
              <w:t>/a</w:t>
            </w:r>
            <w:r>
              <w:rPr>
                <w:rFonts w:hint="eastAsia"/>
                <w:bCs/>
                <w:color w:val="auto"/>
                <w:kern w:val="24"/>
                <w:sz w:val="24"/>
                <w:szCs w:val="24"/>
                <w:highlight w:val="none"/>
                <w:lang w:val="en-US" w:eastAsia="zh-CN"/>
              </w:rPr>
              <w:t>）</w:t>
            </w:r>
            <w:r>
              <w:rPr>
                <w:rFonts w:hint="eastAsia"/>
                <w:bCs/>
                <w:color w:val="auto"/>
                <w:kern w:val="24"/>
                <w:sz w:val="24"/>
                <w:szCs w:val="24"/>
                <w:highlight w:val="none"/>
              </w:rPr>
              <w:t>。</w:t>
            </w:r>
            <w:r>
              <w:rPr>
                <w:rFonts w:hint="eastAsia"/>
                <w:bCs/>
                <w:color w:val="auto"/>
                <w:sz w:val="24"/>
                <w:highlight w:val="none"/>
              </w:rPr>
              <w:t>主要污染物为COD</w:t>
            </w:r>
            <w:r>
              <w:rPr>
                <w:rFonts w:hint="eastAsia"/>
                <w:bCs/>
                <w:color w:val="auto"/>
                <w:sz w:val="24"/>
                <w:highlight w:val="none"/>
                <w:vertAlign w:val="subscript"/>
              </w:rPr>
              <w:t>cr</w:t>
            </w:r>
            <w:r>
              <w:rPr>
                <w:rFonts w:hint="eastAsia"/>
                <w:bCs/>
                <w:color w:val="auto"/>
                <w:sz w:val="24"/>
                <w:highlight w:val="none"/>
                <w:vertAlign w:val="baseline"/>
                <w:lang w:eastAsia="zh-CN"/>
              </w:rPr>
              <w:t>、</w:t>
            </w:r>
            <w:r>
              <w:rPr>
                <w:rFonts w:hint="eastAsia"/>
                <w:bCs/>
                <w:color w:val="auto"/>
                <w:sz w:val="24"/>
                <w:highlight w:val="none"/>
              </w:rPr>
              <w:t>BOD</w:t>
            </w:r>
            <w:r>
              <w:rPr>
                <w:rFonts w:hint="eastAsia"/>
                <w:bCs/>
                <w:color w:val="auto"/>
                <w:sz w:val="24"/>
                <w:highlight w:val="none"/>
                <w:vertAlign w:val="subscript"/>
              </w:rPr>
              <w:t>5</w:t>
            </w:r>
            <w:r>
              <w:rPr>
                <w:rFonts w:hint="eastAsia"/>
                <w:bCs/>
                <w:color w:val="auto"/>
                <w:sz w:val="24"/>
                <w:highlight w:val="none"/>
              </w:rPr>
              <w:t>、SS</w:t>
            </w:r>
            <w:r>
              <w:rPr>
                <w:rFonts w:hint="eastAsia"/>
                <w:bCs/>
                <w:color w:val="auto"/>
                <w:sz w:val="24"/>
                <w:highlight w:val="none"/>
                <w:lang w:eastAsia="zh-CN"/>
              </w:rPr>
              <w:t>、</w:t>
            </w:r>
            <w:r>
              <w:rPr>
                <w:rFonts w:hint="eastAsia"/>
                <w:bCs/>
                <w:color w:val="auto"/>
                <w:sz w:val="24"/>
                <w:highlight w:val="none"/>
                <w:vertAlign w:val="baseline"/>
                <w:lang w:val="en-US" w:eastAsia="zh-CN"/>
              </w:rPr>
              <w:t>动植物油</w:t>
            </w:r>
            <w:r>
              <w:rPr>
                <w:rFonts w:hint="eastAsia"/>
                <w:bCs/>
                <w:color w:val="auto"/>
                <w:sz w:val="24"/>
                <w:highlight w:val="none"/>
                <w:lang w:val="en-US" w:eastAsia="zh-CN"/>
              </w:rPr>
              <w:t>等。</w:t>
            </w:r>
          </w:p>
          <w:p w14:paraId="0B811FA8">
            <w:pPr>
              <w:pStyle w:val="2"/>
              <w:rPr>
                <w:rFonts w:hint="default"/>
                <w:b/>
                <w:bCs w:val="0"/>
                <w:color w:val="auto"/>
                <w:kern w:val="24"/>
                <w:sz w:val="24"/>
                <w:szCs w:val="24"/>
                <w:highlight w:val="none"/>
                <w:lang w:val="en-US" w:eastAsia="zh-CN"/>
              </w:rPr>
            </w:pPr>
            <w:r>
              <w:rPr>
                <w:rFonts w:hint="eastAsia"/>
                <w:b/>
                <w:bCs w:val="0"/>
                <w:color w:val="auto"/>
                <w:kern w:val="24"/>
                <w:sz w:val="24"/>
                <w:szCs w:val="24"/>
                <w:highlight w:val="none"/>
                <w:lang w:val="en-US" w:eastAsia="zh-CN"/>
              </w:rPr>
              <w:t>⑥空罐及实罐清洗废水</w:t>
            </w:r>
          </w:p>
          <w:p w14:paraId="2878817C">
            <w:pPr>
              <w:bidi w:val="0"/>
              <w:rPr>
                <w:rFonts w:hint="eastAsia"/>
                <w:lang w:val="en-US" w:eastAsia="zh-CN"/>
              </w:rPr>
            </w:pPr>
            <w:r>
              <w:rPr>
                <w:rFonts w:hint="eastAsia"/>
                <w:lang w:val="en-US" w:eastAsia="zh-CN"/>
              </w:rPr>
              <w:t>午餐肉罐头生产过程中需对空罐、灌装后实罐进行清洗，2台清洗机水容量分别约为2m</w:t>
            </w:r>
            <w:r>
              <w:rPr>
                <w:rFonts w:hint="eastAsia"/>
                <w:vertAlign w:val="superscript"/>
                <w:lang w:val="en-US" w:eastAsia="zh-CN"/>
              </w:rPr>
              <w:t>3</w:t>
            </w:r>
            <w:r>
              <w:rPr>
                <w:rFonts w:hint="eastAsia"/>
                <w:lang w:val="en-US" w:eastAsia="zh-CN"/>
              </w:rPr>
              <w:t>，清洗水循环使用，预计每天更换1次，排污系数按0.8计，则空罐及实罐清洗废水排放量为3.2</w:t>
            </w:r>
            <w:r>
              <w:rPr>
                <w:rFonts w:hint="eastAsia"/>
              </w:rPr>
              <w:t>m</w:t>
            </w:r>
            <w:r>
              <w:rPr>
                <w:rFonts w:hint="eastAsia"/>
                <w:vertAlign w:val="superscript"/>
              </w:rPr>
              <w:t>3</w:t>
            </w:r>
            <w:r>
              <w:rPr>
                <w:rFonts w:hint="eastAsia"/>
              </w:rPr>
              <w:t>/</w:t>
            </w:r>
            <w:r>
              <w:rPr>
                <w:rFonts w:hint="eastAsia"/>
                <w:lang w:val="en-US" w:eastAsia="zh-CN"/>
              </w:rPr>
              <w:t>d（960</w:t>
            </w:r>
            <w:r>
              <w:rPr>
                <w:rFonts w:hint="eastAsia"/>
              </w:rPr>
              <w:t>m</w:t>
            </w:r>
            <w:r>
              <w:rPr>
                <w:rFonts w:hint="eastAsia"/>
                <w:vertAlign w:val="superscript"/>
              </w:rPr>
              <w:t>3</w:t>
            </w:r>
            <w:r>
              <w:rPr>
                <w:rFonts w:hint="eastAsia"/>
              </w:rPr>
              <w:t>/a</w:t>
            </w:r>
            <w:r>
              <w:rPr>
                <w:rFonts w:hint="eastAsia"/>
                <w:lang w:val="en-US" w:eastAsia="zh-CN"/>
              </w:rPr>
              <w:t>）</w:t>
            </w:r>
            <w:r>
              <w:rPr>
                <w:rFonts w:hint="eastAsia"/>
              </w:rPr>
              <w:t>。</w:t>
            </w:r>
            <w:r>
              <w:rPr>
                <w:rFonts w:hint="eastAsia"/>
                <w:bCs/>
                <w:color w:val="auto"/>
                <w:sz w:val="24"/>
                <w:highlight w:val="none"/>
              </w:rPr>
              <w:t>主要污染物为COD</w:t>
            </w:r>
            <w:r>
              <w:rPr>
                <w:rFonts w:hint="eastAsia"/>
                <w:bCs/>
                <w:color w:val="auto"/>
                <w:sz w:val="24"/>
                <w:highlight w:val="none"/>
                <w:vertAlign w:val="subscript"/>
              </w:rPr>
              <w:t>cr</w:t>
            </w:r>
            <w:r>
              <w:rPr>
                <w:rFonts w:hint="eastAsia"/>
                <w:bCs/>
                <w:color w:val="auto"/>
                <w:sz w:val="24"/>
                <w:highlight w:val="none"/>
                <w:vertAlign w:val="baseline"/>
                <w:lang w:eastAsia="zh-CN"/>
              </w:rPr>
              <w:t>、</w:t>
            </w:r>
            <w:r>
              <w:rPr>
                <w:rFonts w:hint="eastAsia"/>
                <w:bCs/>
                <w:color w:val="auto"/>
                <w:sz w:val="24"/>
                <w:highlight w:val="none"/>
              </w:rPr>
              <w:t>BOD</w:t>
            </w:r>
            <w:r>
              <w:rPr>
                <w:rFonts w:hint="eastAsia"/>
                <w:bCs/>
                <w:color w:val="auto"/>
                <w:sz w:val="24"/>
                <w:highlight w:val="none"/>
                <w:vertAlign w:val="subscript"/>
              </w:rPr>
              <w:t>5</w:t>
            </w:r>
            <w:r>
              <w:rPr>
                <w:rFonts w:hint="eastAsia"/>
                <w:bCs/>
                <w:color w:val="auto"/>
                <w:sz w:val="24"/>
                <w:highlight w:val="none"/>
                <w:lang w:eastAsia="zh-CN"/>
              </w:rPr>
              <w:t>、</w:t>
            </w:r>
            <w:r>
              <w:rPr>
                <w:rFonts w:hint="eastAsia"/>
                <w:bCs/>
                <w:color w:val="auto"/>
                <w:sz w:val="24"/>
                <w:highlight w:val="none"/>
                <w:vertAlign w:val="baseline"/>
                <w:lang w:val="en-US" w:eastAsia="zh-CN"/>
              </w:rPr>
              <w:t>动植物油</w:t>
            </w:r>
            <w:r>
              <w:rPr>
                <w:rFonts w:hint="eastAsia"/>
                <w:bCs/>
                <w:color w:val="auto"/>
                <w:sz w:val="24"/>
                <w:highlight w:val="none"/>
                <w:lang w:val="en-US" w:eastAsia="zh-CN"/>
              </w:rPr>
              <w:t>等。</w:t>
            </w:r>
          </w:p>
          <w:p w14:paraId="0DF9FEF1">
            <w:pPr>
              <w:pStyle w:val="2"/>
              <w:rPr>
                <w:rFonts w:hint="default"/>
                <w:b/>
                <w:bCs w:val="0"/>
                <w:color w:val="auto"/>
                <w:kern w:val="24"/>
                <w:sz w:val="24"/>
                <w:szCs w:val="24"/>
                <w:highlight w:val="none"/>
                <w:lang w:val="en-US" w:eastAsia="zh-CN"/>
              </w:rPr>
            </w:pPr>
            <w:r>
              <w:rPr>
                <w:rFonts w:hint="eastAsia"/>
                <w:b/>
                <w:bCs w:val="0"/>
                <w:color w:val="auto"/>
                <w:kern w:val="24"/>
                <w:sz w:val="24"/>
                <w:szCs w:val="24"/>
                <w:highlight w:val="none"/>
                <w:lang w:val="en-US" w:eastAsia="zh-CN"/>
              </w:rPr>
              <w:t>⑦蒸汽发生器</w:t>
            </w:r>
            <w:r>
              <w:rPr>
                <w:rFonts w:hint="eastAsia"/>
                <w:b/>
                <w:bCs/>
                <w:color w:val="auto"/>
                <w:sz w:val="24"/>
                <w:szCs w:val="32"/>
                <w:highlight w:val="none"/>
                <w:lang w:val="en-US" w:eastAsia="zh-CN"/>
              </w:rPr>
              <w:t>废水</w:t>
            </w:r>
          </w:p>
          <w:p w14:paraId="373199A3">
            <w:pPr>
              <w:pStyle w:val="2"/>
              <w:rPr>
                <w:rFonts w:hint="default" w:eastAsia="宋体"/>
                <w:bCs/>
                <w:color w:val="auto"/>
                <w:kern w:val="24"/>
                <w:sz w:val="24"/>
                <w:szCs w:val="24"/>
                <w:highlight w:val="none"/>
                <w:lang w:val="en-US" w:eastAsia="zh-CN"/>
              </w:rPr>
            </w:pPr>
            <w:r>
              <w:rPr>
                <w:rFonts w:hint="default" w:eastAsia="宋体"/>
                <w:bCs/>
                <w:color w:val="auto"/>
                <w:kern w:val="24"/>
                <w:sz w:val="24"/>
                <w:szCs w:val="24"/>
                <w:highlight w:val="none"/>
                <w:lang w:val="en-US" w:eastAsia="zh-CN"/>
              </w:rPr>
              <w:t>项目拟使用</w:t>
            </w:r>
            <w:r>
              <w:rPr>
                <w:rFonts w:hint="eastAsia"/>
                <w:bCs/>
                <w:color w:val="auto"/>
                <w:kern w:val="24"/>
                <w:sz w:val="24"/>
                <w:szCs w:val="24"/>
                <w:highlight w:val="none"/>
                <w:lang w:val="en-US" w:eastAsia="zh-CN"/>
              </w:rPr>
              <w:t>1</w:t>
            </w:r>
            <w:r>
              <w:rPr>
                <w:rFonts w:hint="default" w:eastAsia="宋体"/>
                <w:bCs/>
                <w:color w:val="auto"/>
                <w:kern w:val="24"/>
                <w:sz w:val="24"/>
                <w:szCs w:val="24"/>
                <w:highlight w:val="none"/>
                <w:lang w:val="en-US" w:eastAsia="zh-CN"/>
              </w:rPr>
              <w:t>台</w:t>
            </w:r>
            <w:r>
              <w:rPr>
                <w:rFonts w:hint="eastAsia"/>
                <w:bCs/>
                <w:color w:val="auto"/>
                <w:kern w:val="24"/>
                <w:sz w:val="24"/>
                <w:szCs w:val="24"/>
                <w:highlight w:val="none"/>
                <w:lang w:val="en-US" w:eastAsia="zh-CN"/>
              </w:rPr>
              <w:t>20</w:t>
            </w:r>
            <w:r>
              <w:rPr>
                <w:rFonts w:hint="default" w:eastAsia="宋体"/>
                <w:bCs/>
                <w:color w:val="auto"/>
                <w:kern w:val="24"/>
                <w:sz w:val="24"/>
                <w:szCs w:val="24"/>
                <w:highlight w:val="none"/>
                <w:lang w:val="en-US" w:eastAsia="zh-CN"/>
              </w:rPr>
              <w:t>t/h</w:t>
            </w:r>
            <w:r>
              <w:rPr>
                <w:rFonts w:hint="eastAsia"/>
                <w:bCs/>
                <w:color w:val="auto"/>
                <w:kern w:val="24"/>
                <w:sz w:val="24"/>
                <w:szCs w:val="24"/>
                <w:highlight w:val="none"/>
                <w:lang w:val="en-US" w:eastAsia="zh-CN"/>
              </w:rPr>
              <w:t>蒸汽</w:t>
            </w:r>
            <w:r>
              <w:rPr>
                <w:rFonts w:hint="default" w:eastAsia="宋体"/>
                <w:bCs/>
                <w:color w:val="auto"/>
                <w:kern w:val="24"/>
                <w:sz w:val="24"/>
                <w:szCs w:val="24"/>
                <w:highlight w:val="none"/>
                <w:lang w:val="en-US" w:eastAsia="zh-CN"/>
              </w:rPr>
              <w:t>发生器为</w:t>
            </w:r>
            <w:r>
              <w:rPr>
                <w:rFonts w:hint="eastAsia"/>
                <w:bCs/>
                <w:color w:val="auto"/>
                <w:kern w:val="24"/>
                <w:sz w:val="24"/>
                <w:szCs w:val="24"/>
                <w:highlight w:val="none"/>
                <w:lang w:val="en-US" w:eastAsia="zh-CN"/>
              </w:rPr>
              <w:t>冻干、红薯条、南瓜饼等产品生产过程中漂烫、蒸煮</w:t>
            </w:r>
            <w:r>
              <w:rPr>
                <w:rFonts w:hint="default" w:eastAsia="宋体"/>
                <w:bCs/>
                <w:color w:val="auto"/>
                <w:kern w:val="24"/>
                <w:sz w:val="24"/>
                <w:szCs w:val="24"/>
                <w:highlight w:val="none"/>
                <w:lang w:val="en-US" w:eastAsia="zh-CN"/>
              </w:rPr>
              <w:t>提供蒸汽加热</w:t>
            </w:r>
            <w:r>
              <w:rPr>
                <w:rFonts w:hint="eastAsia"/>
                <w:bCs/>
                <w:color w:val="auto"/>
                <w:kern w:val="24"/>
                <w:sz w:val="24"/>
                <w:szCs w:val="24"/>
                <w:highlight w:val="none"/>
                <w:lang w:val="en-US" w:eastAsia="zh-CN"/>
              </w:rPr>
              <w:t>，拟设1台1t/h蒸汽发生器为午餐肉罐头杀菌熟化工序提供蒸汽。蒸汽</w:t>
            </w:r>
            <w:r>
              <w:rPr>
                <w:rFonts w:hint="default" w:eastAsia="宋体"/>
                <w:bCs/>
                <w:color w:val="auto"/>
                <w:kern w:val="24"/>
                <w:sz w:val="24"/>
                <w:szCs w:val="24"/>
                <w:highlight w:val="none"/>
                <w:lang w:val="en-US" w:eastAsia="zh-CN"/>
              </w:rPr>
              <w:t>发生器排污率按4%计，则</w:t>
            </w:r>
            <w:r>
              <w:rPr>
                <w:rFonts w:hint="eastAsia"/>
                <w:bCs/>
                <w:color w:val="auto"/>
                <w:kern w:val="24"/>
                <w:sz w:val="24"/>
                <w:szCs w:val="24"/>
                <w:highlight w:val="none"/>
                <w:lang w:val="en-US" w:eastAsia="zh-CN"/>
              </w:rPr>
              <w:t>21</w:t>
            </w:r>
            <w:r>
              <w:rPr>
                <w:rFonts w:hint="default" w:eastAsia="宋体"/>
                <w:bCs/>
                <w:color w:val="auto"/>
                <w:kern w:val="24"/>
                <w:sz w:val="24"/>
                <w:szCs w:val="24"/>
                <w:highlight w:val="none"/>
                <w:lang w:val="en-US" w:eastAsia="zh-CN"/>
              </w:rPr>
              <w:t>t蒸汽需</w:t>
            </w:r>
            <w:r>
              <w:rPr>
                <w:rFonts w:hint="eastAsia"/>
                <w:bCs/>
                <w:color w:val="auto"/>
                <w:kern w:val="24"/>
                <w:sz w:val="24"/>
                <w:szCs w:val="24"/>
                <w:highlight w:val="none"/>
                <w:lang w:val="en-US" w:eastAsia="zh-CN"/>
              </w:rPr>
              <w:t>21.84</w:t>
            </w:r>
            <w:r>
              <w:rPr>
                <w:rFonts w:hint="default" w:eastAsia="宋体"/>
                <w:bCs/>
                <w:color w:val="auto"/>
                <w:kern w:val="24"/>
                <w:sz w:val="24"/>
                <w:szCs w:val="24"/>
                <w:highlight w:val="none"/>
                <w:lang w:val="en-US" w:eastAsia="zh-CN"/>
              </w:rPr>
              <w:t>t水，项目</w:t>
            </w:r>
            <w:r>
              <w:rPr>
                <w:rFonts w:hint="eastAsia"/>
                <w:bCs/>
                <w:color w:val="auto"/>
                <w:kern w:val="24"/>
                <w:sz w:val="24"/>
                <w:szCs w:val="24"/>
                <w:highlight w:val="none"/>
                <w:lang w:val="en-US" w:eastAsia="zh-CN"/>
              </w:rPr>
              <w:t>蒸汽发生器</w:t>
            </w:r>
            <w:r>
              <w:rPr>
                <w:rFonts w:hint="default" w:eastAsia="宋体"/>
                <w:bCs/>
                <w:color w:val="auto"/>
                <w:kern w:val="24"/>
                <w:sz w:val="24"/>
                <w:szCs w:val="24"/>
                <w:highlight w:val="none"/>
                <w:lang w:val="en-US" w:eastAsia="zh-CN"/>
              </w:rPr>
              <w:t>每台按</w:t>
            </w:r>
            <w:r>
              <w:rPr>
                <w:rFonts w:hint="eastAsia"/>
                <w:bCs/>
                <w:color w:val="auto"/>
                <w:kern w:val="24"/>
                <w:sz w:val="24"/>
                <w:szCs w:val="24"/>
                <w:highlight w:val="none"/>
                <w:lang w:val="en-US" w:eastAsia="zh-CN"/>
              </w:rPr>
              <w:t>年运行300d，每天9h计</w:t>
            </w:r>
            <w:r>
              <w:rPr>
                <w:rFonts w:hint="default" w:eastAsia="宋体"/>
                <w:bCs/>
                <w:color w:val="auto"/>
                <w:kern w:val="24"/>
                <w:sz w:val="24"/>
                <w:szCs w:val="24"/>
                <w:highlight w:val="none"/>
                <w:lang w:val="en-US" w:eastAsia="zh-CN"/>
              </w:rPr>
              <w:t>，则项目</w:t>
            </w:r>
            <w:r>
              <w:rPr>
                <w:rFonts w:hint="eastAsia"/>
                <w:bCs/>
                <w:color w:val="auto"/>
                <w:kern w:val="24"/>
                <w:sz w:val="24"/>
                <w:szCs w:val="24"/>
                <w:highlight w:val="none"/>
                <w:lang w:val="en-US" w:eastAsia="zh-CN"/>
              </w:rPr>
              <w:t>蒸汽发生器</w:t>
            </w:r>
            <w:r>
              <w:rPr>
                <w:rFonts w:hint="default" w:eastAsia="宋体"/>
                <w:bCs/>
                <w:color w:val="auto"/>
                <w:kern w:val="24"/>
                <w:sz w:val="24"/>
                <w:szCs w:val="24"/>
                <w:highlight w:val="none"/>
                <w:lang w:val="en-US" w:eastAsia="zh-CN"/>
              </w:rPr>
              <w:t>用水量为</w:t>
            </w:r>
            <w:r>
              <w:rPr>
                <w:rFonts w:hint="eastAsia"/>
                <w:bCs/>
                <w:color w:val="auto"/>
                <w:kern w:val="24"/>
                <w:sz w:val="24"/>
                <w:szCs w:val="24"/>
                <w:highlight w:val="none"/>
                <w:lang w:val="en-US" w:eastAsia="zh-CN"/>
              </w:rPr>
              <w:t>196.56</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/d（</w:t>
            </w:r>
            <w:r>
              <w:rPr>
                <w:rFonts w:hint="eastAsia"/>
                <w:bCs/>
                <w:color w:val="auto"/>
                <w:kern w:val="24"/>
                <w:sz w:val="24"/>
                <w:szCs w:val="24"/>
                <w:highlight w:val="none"/>
                <w:lang w:val="en-US" w:eastAsia="zh-CN"/>
              </w:rPr>
              <w:t>58968</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/a），其中排污水量为</w:t>
            </w:r>
            <w:r>
              <w:rPr>
                <w:rFonts w:hint="eastAsia"/>
                <w:bCs/>
                <w:color w:val="auto"/>
                <w:kern w:val="24"/>
                <w:sz w:val="24"/>
                <w:szCs w:val="24"/>
                <w:highlight w:val="none"/>
                <w:lang w:val="en-US" w:eastAsia="zh-CN"/>
              </w:rPr>
              <w:t>7.862</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/d（</w:t>
            </w:r>
            <w:r>
              <w:rPr>
                <w:rFonts w:hint="eastAsia"/>
                <w:bCs/>
                <w:color w:val="auto"/>
                <w:kern w:val="24"/>
                <w:sz w:val="24"/>
                <w:szCs w:val="24"/>
                <w:highlight w:val="none"/>
                <w:lang w:val="en-US" w:eastAsia="zh-CN"/>
              </w:rPr>
              <w:t>2358.72</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/a）。蒸汽用于</w:t>
            </w:r>
            <w:r>
              <w:rPr>
                <w:rFonts w:hint="eastAsia"/>
                <w:bCs/>
                <w:color w:val="auto"/>
                <w:kern w:val="24"/>
                <w:sz w:val="24"/>
                <w:szCs w:val="24"/>
                <w:highlight w:val="none"/>
                <w:lang w:val="en-US" w:eastAsia="zh-CN"/>
              </w:rPr>
              <w:t>各</w:t>
            </w:r>
            <w:r>
              <w:rPr>
                <w:rFonts w:hint="default" w:eastAsia="宋体"/>
                <w:bCs/>
                <w:color w:val="auto"/>
                <w:kern w:val="24"/>
                <w:sz w:val="24"/>
                <w:szCs w:val="24"/>
                <w:highlight w:val="none"/>
                <w:lang w:val="en-US" w:eastAsia="zh-CN"/>
              </w:rPr>
              <w:t>工序后冷凝，预计约</w:t>
            </w:r>
            <w:r>
              <w:rPr>
                <w:rFonts w:hint="eastAsia"/>
                <w:bCs/>
                <w:color w:val="auto"/>
                <w:kern w:val="24"/>
                <w:sz w:val="24"/>
                <w:szCs w:val="24"/>
                <w:highlight w:val="none"/>
                <w:lang w:val="en-US" w:eastAsia="zh-CN"/>
              </w:rPr>
              <w:t>9</w:t>
            </w:r>
            <w:r>
              <w:rPr>
                <w:rFonts w:hint="default" w:eastAsia="宋体"/>
                <w:bCs/>
                <w:color w:val="auto"/>
                <w:kern w:val="24"/>
                <w:sz w:val="24"/>
                <w:szCs w:val="24"/>
                <w:highlight w:val="none"/>
                <w:lang w:val="en-US" w:eastAsia="zh-CN"/>
              </w:rPr>
              <w:t>0%的冷凝水回流到</w:t>
            </w:r>
            <w:r>
              <w:rPr>
                <w:rFonts w:hint="eastAsia"/>
                <w:bCs/>
                <w:color w:val="auto"/>
                <w:kern w:val="24"/>
                <w:sz w:val="24"/>
                <w:szCs w:val="24"/>
                <w:highlight w:val="none"/>
                <w:lang w:val="en-US" w:eastAsia="zh-CN"/>
              </w:rPr>
              <w:t>蒸汽</w:t>
            </w:r>
            <w:r>
              <w:rPr>
                <w:rFonts w:hint="default" w:eastAsia="宋体"/>
                <w:bCs/>
                <w:color w:val="auto"/>
                <w:kern w:val="24"/>
                <w:sz w:val="24"/>
                <w:szCs w:val="24"/>
                <w:highlight w:val="none"/>
                <w:lang w:val="en-US" w:eastAsia="zh-CN"/>
              </w:rPr>
              <w:t>发生器内循环使用，即冷凝水循环量预计为</w:t>
            </w:r>
            <w:r>
              <w:rPr>
                <w:rFonts w:hint="eastAsia"/>
                <w:bCs/>
                <w:color w:val="auto"/>
                <w:kern w:val="24"/>
                <w:sz w:val="24"/>
                <w:szCs w:val="24"/>
                <w:highlight w:val="none"/>
                <w:lang w:val="en-US" w:eastAsia="zh-CN"/>
              </w:rPr>
              <w:t>176.90</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/d（</w:t>
            </w:r>
            <w:r>
              <w:rPr>
                <w:rFonts w:hint="eastAsia"/>
                <w:bCs/>
                <w:color w:val="auto"/>
                <w:kern w:val="24"/>
                <w:sz w:val="24"/>
                <w:szCs w:val="24"/>
                <w:highlight w:val="none"/>
                <w:lang w:val="en-US" w:eastAsia="zh-CN"/>
              </w:rPr>
              <w:t>53071</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/a），剩余</w:t>
            </w:r>
            <w:r>
              <w:rPr>
                <w:rFonts w:hint="eastAsia"/>
                <w:bCs/>
                <w:color w:val="auto"/>
                <w:kern w:val="24"/>
                <w:sz w:val="24"/>
                <w:szCs w:val="24"/>
                <w:highlight w:val="none"/>
                <w:lang w:val="en-US" w:eastAsia="zh-CN"/>
              </w:rPr>
              <w:t>1</w:t>
            </w:r>
            <w:r>
              <w:rPr>
                <w:rFonts w:hint="default" w:eastAsia="宋体"/>
                <w:bCs/>
                <w:color w:val="auto"/>
                <w:kern w:val="24"/>
                <w:sz w:val="24"/>
                <w:szCs w:val="24"/>
                <w:highlight w:val="none"/>
                <w:lang w:val="en-US" w:eastAsia="zh-CN"/>
              </w:rPr>
              <w:t>0%（</w:t>
            </w:r>
            <w:r>
              <w:rPr>
                <w:rFonts w:hint="eastAsia"/>
                <w:bCs/>
                <w:color w:val="auto"/>
                <w:kern w:val="24"/>
                <w:sz w:val="24"/>
                <w:szCs w:val="24"/>
                <w:highlight w:val="none"/>
                <w:lang w:val="en-US" w:eastAsia="zh-CN"/>
              </w:rPr>
              <w:t>19.66</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/d、</w:t>
            </w:r>
            <w:r>
              <w:rPr>
                <w:rFonts w:hint="eastAsia"/>
                <w:bCs/>
                <w:color w:val="auto"/>
                <w:kern w:val="24"/>
                <w:sz w:val="24"/>
                <w:szCs w:val="24"/>
                <w:highlight w:val="none"/>
                <w:lang w:val="en-US" w:eastAsia="zh-CN"/>
              </w:rPr>
              <w:t>5898</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/a）为蒸发损耗。故项目</w:t>
            </w:r>
            <w:r>
              <w:rPr>
                <w:rFonts w:hint="eastAsia"/>
                <w:bCs/>
                <w:color w:val="auto"/>
                <w:kern w:val="24"/>
                <w:sz w:val="24"/>
                <w:szCs w:val="24"/>
                <w:highlight w:val="none"/>
                <w:lang w:val="en-US" w:eastAsia="zh-CN"/>
              </w:rPr>
              <w:t>蒸汽发生器</w:t>
            </w:r>
            <w:r>
              <w:rPr>
                <w:rFonts w:hint="default" w:eastAsia="宋体"/>
                <w:bCs/>
                <w:color w:val="auto"/>
                <w:kern w:val="24"/>
                <w:sz w:val="24"/>
                <w:szCs w:val="24"/>
                <w:highlight w:val="none"/>
                <w:lang w:val="en-US" w:eastAsia="zh-CN"/>
              </w:rPr>
              <w:t>每天需补充新鲜水量为</w:t>
            </w:r>
            <w:r>
              <w:rPr>
                <w:rFonts w:hint="eastAsia"/>
                <w:bCs/>
                <w:color w:val="auto"/>
                <w:kern w:val="24"/>
                <w:sz w:val="24"/>
                <w:szCs w:val="24"/>
                <w:highlight w:val="none"/>
                <w:lang w:val="en-US" w:eastAsia="zh-CN"/>
              </w:rPr>
              <w:t>27.52</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/d（</w:t>
            </w:r>
            <w:r>
              <w:rPr>
                <w:rFonts w:hint="eastAsia"/>
                <w:bCs/>
                <w:color w:val="auto"/>
                <w:kern w:val="24"/>
                <w:sz w:val="24"/>
                <w:szCs w:val="24"/>
                <w:highlight w:val="none"/>
                <w:lang w:val="en-US" w:eastAsia="zh-CN"/>
              </w:rPr>
              <w:t>8256.6</w:t>
            </w:r>
            <w:r>
              <w:rPr>
                <w:rFonts w:hint="default" w:eastAsia="宋体"/>
                <w:bCs/>
                <w:color w:val="auto"/>
                <w:kern w:val="24"/>
                <w:sz w:val="24"/>
                <w:szCs w:val="24"/>
                <w:highlight w:val="none"/>
                <w:lang w:val="en-US" w:eastAsia="zh-CN"/>
              </w:rPr>
              <w:t>m</w:t>
            </w:r>
            <w:r>
              <w:rPr>
                <w:rFonts w:hint="default" w:eastAsia="宋体"/>
                <w:bCs/>
                <w:color w:val="auto"/>
                <w:kern w:val="24"/>
                <w:sz w:val="24"/>
                <w:szCs w:val="24"/>
                <w:highlight w:val="none"/>
                <w:vertAlign w:val="superscript"/>
                <w:lang w:val="en-US" w:eastAsia="zh-CN"/>
              </w:rPr>
              <w:t>3</w:t>
            </w:r>
            <w:r>
              <w:rPr>
                <w:rFonts w:hint="default" w:eastAsia="宋体"/>
                <w:bCs/>
                <w:color w:val="auto"/>
                <w:kern w:val="24"/>
                <w:sz w:val="24"/>
                <w:szCs w:val="24"/>
                <w:highlight w:val="none"/>
                <w:lang w:val="en-US" w:eastAsia="zh-CN"/>
              </w:rPr>
              <w:t>/a）。</w:t>
            </w:r>
            <w:r>
              <w:rPr>
                <w:rFonts w:hint="eastAsia"/>
                <w:bCs/>
                <w:color w:val="auto"/>
                <w:sz w:val="24"/>
                <w:highlight w:val="none"/>
              </w:rPr>
              <w:t>主要污染物为COD</w:t>
            </w:r>
            <w:r>
              <w:rPr>
                <w:rFonts w:hint="eastAsia"/>
                <w:bCs/>
                <w:color w:val="auto"/>
                <w:sz w:val="24"/>
                <w:highlight w:val="none"/>
                <w:vertAlign w:val="subscript"/>
              </w:rPr>
              <w:t>cr</w:t>
            </w:r>
            <w:r>
              <w:rPr>
                <w:rFonts w:hint="eastAsia"/>
                <w:bCs/>
                <w:color w:val="auto"/>
                <w:sz w:val="24"/>
                <w:highlight w:val="none"/>
              </w:rPr>
              <w:t>、BOD</w:t>
            </w:r>
            <w:r>
              <w:rPr>
                <w:rFonts w:hint="eastAsia"/>
                <w:bCs/>
                <w:color w:val="auto"/>
                <w:sz w:val="24"/>
                <w:highlight w:val="none"/>
                <w:vertAlign w:val="subscript"/>
              </w:rPr>
              <w:t>5</w:t>
            </w:r>
            <w:r>
              <w:rPr>
                <w:rFonts w:hint="eastAsia"/>
                <w:bCs/>
                <w:color w:val="auto"/>
                <w:sz w:val="24"/>
                <w:highlight w:val="none"/>
              </w:rPr>
              <w:t>、SS</w:t>
            </w:r>
            <w:r>
              <w:rPr>
                <w:rFonts w:hint="eastAsia"/>
                <w:bCs/>
                <w:color w:val="auto"/>
                <w:sz w:val="24"/>
                <w:highlight w:val="none"/>
                <w:lang w:eastAsia="zh-CN"/>
              </w:rPr>
              <w:t>、</w:t>
            </w:r>
            <w:r>
              <w:rPr>
                <w:rFonts w:hint="eastAsia"/>
                <w:bCs/>
                <w:color w:val="auto"/>
                <w:sz w:val="24"/>
                <w:highlight w:val="none"/>
                <w:lang w:val="en-US" w:eastAsia="zh-CN"/>
              </w:rPr>
              <w:t>pH等。</w:t>
            </w:r>
          </w:p>
          <w:p w14:paraId="0DE69EC5">
            <w:pPr>
              <w:numPr>
                <w:ilvl w:val="0"/>
                <w:numId w:val="0"/>
              </w:numPr>
              <w:bidi w:val="0"/>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⑧地面清洗</w:t>
            </w:r>
            <w:r>
              <w:rPr>
                <w:rFonts w:hint="eastAsia"/>
                <w:b/>
                <w:bCs/>
                <w:color w:val="auto"/>
                <w:sz w:val="24"/>
                <w:szCs w:val="32"/>
                <w:highlight w:val="none"/>
                <w:lang w:val="en-US" w:eastAsia="zh-CN"/>
              </w:rPr>
              <w:t>废水</w:t>
            </w:r>
          </w:p>
          <w:p w14:paraId="7EB1ECB5">
            <w:pPr>
              <w:numPr>
                <w:ilvl w:val="0"/>
                <w:numId w:val="0"/>
              </w:numPr>
              <w:bidi w:val="0"/>
              <w:ind w:firstLine="480" w:firstLineChars="200"/>
              <w:rPr>
                <w:rFonts w:hint="eastAsia"/>
                <w:color w:val="auto"/>
                <w:highlight w:val="none"/>
                <w:lang w:eastAsia="zh-CN"/>
              </w:rPr>
            </w:pPr>
            <w:r>
              <w:rPr>
                <w:rFonts w:hint="eastAsia"/>
                <w:color w:val="auto"/>
                <w:szCs w:val="24"/>
                <w:highlight w:val="none"/>
                <w:lang w:val="en-US" w:eastAsia="zh-CN"/>
              </w:rPr>
              <w:t>项目生产</w:t>
            </w:r>
            <w:r>
              <w:rPr>
                <w:rFonts w:hint="eastAsia"/>
                <w:color w:val="auto"/>
                <w:szCs w:val="24"/>
                <w:highlight w:val="none"/>
              </w:rPr>
              <w:t>等区域主要采用水洗拖布清洁，</w:t>
            </w:r>
            <w:r>
              <w:rPr>
                <w:rFonts w:hint="eastAsia"/>
                <w:color w:val="auto"/>
                <w:szCs w:val="24"/>
                <w:highlight w:val="none"/>
                <w:lang w:val="en-US" w:eastAsia="zh-CN"/>
              </w:rPr>
              <w:t>按每天</w:t>
            </w:r>
            <w:r>
              <w:rPr>
                <w:rFonts w:hint="eastAsia"/>
                <w:color w:val="auto"/>
                <w:szCs w:val="24"/>
                <w:highlight w:val="none"/>
              </w:rPr>
              <w:t>清洁一次</w:t>
            </w:r>
            <w:r>
              <w:rPr>
                <w:rFonts w:hint="eastAsia"/>
                <w:color w:val="auto"/>
                <w:szCs w:val="24"/>
                <w:highlight w:val="none"/>
                <w:lang w:val="en-US" w:eastAsia="zh-CN"/>
              </w:rPr>
              <w:t>计</w:t>
            </w:r>
            <w:r>
              <w:rPr>
                <w:rFonts w:hint="eastAsia"/>
                <w:color w:val="auto"/>
                <w:szCs w:val="24"/>
                <w:highlight w:val="none"/>
              </w:rPr>
              <w:t>，</w:t>
            </w:r>
            <w:r>
              <w:rPr>
                <w:rFonts w:hint="eastAsia"/>
                <w:color w:val="auto"/>
                <w:highlight w:val="none"/>
                <w:lang w:val="en-US" w:eastAsia="zh-CN"/>
              </w:rPr>
              <w:t>生产区域</w:t>
            </w:r>
            <w:r>
              <w:rPr>
                <w:rFonts w:hint="eastAsia"/>
                <w:color w:val="auto"/>
                <w:highlight w:val="none"/>
              </w:rPr>
              <w:t>面积约</w:t>
            </w:r>
            <w:r>
              <w:rPr>
                <w:rFonts w:hint="eastAsia"/>
                <w:color w:val="auto"/>
                <w:highlight w:val="none"/>
                <w:lang w:val="en-US" w:eastAsia="zh-CN"/>
              </w:rPr>
              <w:t>10000</w:t>
            </w:r>
            <w:r>
              <w:rPr>
                <w:rFonts w:hint="eastAsia"/>
                <w:color w:val="auto"/>
                <w:highlight w:val="none"/>
              </w:rPr>
              <w:t>m</w:t>
            </w:r>
            <w:r>
              <w:rPr>
                <w:rFonts w:hint="eastAsia"/>
                <w:color w:val="auto"/>
                <w:highlight w:val="none"/>
                <w:vertAlign w:val="superscript"/>
              </w:rPr>
              <w:t>2</w:t>
            </w:r>
            <w:r>
              <w:rPr>
                <w:rFonts w:hint="eastAsia"/>
                <w:color w:val="auto"/>
                <w:highlight w:val="none"/>
              </w:rPr>
              <w:t>，清洁用水量（主要为</w:t>
            </w:r>
            <w:r>
              <w:rPr>
                <w:rFonts w:hint="eastAsia"/>
                <w:color w:val="auto"/>
                <w:szCs w:val="24"/>
                <w:highlight w:val="none"/>
              </w:rPr>
              <w:t>冲洗加拖布清洗</w:t>
            </w:r>
            <w:r>
              <w:rPr>
                <w:rFonts w:hint="eastAsia"/>
                <w:color w:val="auto"/>
                <w:highlight w:val="none"/>
              </w:rPr>
              <w:t>用水）按</w:t>
            </w:r>
            <w:r>
              <w:rPr>
                <w:rFonts w:hint="eastAsia"/>
                <w:color w:val="auto"/>
                <w:highlight w:val="none"/>
                <w:lang w:val="en-US" w:eastAsia="zh-CN"/>
              </w:rPr>
              <w:t>0.5</w:t>
            </w:r>
            <w:r>
              <w:rPr>
                <w:rFonts w:hint="eastAsia"/>
                <w:color w:val="auto"/>
                <w:highlight w:val="none"/>
              </w:rPr>
              <w:t>L/m</w:t>
            </w:r>
            <w:r>
              <w:rPr>
                <w:rFonts w:hint="eastAsia"/>
                <w:color w:val="auto"/>
                <w:highlight w:val="none"/>
                <w:vertAlign w:val="superscript"/>
              </w:rPr>
              <w:t>2</w:t>
            </w:r>
            <w:r>
              <w:rPr>
                <w:rFonts w:hAnsi="Times New Roman"/>
                <w:color w:val="auto"/>
                <w:highlight w:val="none"/>
              </w:rPr>
              <w:t>‧</w:t>
            </w:r>
            <w:r>
              <w:rPr>
                <w:rFonts w:hint="eastAsia" w:hAnsi="Times New Roman"/>
                <w:color w:val="auto"/>
                <w:highlight w:val="none"/>
              </w:rPr>
              <w:t>次计</w:t>
            </w:r>
            <w:r>
              <w:rPr>
                <w:rFonts w:hint="eastAsia"/>
                <w:color w:val="auto"/>
                <w:highlight w:val="none"/>
              </w:rPr>
              <w:t>，则用水量为</w:t>
            </w:r>
            <w:r>
              <w:rPr>
                <w:rFonts w:hint="eastAsia"/>
                <w:color w:val="auto"/>
                <w:highlight w:val="none"/>
                <w:lang w:val="en-US" w:eastAsia="zh-CN"/>
              </w:rPr>
              <w:t>5.0</w:t>
            </w:r>
            <w:r>
              <w:rPr>
                <w:rFonts w:hint="eastAsia"/>
                <w:color w:val="auto"/>
                <w:highlight w:val="none"/>
              </w:rPr>
              <w:t>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d</w:t>
            </w:r>
            <w:r>
              <w:rPr>
                <w:rFonts w:hint="eastAsia"/>
                <w:color w:val="auto"/>
                <w:highlight w:val="none"/>
              </w:rPr>
              <w:t>（</w:t>
            </w:r>
            <w:r>
              <w:rPr>
                <w:rFonts w:hint="eastAsia"/>
                <w:color w:val="auto"/>
                <w:highlight w:val="none"/>
                <w:lang w:val="en-US" w:eastAsia="zh-CN"/>
              </w:rPr>
              <w:t>150</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color w:val="auto"/>
                <w:highlight w:val="none"/>
              </w:rPr>
              <w:t>产污系数</w:t>
            </w:r>
            <w:r>
              <w:rPr>
                <w:rFonts w:hint="eastAsia"/>
                <w:color w:val="auto"/>
                <w:highlight w:val="none"/>
                <w:lang w:val="en-US" w:eastAsia="zh-CN"/>
              </w:rPr>
              <w:t>0.8</w:t>
            </w:r>
            <w:r>
              <w:rPr>
                <w:color w:val="auto"/>
                <w:highlight w:val="none"/>
              </w:rPr>
              <w:t>计，则</w:t>
            </w:r>
            <w:r>
              <w:rPr>
                <w:rFonts w:hint="eastAsia"/>
                <w:color w:val="auto"/>
                <w:kern w:val="24"/>
                <w:szCs w:val="24"/>
                <w:highlight w:val="none"/>
              </w:rPr>
              <w:t>清洁</w:t>
            </w:r>
            <w:r>
              <w:rPr>
                <w:rFonts w:hint="eastAsia"/>
                <w:color w:val="auto"/>
                <w:highlight w:val="none"/>
              </w:rPr>
              <w:t>废水产生</w:t>
            </w:r>
            <w:r>
              <w:rPr>
                <w:color w:val="auto"/>
                <w:highlight w:val="none"/>
              </w:rPr>
              <w:t>量</w:t>
            </w:r>
            <w:r>
              <w:rPr>
                <w:rFonts w:hint="eastAsia"/>
                <w:color w:val="auto"/>
                <w:highlight w:val="none"/>
              </w:rPr>
              <w:t>约</w:t>
            </w:r>
            <w:r>
              <w:rPr>
                <w:color w:val="auto"/>
                <w:highlight w:val="none"/>
              </w:rPr>
              <w:t>为</w:t>
            </w:r>
            <w:r>
              <w:rPr>
                <w:rFonts w:hint="eastAsia"/>
                <w:color w:val="auto"/>
                <w:highlight w:val="none"/>
                <w:lang w:val="en-US" w:eastAsia="zh-CN"/>
              </w:rPr>
              <w:t>4.0</w:t>
            </w:r>
            <w:r>
              <w:rPr>
                <w:color w:val="auto"/>
                <w:highlight w:val="none"/>
              </w:rPr>
              <w:t>m</w:t>
            </w:r>
            <w:r>
              <w:rPr>
                <w:color w:val="auto"/>
                <w:highlight w:val="none"/>
                <w:vertAlign w:val="superscript"/>
              </w:rPr>
              <w:t>3</w:t>
            </w:r>
            <w:r>
              <w:rPr>
                <w:color w:val="auto"/>
                <w:highlight w:val="none"/>
              </w:rPr>
              <w:t>/</w:t>
            </w:r>
            <w:r>
              <w:rPr>
                <w:rFonts w:hint="eastAsia"/>
                <w:color w:val="auto"/>
                <w:highlight w:val="none"/>
                <w:lang w:val="en-US" w:eastAsia="zh-CN"/>
              </w:rPr>
              <w:t>d</w:t>
            </w:r>
            <w:r>
              <w:rPr>
                <w:rFonts w:hint="eastAsia"/>
                <w:color w:val="auto"/>
                <w:highlight w:val="none"/>
              </w:rPr>
              <w:t>（</w:t>
            </w:r>
            <w:r>
              <w:rPr>
                <w:rFonts w:hint="eastAsia"/>
                <w:color w:val="auto"/>
                <w:highlight w:val="none"/>
                <w:lang w:val="en-US" w:eastAsia="zh-CN"/>
              </w:rPr>
              <w:t>120</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bCs/>
                <w:color w:val="auto"/>
                <w:sz w:val="24"/>
                <w:highlight w:val="none"/>
              </w:rPr>
              <w:t>主要污染物为COD</w:t>
            </w:r>
            <w:r>
              <w:rPr>
                <w:rFonts w:hint="eastAsia"/>
                <w:bCs/>
                <w:color w:val="auto"/>
                <w:sz w:val="24"/>
                <w:highlight w:val="none"/>
                <w:vertAlign w:val="subscript"/>
              </w:rPr>
              <w:t>cr</w:t>
            </w:r>
            <w:r>
              <w:rPr>
                <w:rFonts w:hint="eastAsia"/>
                <w:bCs/>
                <w:color w:val="auto"/>
                <w:sz w:val="24"/>
                <w:highlight w:val="none"/>
              </w:rPr>
              <w:t>、BOD</w:t>
            </w:r>
            <w:r>
              <w:rPr>
                <w:rFonts w:hint="eastAsia"/>
                <w:bCs/>
                <w:color w:val="auto"/>
                <w:sz w:val="24"/>
                <w:highlight w:val="none"/>
                <w:vertAlign w:val="subscript"/>
              </w:rPr>
              <w:t>5</w:t>
            </w:r>
            <w:r>
              <w:rPr>
                <w:rFonts w:hint="eastAsia"/>
                <w:bCs/>
                <w:color w:val="auto"/>
                <w:sz w:val="24"/>
                <w:highlight w:val="none"/>
              </w:rPr>
              <w:t>、SS</w:t>
            </w:r>
            <w:r>
              <w:rPr>
                <w:rFonts w:hint="eastAsia"/>
                <w:bCs/>
                <w:color w:val="auto"/>
                <w:sz w:val="24"/>
                <w:highlight w:val="none"/>
                <w:lang w:val="en-US" w:eastAsia="zh-CN"/>
              </w:rPr>
              <w:t>等。</w:t>
            </w:r>
          </w:p>
          <w:p w14:paraId="2CE5B9A8">
            <w:pPr>
              <w:numPr>
                <w:ilvl w:val="0"/>
                <w:numId w:val="0"/>
              </w:numPr>
              <w:bidi w:val="0"/>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⑨实验器皿清洗</w:t>
            </w:r>
            <w:r>
              <w:rPr>
                <w:rFonts w:hint="eastAsia"/>
                <w:b/>
                <w:bCs/>
                <w:color w:val="auto"/>
                <w:sz w:val="24"/>
                <w:szCs w:val="32"/>
                <w:highlight w:val="none"/>
                <w:lang w:val="en-US" w:eastAsia="zh-CN"/>
              </w:rPr>
              <w:t>废水</w:t>
            </w:r>
          </w:p>
          <w:p w14:paraId="023A6E10">
            <w:pPr>
              <w:rPr>
                <w:rFonts w:hint="default" w:ascii="Times New Roman" w:hAnsi="Times New Roman" w:eastAsia="宋体" w:cs="Times New Roman"/>
                <w:b w:val="0"/>
                <w:bCs w:val="0"/>
                <w:color w:val="FF0000"/>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项目质检拟主要进行产品外观、水分、口味等的检验，微生物及其他理化指标均外委进行，质检用水为外购蒸馏水，质检后实验器皿清洗会产生清洗废水。根据</w:t>
            </w:r>
            <w:r>
              <w:rPr>
                <w:rFonts w:hint="eastAsia"/>
                <w:color w:val="auto"/>
                <w:highlight w:val="none"/>
              </w:rPr>
              <w:t>建设单位提供的资料，本项目</w:t>
            </w:r>
            <w:r>
              <w:rPr>
                <w:rFonts w:hint="eastAsia"/>
                <w:color w:val="auto"/>
                <w:highlight w:val="none"/>
                <w:lang w:val="en-US" w:eastAsia="zh-CN"/>
              </w:rPr>
              <w:t>实验器皿清洗</w:t>
            </w:r>
            <w:r>
              <w:rPr>
                <w:rFonts w:hint="eastAsia"/>
                <w:color w:val="auto"/>
                <w:highlight w:val="none"/>
              </w:rPr>
              <w:t>用水量约为0.0</w:t>
            </w:r>
            <w:r>
              <w:rPr>
                <w:rFonts w:hint="eastAsia"/>
                <w:color w:val="auto"/>
                <w:highlight w:val="none"/>
                <w:lang w:val="en-US" w:eastAsia="zh-CN"/>
              </w:rPr>
              <w:t>1</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3.0</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rPr>
              <w:t>排污系数按用水量的0.9计，</w:t>
            </w:r>
            <w:r>
              <w:rPr>
                <w:rFonts w:hint="eastAsia"/>
                <w:color w:val="auto"/>
                <w:highlight w:val="none"/>
                <w:lang w:val="en-US" w:eastAsia="zh-CN"/>
              </w:rPr>
              <w:t>则实验器皿清洗废水排放量为0.009</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2.7</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均作一般清洗废水排放处理。</w:t>
            </w:r>
            <w:r>
              <w:rPr>
                <w:rFonts w:hint="eastAsia"/>
                <w:bCs/>
                <w:color w:val="auto"/>
                <w:sz w:val="24"/>
                <w:highlight w:val="none"/>
              </w:rPr>
              <w:t>主要污染物为COD</w:t>
            </w:r>
            <w:r>
              <w:rPr>
                <w:rFonts w:hint="eastAsia"/>
                <w:bCs/>
                <w:color w:val="auto"/>
                <w:sz w:val="24"/>
                <w:highlight w:val="none"/>
                <w:vertAlign w:val="subscript"/>
              </w:rPr>
              <w:t>cr</w:t>
            </w:r>
            <w:r>
              <w:rPr>
                <w:rFonts w:hint="eastAsia"/>
                <w:bCs/>
                <w:color w:val="auto"/>
                <w:sz w:val="24"/>
                <w:highlight w:val="none"/>
              </w:rPr>
              <w:t>、BOD</w:t>
            </w:r>
            <w:r>
              <w:rPr>
                <w:rFonts w:hint="eastAsia"/>
                <w:bCs/>
                <w:color w:val="auto"/>
                <w:sz w:val="24"/>
                <w:highlight w:val="none"/>
                <w:vertAlign w:val="subscript"/>
              </w:rPr>
              <w:t>5</w:t>
            </w:r>
            <w:r>
              <w:rPr>
                <w:rFonts w:hint="eastAsia"/>
                <w:bCs/>
                <w:color w:val="auto"/>
                <w:sz w:val="24"/>
                <w:highlight w:val="none"/>
              </w:rPr>
              <w:t>、SS</w:t>
            </w:r>
            <w:r>
              <w:rPr>
                <w:rFonts w:hint="eastAsia"/>
                <w:bCs/>
                <w:color w:val="auto"/>
                <w:sz w:val="24"/>
                <w:highlight w:val="none"/>
                <w:lang w:val="en-US" w:eastAsia="zh-CN"/>
              </w:rPr>
              <w:t>等。</w:t>
            </w:r>
          </w:p>
          <w:p w14:paraId="4C5D1DA3">
            <w:pPr>
              <w:pStyle w:val="95"/>
              <w:bidi w:val="0"/>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产生源强：</w:t>
            </w:r>
            <w:r>
              <w:rPr>
                <w:rFonts w:hint="eastAsia" w:cs="Times New Roman"/>
                <w:b w:val="0"/>
                <w:bCs w:val="0"/>
                <w:color w:val="auto"/>
                <w:highlight w:val="none"/>
                <w:lang w:val="en-US" w:eastAsia="zh-CN"/>
              </w:rPr>
              <w:t>参考</w:t>
            </w:r>
            <w:r>
              <w:rPr>
                <w:rFonts w:hint="default" w:ascii="Times New Roman" w:hAnsi="Times New Roman" w:cs="Times New Roman"/>
                <w:b w:val="0"/>
                <w:bCs w:val="0"/>
                <w:color w:val="auto"/>
                <w:highlight w:val="none"/>
                <w:lang w:val="en-US" w:eastAsia="zh-CN"/>
              </w:rPr>
              <w:t>《排放源统计调查产排污核算方法和系数手册》-</w:t>
            </w:r>
            <w:r>
              <w:rPr>
                <w:rFonts w:hint="eastAsia" w:cs="Times New Roman"/>
                <w:b w:val="0"/>
                <w:bCs w:val="0"/>
                <w:color w:val="auto"/>
                <w:highlight w:val="none"/>
                <w:lang w:val="en-US" w:eastAsia="zh-CN"/>
              </w:rPr>
              <w:t>城镇</w:t>
            </w:r>
            <w:r>
              <w:rPr>
                <w:rFonts w:hint="default" w:ascii="Times New Roman" w:hAnsi="Times New Roman" w:cs="Times New Roman"/>
                <w:b w:val="0"/>
                <w:bCs w:val="0"/>
                <w:color w:val="auto"/>
                <w:highlight w:val="none"/>
                <w:lang w:val="en-US" w:eastAsia="zh-CN"/>
              </w:rPr>
              <w:t>生活源</w:t>
            </w:r>
            <w:r>
              <w:rPr>
                <w:rFonts w:hint="eastAsia" w:cs="Times New Roman"/>
                <w:b w:val="0"/>
                <w:bCs w:val="0"/>
                <w:color w:val="auto"/>
                <w:highlight w:val="none"/>
                <w:lang w:val="en-US" w:eastAsia="zh-CN"/>
              </w:rPr>
              <w:t>水污染物产生系数，并类比同类项目，</w:t>
            </w:r>
            <w:r>
              <w:rPr>
                <w:rFonts w:hint="default" w:ascii="Times New Roman" w:hAnsi="Times New Roman" w:cs="Times New Roman"/>
                <w:color w:val="auto"/>
                <w:highlight w:val="none"/>
                <w:lang w:val="en-US" w:eastAsia="zh-CN"/>
              </w:rPr>
              <w:t>本项目</w:t>
            </w:r>
            <w:r>
              <w:rPr>
                <w:rFonts w:hint="eastAsia" w:cs="Times New Roman"/>
                <w:color w:val="auto"/>
                <w:highlight w:val="none"/>
                <w:lang w:val="en-US" w:eastAsia="zh-CN"/>
              </w:rPr>
              <w:t>废水</w:t>
            </w:r>
            <w:r>
              <w:rPr>
                <w:rFonts w:hint="default" w:ascii="Times New Roman" w:hAnsi="Times New Roman" w:cs="Times New Roman"/>
                <w:color w:val="auto"/>
                <w:highlight w:val="none"/>
                <w:lang w:val="en-US" w:eastAsia="zh-CN"/>
              </w:rPr>
              <w:t>产生源强见下表。</w:t>
            </w:r>
          </w:p>
          <w:p w14:paraId="6694EB6E">
            <w:pPr>
              <w:pStyle w:val="14"/>
              <w:bidi w:val="0"/>
              <w:rPr>
                <w:rFonts w:hint="default"/>
                <w:color w:val="auto"/>
                <w:highlight w:val="none"/>
              </w:rPr>
            </w:pPr>
            <w:r>
              <w:rPr>
                <w:rFonts w:hint="default"/>
                <w:color w:val="auto"/>
                <w:highlight w:val="none"/>
              </w:rPr>
              <w:t>表4-</w:t>
            </w:r>
            <w:r>
              <w:rPr>
                <w:rFonts w:hint="default"/>
                <w:color w:val="auto"/>
                <w:highlight w:val="none"/>
              </w:rPr>
              <w:fldChar w:fldCharType="begin"/>
            </w:r>
            <w:r>
              <w:rPr>
                <w:rFonts w:hint="default"/>
                <w:color w:val="auto"/>
                <w:highlight w:val="none"/>
              </w:rPr>
              <w:instrText xml:space="preserve"> SEQ 表4- \* ARABIC </w:instrText>
            </w:r>
            <w:r>
              <w:rPr>
                <w:rFonts w:hint="default"/>
                <w:color w:val="auto"/>
                <w:highlight w:val="none"/>
              </w:rPr>
              <w:fldChar w:fldCharType="separate"/>
            </w:r>
            <w:r>
              <w:rPr>
                <w:rFonts w:hint="default"/>
                <w:color w:val="auto"/>
                <w:highlight w:val="none"/>
              </w:rPr>
              <w:t>10</w:t>
            </w:r>
            <w:r>
              <w:rPr>
                <w:rFonts w:hint="default"/>
                <w:color w:val="auto"/>
                <w:highlight w:val="none"/>
              </w:rPr>
              <w:fldChar w:fldCharType="end"/>
            </w:r>
            <w:r>
              <w:rPr>
                <w:rFonts w:hint="eastAsia"/>
                <w:color w:val="auto"/>
                <w:highlight w:val="none"/>
                <w:lang w:val="en-US" w:eastAsia="zh-CN"/>
              </w:rPr>
              <w:t xml:space="preserve">  </w:t>
            </w:r>
            <w:r>
              <w:rPr>
                <w:rFonts w:hint="default"/>
                <w:color w:val="auto"/>
                <w:highlight w:val="none"/>
                <w:lang w:val="en-US" w:eastAsia="zh-CN"/>
              </w:rPr>
              <w:t>项目</w:t>
            </w:r>
            <w:r>
              <w:rPr>
                <w:rFonts w:hint="default"/>
                <w:color w:val="auto"/>
                <w:highlight w:val="none"/>
              </w:rPr>
              <w:t>废水污染物产生情况一览表</w:t>
            </w:r>
          </w:p>
          <w:tbl>
            <w:tblPr>
              <w:tblStyle w:val="101"/>
              <w:tblW w:w="91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4"/>
              <w:gridCol w:w="781"/>
              <w:gridCol w:w="1609"/>
              <w:gridCol w:w="812"/>
              <w:gridCol w:w="812"/>
              <w:gridCol w:w="812"/>
              <w:gridCol w:w="812"/>
              <w:gridCol w:w="812"/>
              <w:gridCol w:w="812"/>
              <w:gridCol w:w="812"/>
            </w:tblGrid>
            <w:tr w14:paraId="21521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tcBorders>
                    <w:top w:val="single" w:color="auto" w:sz="12" w:space="0"/>
                    <w:bottom w:val="single" w:color="auto" w:sz="4" w:space="0"/>
                    <w:right w:val="single" w:color="auto" w:sz="4" w:space="0"/>
                  </w:tcBorders>
                  <w:vAlign w:val="center"/>
                </w:tcPr>
                <w:p w14:paraId="5C96C9C4">
                  <w:pPr>
                    <w:pStyle w:val="106"/>
                    <w:bidi w:val="0"/>
                    <w:rPr>
                      <w:rFonts w:hint="default"/>
                      <w:b/>
                      <w:bCs/>
                      <w:color w:val="auto"/>
                      <w:highlight w:val="none"/>
                    </w:rPr>
                  </w:pPr>
                  <w:r>
                    <w:rPr>
                      <w:rFonts w:hint="default"/>
                      <w:b/>
                      <w:bCs/>
                      <w:color w:val="auto"/>
                      <w:highlight w:val="none"/>
                    </w:rPr>
                    <w:t>废水种类</w:t>
                  </w:r>
                </w:p>
              </w:tc>
              <w:tc>
                <w:tcPr>
                  <w:tcW w:w="781" w:type="dxa"/>
                  <w:tcBorders>
                    <w:top w:val="single" w:color="auto" w:sz="12" w:space="0"/>
                    <w:left w:val="single" w:color="auto" w:sz="4" w:space="0"/>
                    <w:bottom w:val="single" w:color="auto" w:sz="4" w:space="0"/>
                    <w:right w:val="single" w:color="auto" w:sz="4" w:space="0"/>
                  </w:tcBorders>
                  <w:vAlign w:val="center"/>
                </w:tcPr>
                <w:p w14:paraId="66BE9E3C">
                  <w:pPr>
                    <w:pStyle w:val="106"/>
                    <w:bidi w:val="0"/>
                    <w:rPr>
                      <w:rFonts w:hint="default"/>
                      <w:b/>
                      <w:bCs/>
                      <w:color w:val="auto"/>
                      <w:highlight w:val="none"/>
                    </w:rPr>
                  </w:pPr>
                  <w:r>
                    <w:rPr>
                      <w:rFonts w:hint="default"/>
                      <w:b/>
                      <w:bCs/>
                      <w:color w:val="auto"/>
                      <w:highlight w:val="none"/>
                    </w:rPr>
                    <w:t>废水量m</w:t>
                  </w:r>
                  <w:r>
                    <w:rPr>
                      <w:rFonts w:hint="default"/>
                      <w:b/>
                      <w:bCs/>
                      <w:color w:val="auto"/>
                      <w:highlight w:val="none"/>
                      <w:vertAlign w:val="superscript"/>
                    </w:rPr>
                    <w:t>3</w:t>
                  </w:r>
                  <w:r>
                    <w:rPr>
                      <w:rFonts w:hint="default"/>
                      <w:b/>
                      <w:bCs/>
                      <w:color w:val="auto"/>
                      <w:highlight w:val="none"/>
                    </w:rPr>
                    <w:t>/a</w:t>
                  </w:r>
                </w:p>
              </w:tc>
              <w:tc>
                <w:tcPr>
                  <w:tcW w:w="1609" w:type="dxa"/>
                  <w:tcBorders>
                    <w:top w:val="single" w:color="auto" w:sz="12" w:space="0"/>
                    <w:left w:val="single" w:color="auto" w:sz="4" w:space="0"/>
                    <w:bottom w:val="single" w:color="auto" w:sz="4" w:space="0"/>
                    <w:right w:val="single" w:color="auto" w:sz="4" w:space="0"/>
                  </w:tcBorders>
                  <w:vAlign w:val="center"/>
                </w:tcPr>
                <w:p w14:paraId="0B585412">
                  <w:pPr>
                    <w:pStyle w:val="106"/>
                    <w:bidi w:val="0"/>
                    <w:rPr>
                      <w:rFonts w:hint="default"/>
                      <w:b/>
                      <w:bCs/>
                      <w:color w:val="auto"/>
                      <w:highlight w:val="none"/>
                      <w:lang w:val="en-US" w:eastAsia="zh-CN"/>
                    </w:rPr>
                  </w:pPr>
                  <w:r>
                    <w:rPr>
                      <w:rFonts w:hint="eastAsia"/>
                      <w:b/>
                      <w:bCs/>
                      <w:color w:val="auto"/>
                      <w:highlight w:val="none"/>
                      <w:lang w:val="en-US" w:eastAsia="zh-CN"/>
                    </w:rPr>
                    <w:t>产生类别</w:t>
                  </w:r>
                </w:p>
              </w:tc>
              <w:tc>
                <w:tcPr>
                  <w:tcW w:w="812" w:type="dxa"/>
                  <w:tcBorders>
                    <w:top w:val="single" w:color="auto" w:sz="12" w:space="0"/>
                    <w:left w:val="single" w:color="auto" w:sz="4" w:space="0"/>
                    <w:bottom w:val="single" w:color="auto" w:sz="4" w:space="0"/>
                    <w:right w:val="single" w:color="auto" w:sz="4" w:space="0"/>
                  </w:tcBorders>
                  <w:vAlign w:val="center"/>
                </w:tcPr>
                <w:p w14:paraId="68C7DEE0">
                  <w:pPr>
                    <w:pStyle w:val="106"/>
                    <w:bidi w:val="0"/>
                    <w:rPr>
                      <w:rFonts w:hint="default"/>
                      <w:b/>
                      <w:bCs/>
                      <w:color w:val="auto"/>
                      <w:highlight w:val="none"/>
                    </w:rPr>
                  </w:pPr>
                  <w:r>
                    <w:rPr>
                      <w:rFonts w:hint="default"/>
                      <w:b/>
                      <w:bCs/>
                      <w:color w:val="auto"/>
                      <w:highlight w:val="none"/>
                    </w:rPr>
                    <w:t>pH</w:t>
                  </w:r>
                </w:p>
              </w:tc>
              <w:tc>
                <w:tcPr>
                  <w:tcW w:w="812" w:type="dxa"/>
                  <w:tcBorders>
                    <w:top w:val="single" w:color="auto" w:sz="12" w:space="0"/>
                    <w:left w:val="single" w:color="auto" w:sz="4" w:space="0"/>
                    <w:bottom w:val="single" w:color="auto" w:sz="4" w:space="0"/>
                    <w:right w:val="single" w:color="auto" w:sz="4" w:space="0"/>
                  </w:tcBorders>
                  <w:vAlign w:val="center"/>
                </w:tcPr>
                <w:p w14:paraId="5A36AED1">
                  <w:pPr>
                    <w:pStyle w:val="106"/>
                    <w:bidi w:val="0"/>
                    <w:rPr>
                      <w:rFonts w:hint="default"/>
                      <w:b/>
                      <w:bCs/>
                      <w:color w:val="auto"/>
                      <w:highlight w:val="none"/>
                    </w:rPr>
                  </w:pPr>
                  <w:r>
                    <w:rPr>
                      <w:rFonts w:hint="default"/>
                      <w:b/>
                      <w:bCs/>
                      <w:color w:val="auto"/>
                      <w:highlight w:val="none"/>
                    </w:rPr>
                    <w:t>CODcr</w:t>
                  </w:r>
                </w:p>
              </w:tc>
              <w:tc>
                <w:tcPr>
                  <w:tcW w:w="812" w:type="dxa"/>
                  <w:tcBorders>
                    <w:top w:val="single" w:color="auto" w:sz="12" w:space="0"/>
                    <w:left w:val="single" w:color="auto" w:sz="4" w:space="0"/>
                    <w:bottom w:val="single" w:color="auto" w:sz="4" w:space="0"/>
                    <w:right w:val="single" w:color="auto" w:sz="4" w:space="0"/>
                  </w:tcBorders>
                  <w:vAlign w:val="center"/>
                </w:tcPr>
                <w:p w14:paraId="1043B69C">
                  <w:pPr>
                    <w:pStyle w:val="106"/>
                    <w:bidi w:val="0"/>
                    <w:rPr>
                      <w:rFonts w:hint="default"/>
                      <w:b/>
                      <w:bCs/>
                      <w:color w:val="auto"/>
                      <w:highlight w:val="none"/>
                    </w:rPr>
                  </w:pPr>
                  <w:r>
                    <w:rPr>
                      <w:rFonts w:hint="default"/>
                      <w:b/>
                      <w:bCs/>
                      <w:color w:val="auto"/>
                      <w:highlight w:val="none"/>
                    </w:rPr>
                    <w:t>BOD</w:t>
                  </w:r>
                  <w:r>
                    <w:rPr>
                      <w:rFonts w:hint="default"/>
                      <w:b/>
                      <w:bCs/>
                      <w:color w:val="auto"/>
                      <w:highlight w:val="none"/>
                      <w:vertAlign w:val="subscript"/>
                    </w:rPr>
                    <w:t>5</w:t>
                  </w:r>
                </w:p>
              </w:tc>
              <w:tc>
                <w:tcPr>
                  <w:tcW w:w="812" w:type="dxa"/>
                  <w:tcBorders>
                    <w:top w:val="single" w:color="auto" w:sz="12" w:space="0"/>
                    <w:left w:val="single" w:color="auto" w:sz="4" w:space="0"/>
                    <w:bottom w:val="single" w:color="auto" w:sz="4" w:space="0"/>
                    <w:right w:val="single" w:color="auto" w:sz="4" w:space="0"/>
                  </w:tcBorders>
                  <w:vAlign w:val="center"/>
                </w:tcPr>
                <w:p w14:paraId="0E4763AC">
                  <w:pPr>
                    <w:pStyle w:val="106"/>
                    <w:bidi w:val="0"/>
                    <w:rPr>
                      <w:rFonts w:hint="default"/>
                      <w:b/>
                      <w:bCs/>
                      <w:color w:val="auto"/>
                      <w:highlight w:val="none"/>
                    </w:rPr>
                  </w:pPr>
                  <w:r>
                    <w:rPr>
                      <w:rFonts w:hint="default"/>
                      <w:b/>
                      <w:bCs/>
                      <w:color w:val="auto"/>
                      <w:highlight w:val="none"/>
                    </w:rPr>
                    <w:t>SS</w:t>
                  </w:r>
                </w:p>
              </w:tc>
              <w:tc>
                <w:tcPr>
                  <w:tcW w:w="812" w:type="dxa"/>
                  <w:tcBorders>
                    <w:top w:val="single" w:color="auto" w:sz="12" w:space="0"/>
                    <w:left w:val="single" w:color="auto" w:sz="4" w:space="0"/>
                    <w:bottom w:val="single" w:color="auto" w:sz="4" w:space="0"/>
                    <w:right w:val="single" w:color="auto" w:sz="4" w:space="0"/>
                  </w:tcBorders>
                  <w:vAlign w:val="center"/>
                </w:tcPr>
                <w:p w14:paraId="37D6645D">
                  <w:pPr>
                    <w:pStyle w:val="106"/>
                    <w:bidi w:val="0"/>
                    <w:rPr>
                      <w:rFonts w:hint="default"/>
                      <w:b/>
                      <w:bCs/>
                      <w:color w:val="auto"/>
                      <w:highlight w:val="none"/>
                    </w:rPr>
                  </w:pPr>
                  <w:r>
                    <w:rPr>
                      <w:rFonts w:hint="default"/>
                      <w:b/>
                      <w:bCs/>
                      <w:color w:val="auto"/>
                      <w:highlight w:val="none"/>
                    </w:rPr>
                    <w:t>NH</w:t>
                  </w:r>
                  <w:r>
                    <w:rPr>
                      <w:rFonts w:hint="default"/>
                      <w:b/>
                      <w:bCs/>
                      <w:color w:val="auto"/>
                      <w:highlight w:val="none"/>
                      <w:vertAlign w:val="subscript"/>
                    </w:rPr>
                    <w:t>3</w:t>
                  </w:r>
                  <w:r>
                    <w:rPr>
                      <w:rFonts w:hint="default"/>
                      <w:b/>
                      <w:bCs/>
                      <w:color w:val="auto"/>
                      <w:highlight w:val="none"/>
                    </w:rPr>
                    <w:t>-N</w:t>
                  </w:r>
                </w:p>
              </w:tc>
              <w:tc>
                <w:tcPr>
                  <w:tcW w:w="812" w:type="dxa"/>
                  <w:tcBorders>
                    <w:top w:val="single" w:color="auto" w:sz="12" w:space="0"/>
                    <w:left w:val="single" w:color="auto" w:sz="4" w:space="0"/>
                    <w:bottom w:val="single" w:color="auto" w:sz="4" w:space="0"/>
                    <w:right w:val="single" w:color="auto" w:sz="4" w:space="0"/>
                  </w:tcBorders>
                  <w:vAlign w:val="center"/>
                </w:tcPr>
                <w:p w14:paraId="62D5EFC7">
                  <w:pPr>
                    <w:pStyle w:val="106"/>
                    <w:bidi w:val="0"/>
                    <w:rPr>
                      <w:rFonts w:hint="default" w:eastAsia="宋体"/>
                      <w:b/>
                      <w:bCs/>
                      <w:color w:val="auto"/>
                      <w:highlight w:val="none"/>
                      <w:lang w:val="en-US" w:eastAsia="zh-CN"/>
                    </w:rPr>
                  </w:pPr>
                  <w:r>
                    <w:rPr>
                      <w:rFonts w:hint="eastAsia"/>
                      <w:b/>
                      <w:bCs/>
                      <w:color w:val="auto"/>
                      <w:highlight w:val="none"/>
                      <w:lang w:val="en-US" w:eastAsia="zh-CN"/>
                    </w:rPr>
                    <w:t>TP</w:t>
                  </w:r>
                </w:p>
              </w:tc>
              <w:tc>
                <w:tcPr>
                  <w:tcW w:w="812" w:type="dxa"/>
                  <w:tcBorders>
                    <w:top w:val="single" w:color="auto" w:sz="12" w:space="0"/>
                    <w:left w:val="single" w:color="auto" w:sz="4" w:space="0"/>
                    <w:bottom w:val="single" w:color="auto" w:sz="4" w:space="0"/>
                    <w:right w:val="nil"/>
                  </w:tcBorders>
                  <w:vAlign w:val="center"/>
                </w:tcPr>
                <w:p w14:paraId="3BF53EBE">
                  <w:pPr>
                    <w:pStyle w:val="106"/>
                    <w:bidi w:val="0"/>
                    <w:rPr>
                      <w:rFonts w:hint="eastAsia" w:eastAsia="宋体"/>
                      <w:b/>
                      <w:bCs/>
                      <w:color w:val="auto"/>
                      <w:highlight w:val="none"/>
                      <w:lang w:val="en-US" w:eastAsia="zh-CN"/>
                    </w:rPr>
                  </w:pPr>
                  <w:r>
                    <w:rPr>
                      <w:rFonts w:hint="eastAsia"/>
                      <w:b/>
                      <w:bCs/>
                      <w:color w:val="auto"/>
                      <w:highlight w:val="none"/>
                      <w:lang w:val="en-US" w:eastAsia="zh-CN"/>
                    </w:rPr>
                    <w:t>动植物油</w:t>
                  </w:r>
                </w:p>
              </w:tc>
            </w:tr>
            <w:tr w14:paraId="1BA92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restart"/>
                  <w:tcBorders>
                    <w:top w:val="single" w:color="auto" w:sz="4" w:space="0"/>
                    <w:left w:val="nil"/>
                    <w:bottom w:val="single" w:color="auto" w:sz="4" w:space="0"/>
                    <w:right w:val="single" w:color="auto" w:sz="4" w:space="0"/>
                  </w:tcBorders>
                  <w:vAlign w:val="center"/>
                </w:tcPr>
                <w:p w14:paraId="5CE2079A">
                  <w:pPr>
                    <w:pStyle w:val="106"/>
                    <w:bidi w:val="0"/>
                    <w:rPr>
                      <w:rFonts w:hint="default"/>
                      <w:color w:val="auto"/>
                      <w:highlight w:val="none"/>
                      <w:lang w:val="en-US" w:eastAsia="zh-CN"/>
                    </w:rPr>
                  </w:pPr>
                  <w:r>
                    <w:rPr>
                      <w:rFonts w:hint="default"/>
                      <w:color w:val="auto"/>
                      <w:highlight w:val="none"/>
                      <w:lang w:val="en-US" w:eastAsia="zh-CN"/>
                    </w:rPr>
                    <w:t>生活</w:t>
                  </w:r>
                  <w:r>
                    <w:rPr>
                      <w:rFonts w:hint="eastAsia"/>
                      <w:color w:val="auto"/>
                      <w:highlight w:val="none"/>
                      <w:lang w:val="en-US" w:eastAsia="zh-CN"/>
                    </w:rPr>
                    <w:t>污水</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14:paraId="4EDD6FD7">
                  <w:pPr>
                    <w:pStyle w:val="106"/>
                    <w:bidi w:val="0"/>
                    <w:rPr>
                      <w:rFonts w:hint="default"/>
                      <w:color w:val="auto"/>
                      <w:lang w:val="en-US" w:eastAsia="zh-CN"/>
                    </w:rPr>
                  </w:pPr>
                  <w:r>
                    <w:rPr>
                      <w:rFonts w:hint="eastAsia"/>
                      <w:color w:val="auto"/>
                      <w:lang w:val="en-US" w:eastAsia="zh-CN"/>
                    </w:rPr>
                    <w:t>810</w:t>
                  </w:r>
                </w:p>
              </w:tc>
              <w:tc>
                <w:tcPr>
                  <w:tcW w:w="1609" w:type="dxa"/>
                  <w:tcBorders>
                    <w:top w:val="single" w:color="auto" w:sz="4" w:space="0"/>
                    <w:left w:val="single" w:color="auto" w:sz="4" w:space="0"/>
                    <w:bottom w:val="single" w:color="auto" w:sz="4" w:space="0"/>
                    <w:right w:val="single" w:color="auto" w:sz="4" w:space="0"/>
                  </w:tcBorders>
                  <w:vAlign w:val="center"/>
                </w:tcPr>
                <w:p w14:paraId="6E9593F5">
                  <w:pPr>
                    <w:pStyle w:val="106"/>
                    <w:bidi w:val="0"/>
                    <w:rPr>
                      <w:rFonts w:hint="default"/>
                      <w:color w:val="auto"/>
                    </w:rPr>
                  </w:pPr>
                  <w:r>
                    <w:rPr>
                      <w:rFonts w:hint="default"/>
                      <w:color w:val="auto"/>
                    </w:rPr>
                    <w:t>产生浓度（mg/L）</w:t>
                  </w:r>
                </w:p>
              </w:tc>
              <w:tc>
                <w:tcPr>
                  <w:tcW w:w="812" w:type="dxa"/>
                  <w:tcBorders>
                    <w:top w:val="single" w:color="auto" w:sz="4" w:space="0"/>
                    <w:left w:val="single" w:color="auto" w:sz="4" w:space="0"/>
                    <w:bottom w:val="single" w:color="auto" w:sz="4" w:space="0"/>
                    <w:right w:val="single" w:color="auto" w:sz="4" w:space="0"/>
                  </w:tcBorders>
                  <w:vAlign w:val="center"/>
                </w:tcPr>
                <w:p w14:paraId="73D87A98">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F89A3A7">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E77230D">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0C1026E">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34A016B2">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BD17365">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c>
                <w:tcPr>
                  <w:tcW w:w="812" w:type="dxa"/>
                  <w:tcBorders>
                    <w:top w:val="single" w:color="auto" w:sz="4" w:space="0"/>
                    <w:left w:val="single" w:color="auto" w:sz="4" w:space="0"/>
                    <w:bottom w:val="single" w:color="auto" w:sz="4" w:space="0"/>
                    <w:right w:val="nil"/>
                  </w:tcBorders>
                  <w:shd w:val="clear" w:color="auto" w:fill="auto"/>
                  <w:vAlign w:val="center"/>
                </w:tcPr>
                <w:p w14:paraId="08CF5024">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07D01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jc w:val="center"/>
              </w:trPr>
              <w:tc>
                <w:tcPr>
                  <w:tcW w:w="1124" w:type="dxa"/>
                  <w:vMerge w:val="continue"/>
                  <w:tcBorders>
                    <w:top w:val="single" w:color="auto" w:sz="4" w:space="0"/>
                    <w:left w:val="nil"/>
                    <w:bottom w:val="single" w:color="auto" w:sz="4" w:space="0"/>
                    <w:right w:val="single" w:color="auto" w:sz="4" w:space="0"/>
                  </w:tcBorders>
                  <w:vAlign w:val="center"/>
                </w:tcPr>
                <w:p w14:paraId="5742F0D8">
                  <w:pPr>
                    <w:pStyle w:val="106"/>
                    <w:bidi w:val="0"/>
                    <w:rPr>
                      <w:rFonts w:hint="default"/>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14:paraId="5DC39BC8">
                  <w:pPr>
                    <w:pStyle w:val="106"/>
                    <w:bidi w:val="0"/>
                    <w:rPr>
                      <w:rFonts w:hint="default"/>
                      <w:color w:val="auto"/>
                      <w:lang w:val="en-US"/>
                    </w:rPr>
                  </w:pPr>
                </w:p>
              </w:tc>
              <w:tc>
                <w:tcPr>
                  <w:tcW w:w="1609" w:type="dxa"/>
                  <w:tcBorders>
                    <w:top w:val="single" w:color="auto" w:sz="4" w:space="0"/>
                    <w:left w:val="single" w:color="auto" w:sz="4" w:space="0"/>
                    <w:bottom w:val="single" w:color="auto" w:sz="4" w:space="0"/>
                    <w:right w:val="single" w:color="auto" w:sz="4" w:space="0"/>
                  </w:tcBorders>
                  <w:vAlign w:val="center"/>
                </w:tcPr>
                <w:p w14:paraId="444D70F7">
                  <w:pPr>
                    <w:pStyle w:val="106"/>
                    <w:bidi w:val="0"/>
                    <w:rPr>
                      <w:rFonts w:hint="default"/>
                      <w:color w:val="auto"/>
                      <w:lang w:val="en-US" w:eastAsia="zh-CN"/>
                    </w:rPr>
                  </w:pPr>
                  <w:r>
                    <w:rPr>
                      <w:rFonts w:hint="default"/>
                      <w:color w:val="auto"/>
                      <w:lang w:val="en-US" w:eastAsia="zh-CN"/>
                    </w:rPr>
                    <w:t>产生量（t/a）</w:t>
                  </w:r>
                </w:p>
              </w:tc>
              <w:tc>
                <w:tcPr>
                  <w:tcW w:w="812" w:type="dxa"/>
                  <w:tcBorders>
                    <w:top w:val="single" w:color="auto" w:sz="4" w:space="0"/>
                    <w:left w:val="single" w:color="auto" w:sz="4" w:space="0"/>
                    <w:bottom w:val="single" w:color="auto" w:sz="4" w:space="0"/>
                    <w:right w:val="single" w:color="auto" w:sz="4" w:space="0"/>
                  </w:tcBorders>
                  <w:vAlign w:val="center"/>
                </w:tcPr>
                <w:p w14:paraId="4DA87786">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18E59BC9">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0.4050</w:t>
                  </w:r>
                </w:p>
              </w:tc>
              <w:tc>
                <w:tcPr>
                  <w:tcW w:w="812" w:type="dxa"/>
                  <w:tcBorders>
                    <w:top w:val="single" w:color="auto" w:sz="4" w:space="0"/>
                    <w:left w:val="single" w:color="auto" w:sz="4" w:space="0"/>
                    <w:bottom w:val="single" w:color="auto" w:sz="4" w:space="0"/>
                    <w:right w:val="single" w:color="auto" w:sz="4" w:space="0"/>
                  </w:tcBorders>
                  <w:vAlign w:val="center"/>
                </w:tcPr>
                <w:p w14:paraId="34D133E6">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0.2430</w:t>
                  </w:r>
                </w:p>
              </w:tc>
              <w:tc>
                <w:tcPr>
                  <w:tcW w:w="812" w:type="dxa"/>
                  <w:tcBorders>
                    <w:top w:val="single" w:color="auto" w:sz="4" w:space="0"/>
                    <w:left w:val="single" w:color="auto" w:sz="4" w:space="0"/>
                    <w:bottom w:val="single" w:color="auto" w:sz="4" w:space="0"/>
                    <w:right w:val="single" w:color="auto" w:sz="4" w:space="0"/>
                  </w:tcBorders>
                  <w:vAlign w:val="center"/>
                </w:tcPr>
                <w:p w14:paraId="26FC47F4">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0.3240</w:t>
                  </w:r>
                </w:p>
              </w:tc>
              <w:tc>
                <w:tcPr>
                  <w:tcW w:w="812" w:type="dxa"/>
                  <w:tcBorders>
                    <w:top w:val="single" w:color="auto" w:sz="4" w:space="0"/>
                    <w:left w:val="single" w:color="auto" w:sz="4" w:space="0"/>
                    <w:bottom w:val="single" w:color="auto" w:sz="4" w:space="0"/>
                    <w:right w:val="single" w:color="auto" w:sz="4" w:space="0"/>
                  </w:tcBorders>
                  <w:vAlign w:val="center"/>
                </w:tcPr>
                <w:p w14:paraId="2D4AEC60">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0.0365</w:t>
                  </w:r>
                </w:p>
              </w:tc>
              <w:tc>
                <w:tcPr>
                  <w:tcW w:w="812" w:type="dxa"/>
                  <w:tcBorders>
                    <w:top w:val="single" w:color="auto" w:sz="4" w:space="0"/>
                    <w:left w:val="single" w:color="auto" w:sz="4" w:space="0"/>
                    <w:bottom w:val="single" w:color="auto" w:sz="4" w:space="0"/>
                    <w:right w:val="single" w:color="auto" w:sz="4" w:space="0"/>
                  </w:tcBorders>
                  <w:vAlign w:val="center"/>
                </w:tcPr>
                <w:p w14:paraId="15749132">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0.0065</w:t>
                  </w:r>
                </w:p>
              </w:tc>
              <w:tc>
                <w:tcPr>
                  <w:tcW w:w="812" w:type="dxa"/>
                  <w:tcBorders>
                    <w:top w:val="single" w:color="auto" w:sz="4" w:space="0"/>
                    <w:left w:val="single" w:color="auto" w:sz="4" w:space="0"/>
                    <w:bottom w:val="single" w:color="auto" w:sz="4" w:space="0"/>
                    <w:right w:val="nil"/>
                  </w:tcBorders>
                  <w:vAlign w:val="center"/>
                </w:tcPr>
                <w:p w14:paraId="4323271A">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75A84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restart"/>
                  <w:tcBorders>
                    <w:top w:val="single" w:color="auto" w:sz="4" w:space="0"/>
                    <w:left w:val="nil"/>
                    <w:bottom w:val="single" w:color="auto" w:sz="4" w:space="0"/>
                    <w:right w:val="single" w:color="auto" w:sz="4" w:space="0"/>
                  </w:tcBorders>
                  <w:vAlign w:val="center"/>
                </w:tcPr>
                <w:p w14:paraId="60F40446">
                  <w:pPr>
                    <w:pStyle w:val="106"/>
                    <w:bidi w:val="0"/>
                    <w:rPr>
                      <w:rFonts w:hint="default" w:eastAsia="宋体"/>
                      <w:color w:val="auto"/>
                      <w:highlight w:val="none"/>
                      <w:lang w:val="en-US" w:eastAsia="zh-CN"/>
                    </w:rPr>
                  </w:pPr>
                  <w:r>
                    <w:rPr>
                      <w:rFonts w:hint="eastAsia"/>
                      <w:color w:val="auto"/>
                      <w:highlight w:val="none"/>
                      <w:lang w:val="en-US" w:eastAsia="zh-CN"/>
                    </w:rPr>
                    <w:t>原料清洗废水</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14:paraId="6C81907A">
                  <w:pPr>
                    <w:pStyle w:val="106"/>
                    <w:bidi w:val="0"/>
                    <w:rPr>
                      <w:rFonts w:hint="default"/>
                      <w:color w:val="auto"/>
                      <w:lang w:val="en-US" w:eastAsia="zh-CN"/>
                    </w:rPr>
                  </w:pPr>
                  <w:r>
                    <w:rPr>
                      <w:rFonts w:hint="eastAsia"/>
                      <w:color w:val="auto"/>
                      <w:lang w:val="en-US" w:eastAsia="zh-CN"/>
                    </w:rPr>
                    <w:t>5400</w:t>
                  </w: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65F7D44F">
                  <w:pPr>
                    <w:pStyle w:val="106"/>
                    <w:bidi w:val="0"/>
                    <w:rPr>
                      <w:rFonts w:hint="default"/>
                      <w:color w:val="auto"/>
                      <w:lang w:val="en-US" w:eastAsia="zh-CN"/>
                    </w:rPr>
                  </w:pPr>
                  <w:r>
                    <w:rPr>
                      <w:rFonts w:hint="default"/>
                      <w:color w:val="auto"/>
                    </w:rPr>
                    <w:t>产生浓度（mg/L）</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0A5AD99D">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38C1883C">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D92F6BC">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AB2511E">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09C3E36">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32373807">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c>
                <w:tcPr>
                  <w:tcW w:w="812" w:type="dxa"/>
                  <w:tcBorders>
                    <w:top w:val="single" w:color="auto" w:sz="4" w:space="0"/>
                    <w:left w:val="single" w:color="auto" w:sz="4" w:space="0"/>
                    <w:bottom w:val="single" w:color="auto" w:sz="4" w:space="0"/>
                    <w:right w:val="nil"/>
                  </w:tcBorders>
                  <w:shd w:val="clear" w:color="auto" w:fill="auto"/>
                  <w:vAlign w:val="center"/>
                </w:tcPr>
                <w:p w14:paraId="2F7519D1">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1ECF8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continue"/>
                  <w:tcBorders>
                    <w:top w:val="single" w:color="auto" w:sz="4" w:space="0"/>
                    <w:left w:val="nil"/>
                    <w:bottom w:val="single" w:color="auto" w:sz="4" w:space="0"/>
                    <w:right w:val="single" w:color="auto" w:sz="4" w:space="0"/>
                  </w:tcBorders>
                  <w:vAlign w:val="center"/>
                </w:tcPr>
                <w:p w14:paraId="10C64402">
                  <w:pPr>
                    <w:pStyle w:val="106"/>
                    <w:bidi w:val="0"/>
                    <w:rPr>
                      <w:rFonts w:hint="eastAsia"/>
                      <w:color w:val="auto"/>
                      <w:highlight w:val="none"/>
                      <w:lang w:val="en-US" w:eastAsia="zh-CN"/>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14:paraId="7CA8A5A0">
                  <w:pPr>
                    <w:pStyle w:val="106"/>
                    <w:bidi w:val="0"/>
                    <w:rPr>
                      <w:rFonts w:hint="eastAsia"/>
                      <w:color w:val="auto"/>
                      <w:lang w:val="en-US" w:eastAsia="zh-CN"/>
                    </w:rPr>
                  </w:pP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72B5B1ED">
                  <w:pPr>
                    <w:pStyle w:val="106"/>
                    <w:bidi w:val="0"/>
                    <w:rPr>
                      <w:rFonts w:hint="default"/>
                      <w:color w:val="auto"/>
                      <w:lang w:val="en-US" w:eastAsia="zh-CN"/>
                    </w:rPr>
                  </w:pPr>
                  <w:r>
                    <w:rPr>
                      <w:rFonts w:hint="default"/>
                      <w:color w:val="auto"/>
                      <w:lang w:val="en-US" w:eastAsia="zh-CN"/>
                    </w:rPr>
                    <w:t>产生量（t/a）</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6980600">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22015E7C">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4.3200</w:t>
                  </w:r>
                </w:p>
              </w:tc>
              <w:tc>
                <w:tcPr>
                  <w:tcW w:w="812" w:type="dxa"/>
                  <w:tcBorders>
                    <w:top w:val="single" w:color="auto" w:sz="4" w:space="0"/>
                    <w:left w:val="single" w:color="auto" w:sz="4" w:space="0"/>
                    <w:bottom w:val="single" w:color="auto" w:sz="4" w:space="0"/>
                    <w:right w:val="single" w:color="auto" w:sz="4" w:space="0"/>
                  </w:tcBorders>
                  <w:vAlign w:val="center"/>
                </w:tcPr>
                <w:p w14:paraId="6F622CB1">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2.1600</w:t>
                  </w:r>
                </w:p>
              </w:tc>
              <w:tc>
                <w:tcPr>
                  <w:tcW w:w="812" w:type="dxa"/>
                  <w:tcBorders>
                    <w:top w:val="single" w:color="auto" w:sz="4" w:space="0"/>
                    <w:left w:val="single" w:color="auto" w:sz="4" w:space="0"/>
                    <w:bottom w:val="single" w:color="auto" w:sz="4" w:space="0"/>
                    <w:right w:val="single" w:color="auto" w:sz="4" w:space="0"/>
                  </w:tcBorders>
                  <w:vAlign w:val="center"/>
                </w:tcPr>
                <w:p w14:paraId="0942B8BD">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2.1600</w:t>
                  </w:r>
                </w:p>
              </w:tc>
              <w:tc>
                <w:tcPr>
                  <w:tcW w:w="812" w:type="dxa"/>
                  <w:tcBorders>
                    <w:top w:val="single" w:color="auto" w:sz="4" w:space="0"/>
                    <w:left w:val="single" w:color="auto" w:sz="4" w:space="0"/>
                    <w:bottom w:val="single" w:color="auto" w:sz="4" w:space="0"/>
                    <w:right w:val="single" w:color="auto" w:sz="4" w:space="0"/>
                  </w:tcBorders>
                  <w:vAlign w:val="center"/>
                </w:tcPr>
                <w:p w14:paraId="07927277">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0.1080</w:t>
                  </w:r>
                </w:p>
              </w:tc>
              <w:tc>
                <w:tcPr>
                  <w:tcW w:w="812" w:type="dxa"/>
                  <w:tcBorders>
                    <w:top w:val="single" w:color="auto" w:sz="4" w:space="0"/>
                    <w:left w:val="single" w:color="auto" w:sz="4" w:space="0"/>
                    <w:bottom w:val="single" w:color="auto" w:sz="4" w:space="0"/>
                    <w:right w:val="single" w:color="auto" w:sz="4" w:space="0"/>
                  </w:tcBorders>
                  <w:vAlign w:val="center"/>
                </w:tcPr>
                <w:p w14:paraId="596FF0B6">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0.0432</w:t>
                  </w:r>
                </w:p>
              </w:tc>
              <w:tc>
                <w:tcPr>
                  <w:tcW w:w="812" w:type="dxa"/>
                  <w:tcBorders>
                    <w:top w:val="single" w:color="auto" w:sz="4" w:space="0"/>
                    <w:left w:val="single" w:color="auto" w:sz="4" w:space="0"/>
                    <w:bottom w:val="single" w:color="auto" w:sz="4" w:space="0"/>
                    <w:right w:val="nil"/>
                  </w:tcBorders>
                  <w:vAlign w:val="center"/>
                </w:tcPr>
                <w:p w14:paraId="5BE3AFDE">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3100F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restart"/>
                  <w:tcBorders>
                    <w:top w:val="single" w:color="auto" w:sz="4" w:space="0"/>
                    <w:left w:val="nil"/>
                    <w:bottom w:val="single" w:color="auto" w:sz="4" w:space="0"/>
                    <w:right w:val="single" w:color="auto" w:sz="4" w:space="0"/>
                  </w:tcBorders>
                  <w:shd w:val="clear" w:color="auto" w:fill="auto"/>
                  <w:vAlign w:val="center"/>
                </w:tcPr>
                <w:p w14:paraId="377755E2">
                  <w:pPr>
                    <w:pStyle w:val="106"/>
                    <w:bidi w:val="0"/>
                    <w:ind w:firstLine="0" w:firstLineChars="0"/>
                    <w:rPr>
                      <w:rFonts w:hint="default" w:eastAsia="宋体"/>
                      <w:color w:val="auto"/>
                      <w:highlight w:val="none"/>
                      <w:lang w:val="en-US" w:eastAsia="zh-CN"/>
                    </w:rPr>
                  </w:pPr>
                  <w:r>
                    <w:rPr>
                      <w:rFonts w:hint="eastAsia"/>
                      <w:color w:val="auto"/>
                      <w:highlight w:val="none"/>
                      <w:lang w:val="en-US" w:eastAsia="zh-CN"/>
                    </w:rPr>
                    <w:t>设备清洗废水</w:t>
                  </w:r>
                </w:p>
              </w:tc>
              <w:tc>
                <w:tcPr>
                  <w:tcW w:w="7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D62FF5">
                  <w:pPr>
                    <w:pStyle w:val="106"/>
                    <w:bidi w:val="0"/>
                    <w:rPr>
                      <w:rFonts w:hint="default"/>
                      <w:color w:val="auto"/>
                      <w:lang w:val="en-US" w:eastAsia="zh-CN"/>
                    </w:rPr>
                  </w:pPr>
                  <w:r>
                    <w:rPr>
                      <w:rFonts w:hint="eastAsia"/>
                      <w:color w:val="auto"/>
                      <w:lang w:val="en-US" w:eastAsia="zh-CN"/>
                    </w:rPr>
                    <w:t>540</w:t>
                  </w: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44793A8C">
                  <w:pPr>
                    <w:pStyle w:val="106"/>
                    <w:bidi w:val="0"/>
                    <w:rPr>
                      <w:rFonts w:hint="default"/>
                      <w:color w:val="auto"/>
                      <w:lang w:val="en-US" w:eastAsia="zh-CN"/>
                    </w:rPr>
                  </w:pPr>
                  <w:r>
                    <w:rPr>
                      <w:rFonts w:hint="default"/>
                      <w:color w:val="auto"/>
                    </w:rPr>
                    <w:t>产生浓度（mg/L）</w:t>
                  </w:r>
                </w:p>
              </w:tc>
              <w:tc>
                <w:tcPr>
                  <w:tcW w:w="812" w:type="dxa"/>
                  <w:tcBorders>
                    <w:top w:val="single" w:color="auto" w:sz="4" w:space="0"/>
                    <w:left w:val="single" w:color="auto" w:sz="4" w:space="0"/>
                    <w:bottom w:val="single" w:color="auto" w:sz="4" w:space="0"/>
                    <w:right w:val="single" w:color="auto" w:sz="4" w:space="0"/>
                  </w:tcBorders>
                  <w:vAlign w:val="center"/>
                </w:tcPr>
                <w:p w14:paraId="5F2086B1">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812" w:type="dxa"/>
                  <w:tcBorders>
                    <w:top w:val="single" w:color="auto" w:sz="4" w:space="0"/>
                    <w:left w:val="single" w:color="auto" w:sz="4" w:space="0"/>
                    <w:bottom w:val="single" w:color="auto" w:sz="4" w:space="0"/>
                    <w:right w:val="single" w:color="auto" w:sz="4" w:space="0"/>
                  </w:tcBorders>
                  <w:vAlign w:val="center"/>
                </w:tcPr>
                <w:p w14:paraId="08A75D7E">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2000</w:t>
                  </w:r>
                </w:p>
              </w:tc>
              <w:tc>
                <w:tcPr>
                  <w:tcW w:w="812" w:type="dxa"/>
                  <w:tcBorders>
                    <w:top w:val="single" w:color="auto" w:sz="4" w:space="0"/>
                    <w:left w:val="single" w:color="auto" w:sz="4" w:space="0"/>
                    <w:bottom w:val="single" w:color="auto" w:sz="4" w:space="0"/>
                    <w:right w:val="single" w:color="auto" w:sz="4" w:space="0"/>
                  </w:tcBorders>
                  <w:vAlign w:val="center"/>
                </w:tcPr>
                <w:p w14:paraId="71DEEA61">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1200</w:t>
                  </w:r>
                </w:p>
              </w:tc>
              <w:tc>
                <w:tcPr>
                  <w:tcW w:w="812" w:type="dxa"/>
                  <w:tcBorders>
                    <w:top w:val="single" w:color="auto" w:sz="4" w:space="0"/>
                    <w:left w:val="single" w:color="auto" w:sz="4" w:space="0"/>
                    <w:bottom w:val="single" w:color="auto" w:sz="4" w:space="0"/>
                    <w:right w:val="single" w:color="auto" w:sz="4" w:space="0"/>
                  </w:tcBorders>
                  <w:vAlign w:val="center"/>
                </w:tcPr>
                <w:p w14:paraId="40517AC5">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0C984297">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E1FEBF1">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w:t>
                  </w:r>
                </w:p>
              </w:tc>
              <w:tc>
                <w:tcPr>
                  <w:tcW w:w="812" w:type="dxa"/>
                  <w:tcBorders>
                    <w:top w:val="single" w:color="auto" w:sz="4" w:space="0"/>
                    <w:left w:val="single" w:color="auto" w:sz="4" w:space="0"/>
                    <w:bottom w:val="single" w:color="auto" w:sz="4" w:space="0"/>
                    <w:right w:val="nil"/>
                  </w:tcBorders>
                  <w:shd w:val="clear" w:color="auto" w:fill="auto"/>
                  <w:vAlign w:val="center"/>
                </w:tcPr>
                <w:p w14:paraId="10841554">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200</w:t>
                  </w:r>
                </w:p>
              </w:tc>
            </w:tr>
            <w:tr w14:paraId="5569E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continue"/>
                  <w:tcBorders>
                    <w:top w:val="single" w:color="auto" w:sz="4" w:space="0"/>
                    <w:left w:val="nil"/>
                    <w:bottom w:val="single" w:color="auto" w:sz="4" w:space="0"/>
                    <w:right w:val="single" w:color="auto" w:sz="4" w:space="0"/>
                  </w:tcBorders>
                  <w:vAlign w:val="center"/>
                </w:tcPr>
                <w:p w14:paraId="390608D2">
                  <w:pPr>
                    <w:pStyle w:val="106"/>
                    <w:bidi w:val="0"/>
                    <w:rPr>
                      <w:rFonts w:hint="default"/>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14:paraId="5FB434B7">
                  <w:pPr>
                    <w:pStyle w:val="106"/>
                    <w:bidi w:val="0"/>
                    <w:rPr>
                      <w:rFonts w:hint="default"/>
                      <w:color w:val="auto"/>
                      <w:lang w:val="en-US"/>
                    </w:rPr>
                  </w:pP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2AB846A4">
                  <w:pPr>
                    <w:pStyle w:val="106"/>
                    <w:bidi w:val="0"/>
                    <w:rPr>
                      <w:rFonts w:hint="default"/>
                      <w:color w:val="auto"/>
                      <w:lang w:val="en-US" w:eastAsia="zh-CN"/>
                    </w:rPr>
                  </w:pPr>
                  <w:r>
                    <w:rPr>
                      <w:rFonts w:hint="default"/>
                      <w:color w:val="auto"/>
                      <w:lang w:val="en-US" w:eastAsia="zh-CN"/>
                    </w:rPr>
                    <w:t>产生量（t/a）</w:t>
                  </w:r>
                </w:p>
              </w:tc>
              <w:tc>
                <w:tcPr>
                  <w:tcW w:w="812" w:type="dxa"/>
                  <w:tcBorders>
                    <w:top w:val="single" w:color="auto" w:sz="4" w:space="0"/>
                    <w:left w:val="single" w:color="auto" w:sz="4" w:space="0"/>
                    <w:bottom w:val="single" w:color="auto" w:sz="4" w:space="0"/>
                    <w:right w:val="single" w:color="auto" w:sz="4" w:space="0"/>
                  </w:tcBorders>
                  <w:vAlign w:val="center"/>
                </w:tcPr>
                <w:p w14:paraId="5F1A08FE">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73896CD3">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1.0800</w:t>
                  </w:r>
                </w:p>
              </w:tc>
              <w:tc>
                <w:tcPr>
                  <w:tcW w:w="812" w:type="dxa"/>
                  <w:tcBorders>
                    <w:top w:val="single" w:color="auto" w:sz="4" w:space="0"/>
                    <w:left w:val="single" w:color="auto" w:sz="4" w:space="0"/>
                    <w:bottom w:val="single" w:color="auto" w:sz="4" w:space="0"/>
                    <w:right w:val="single" w:color="auto" w:sz="4" w:space="0"/>
                  </w:tcBorders>
                  <w:vAlign w:val="center"/>
                </w:tcPr>
                <w:p w14:paraId="47F5A5CE">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0.6480</w:t>
                  </w:r>
                </w:p>
              </w:tc>
              <w:tc>
                <w:tcPr>
                  <w:tcW w:w="812" w:type="dxa"/>
                  <w:tcBorders>
                    <w:top w:val="single" w:color="auto" w:sz="4" w:space="0"/>
                    <w:left w:val="single" w:color="auto" w:sz="4" w:space="0"/>
                    <w:bottom w:val="single" w:color="auto" w:sz="4" w:space="0"/>
                    <w:right w:val="single" w:color="auto" w:sz="4" w:space="0"/>
                  </w:tcBorders>
                  <w:vAlign w:val="center"/>
                </w:tcPr>
                <w:p w14:paraId="67209C3E">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0.8100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2FED47E">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0.0540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8CFB63F">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0.0270</w:t>
                  </w:r>
                </w:p>
              </w:tc>
              <w:tc>
                <w:tcPr>
                  <w:tcW w:w="812" w:type="dxa"/>
                  <w:tcBorders>
                    <w:top w:val="single" w:color="auto" w:sz="4" w:space="0"/>
                    <w:left w:val="single" w:color="auto" w:sz="4" w:space="0"/>
                    <w:bottom w:val="single" w:color="auto" w:sz="4" w:space="0"/>
                    <w:right w:val="nil"/>
                  </w:tcBorders>
                  <w:shd w:val="clear" w:color="auto" w:fill="auto"/>
                  <w:vAlign w:val="center"/>
                </w:tcPr>
                <w:p w14:paraId="64841136">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0.1080</w:t>
                  </w:r>
                </w:p>
              </w:tc>
            </w:tr>
            <w:tr w14:paraId="115FB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restart"/>
                  <w:tcBorders>
                    <w:top w:val="single" w:color="auto" w:sz="4" w:space="0"/>
                    <w:left w:val="nil"/>
                    <w:bottom w:val="single" w:color="auto" w:sz="4" w:space="0"/>
                    <w:right w:val="single" w:color="auto" w:sz="4" w:space="0"/>
                  </w:tcBorders>
                  <w:vAlign w:val="center"/>
                </w:tcPr>
                <w:p w14:paraId="11109644">
                  <w:pPr>
                    <w:pStyle w:val="106"/>
                    <w:bidi w:val="0"/>
                    <w:rPr>
                      <w:rFonts w:hint="default" w:eastAsia="宋体"/>
                      <w:color w:val="auto"/>
                      <w:highlight w:val="none"/>
                      <w:lang w:val="en-US" w:eastAsia="zh-CN"/>
                    </w:rPr>
                  </w:pPr>
                  <w:r>
                    <w:rPr>
                      <w:rFonts w:hint="eastAsia"/>
                      <w:color w:val="auto"/>
                      <w:highlight w:val="none"/>
                      <w:lang w:val="en-US" w:eastAsia="zh-CN"/>
                    </w:rPr>
                    <w:t>漂烫废水</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14:paraId="4D80C944">
                  <w:pPr>
                    <w:pStyle w:val="106"/>
                    <w:bidi w:val="0"/>
                    <w:rPr>
                      <w:rFonts w:hint="default"/>
                      <w:color w:val="auto"/>
                      <w:lang w:val="en-US" w:eastAsia="zh-CN"/>
                    </w:rPr>
                  </w:pPr>
                  <w:r>
                    <w:rPr>
                      <w:rFonts w:hint="eastAsia"/>
                      <w:color w:val="auto"/>
                      <w:lang w:val="en-US" w:eastAsia="zh-CN"/>
                    </w:rPr>
                    <w:t>600</w:t>
                  </w: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0C7BBEB5">
                  <w:pPr>
                    <w:pStyle w:val="106"/>
                    <w:bidi w:val="0"/>
                    <w:rPr>
                      <w:rFonts w:hint="default"/>
                      <w:color w:val="auto"/>
                      <w:lang w:val="en-US" w:eastAsia="zh-CN"/>
                    </w:rPr>
                  </w:pPr>
                  <w:r>
                    <w:rPr>
                      <w:rFonts w:hint="default"/>
                      <w:color w:val="auto"/>
                    </w:rPr>
                    <w:t>产生浓度（mg/L）</w:t>
                  </w:r>
                </w:p>
              </w:tc>
              <w:tc>
                <w:tcPr>
                  <w:tcW w:w="812" w:type="dxa"/>
                  <w:tcBorders>
                    <w:top w:val="single" w:color="auto" w:sz="4" w:space="0"/>
                    <w:left w:val="single" w:color="auto" w:sz="4" w:space="0"/>
                    <w:bottom w:val="single" w:color="auto" w:sz="4" w:space="0"/>
                    <w:right w:val="single" w:color="auto" w:sz="4" w:space="0"/>
                  </w:tcBorders>
                  <w:vAlign w:val="center"/>
                </w:tcPr>
                <w:p w14:paraId="277CD580">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C3C3752">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8BC7A38">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CD3AFBC">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200</w:t>
                  </w:r>
                </w:p>
              </w:tc>
              <w:tc>
                <w:tcPr>
                  <w:tcW w:w="812" w:type="dxa"/>
                  <w:tcBorders>
                    <w:top w:val="single" w:color="auto" w:sz="4" w:space="0"/>
                    <w:left w:val="single" w:color="auto" w:sz="4" w:space="0"/>
                    <w:bottom w:val="single" w:color="auto" w:sz="4" w:space="0"/>
                    <w:right w:val="single" w:color="auto" w:sz="4" w:space="0"/>
                  </w:tcBorders>
                  <w:vAlign w:val="center"/>
                </w:tcPr>
                <w:p w14:paraId="2DCD85B4">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56F3856C">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74096853">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18031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continue"/>
                  <w:tcBorders>
                    <w:top w:val="single" w:color="auto" w:sz="4" w:space="0"/>
                    <w:left w:val="nil"/>
                    <w:bottom w:val="single" w:color="auto" w:sz="4" w:space="0"/>
                    <w:right w:val="single" w:color="auto" w:sz="4" w:space="0"/>
                  </w:tcBorders>
                  <w:vAlign w:val="center"/>
                </w:tcPr>
                <w:p w14:paraId="6F7EC10F">
                  <w:pPr>
                    <w:pStyle w:val="106"/>
                    <w:bidi w:val="0"/>
                    <w:rPr>
                      <w:rFonts w:hint="default"/>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14:paraId="4ACA6BBD">
                  <w:pPr>
                    <w:pStyle w:val="106"/>
                    <w:bidi w:val="0"/>
                    <w:rPr>
                      <w:rFonts w:hint="default"/>
                      <w:color w:val="auto"/>
                      <w:lang w:val="en-US"/>
                    </w:rPr>
                  </w:pP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16BE69C8">
                  <w:pPr>
                    <w:pStyle w:val="106"/>
                    <w:bidi w:val="0"/>
                    <w:rPr>
                      <w:rFonts w:hint="default"/>
                      <w:color w:val="auto"/>
                      <w:lang w:val="en-US" w:eastAsia="zh-CN"/>
                    </w:rPr>
                  </w:pPr>
                  <w:r>
                    <w:rPr>
                      <w:rFonts w:hint="default"/>
                      <w:color w:val="auto"/>
                      <w:lang w:val="en-US" w:eastAsia="zh-CN"/>
                    </w:rPr>
                    <w:t>产生量（t/a）</w:t>
                  </w:r>
                </w:p>
              </w:tc>
              <w:tc>
                <w:tcPr>
                  <w:tcW w:w="812" w:type="dxa"/>
                  <w:tcBorders>
                    <w:top w:val="single" w:color="auto" w:sz="4" w:space="0"/>
                    <w:left w:val="single" w:color="auto" w:sz="4" w:space="0"/>
                    <w:bottom w:val="single" w:color="auto" w:sz="4" w:space="0"/>
                    <w:right w:val="single" w:color="auto" w:sz="4" w:space="0"/>
                  </w:tcBorders>
                  <w:vAlign w:val="center"/>
                </w:tcPr>
                <w:p w14:paraId="18157777">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DA72BD4">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0.6000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9B3A513">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0.3600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E1300AD">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0.1200</w:t>
                  </w:r>
                </w:p>
              </w:tc>
              <w:tc>
                <w:tcPr>
                  <w:tcW w:w="812" w:type="dxa"/>
                  <w:tcBorders>
                    <w:top w:val="single" w:color="auto" w:sz="4" w:space="0"/>
                    <w:left w:val="single" w:color="auto" w:sz="4" w:space="0"/>
                    <w:bottom w:val="single" w:color="auto" w:sz="4" w:space="0"/>
                    <w:right w:val="single" w:color="auto" w:sz="4" w:space="0"/>
                  </w:tcBorders>
                  <w:vAlign w:val="center"/>
                </w:tcPr>
                <w:p w14:paraId="6202A3F4">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9F5AE91">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shd w:val="clear" w:color="auto" w:fill="auto"/>
                  <w:vAlign w:val="center"/>
                </w:tcPr>
                <w:p w14:paraId="5D9A642E">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2AA54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restart"/>
                  <w:tcBorders>
                    <w:top w:val="single" w:color="auto" w:sz="4" w:space="0"/>
                    <w:left w:val="nil"/>
                    <w:bottom w:val="single" w:color="auto" w:sz="4" w:space="0"/>
                    <w:right w:val="single" w:color="auto" w:sz="4" w:space="0"/>
                  </w:tcBorders>
                  <w:vAlign w:val="center"/>
                </w:tcPr>
                <w:p w14:paraId="39A3F52B">
                  <w:pPr>
                    <w:pStyle w:val="106"/>
                    <w:bidi w:val="0"/>
                    <w:rPr>
                      <w:rFonts w:hint="default" w:eastAsia="宋体"/>
                      <w:color w:val="auto"/>
                      <w:highlight w:val="none"/>
                      <w:lang w:val="en-US" w:eastAsia="zh-CN"/>
                    </w:rPr>
                  </w:pPr>
                  <w:r>
                    <w:rPr>
                      <w:rFonts w:hint="eastAsia"/>
                      <w:color w:val="auto"/>
                      <w:highlight w:val="none"/>
                      <w:lang w:val="en-US" w:eastAsia="zh-CN"/>
                    </w:rPr>
                    <w:t>猪肉解冻废水</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14:paraId="7DECC92D">
                  <w:pPr>
                    <w:pStyle w:val="106"/>
                    <w:bidi w:val="0"/>
                    <w:rPr>
                      <w:rFonts w:hint="default"/>
                      <w:color w:val="auto"/>
                      <w:lang w:val="en-US" w:eastAsia="zh-CN"/>
                    </w:rPr>
                  </w:pPr>
                  <w:r>
                    <w:rPr>
                      <w:rFonts w:hint="eastAsia"/>
                      <w:color w:val="auto"/>
                      <w:lang w:val="en-US" w:eastAsia="zh-CN"/>
                    </w:rPr>
                    <w:t>2400</w:t>
                  </w: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0F1BFDC4">
                  <w:pPr>
                    <w:pStyle w:val="106"/>
                    <w:bidi w:val="0"/>
                    <w:rPr>
                      <w:rFonts w:hint="default"/>
                      <w:color w:val="auto"/>
                      <w:lang w:val="en-US" w:eastAsia="zh-CN"/>
                    </w:rPr>
                  </w:pPr>
                  <w:r>
                    <w:rPr>
                      <w:rFonts w:hint="default"/>
                      <w:color w:val="auto"/>
                    </w:rPr>
                    <w:t>产生浓度（mg/L）</w:t>
                  </w:r>
                </w:p>
              </w:tc>
              <w:tc>
                <w:tcPr>
                  <w:tcW w:w="812" w:type="dxa"/>
                  <w:tcBorders>
                    <w:top w:val="single" w:color="auto" w:sz="4" w:space="0"/>
                    <w:left w:val="single" w:color="auto" w:sz="4" w:space="0"/>
                    <w:bottom w:val="single" w:color="auto" w:sz="4" w:space="0"/>
                    <w:right w:val="single" w:color="auto" w:sz="4" w:space="0"/>
                  </w:tcBorders>
                  <w:vAlign w:val="center"/>
                </w:tcPr>
                <w:p w14:paraId="121C266A">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322A7757">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BF89120">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008087C9">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600</w:t>
                  </w:r>
                </w:p>
              </w:tc>
              <w:tc>
                <w:tcPr>
                  <w:tcW w:w="812" w:type="dxa"/>
                  <w:tcBorders>
                    <w:top w:val="single" w:color="auto" w:sz="4" w:space="0"/>
                    <w:left w:val="single" w:color="auto" w:sz="4" w:space="0"/>
                    <w:bottom w:val="single" w:color="auto" w:sz="4" w:space="0"/>
                    <w:right w:val="single" w:color="auto" w:sz="4" w:space="0"/>
                  </w:tcBorders>
                  <w:vAlign w:val="center"/>
                </w:tcPr>
                <w:p w14:paraId="46D3F5A2">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300</w:t>
                  </w:r>
                </w:p>
              </w:tc>
              <w:tc>
                <w:tcPr>
                  <w:tcW w:w="812" w:type="dxa"/>
                  <w:tcBorders>
                    <w:top w:val="single" w:color="auto" w:sz="4" w:space="0"/>
                    <w:left w:val="single" w:color="auto" w:sz="4" w:space="0"/>
                    <w:bottom w:val="single" w:color="auto" w:sz="4" w:space="0"/>
                    <w:right w:val="single" w:color="auto" w:sz="4" w:space="0"/>
                  </w:tcBorders>
                  <w:vAlign w:val="center"/>
                </w:tcPr>
                <w:p w14:paraId="79FF6835">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5335DA1B">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1000</w:t>
                  </w:r>
                </w:p>
              </w:tc>
            </w:tr>
            <w:tr w14:paraId="63C25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continue"/>
                  <w:tcBorders>
                    <w:top w:val="single" w:color="auto" w:sz="4" w:space="0"/>
                    <w:left w:val="nil"/>
                    <w:bottom w:val="single" w:color="auto" w:sz="4" w:space="0"/>
                    <w:right w:val="single" w:color="auto" w:sz="4" w:space="0"/>
                  </w:tcBorders>
                  <w:vAlign w:val="center"/>
                </w:tcPr>
                <w:p w14:paraId="58508BB4">
                  <w:pPr>
                    <w:pStyle w:val="106"/>
                    <w:bidi w:val="0"/>
                    <w:rPr>
                      <w:rFonts w:hint="default"/>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14:paraId="6AAC72D8">
                  <w:pPr>
                    <w:pStyle w:val="106"/>
                    <w:bidi w:val="0"/>
                    <w:rPr>
                      <w:rFonts w:hint="default"/>
                      <w:color w:val="auto"/>
                      <w:lang w:val="en-US"/>
                    </w:rPr>
                  </w:pP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5796C809">
                  <w:pPr>
                    <w:pStyle w:val="106"/>
                    <w:bidi w:val="0"/>
                    <w:rPr>
                      <w:rFonts w:hint="default"/>
                      <w:color w:val="auto"/>
                      <w:lang w:val="en-US" w:eastAsia="zh-CN"/>
                    </w:rPr>
                  </w:pPr>
                  <w:r>
                    <w:rPr>
                      <w:rFonts w:hint="default"/>
                      <w:color w:val="auto"/>
                      <w:lang w:val="en-US" w:eastAsia="zh-CN"/>
                    </w:rPr>
                    <w:t>产生量（t/a）</w:t>
                  </w:r>
                </w:p>
              </w:tc>
              <w:tc>
                <w:tcPr>
                  <w:tcW w:w="812" w:type="dxa"/>
                  <w:tcBorders>
                    <w:top w:val="single" w:color="auto" w:sz="4" w:space="0"/>
                    <w:left w:val="single" w:color="auto" w:sz="4" w:space="0"/>
                    <w:bottom w:val="single" w:color="auto" w:sz="4" w:space="0"/>
                    <w:right w:val="single" w:color="auto" w:sz="4" w:space="0"/>
                  </w:tcBorders>
                  <w:vAlign w:val="center"/>
                </w:tcPr>
                <w:p w14:paraId="24B75562">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1948381">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7.2000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639FE31">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4.8000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0D502635">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1.4400</w:t>
                  </w:r>
                </w:p>
              </w:tc>
              <w:tc>
                <w:tcPr>
                  <w:tcW w:w="812" w:type="dxa"/>
                  <w:tcBorders>
                    <w:top w:val="single" w:color="auto" w:sz="4" w:space="0"/>
                    <w:left w:val="single" w:color="auto" w:sz="4" w:space="0"/>
                    <w:bottom w:val="single" w:color="auto" w:sz="4" w:space="0"/>
                    <w:right w:val="single" w:color="auto" w:sz="4" w:space="0"/>
                  </w:tcBorders>
                  <w:vAlign w:val="center"/>
                </w:tcPr>
                <w:p w14:paraId="1880FBC1">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0.7200</w:t>
                  </w:r>
                </w:p>
              </w:tc>
              <w:tc>
                <w:tcPr>
                  <w:tcW w:w="812" w:type="dxa"/>
                  <w:tcBorders>
                    <w:top w:val="single" w:color="auto" w:sz="4" w:space="0"/>
                    <w:left w:val="single" w:color="auto" w:sz="4" w:space="0"/>
                    <w:bottom w:val="single" w:color="auto" w:sz="4" w:space="0"/>
                    <w:right w:val="single" w:color="auto" w:sz="4" w:space="0"/>
                  </w:tcBorders>
                  <w:vAlign w:val="center"/>
                </w:tcPr>
                <w:p w14:paraId="76E9511B">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0BACF108">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2.4000</w:t>
                  </w:r>
                </w:p>
              </w:tc>
            </w:tr>
            <w:tr w14:paraId="0EDF2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restart"/>
                  <w:tcBorders>
                    <w:top w:val="single" w:color="auto" w:sz="4" w:space="0"/>
                    <w:left w:val="nil"/>
                    <w:bottom w:val="single" w:color="auto" w:sz="4" w:space="0"/>
                    <w:right w:val="single" w:color="auto" w:sz="4" w:space="0"/>
                  </w:tcBorders>
                  <w:vAlign w:val="center"/>
                </w:tcPr>
                <w:p w14:paraId="34FDE0C0">
                  <w:pPr>
                    <w:pStyle w:val="106"/>
                    <w:bidi w:val="0"/>
                    <w:rPr>
                      <w:rFonts w:hint="default" w:eastAsia="宋体"/>
                      <w:color w:val="auto"/>
                      <w:highlight w:val="none"/>
                      <w:lang w:val="en-US" w:eastAsia="zh-CN"/>
                    </w:rPr>
                  </w:pPr>
                  <w:r>
                    <w:rPr>
                      <w:rFonts w:hint="eastAsia"/>
                      <w:color w:val="auto"/>
                      <w:highlight w:val="none"/>
                      <w:lang w:val="en-US" w:eastAsia="zh-CN"/>
                    </w:rPr>
                    <w:t>空罐及实罐清洗废水</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14:paraId="4473C92D">
                  <w:pPr>
                    <w:pStyle w:val="106"/>
                    <w:bidi w:val="0"/>
                    <w:rPr>
                      <w:rFonts w:hint="default"/>
                      <w:color w:val="auto"/>
                      <w:lang w:val="en-US" w:eastAsia="zh-CN"/>
                    </w:rPr>
                  </w:pPr>
                  <w:r>
                    <w:rPr>
                      <w:rFonts w:hint="eastAsia"/>
                      <w:color w:val="auto"/>
                      <w:lang w:val="en-US" w:eastAsia="zh-CN"/>
                    </w:rPr>
                    <w:t>960</w:t>
                  </w: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18CE780E">
                  <w:pPr>
                    <w:pStyle w:val="106"/>
                    <w:bidi w:val="0"/>
                    <w:rPr>
                      <w:rFonts w:hint="default"/>
                      <w:color w:val="auto"/>
                      <w:lang w:val="en-US" w:eastAsia="zh-CN"/>
                    </w:rPr>
                  </w:pPr>
                  <w:r>
                    <w:rPr>
                      <w:rFonts w:hint="default"/>
                      <w:color w:val="auto"/>
                    </w:rPr>
                    <w:t>产生浓度（mg/L）</w:t>
                  </w:r>
                </w:p>
              </w:tc>
              <w:tc>
                <w:tcPr>
                  <w:tcW w:w="812" w:type="dxa"/>
                  <w:tcBorders>
                    <w:top w:val="single" w:color="auto" w:sz="4" w:space="0"/>
                    <w:left w:val="single" w:color="auto" w:sz="4" w:space="0"/>
                    <w:bottom w:val="single" w:color="auto" w:sz="4" w:space="0"/>
                    <w:right w:val="single" w:color="auto" w:sz="4" w:space="0"/>
                  </w:tcBorders>
                  <w:vAlign w:val="center"/>
                </w:tcPr>
                <w:p w14:paraId="194F953C">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4E04CDBA">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450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A3A6182">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F8670FC">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5821BB23">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096C7078">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77CFE01D">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80</w:t>
                  </w:r>
                </w:p>
              </w:tc>
            </w:tr>
            <w:tr w14:paraId="37519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continue"/>
                  <w:tcBorders>
                    <w:top w:val="single" w:color="auto" w:sz="4" w:space="0"/>
                    <w:left w:val="nil"/>
                    <w:bottom w:val="single" w:color="auto" w:sz="4" w:space="0"/>
                    <w:right w:val="single" w:color="auto" w:sz="4" w:space="0"/>
                  </w:tcBorders>
                  <w:vAlign w:val="center"/>
                </w:tcPr>
                <w:p w14:paraId="6DBB825B">
                  <w:pPr>
                    <w:pStyle w:val="106"/>
                    <w:bidi w:val="0"/>
                    <w:rPr>
                      <w:rFonts w:hint="default"/>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14:paraId="3F0F85FE">
                  <w:pPr>
                    <w:pStyle w:val="106"/>
                    <w:bidi w:val="0"/>
                    <w:rPr>
                      <w:rFonts w:hint="default"/>
                      <w:color w:val="auto"/>
                      <w:lang w:val="en-US"/>
                    </w:rPr>
                  </w:pP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62F3FD87">
                  <w:pPr>
                    <w:pStyle w:val="106"/>
                    <w:bidi w:val="0"/>
                    <w:rPr>
                      <w:rFonts w:hint="default"/>
                      <w:color w:val="auto"/>
                      <w:lang w:val="en-US" w:eastAsia="zh-CN"/>
                    </w:rPr>
                  </w:pPr>
                  <w:r>
                    <w:rPr>
                      <w:rFonts w:hint="default"/>
                      <w:color w:val="auto"/>
                      <w:lang w:val="en-US" w:eastAsia="zh-CN"/>
                    </w:rPr>
                    <w:t>产生量（t/a）</w:t>
                  </w:r>
                </w:p>
              </w:tc>
              <w:tc>
                <w:tcPr>
                  <w:tcW w:w="812" w:type="dxa"/>
                  <w:tcBorders>
                    <w:top w:val="single" w:color="auto" w:sz="4" w:space="0"/>
                    <w:left w:val="single" w:color="auto" w:sz="4" w:space="0"/>
                    <w:bottom w:val="single" w:color="auto" w:sz="4" w:space="0"/>
                    <w:right w:val="single" w:color="auto" w:sz="4" w:space="0"/>
                  </w:tcBorders>
                  <w:vAlign w:val="center"/>
                </w:tcPr>
                <w:p w14:paraId="0EC5725A">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04906F0">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0.4320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C5FCD42">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0.1920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53FEF54">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5B5611F1">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7FA802D8">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3D339293">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0.0768</w:t>
                  </w:r>
                </w:p>
              </w:tc>
            </w:tr>
            <w:tr w14:paraId="75463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restart"/>
                  <w:tcBorders>
                    <w:top w:val="single" w:color="auto" w:sz="4" w:space="0"/>
                    <w:left w:val="nil"/>
                    <w:bottom w:val="single" w:color="auto" w:sz="4" w:space="0"/>
                    <w:right w:val="single" w:color="auto" w:sz="4" w:space="0"/>
                  </w:tcBorders>
                  <w:vAlign w:val="center"/>
                </w:tcPr>
                <w:p w14:paraId="0D47E888">
                  <w:pPr>
                    <w:pStyle w:val="106"/>
                    <w:bidi w:val="0"/>
                    <w:rPr>
                      <w:rFonts w:hint="default" w:eastAsia="宋体"/>
                      <w:color w:val="auto"/>
                      <w:highlight w:val="none"/>
                      <w:lang w:val="en-US" w:eastAsia="zh-CN"/>
                    </w:rPr>
                  </w:pPr>
                  <w:r>
                    <w:rPr>
                      <w:rFonts w:hint="eastAsia"/>
                      <w:color w:val="auto"/>
                      <w:highlight w:val="none"/>
                      <w:lang w:val="en-US" w:eastAsia="zh-CN"/>
                    </w:rPr>
                    <w:t>蒸汽发生器废水</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14:paraId="50789DF6">
                  <w:pPr>
                    <w:pStyle w:val="106"/>
                    <w:bidi w:val="0"/>
                    <w:rPr>
                      <w:rFonts w:hint="default"/>
                      <w:color w:val="auto"/>
                      <w:lang w:val="en-US" w:eastAsia="zh-CN"/>
                    </w:rPr>
                  </w:pPr>
                  <w:r>
                    <w:rPr>
                      <w:rFonts w:hint="eastAsia"/>
                      <w:color w:val="auto"/>
                      <w:lang w:val="en-US" w:eastAsia="zh-CN"/>
                    </w:rPr>
                    <w:t>2358.72</w:t>
                  </w: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05508872">
                  <w:pPr>
                    <w:pStyle w:val="106"/>
                    <w:bidi w:val="0"/>
                    <w:rPr>
                      <w:rFonts w:hint="default"/>
                      <w:color w:val="auto"/>
                      <w:lang w:val="en-US" w:eastAsia="zh-CN"/>
                    </w:rPr>
                  </w:pPr>
                  <w:r>
                    <w:rPr>
                      <w:rFonts w:hint="default"/>
                      <w:color w:val="auto"/>
                    </w:rPr>
                    <w:t>产生浓度（mg/L）</w:t>
                  </w:r>
                </w:p>
              </w:tc>
              <w:tc>
                <w:tcPr>
                  <w:tcW w:w="812" w:type="dxa"/>
                  <w:tcBorders>
                    <w:top w:val="single" w:color="auto" w:sz="4" w:space="0"/>
                    <w:left w:val="single" w:color="auto" w:sz="4" w:space="0"/>
                    <w:bottom w:val="single" w:color="auto" w:sz="4" w:space="0"/>
                    <w:right w:val="single" w:color="auto" w:sz="4" w:space="0"/>
                  </w:tcBorders>
                  <w:vAlign w:val="center"/>
                </w:tcPr>
                <w:p w14:paraId="1CA3EA01">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329C799F">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AA0CC2D">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65B8C7B">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w:t>
                  </w:r>
                </w:p>
              </w:tc>
              <w:tc>
                <w:tcPr>
                  <w:tcW w:w="812" w:type="dxa"/>
                  <w:tcBorders>
                    <w:top w:val="single" w:color="auto" w:sz="4" w:space="0"/>
                    <w:left w:val="single" w:color="auto" w:sz="4" w:space="0"/>
                    <w:bottom w:val="single" w:color="auto" w:sz="4" w:space="0"/>
                    <w:right w:val="single" w:color="auto" w:sz="4" w:space="0"/>
                  </w:tcBorders>
                  <w:vAlign w:val="center"/>
                </w:tcPr>
                <w:p w14:paraId="232A29AB">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4F911F0B">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590B931C">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6802A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continue"/>
                  <w:tcBorders>
                    <w:top w:val="single" w:color="auto" w:sz="4" w:space="0"/>
                    <w:left w:val="nil"/>
                    <w:bottom w:val="single" w:color="auto" w:sz="4" w:space="0"/>
                    <w:right w:val="single" w:color="auto" w:sz="4" w:space="0"/>
                  </w:tcBorders>
                  <w:vAlign w:val="center"/>
                </w:tcPr>
                <w:p w14:paraId="0E444106">
                  <w:pPr>
                    <w:pStyle w:val="106"/>
                    <w:bidi w:val="0"/>
                    <w:rPr>
                      <w:rFonts w:hint="default"/>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14:paraId="2B86460C">
                  <w:pPr>
                    <w:pStyle w:val="106"/>
                    <w:bidi w:val="0"/>
                    <w:rPr>
                      <w:rFonts w:hint="default"/>
                      <w:color w:val="auto"/>
                      <w:lang w:val="en-US"/>
                    </w:rPr>
                  </w:pP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0AE84209">
                  <w:pPr>
                    <w:pStyle w:val="106"/>
                    <w:bidi w:val="0"/>
                    <w:rPr>
                      <w:rFonts w:hint="default"/>
                      <w:color w:val="auto"/>
                      <w:lang w:val="en-US" w:eastAsia="zh-CN"/>
                    </w:rPr>
                  </w:pPr>
                  <w:r>
                    <w:rPr>
                      <w:rFonts w:hint="default"/>
                      <w:color w:val="auto"/>
                      <w:lang w:val="en-US" w:eastAsia="zh-CN"/>
                    </w:rPr>
                    <w:t>产生量（t/a）</w:t>
                  </w:r>
                </w:p>
              </w:tc>
              <w:tc>
                <w:tcPr>
                  <w:tcW w:w="812" w:type="dxa"/>
                  <w:tcBorders>
                    <w:top w:val="single" w:color="auto" w:sz="4" w:space="0"/>
                    <w:left w:val="single" w:color="auto" w:sz="4" w:space="0"/>
                    <w:bottom w:val="single" w:color="auto" w:sz="4" w:space="0"/>
                    <w:right w:val="single" w:color="auto" w:sz="4" w:space="0"/>
                  </w:tcBorders>
                  <w:vAlign w:val="center"/>
                </w:tcPr>
                <w:p w14:paraId="2B7871CA">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B0661BA">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1.4152</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9D2B8C4">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0.7076</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6CFA629">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0.9435</w:t>
                  </w:r>
                </w:p>
              </w:tc>
              <w:tc>
                <w:tcPr>
                  <w:tcW w:w="812" w:type="dxa"/>
                  <w:tcBorders>
                    <w:top w:val="single" w:color="auto" w:sz="4" w:space="0"/>
                    <w:left w:val="single" w:color="auto" w:sz="4" w:space="0"/>
                    <w:bottom w:val="single" w:color="auto" w:sz="4" w:space="0"/>
                    <w:right w:val="single" w:color="auto" w:sz="4" w:space="0"/>
                  </w:tcBorders>
                  <w:vAlign w:val="center"/>
                </w:tcPr>
                <w:p w14:paraId="22477975">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57F7B82C">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2DB16940">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4660C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restart"/>
                  <w:tcBorders>
                    <w:top w:val="single" w:color="auto" w:sz="4" w:space="0"/>
                    <w:left w:val="nil"/>
                    <w:bottom w:val="single" w:color="auto" w:sz="4" w:space="0"/>
                    <w:right w:val="single" w:color="auto" w:sz="4" w:space="0"/>
                  </w:tcBorders>
                  <w:vAlign w:val="center"/>
                </w:tcPr>
                <w:p w14:paraId="25B7F539">
                  <w:pPr>
                    <w:pStyle w:val="106"/>
                    <w:bidi w:val="0"/>
                    <w:rPr>
                      <w:rFonts w:hint="default" w:eastAsia="宋体"/>
                      <w:color w:val="auto"/>
                      <w:highlight w:val="none"/>
                      <w:lang w:val="en-US" w:eastAsia="zh-CN"/>
                    </w:rPr>
                  </w:pPr>
                  <w:r>
                    <w:rPr>
                      <w:rFonts w:hint="eastAsia"/>
                      <w:color w:val="auto"/>
                      <w:highlight w:val="none"/>
                      <w:lang w:val="en-US" w:eastAsia="zh-CN"/>
                    </w:rPr>
                    <w:t>地面清洗废水</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14:paraId="5F56A3D5">
                  <w:pPr>
                    <w:pStyle w:val="106"/>
                    <w:bidi w:val="0"/>
                    <w:rPr>
                      <w:rFonts w:hint="default"/>
                      <w:color w:val="auto"/>
                      <w:lang w:val="en-US" w:eastAsia="zh-CN"/>
                    </w:rPr>
                  </w:pPr>
                  <w:r>
                    <w:rPr>
                      <w:rFonts w:hint="eastAsia"/>
                      <w:color w:val="auto"/>
                      <w:lang w:val="en-US" w:eastAsia="zh-CN"/>
                    </w:rPr>
                    <w:t>1200</w:t>
                  </w: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47FBDC72">
                  <w:pPr>
                    <w:pStyle w:val="106"/>
                    <w:bidi w:val="0"/>
                    <w:rPr>
                      <w:rFonts w:hint="default"/>
                      <w:color w:val="auto"/>
                      <w:lang w:val="en-US" w:eastAsia="zh-CN"/>
                    </w:rPr>
                  </w:pPr>
                  <w:r>
                    <w:rPr>
                      <w:rFonts w:hint="default"/>
                      <w:color w:val="auto"/>
                    </w:rPr>
                    <w:t>产生浓度（mg/L）</w:t>
                  </w:r>
                </w:p>
              </w:tc>
              <w:tc>
                <w:tcPr>
                  <w:tcW w:w="812" w:type="dxa"/>
                  <w:tcBorders>
                    <w:top w:val="single" w:color="auto" w:sz="4" w:space="0"/>
                    <w:left w:val="single" w:color="auto" w:sz="4" w:space="0"/>
                    <w:bottom w:val="single" w:color="auto" w:sz="4" w:space="0"/>
                    <w:right w:val="single" w:color="auto" w:sz="4" w:space="0"/>
                  </w:tcBorders>
                  <w:vAlign w:val="center"/>
                </w:tcPr>
                <w:p w14:paraId="015D5547">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A4F336B">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FC73F49">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E424BE7">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w:t>
                  </w:r>
                </w:p>
              </w:tc>
              <w:tc>
                <w:tcPr>
                  <w:tcW w:w="812" w:type="dxa"/>
                  <w:tcBorders>
                    <w:top w:val="single" w:color="auto" w:sz="4" w:space="0"/>
                    <w:left w:val="single" w:color="auto" w:sz="4" w:space="0"/>
                    <w:bottom w:val="single" w:color="auto" w:sz="4" w:space="0"/>
                    <w:right w:val="single" w:color="auto" w:sz="4" w:space="0"/>
                  </w:tcBorders>
                  <w:vAlign w:val="center"/>
                </w:tcPr>
                <w:p w14:paraId="3DF0DACE">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052E1C33">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53F0478F">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60522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continue"/>
                  <w:tcBorders>
                    <w:top w:val="single" w:color="auto" w:sz="4" w:space="0"/>
                    <w:left w:val="nil"/>
                    <w:bottom w:val="single" w:color="auto" w:sz="4" w:space="0"/>
                    <w:right w:val="single" w:color="auto" w:sz="4" w:space="0"/>
                  </w:tcBorders>
                  <w:vAlign w:val="center"/>
                </w:tcPr>
                <w:p w14:paraId="243DD255">
                  <w:pPr>
                    <w:pStyle w:val="106"/>
                    <w:bidi w:val="0"/>
                    <w:rPr>
                      <w:rFonts w:hint="default"/>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14:paraId="452D7C82">
                  <w:pPr>
                    <w:pStyle w:val="106"/>
                    <w:bidi w:val="0"/>
                    <w:rPr>
                      <w:rFonts w:hint="default"/>
                      <w:color w:val="auto"/>
                      <w:lang w:val="en-US"/>
                    </w:rPr>
                  </w:pP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6212DF3A">
                  <w:pPr>
                    <w:pStyle w:val="106"/>
                    <w:bidi w:val="0"/>
                    <w:rPr>
                      <w:rFonts w:hint="default"/>
                      <w:color w:val="auto"/>
                      <w:lang w:val="en-US" w:eastAsia="zh-CN"/>
                    </w:rPr>
                  </w:pPr>
                  <w:r>
                    <w:rPr>
                      <w:rFonts w:hint="default"/>
                      <w:color w:val="auto"/>
                      <w:lang w:val="en-US" w:eastAsia="zh-CN"/>
                    </w:rPr>
                    <w:t>产生量（t/a）</w:t>
                  </w:r>
                </w:p>
              </w:tc>
              <w:tc>
                <w:tcPr>
                  <w:tcW w:w="812" w:type="dxa"/>
                  <w:tcBorders>
                    <w:top w:val="single" w:color="auto" w:sz="4" w:space="0"/>
                    <w:left w:val="single" w:color="auto" w:sz="4" w:space="0"/>
                    <w:bottom w:val="single" w:color="auto" w:sz="4" w:space="0"/>
                    <w:right w:val="single" w:color="auto" w:sz="4" w:space="0"/>
                  </w:tcBorders>
                  <w:vAlign w:val="center"/>
                </w:tcPr>
                <w:p w14:paraId="0359710D">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A242187">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0.0600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2F96FC67">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0.0360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7E45223">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0.0480</w:t>
                  </w:r>
                </w:p>
              </w:tc>
              <w:tc>
                <w:tcPr>
                  <w:tcW w:w="812" w:type="dxa"/>
                  <w:tcBorders>
                    <w:top w:val="single" w:color="auto" w:sz="4" w:space="0"/>
                    <w:left w:val="single" w:color="auto" w:sz="4" w:space="0"/>
                    <w:bottom w:val="single" w:color="auto" w:sz="4" w:space="0"/>
                    <w:right w:val="single" w:color="auto" w:sz="4" w:space="0"/>
                  </w:tcBorders>
                  <w:vAlign w:val="center"/>
                </w:tcPr>
                <w:p w14:paraId="478625F8">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54BE58A7">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530C95E1">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24F68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restart"/>
                  <w:tcBorders>
                    <w:top w:val="single" w:color="auto" w:sz="4" w:space="0"/>
                    <w:left w:val="nil"/>
                    <w:bottom w:val="single" w:color="auto" w:sz="4" w:space="0"/>
                    <w:right w:val="single" w:color="auto" w:sz="4" w:space="0"/>
                  </w:tcBorders>
                  <w:vAlign w:val="center"/>
                </w:tcPr>
                <w:p w14:paraId="6AD20EC4">
                  <w:pPr>
                    <w:pStyle w:val="106"/>
                    <w:bidi w:val="0"/>
                    <w:rPr>
                      <w:rFonts w:hint="default" w:eastAsia="宋体"/>
                      <w:color w:val="auto"/>
                      <w:highlight w:val="none"/>
                      <w:lang w:val="en-US" w:eastAsia="zh-CN"/>
                    </w:rPr>
                  </w:pPr>
                  <w:r>
                    <w:rPr>
                      <w:rFonts w:hint="eastAsia"/>
                      <w:color w:val="auto"/>
                      <w:highlight w:val="none"/>
                      <w:lang w:val="en-US" w:eastAsia="zh-CN"/>
                    </w:rPr>
                    <w:t>实验器皿清洗废水</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14:paraId="65EB1EA2">
                  <w:pPr>
                    <w:pStyle w:val="106"/>
                    <w:bidi w:val="0"/>
                    <w:rPr>
                      <w:rFonts w:hint="default"/>
                      <w:color w:val="auto"/>
                      <w:lang w:val="en-US" w:eastAsia="zh-CN"/>
                    </w:rPr>
                  </w:pPr>
                  <w:r>
                    <w:rPr>
                      <w:rFonts w:hint="eastAsia"/>
                      <w:color w:val="auto"/>
                      <w:lang w:val="en-US" w:eastAsia="zh-CN"/>
                    </w:rPr>
                    <w:t>2.7</w:t>
                  </w: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046645DB">
                  <w:pPr>
                    <w:pStyle w:val="106"/>
                    <w:bidi w:val="0"/>
                    <w:rPr>
                      <w:rFonts w:hint="default"/>
                      <w:color w:val="auto"/>
                      <w:lang w:val="en-US" w:eastAsia="zh-CN"/>
                    </w:rPr>
                  </w:pPr>
                  <w:r>
                    <w:rPr>
                      <w:rFonts w:hint="default"/>
                      <w:color w:val="auto"/>
                    </w:rPr>
                    <w:t>产生浓度（mg/L）</w:t>
                  </w:r>
                </w:p>
              </w:tc>
              <w:tc>
                <w:tcPr>
                  <w:tcW w:w="812" w:type="dxa"/>
                  <w:tcBorders>
                    <w:top w:val="single" w:color="auto" w:sz="4" w:space="0"/>
                    <w:left w:val="single" w:color="auto" w:sz="4" w:space="0"/>
                    <w:bottom w:val="single" w:color="auto" w:sz="4" w:space="0"/>
                    <w:right w:val="single" w:color="auto" w:sz="4" w:space="0"/>
                  </w:tcBorders>
                  <w:vAlign w:val="center"/>
                </w:tcPr>
                <w:p w14:paraId="4F14E864">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w:t>
                  </w:r>
                </w:p>
              </w:tc>
              <w:tc>
                <w:tcPr>
                  <w:tcW w:w="812" w:type="dxa"/>
                  <w:tcBorders>
                    <w:top w:val="single" w:color="auto" w:sz="4" w:space="0"/>
                    <w:left w:val="single" w:color="auto" w:sz="4" w:space="0"/>
                    <w:bottom w:val="single" w:color="auto" w:sz="4" w:space="0"/>
                    <w:right w:val="single" w:color="auto" w:sz="4" w:space="0"/>
                  </w:tcBorders>
                  <w:vAlign w:val="center"/>
                </w:tcPr>
                <w:p w14:paraId="6A8F3924">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w:t>
                  </w:r>
                </w:p>
              </w:tc>
              <w:tc>
                <w:tcPr>
                  <w:tcW w:w="812" w:type="dxa"/>
                  <w:tcBorders>
                    <w:top w:val="single" w:color="auto" w:sz="4" w:space="0"/>
                    <w:left w:val="single" w:color="auto" w:sz="4" w:space="0"/>
                    <w:bottom w:val="single" w:color="auto" w:sz="4" w:space="0"/>
                    <w:right w:val="single" w:color="auto" w:sz="4" w:space="0"/>
                  </w:tcBorders>
                  <w:vAlign w:val="center"/>
                </w:tcPr>
                <w:p w14:paraId="4BB7BB82">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250</w:t>
                  </w:r>
                </w:p>
              </w:tc>
              <w:tc>
                <w:tcPr>
                  <w:tcW w:w="812" w:type="dxa"/>
                  <w:tcBorders>
                    <w:top w:val="single" w:color="auto" w:sz="4" w:space="0"/>
                    <w:left w:val="single" w:color="auto" w:sz="4" w:space="0"/>
                    <w:bottom w:val="single" w:color="auto" w:sz="4" w:space="0"/>
                    <w:right w:val="single" w:color="auto" w:sz="4" w:space="0"/>
                  </w:tcBorders>
                  <w:vAlign w:val="center"/>
                </w:tcPr>
                <w:p w14:paraId="603B924B">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150</w:t>
                  </w:r>
                </w:p>
              </w:tc>
              <w:tc>
                <w:tcPr>
                  <w:tcW w:w="812" w:type="dxa"/>
                  <w:tcBorders>
                    <w:top w:val="single" w:color="auto" w:sz="4" w:space="0"/>
                    <w:left w:val="single" w:color="auto" w:sz="4" w:space="0"/>
                    <w:bottom w:val="single" w:color="auto" w:sz="4" w:space="0"/>
                    <w:right w:val="single" w:color="auto" w:sz="4" w:space="0"/>
                  </w:tcBorders>
                  <w:vAlign w:val="center"/>
                </w:tcPr>
                <w:p w14:paraId="13178873">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1A552ABE">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27B0C69E">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6A964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continue"/>
                  <w:tcBorders>
                    <w:top w:val="single" w:color="auto" w:sz="4" w:space="0"/>
                    <w:left w:val="nil"/>
                    <w:bottom w:val="single" w:color="auto" w:sz="4" w:space="0"/>
                    <w:right w:val="single" w:color="auto" w:sz="4" w:space="0"/>
                  </w:tcBorders>
                  <w:vAlign w:val="center"/>
                </w:tcPr>
                <w:p w14:paraId="1093D78F">
                  <w:pPr>
                    <w:pStyle w:val="106"/>
                    <w:bidi w:val="0"/>
                    <w:rPr>
                      <w:rFonts w:hint="eastAsia"/>
                      <w:color w:val="auto"/>
                      <w:highlight w:val="none"/>
                      <w:lang w:val="en-US" w:eastAsia="zh-CN"/>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14:paraId="0E0C5B52">
                  <w:pPr>
                    <w:pStyle w:val="106"/>
                    <w:bidi w:val="0"/>
                    <w:rPr>
                      <w:rFonts w:hint="eastAsia"/>
                      <w:color w:val="auto"/>
                      <w:lang w:val="en-US" w:eastAsia="zh-CN"/>
                    </w:rPr>
                  </w:pP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3FB41667">
                  <w:pPr>
                    <w:pStyle w:val="106"/>
                    <w:bidi w:val="0"/>
                    <w:rPr>
                      <w:rFonts w:hint="default"/>
                      <w:color w:val="auto"/>
                      <w:lang w:val="en-US" w:eastAsia="zh-CN"/>
                    </w:rPr>
                  </w:pPr>
                  <w:r>
                    <w:rPr>
                      <w:rFonts w:hint="default"/>
                      <w:color w:val="auto"/>
                      <w:lang w:val="en-US" w:eastAsia="zh-CN"/>
                    </w:rPr>
                    <w:t>产生量（t/a）</w:t>
                  </w:r>
                </w:p>
              </w:tc>
              <w:tc>
                <w:tcPr>
                  <w:tcW w:w="812" w:type="dxa"/>
                  <w:tcBorders>
                    <w:top w:val="single" w:color="auto" w:sz="4" w:space="0"/>
                    <w:left w:val="single" w:color="auto" w:sz="4" w:space="0"/>
                    <w:bottom w:val="single" w:color="auto" w:sz="4" w:space="0"/>
                    <w:right w:val="single" w:color="auto" w:sz="4" w:space="0"/>
                  </w:tcBorders>
                  <w:vAlign w:val="center"/>
                </w:tcPr>
                <w:p w14:paraId="33096094">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668A656B">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0.0011</w:t>
                  </w:r>
                </w:p>
              </w:tc>
              <w:tc>
                <w:tcPr>
                  <w:tcW w:w="812" w:type="dxa"/>
                  <w:tcBorders>
                    <w:top w:val="single" w:color="auto" w:sz="4" w:space="0"/>
                    <w:left w:val="single" w:color="auto" w:sz="4" w:space="0"/>
                    <w:bottom w:val="single" w:color="auto" w:sz="4" w:space="0"/>
                    <w:right w:val="single" w:color="auto" w:sz="4" w:space="0"/>
                  </w:tcBorders>
                  <w:vAlign w:val="center"/>
                </w:tcPr>
                <w:p w14:paraId="7D7F8452">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0.0007</w:t>
                  </w:r>
                </w:p>
              </w:tc>
              <w:tc>
                <w:tcPr>
                  <w:tcW w:w="812" w:type="dxa"/>
                  <w:tcBorders>
                    <w:top w:val="single" w:color="auto" w:sz="4" w:space="0"/>
                    <w:left w:val="single" w:color="auto" w:sz="4" w:space="0"/>
                    <w:bottom w:val="single" w:color="auto" w:sz="4" w:space="0"/>
                    <w:right w:val="single" w:color="auto" w:sz="4" w:space="0"/>
                  </w:tcBorders>
                  <w:vAlign w:val="center"/>
                </w:tcPr>
                <w:p w14:paraId="25A864CD">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0.0004</w:t>
                  </w:r>
                </w:p>
              </w:tc>
              <w:tc>
                <w:tcPr>
                  <w:tcW w:w="812" w:type="dxa"/>
                  <w:tcBorders>
                    <w:top w:val="single" w:color="auto" w:sz="4" w:space="0"/>
                    <w:left w:val="single" w:color="auto" w:sz="4" w:space="0"/>
                    <w:bottom w:val="single" w:color="auto" w:sz="4" w:space="0"/>
                    <w:right w:val="single" w:color="auto" w:sz="4" w:space="0"/>
                  </w:tcBorders>
                  <w:vAlign w:val="center"/>
                </w:tcPr>
                <w:p w14:paraId="3E313F74">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133C1BD9">
                  <w:pPr>
                    <w:pStyle w:val="106"/>
                    <w:bidi w:val="0"/>
                    <w:ind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812" w:type="dxa"/>
                  <w:tcBorders>
                    <w:top w:val="single" w:color="auto" w:sz="4" w:space="0"/>
                    <w:left w:val="single" w:color="auto" w:sz="4" w:space="0"/>
                    <w:bottom w:val="single" w:color="auto" w:sz="4" w:space="0"/>
                    <w:right w:val="nil"/>
                  </w:tcBorders>
                  <w:vAlign w:val="center"/>
                </w:tcPr>
                <w:p w14:paraId="668A39EB">
                  <w:pPr>
                    <w:pStyle w:val="106"/>
                    <w:bidi w:val="0"/>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0C932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restart"/>
                  <w:tcBorders>
                    <w:top w:val="single" w:color="auto" w:sz="4" w:space="0"/>
                    <w:left w:val="nil"/>
                    <w:bottom w:val="single" w:color="auto" w:sz="4" w:space="0"/>
                    <w:right w:val="single" w:color="auto" w:sz="4" w:space="0"/>
                  </w:tcBorders>
                  <w:vAlign w:val="center"/>
                </w:tcPr>
                <w:p w14:paraId="51E29CEB">
                  <w:pPr>
                    <w:pStyle w:val="106"/>
                    <w:bidi w:val="0"/>
                    <w:rPr>
                      <w:rFonts w:hint="eastAsia" w:eastAsia="宋体"/>
                      <w:b/>
                      <w:bCs/>
                      <w:color w:val="auto"/>
                      <w:highlight w:val="none"/>
                      <w:lang w:val="en-US" w:eastAsia="zh-CN"/>
                    </w:rPr>
                  </w:pPr>
                  <w:r>
                    <w:rPr>
                      <w:rFonts w:hint="eastAsia"/>
                      <w:b/>
                      <w:bCs/>
                      <w:color w:val="auto"/>
                      <w:highlight w:val="none"/>
                      <w:lang w:val="en-US" w:eastAsia="zh-CN"/>
                    </w:rPr>
                    <w:t>合计</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14:paraId="6FCF8A09">
                  <w:pPr>
                    <w:pStyle w:val="106"/>
                    <w:bidi w:val="0"/>
                    <w:rPr>
                      <w:rFonts w:hint="default" w:eastAsia="宋体"/>
                      <w:b/>
                      <w:bCs/>
                      <w:color w:val="auto"/>
                      <w:highlight w:val="none"/>
                      <w:lang w:val="en-US" w:eastAsia="zh-CN"/>
                    </w:rPr>
                  </w:pPr>
                  <w:r>
                    <w:rPr>
                      <w:rFonts w:hint="eastAsia"/>
                      <w:b/>
                      <w:bCs/>
                      <w:color w:val="auto"/>
                      <w:highlight w:val="none"/>
                      <w:lang w:val="en-US" w:eastAsia="zh-CN"/>
                    </w:rPr>
                    <w:t>14271</w:t>
                  </w: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14:paraId="4F880675">
                  <w:pPr>
                    <w:pStyle w:val="106"/>
                    <w:bidi w:val="0"/>
                    <w:ind w:firstLine="0" w:firstLineChars="0"/>
                    <w:rPr>
                      <w:rFonts w:hint="default" w:ascii="Times New Roman" w:hAnsi="Times New Roman" w:eastAsia="宋体" w:cs="Times New Roman"/>
                      <w:b/>
                      <w:bCs/>
                      <w:color w:val="auto"/>
                      <w:kern w:val="2"/>
                      <w:sz w:val="21"/>
                      <w:szCs w:val="21"/>
                      <w:highlight w:val="none"/>
                      <w:lang w:val="en-US" w:eastAsia="zh-CN" w:bidi="ar-SA"/>
                    </w:rPr>
                  </w:pPr>
                  <w:r>
                    <w:rPr>
                      <w:rFonts w:hint="default"/>
                      <w:b/>
                      <w:bCs/>
                      <w:color w:val="auto"/>
                      <w:highlight w:val="none"/>
                    </w:rPr>
                    <w:t>产生浓度（mg/L）</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6E38DA1">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6~9</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535ADF74">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1087</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1F5FC5E7">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641</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72AFC879">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410</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6D837D74">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64</w:t>
                  </w:r>
                </w:p>
              </w:tc>
              <w:tc>
                <w:tcPr>
                  <w:tcW w:w="812" w:type="dxa"/>
                  <w:tcBorders>
                    <w:top w:val="single" w:color="auto" w:sz="4" w:space="0"/>
                    <w:left w:val="single" w:color="auto" w:sz="4" w:space="0"/>
                    <w:bottom w:val="single" w:color="auto" w:sz="4" w:space="0"/>
                    <w:right w:val="single" w:color="auto" w:sz="4" w:space="0"/>
                  </w:tcBorders>
                  <w:shd w:val="clear" w:color="auto" w:fill="auto"/>
                  <w:vAlign w:val="center"/>
                </w:tcPr>
                <w:p w14:paraId="470B7541">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5</w:t>
                  </w:r>
                </w:p>
              </w:tc>
              <w:tc>
                <w:tcPr>
                  <w:tcW w:w="812" w:type="dxa"/>
                  <w:tcBorders>
                    <w:top w:val="single" w:color="auto" w:sz="4" w:space="0"/>
                    <w:left w:val="single" w:color="auto" w:sz="4" w:space="0"/>
                    <w:bottom w:val="single" w:color="auto" w:sz="4" w:space="0"/>
                    <w:right w:val="nil"/>
                  </w:tcBorders>
                  <w:shd w:val="clear" w:color="auto" w:fill="auto"/>
                  <w:vAlign w:val="center"/>
                </w:tcPr>
                <w:p w14:paraId="576FA609">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w:t>
                  </w:r>
                  <w:r>
                    <w:rPr>
                      <w:rFonts w:hint="eastAsia" w:cs="Times New Roman"/>
                      <w:b/>
                      <w:bCs/>
                      <w:color w:val="auto"/>
                      <w:highlight w:val="none"/>
                      <w:lang w:val="en-US" w:eastAsia="zh-CN"/>
                    </w:rPr>
                    <w:t>81</w:t>
                  </w:r>
                </w:p>
              </w:tc>
            </w:tr>
            <w:tr w14:paraId="27042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24" w:type="dxa"/>
                  <w:vMerge w:val="continue"/>
                  <w:tcBorders>
                    <w:top w:val="single" w:color="auto" w:sz="4" w:space="0"/>
                    <w:left w:val="nil"/>
                    <w:bottom w:val="single" w:color="auto" w:sz="12" w:space="0"/>
                    <w:right w:val="single" w:color="auto" w:sz="4" w:space="0"/>
                  </w:tcBorders>
                  <w:vAlign w:val="center"/>
                </w:tcPr>
                <w:p w14:paraId="5247FAB1">
                  <w:pPr>
                    <w:pStyle w:val="106"/>
                    <w:bidi w:val="0"/>
                    <w:rPr>
                      <w:b/>
                      <w:bCs/>
                      <w:color w:val="auto"/>
                      <w:highlight w:val="none"/>
                    </w:rPr>
                  </w:pPr>
                </w:p>
              </w:tc>
              <w:tc>
                <w:tcPr>
                  <w:tcW w:w="781" w:type="dxa"/>
                  <w:vMerge w:val="continue"/>
                  <w:tcBorders>
                    <w:top w:val="single" w:color="auto" w:sz="4" w:space="0"/>
                    <w:left w:val="single" w:color="auto" w:sz="4" w:space="0"/>
                    <w:bottom w:val="single" w:color="auto" w:sz="12" w:space="0"/>
                    <w:right w:val="single" w:color="auto" w:sz="4" w:space="0"/>
                  </w:tcBorders>
                  <w:vAlign w:val="center"/>
                </w:tcPr>
                <w:p w14:paraId="7D01D2F6">
                  <w:pPr>
                    <w:pStyle w:val="106"/>
                    <w:bidi w:val="0"/>
                    <w:rPr>
                      <w:b/>
                      <w:bCs/>
                      <w:color w:val="auto"/>
                      <w:highlight w:val="none"/>
                    </w:rPr>
                  </w:pPr>
                </w:p>
              </w:tc>
              <w:tc>
                <w:tcPr>
                  <w:tcW w:w="1609" w:type="dxa"/>
                  <w:tcBorders>
                    <w:top w:val="single" w:color="auto" w:sz="4" w:space="0"/>
                    <w:left w:val="single" w:color="auto" w:sz="4" w:space="0"/>
                    <w:bottom w:val="single" w:color="auto" w:sz="12" w:space="0"/>
                    <w:right w:val="single" w:color="auto" w:sz="4" w:space="0"/>
                  </w:tcBorders>
                  <w:shd w:val="clear" w:color="auto" w:fill="auto"/>
                  <w:vAlign w:val="center"/>
                </w:tcPr>
                <w:p w14:paraId="6946FDEB">
                  <w:pPr>
                    <w:pStyle w:val="106"/>
                    <w:bidi w:val="0"/>
                    <w:ind w:firstLine="0" w:firstLineChars="0"/>
                    <w:rPr>
                      <w:rFonts w:hint="default" w:ascii="Times New Roman" w:hAnsi="Times New Roman" w:eastAsia="宋体" w:cs="Times New Roman"/>
                      <w:b/>
                      <w:bCs/>
                      <w:color w:val="auto"/>
                      <w:kern w:val="2"/>
                      <w:sz w:val="21"/>
                      <w:szCs w:val="21"/>
                      <w:highlight w:val="none"/>
                      <w:lang w:val="en-US" w:eastAsia="zh-CN" w:bidi="ar-SA"/>
                    </w:rPr>
                  </w:pPr>
                  <w:r>
                    <w:rPr>
                      <w:rFonts w:hint="default"/>
                      <w:b/>
                      <w:bCs/>
                      <w:color w:val="auto"/>
                      <w:highlight w:val="none"/>
                      <w:lang w:val="en-US" w:eastAsia="zh-CN"/>
                    </w:rPr>
                    <w:t>产生量（t/a）</w:t>
                  </w:r>
                </w:p>
              </w:tc>
              <w:tc>
                <w:tcPr>
                  <w:tcW w:w="812" w:type="dxa"/>
                  <w:tcBorders>
                    <w:top w:val="single" w:color="auto" w:sz="4" w:space="0"/>
                    <w:left w:val="single" w:color="auto" w:sz="4" w:space="0"/>
                    <w:bottom w:val="single" w:color="auto" w:sz="12" w:space="0"/>
                    <w:right w:val="single" w:color="auto" w:sz="4" w:space="0"/>
                  </w:tcBorders>
                  <w:shd w:val="clear" w:color="auto" w:fill="auto"/>
                  <w:vAlign w:val="center"/>
                </w:tcPr>
                <w:p w14:paraId="388E6036">
                  <w:pPr>
                    <w:pStyle w:val="106"/>
                    <w:bidi w:val="0"/>
                    <w:ind w:firstLine="0" w:firstLineChars="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w:t>
                  </w:r>
                </w:p>
              </w:tc>
              <w:tc>
                <w:tcPr>
                  <w:tcW w:w="812" w:type="dxa"/>
                  <w:tcBorders>
                    <w:top w:val="single" w:color="auto" w:sz="4" w:space="0"/>
                    <w:left w:val="single" w:color="auto" w:sz="4" w:space="0"/>
                    <w:bottom w:val="single" w:color="auto" w:sz="12" w:space="0"/>
                    <w:right w:val="single" w:color="auto" w:sz="4" w:space="0"/>
                  </w:tcBorders>
                  <w:shd w:val="clear" w:color="auto" w:fill="auto"/>
                  <w:vAlign w:val="center"/>
                </w:tcPr>
                <w:p w14:paraId="26245567">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15.5133</w:t>
                  </w:r>
                </w:p>
              </w:tc>
              <w:tc>
                <w:tcPr>
                  <w:tcW w:w="812" w:type="dxa"/>
                  <w:tcBorders>
                    <w:top w:val="single" w:color="auto" w:sz="4" w:space="0"/>
                    <w:left w:val="single" w:color="auto" w:sz="4" w:space="0"/>
                    <w:bottom w:val="single" w:color="auto" w:sz="12" w:space="0"/>
                    <w:right w:val="single" w:color="auto" w:sz="4" w:space="0"/>
                  </w:tcBorders>
                  <w:shd w:val="clear" w:color="auto" w:fill="auto"/>
                  <w:vAlign w:val="center"/>
                </w:tcPr>
                <w:p w14:paraId="006B8695">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9.1473</w:t>
                  </w:r>
                </w:p>
              </w:tc>
              <w:tc>
                <w:tcPr>
                  <w:tcW w:w="812" w:type="dxa"/>
                  <w:tcBorders>
                    <w:top w:val="single" w:color="auto" w:sz="4" w:space="0"/>
                    <w:left w:val="single" w:color="auto" w:sz="4" w:space="0"/>
                    <w:bottom w:val="single" w:color="auto" w:sz="12" w:space="0"/>
                    <w:right w:val="single" w:color="auto" w:sz="4" w:space="0"/>
                  </w:tcBorders>
                  <w:shd w:val="clear" w:color="auto" w:fill="auto"/>
                  <w:vAlign w:val="center"/>
                </w:tcPr>
                <w:p w14:paraId="0B3C9731">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5.8459</w:t>
                  </w:r>
                </w:p>
              </w:tc>
              <w:tc>
                <w:tcPr>
                  <w:tcW w:w="812" w:type="dxa"/>
                  <w:tcBorders>
                    <w:top w:val="single" w:color="auto" w:sz="4" w:space="0"/>
                    <w:left w:val="single" w:color="auto" w:sz="4" w:space="0"/>
                    <w:bottom w:val="single" w:color="auto" w:sz="12" w:space="0"/>
                    <w:right w:val="single" w:color="auto" w:sz="4" w:space="0"/>
                  </w:tcBorders>
                  <w:shd w:val="clear" w:color="auto" w:fill="auto"/>
                  <w:vAlign w:val="center"/>
                </w:tcPr>
                <w:p w14:paraId="5B3736AC">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0.9185</w:t>
                  </w:r>
                </w:p>
              </w:tc>
              <w:tc>
                <w:tcPr>
                  <w:tcW w:w="812" w:type="dxa"/>
                  <w:tcBorders>
                    <w:top w:val="single" w:color="auto" w:sz="4" w:space="0"/>
                    <w:left w:val="single" w:color="auto" w:sz="4" w:space="0"/>
                    <w:bottom w:val="single" w:color="auto" w:sz="12" w:space="0"/>
                    <w:right w:val="single" w:color="auto" w:sz="4" w:space="0"/>
                  </w:tcBorders>
                  <w:shd w:val="clear" w:color="auto" w:fill="auto"/>
                  <w:vAlign w:val="center"/>
                </w:tcPr>
                <w:p w14:paraId="785421DC">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0.0767</w:t>
                  </w:r>
                </w:p>
              </w:tc>
              <w:tc>
                <w:tcPr>
                  <w:tcW w:w="812" w:type="dxa"/>
                  <w:tcBorders>
                    <w:top w:val="single" w:color="auto" w:sz="4" w:space="0"/>
                    <w:left w:val="single" w:color="auto" w:sz="4" w:space="0"/>
                    <w:bottom w:val="single" w:color="auto" w:sz="12" w:space="0"/>
                    <w:right w:val="nil"/>
                  </w:tcBorders>
                  <w:shd w:val="clear" w:color="auto" w:fill="auto"/>
                  <w:vAlign w:val="center"/>
                </w:tcPr>
                <w:p w14:paraId="6CCA7268">
                  <w:pPr>
                    <w:pStyle w:val="106"/>
                    <w:bidi w:val="0"/>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w:t>
                  </w:r>
                  <w:r>
                    <w:rPr>
                      <w:rFonts w:hint="eastAsia" w:cs="Times New Roman"/>
                      <w:b/>
                      <w:bCs/>
                      <w:color w:val="auto"/>
                      <w:highlight w:val="none"/>
                      <w:lang w:val="en-US" w:eastAsia="zh-CN"/>
                    </w:rPr>
                    <w:t>5848</w:t>
                  </w:r>
                </w:p>
              </w:tc>
            </w:tr>
          </w:tbl>
          <w:p w14:paraId="3C29D3DF">
            <w:pPr>
              <w:pStyle w:val="88"/>
              <w:keepNext w:val="0"/>
              <w:keepLines w:val="0"/>
              <w:pageBreakBefore w:val="0"/>
              <w:widowControl w:val="0"/>
              <w:numPr>
                <w:ilvl w:val="0"/>
                <w:numId w:val="11"/>
              </w:numPr>
              <w:kinsoku/>
              <w:wordWrap/>
              <w:overflowPunct/>
              <w:topLinePunct w:val="0"/>
              <w:autoSpaceDE w:val="0"/>
              <w:autoSpaceDN w:val="0"/>
              <w:bidi w:val="0"/>
              <w:adjustRightInd/>
              <w:snapToGrid w:val="0"/>
              <w:spacing w:before="120" w:after="0" w:line="360" w:lineRule="auto"/>
              <w:ind w:left="0" w:leftChars="0" w:firstLine="463" w:firstLineChars="192"/>
              <w:textAlignment w:val="auto"/>
              <w:rPr>
                <w:rFonts w:eastAsia="宋体"/>
                <w:b/>
                <w:bCs/>
                <w:color w:val="auto"/>
                <w:kern w:val="2"/>
                <w:sz w:val="24"/>
                <w:szCs w:val="24"/>
                <w:highlight w:val="none"/>
              </w:rPr>
            </w:pPr>
            <w:r>
              <w:rPr>
                <w:rFonts w:eastAsia="宋体"/>
                <w:b/>
                <w:bCs/>
                <w:color w:val="auto"/>
                <w:kern w:val="2"/>
                <w:sz w:val="24"/>
                <w:szCs w:val="24"/>
                <w:highlight w:val="none"/>
              </w:rPr>
              <w:t>治理措施</w:t>
            </w:r>
            <w:r>
              <w:rPr>
                <w:rFonts w:hint="eastAsia" w:eastAsia="宋体"/>
                <w:b/>
                <w:bCs/>
                <w:color w:val="auto"/>
                <w:kern w:val="2"/>
                <w:sz w:val="24"/>
                <w:szCs w:val="24"/>
                <w:highlight w:val="none"/>
                <w:lang w:val="en-US" w:eastAsia="zh-CN"/>
              </w:rPr>
              <w:t>及排放情况</w:t>
            </w:r>
          </w:p>
          <w:p w14:paraId="5271CD6D">
            <w:pPr>
              <w:bidi w:val="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本项目</w:t>
            </w:r>
            <w:r>
              <w:rPr>
                <w:rFonts w:hint="eastAsia" w:cs="Times New Roman"/>
                <w:color w:val="auto"/>
                <w:kern w:val="2"/>
                <w:sz w:val="24"/>
                <w:szCs w:val="24"/>
                <w:highlight w:val="none"/>
                <w:lang w:val="en-US" w:eastAsia="zh-CN"/>
              </w:rPr>
              <w:t>生活污水拟新建预处理池（</w:t>
            </w:r>
            <w:r>
              <w:rPr>
                <w:rFonts w:hint="eastAsia" w:cs="Times New Roman"/>
                <w:color w:val="auto"/>
                <w:kern w:val="0"/>
                <w:sz w:val="24"/>
                <w:highlight w:val="none"/>
                <w:lang w:val="en-US" w:eastAsia="zh-CN"/>
              </w:rPr>
              <w:t>容积</w:t>
            </w:r>
            <w:r>
              <w:rPr>
                <w:rFonts w:hint="eastAsia" w:cs="Times New Roman"/>
                <w:color w:val="auto"/>
                <w:kern w:val="2"/>
                <w:sz w:val="24"/>
                <w:szCs w:val="24"/>
                <w:highlight w:val="none"/>
                <w:lang w:val="en-US" w:eastAsia="zh-CN"/>
              </w:rPr>
              <w:t>5m</w:t>
            </w:r>
            <w:r>
              <w:rPr>
                <w:rFonts w:hint="eastAsia" w:cs="Times New Roman"/>
                <w:color w:val="auto"/>
                <w:kern w:val="2"/>
                <w:sz w:val="24"/>
                <w:szCs w:val="24"/>
                <w:highlight w:val="none"/>
                <w:vertAlign w:val="superscript"/>
                <w:lang w:val="en-US" w:eastAsia="zh-CN"/>
              </w:rPr>
              <w:t>3</w:t>
            </w:r>
            <w:r>
              <w:rPr>
                <w:rFonts w:hint="eastAsia" w:cs="Times New Roman"/>
                <w:color w:val="auto"/>
                <w:kern w:val="2"/>
                <w:sz w:val="24"/>
                <w:szCs w:val="24"/>
                <w:highlight w:val="none"/>
                <w:lang w:val="en-US" w:eastAsia="zh-CN"/>
              </w:rPr>
              <w:t>）处理后经园区污水管网直接排入</w:t>
            </w:r>
            <w:r>
              <w:rPr>
                <w:rFonts w:hint="eastAsia" w:cs="Times New Roman"/>
                <w:color w:val="auto"/>
                <w:kern w:val="0"/>
                <w:sz w:val="24"/>
                <w:highlight w:val="none"/>
                <w:lang w:val="en-US" w:eastAsia="zh-CN"/>
              </w:rPr>
              <w:t>龙眼井污水处理厂处理；</w:t>
            </w:r>
            <w:r>
              <w:rPr>
                <w:rFonts w:hint="eastAsia" w:cs="Times New Roman"/>
                <w:color w:val="auto"/>
                <w:kern w:val="2"/>
                <w:sz w:val="24"/>
                <w:szCs w:val="24"/>
                <w:highlight w:val="none"/>
                <w:lang w:val="en-US" w:eastAsia="zh-CN"/>
              </w:rPr>
              <w:t>生产</w:t>
            </w:r>
            <w:r>
              <w:rPr>
                <w:rFonts w:hint="default" w:ascii="Times New Roman" w:hAnsi="Times New Roman" w:eastAsia="宋体" w:cs="Times New Roman"/>
                <w:color w:val="auto"/>
                <w:kern w:val="2"/>
                <w:sz w:val="24"/>
                <w:szCs w:val="24"/>
                <w:highlight w:val="none"/>
              </w:rPr>
              <w:t>废水</w:t>
            </w:r>
            <w:r>
              <w:rPr>
                <w:rFonts w:hint="eastAsia" w:cs="Times New Roman"/>
                <w:color w:val="auto"/>
                <w:kern w:val="0"/>
                <w:sz w:val="24"/>
                <w:highlight w:val="none"/>
                <w:lang w:val="en-US" w:eastAsia="zh-CN"/>
              </w:rPr>
              <w:t>拟经过本项目新建污水处理池（容积60m</w:t>
            </w:r>
            <w:r>
              <w:rPr>
                <w:rFonts w:hint="eastAsia" w:cs="Times New Roman"/>
                <w:color w:val="auto"/>
                <w:kern w:val="0"/>
                <w:sz w:val="24"/>
                <w:highlight w:val="none"/>
                <w:vertAlign w:val="superscript"/>
                <w:lang w:val="en-US" w:eastAsia="zh-CN"/>
              </w:rPr>
              <w:t>3</w:t>
            </w:r>
            <w:r>
              <w:rPr>
                <w:rFonts w:hint="eastAsia"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处理达到《污水综合排放标准》（GB8978-1996）三级标准后经污水管网排至</w:t>
            </w:r>
            <w:r>
              <w:rPr>
                <w:rFonts w:hint="eastAsia" w:cs="Times New Roman"/>
                <w:color w:val="auto"/>
                <w:kern w:val="0"/>
                <w:sz w:val="24"/>
                <w:highlight w:val="none"/>
                <w:lang w:val="en-US" w:eastAsia="zh-CN"/>
              </w:rPr>
              <w:t>龙眼井污水处理厂</w:t>
            </w:r>
            <w:r>
              <w:rPr>
                <w:rFonts w:hint="eastAsia" w:ascii="Times New Roman" w:hAnsi="Times New Roman" w:cs="Times New Roman"/>
                <w:color w:val="auto"/>
                <w:kern w:val="0"/>
                <w:sz w:val="24"/>
                <w:highlight w:val="none"/>
                <w:lang w:val="en-US" w:eastAsia="zh-CN"/>
              </w:rPr>
              <w:t>处理，</w:t>
            </w:r>
            <w:r>
              <w:rPr>
                <w:rFonts w:hint="default" w:ascii="Times New Roman" w:hAnsi="Times New Roman" w:cs="Times New Roman"/>
                <w:color w:val="auto"/>
                <w:highlight w:val="none"/>
                <w:lang w:val="en-US" w:eastAsia="zh-CN"/>
              </w:rPr>
              <w:t>处理达到《城镇污水处理厂污染物排放标准》（GB18918-2002）中一级A标准后排入</w:t>
            </w:r>
            <w:r>
              <w:rPr>
                <w:rFonts w:hint="eastAsia" w:cs="Times New Roman"/>
                <w:color w:val="auto"/>
                <w:highlight w:val="none"/>
                <w:lang w:val="en-US" w:eastAsia="zh-CN"/>
              </w:rPr>
              <w:t>琼江</w:t>
            </w:r>
            <w:r>
              <w:rPr>
                <w:rFonts w:hint="default" w:ascii="Times New Roman" w:hAnsi="Times New Roman" w:eastAsia="宋体" w:cs="Times New Roman"/>
                <w:color w:val="auto"/>
                <w:kern w:val="2"/>
                <w:sz w:val="24"/>
                <w:szCs w:val="24"/>
                <w:highlight w:val="none"/>
              </w:rPr>
              <w:t>。</w:t>
            </w:r>
          </w:p>
          <w:p w14:paraId="611C2F5B">
            <w:pPr>
              <w:spacing w:line="360" w:lineRule="auto"/>
              <w:ind w:firstLine="480" w:firstLineChars="200"/>
              <w:rPr>
                <w:rFonts w:hint="eastAsia" w:cs="Times New Roman"/>
                <w:color w:val="auto"/>
                <w:kern w:val="0"/>
                <w:sz w:val="24"/>
                <w:highlight w:val="none"/>
                <w:vertAlign w:val="baseline"/>
                <w:lang w:val="en-US" w:eastAsia="zh-CN"/>
              </w:rPr>
            </w:pPr>
            <w:bookmarkStart w:id="20" w:name="_Hlk167441497"/>
            <w:r>
              <w:rPr>
                <w:rFonts w:hint="eastAsia"/>
                <w:bCs/>
                <w:color w:val="auto"/>
                <w:sz w:val="24"/>
                <w:szCs w:val="24"/>
                <w:highlight w:val="none"/>
                <w:lang w:val="en-US" w:eastAsia="zh-CN"/>
              </w:rPr>
              <w:t>项目污水处理池污水处理</w:t>
            </w:r>
            <w:r>
              <w:rPr>
                <w:rFonts w:hint="eastAsia" w:cs="Times New Roman"/>
                <w:color w:val="auto"/>
                <w:kern w:val="0"/>
                <w:sz w:val="24"/>
                <w:highlight w:val="none"/>
                <w:vertAlign w:val="baseline"/>
                <w:lang w:val="en-US" w:eastAsia="zh-CN"/>
              </w:rPr>
              <w:t>工艺主要为“气浮预处理+A/O+过滤吸附”，污水处理池设计处理能力为60</w:t>
            </w:r>
            <w:r>
              <w:rPr>
                <w:rFonts w:hint="eastAsia" w:cs="Times New Roman"/>
                <w:color w:val="auto"/>
                <w:kern w:val="0"/>
                <w:sz w:val="24"/>
                <w:highlight w:val="none"/>
                <w:lang w:val="en-US" w:eastAsia="zh-CN"/>
              </w:rPr>
              <w:t>m</w:t>
            </w:r>
            <w:r>
              <w:rPr>
                <w:rFonts w:hint="eastAsia" w:cs="Times New Roman"/>
                <w:color w:val="auto"/>
                <w:kern w:val="0"/>
                <w:sz w:val="24"/>
                <w:highlight w:val="none"/>
                <w:vertAlign w:val="superscript"/>
                <w:lang w:val="en-US" w:eastAsia="zh-CN"/>
              </w:rPr>
              <w:t>3</w:t>
            </w:r>
            <w:r>
              <w:rPr>
                <w:rFonts w:hint="eastAsia" w:cs="Times New Roman"/>
                <w:color w:val="auto"/>
                <w:kern w:val="0"/>
                <w:sz w:val="24"/>
                <w:highlight w:val="none"/>
                <w:vertAlign w:val="baseline"/>
                <w:lang w:val="en-US" w:eastAsia="zh-CN"/>
              </w:rPr>
              <w:t>/d。污水处理池处理流程如下：</w:t>
            </w:r>
          </w:p>
          <w:p w14:paraId="3569036D">
            <w:pPr>
              <w:pStyle w:val="2"/>
              <w:rPr>
                <w:rFonts w:hint="eastAsia" w:cs="Times New Roman"/>
                <w:color w:val="auto"/>
                <w:kern w:val="0"/>
                <w:sz w:val="24"/>
                <w:highlight w:val="none"/>
                <w:vertAlign w:val="baseline"/>
                <w:lang w:val="en-US" w:eastAsia="zh-CN"/>
              </w:rPr>
            </w:pPr>
          </w:p>
          <w:p w14:paraId="437ADB0A">
            <w:pPr>
              <w:pStyle w:val="2"/>
              <w:rPr>
                <w:rFonts w:hint="eastAsia" w:cs="Times New Roman"/>
                <w:color w:val="auto"/>
                <w:kern w:val="0"/>
                <w:sz w:val="24"/>
                <w:highlight w:val="none"/>
                <w:vertAlign w:val="baseline"/>
                <w:lang w:val="en-US" w:eastAsia="zh-CN"/>
              </w:rPr>
            </w:pPr>
          </w:p>
          <w:p w14:paraId="5605853F">
            <w:pPr>
              <w:pStyle w:val="2"/>
              <w:rPr>
                <w:rFonts w:hint="eastAsia" w:cs="Times New Roman"/>
                <w:color w:val="auto"/>
                <w:kern w:val="0"/>
                <w:sz w:val="24"/>
                <w:highlight w:val="none"/>
                <w:vertAlign w:val="baseline"/>
                <w:lang w:val="en-US" w:eastAsia="zh-CN"/>
              </w:rPr>
            </w:pPr>
          </w:p>
          <w:p w14:paraId="5FF3570E">
            <w:pPr>
              <w:pStyle w:val="2"/>
              <w:rPr>
                <w:rFonts w:hint="eastAsia" w:cs="Times New Roman"/>
                <w:color w:val="auto"/>
                <w:kern w:val="0"/>
                <w:sz w:val="24"/>
                <w:highlight w:val="none"/>
                <w:vertAlign w:val="baseline"/>
                <w:lang w:val="en-US" w:eastAsia="zh-CN"/>
              </w:rPr>
            </w:pPr>
          </w:p>
          <w:p w14:paraId="2E207B89">
            <w:pPr>
              <w:spacing w:line="360" w:lineRule="auto"/>
              <w:ind w:left="0" w:leftChars="0" w:firstLine="0" w:firstLineChars="0"/>
              <w:rPr>
                <w:rFonts w:hint="eastAsia" w:eastAsia="宋体"/>
                <w:bCs/>
                <w:color w:val="auto"/>
                <w:sz w:val="24"/>
                <w:szCs w:val="24"/>
                <w:highlight w:val="none"/>
                <w:lang w:eastAsia="zh-CN"/>
              </w:rPr>
            </w:pPr>
            <w:r>
              <w:rPr>
                <w:rFonts w:hint="eastAsia" w:eastAsia="宋体"/>
                <w:bCs/>
                <w:color w:val="auto"/>
                <w:sz w:val="24"/>
                <w:szCs w:val="24"/>
                <w:highlight w:val="none"/>
                <w:lang w:eastAsia="zh-CN"/>
              </w:rPr>
              <w:drawing>
                <wp:inline distT="0" distB="0" distL="114300" distR="114300">
                  <wp:extent cx="5899150" cy="1427480"/>
                  <wp:effectExtent l="0" t="0" r="6350" b="0"/>
                  <wp:docPr id="15" name="图片 15" descr="未命名文件(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命名文件(27)"/>
                          <pic:cNvPicPr>
                            <a:picLocks noChangeAspect="1"/>
                          </pic:cNvPicPr>
                        </pic:nvPicPr>
                        <pic:blipFill>
                          <a:blip r:embed="rId28"/>
                          <a:srcRect l="3322" r="3930"/>
                          <a:stretch>
                            <a:fillRect/>
                          </a:stretch>
                        </pic:blipFill>
                        <pic:spPr>
                          <a:xfrm>
                            <a:off x="0" y="0"/>
                            <a:ext cx="5899150" cy="1427480"/>
                          </a:xfrm>
                          <a:prstGeom prst="rect">
                            <a:avLst/>
                          </a:prstGeom>
                        </pic:spPr>
                      </pic:pic>
                    </a:graphicData>
                  </a:graphic>
                </wp:inline>
              </w:drawing>
            </w:r>
          </w:p>
          <w:p w14:paraId="79E8266B">
            <w:pPr>
              <w:pStyle w:val="14"/>
              <w:rPr>
                <w:rFonts w:hint="default" w:eastAsia="宋体"/>
                <w:lang w:val="en-US" w:eastAsia="zh-CN"/>
              </w:rPr>
            </w:pPr>
            <w:r>
              <w:t xml:space="preserve">图4- </w:t>
            </w:r>
            <w:r>
              <w:fldChar w:fldCharType="begin"/>
            </w:r>
            <w:r>
              <w:instrText xml:space="preserve"> SEQ 图4- \* ARABIC </w:instrText>
            </w:r>
            <w:r>
              <w:fldChar w:fldCharType="separate"/>
            </w:r>
            <w:r>
              <w:t>1</w:t>
            </w:r>
            <w:r>
              <w:fldChar w:fldCharType="end"/>
            </w:r>
            <w:r>
              <w:rPr>
                <w:rFonts w:hint="eastAsia"/>
                <w:lang w:val="en-US" w:eastAsia="zh-CN"/>
              </w:rPr>
              <w:t xml:space="preserve">  项目污水处理池工艺流程图</w:t>
            </w:r>
          </w:p>
          <w:p w14:paraId="770700D3">
            <w:pPr>
              <w:spacing w:line="360" w:lineRule="auto"/>
              <w:ind w:firstLine="480" w:firstLineChars="200"/>
              <w:rPr>
                <w:rFonts w:hint="eastAsia"/>
                <w:bCs/>
                <w:color w:val="auto"/>
                <w:sz w:val="24"/>
                <w:szCs w:val="24"/>
                <w:highlight w:val="none"/>
              </w:rPr>
            </w:pPr>
            <w:r>
              <w:rPr>
                <w:rFonts w:hint="eastAsia" w:cs="Times New Roman"/>
                <w:color w:val="auto"/>
                <w:sz w:val="24"/>
                <w:szCs w:val="24"/>
                <w:highlight w:val="none"/>
                <w:lang w:val="en-US" w:eastAsia="zh-CN"/>
              </w:rPr>
              <w:t>污水处理主要工艺流程及原理介绍：</w:t>
            </w:r>
          </w:p>
          <w:p w14:paraId="11D98C26">
            <w:pPr>
              <w:spacing w:line="360" w:lineRule="auto"/>
              <w:ind w:firstLine="480" w:firstLineChars="200"/>
              <w:rPr>
                <w:rFonts w:hint="default"/>
                <w:bCs/>
                <w:color w:val="auto"/>
                <w:sz w:val="24"/>
                <w:szCs w:val="24"/>
                <w:highlight w:val="none"/>
                <w:lang w:val="en-US" w:eastAsia="zh-CN"/>
              </w:rPr>
            </w:pPr>
            <w:r>
              <w:rPr>
                <w:rFonts w:hint="eastAsia"/>
                <w:bCs/>
                <w:color w:val="auto"/>
                <w:sz w:val="24"/>
                <w:szCs w:val="24"/>
                <w:highlight w:val="none"/>
                <w:lang w:val="en-US" w:eastAsia="zh-CN"/>
              </w:rPr>
              <w:t>1）调节池：</w:t>
            </w:r>
            <w:r>
              <w:rPr>
                <w:rFonts w:hint="default" w:ascii="Times New Roman" w:hAnsi="Times New Roman" w:cs="Times New Roman"/>
                <w:color w:val="auto"/>
                <w:highlight w:val="none"/>
              </w:rPr>
              <w:t>由于生产工艺的原因，在不同工段、不同时间所排放的污水差别很大，由于用水量和排入污水中杂质的不均匀性，也会使得其污水流量或浓度在一昼夜内有较大的变化，这些问题都会给处理操作带来很大的麻烦，使污水处理设施难以维持正常操作，因此，对于特征上波动比较大的污水，有必要在污水进入处理主体之前，先将污水导入调节池进行均和调节处理，使其水量、水质、PH、温度都比较稳定，这样就可为后续的水处理系统提供一个稳定和优化的操作条件。</w:t>
            </w:r>
          </w:p>
          <w:p w14:paraId="6E1A4DC3">
            <w:pPr>
              <w:spacing w:line="360" w:lineRule="auto"/>
              <w:ind w:firstLine="480" w:firstLineChars="200"/>
              <w:rPr>
                <w:rFonts w:hint="eastAsia" w:eastAsia="宋体"/>
                <w:bCs/>
                <w:color w:val="auto"/>
                <w:sz w:val="24"/>
                <w:szCs w:val="24"/>
                <w:highlight w:val="none"/>
                <w:lang w:val="en-US" w:eastAsia="zh-CN"/>
              </w:rPr>
            </w:pPr>
            <w:r>
              <w:rPr>
                <w:rFonts w:hint="eastAsia" w:cs="Times New Roman"/>
                <w:color w:val="auto"/>
                <w:sz w:val="24"/>
                <w:szCs w:val="24"/>
                <w:highlight w:val="none"/>
                <w:lang w:val="en-US" w:eastAsia="zh-CN"/>
              </w:rPr>
              <w:t>2）气浮：主要用于去除悬浮物等，可去除本项目废水中悬浮物及油脂，原理是溶气系统在水中产生大量的微细气泡，使空气以高度分散的微小气泡形式附着在悬浮物及油脂颗粒上，造成密度小于水的状态，利用浮力原理使其浮在水面，从而实现固-液分离。</w:t>
            </w:r>
          </w:p>
          <w:p w14:paraId="7BD04F00">
            <w:pPr>
              <w:spacing w:line="360" w:lineRule="auto"/>
              <w:ind w:firstLine="480" w:firstLineChars="200"/>
              <w:rPr>
                <w:rFonts w:hint="eastAsia" w:cs="Times New Roman"/>
                <w:color w:val="auto"/>
                <w:sz w:val="24"/>
                <w:szCs w:val="24"/>
                <w:highlight w:val="none"/>
                <w:lang w:val="en-US" w:eastAsia="zh-CN"/>
              </w:rPr>
            </w:pPr>
            <w:r>
              <w:rPr>
                <w:rFonts w:hint="eastAsia"/>
                <w:bCs/>
                <w:color w:val="auto"/>
                <w:sz w:val="24"/>
                <w:szCs w:val="24"/>
                <w:highlight w:val="none"/>
                <w:lang w:val="en-US" w:eastAsia="zh-CN"/>
              </w:rPr>
              <w:t>3）</w:t>
            </w:r>
            <w:r>
              <w:rPr>
                <w:rFonts w:hint="eastAsia" w:cs="Times New Roman"/>
                <w:color w:val="auto"/>
                <w:sz w:val="24"/>
                <w:szCs w:val="24"/>
                <w:highlight w:val="none"/>
                <w:lang w:val="en-US" w:eastAsia="zh-CN"/>
              </w:rPr>
              <w:t>A/O：缺氧-好氧污水处理工艺，主要用于脱氮除磷以及去除有机物等，原理是通过在不同阶段控制氧气的存在与否，来实现对污水中有机物、氮和磷的有效去除。在缺氧池中，污水中的磷被特定微生物吸收，进行生物去磷。同时，反硝化细菌利用有机物将硝酸盐还原为氮气，从而去除氮；污水进入好氧池，经过曝气处理，促进好氧微生物的生长与繁殖，进一步降解剩余的有机物。这一过程显著提升水质。‌</w:t>
            </w:r>
          </w:p>
          <w:p w14:paraId="61EADEED">
            <w:pPr>
              <w:spacing w:line="360" w:lineRule="auto"/>
              <w:ind w:firstLine="480" w:firstLineChars="200"/>
              <w:rPr>
                <w:rFonts w:hint="default" w:eastAsia="宋体"/>
                <w:bCs/>
                <w:color w:val="auto"/>
                <w:sz w:val="24"/>
                <w:szCs w:val="24"/>
                <w:highlight w:val="none"/>
                <w:lang w:val="en-US" w:eastAsia="zh-CN"/>
              </w:rPr>
            </w:pPr>
            <w:r>
              <w:rPr>
                <w:rFonts w:hint="eastAsia"/>
                <w:bCs/>
                <w:color w:val="auto"/>
                <w:sz w:val="24"/>
                <w:szCs w:val="24"/>
                <w:highlight w:val="none"/>
                <w:lang w:val="en-US" w:eastAsia="zh-CN"/>
              </w:rPr>
              <w:t>4）</w:t>
            </w:r>
            <w:r>
              <w:rPr>
                <w:rFonts w:hint="eastAsia" w:cs="Times New Roman"/>
                <w:color w:val="auto"/>
                <w:sz w:val="24"/>
                <w:szCs w:val="24"/>
                <w:highlight w:val="none"/>
                <w:lang w:val="en-US" w:eastAsia="zh-CN"/>
              </w:rPr>
              <w:t>二沉池：主要用于污泥沉淀，工作原理基于重力沉降。当悬浮颗粒进入沉淀池后，它们会随着水流在水平方向流动，同时受到重力作用沿垂直方向下沉。颗粒的运动速度是其水平流速和沉降速度的矢量和。在沉降过程中，颗粒的运动轨迹是一组倾斜的直线。只有沉降速度大于水流速度的颗粒才能沉淀到底部，从而实现泥水分离。</w:t>
            </w:r>
          </w:p>
          <w:p w14:paraId="0CF84343">
            <w:pPr>
              <w:spacing w:line="360" w:lineRule="auto"/>
              <w:ind w:firstLine="480" w:firstLineChars="200"/>
              <w:rPr>
                <w:rFonts w:hint="default" w:eastAsia="宋体"/>
                <w:bCs/>
                <w:color w:val="auto"/>
                <w:sz w:val="24"/>
                <w:szCs w:val="24"/>
                <w:highlight w:val="none"/>
                <w:lang w:val="en-US" w:eastAsia="zh-CN"/>
              </w:rPr>
            </w:pPr>
            <w:r>
              <w:rPr>
                <w:rFonts w:hint="eastAsia"/>
                <w:bCs/>
                <w:color w:val="auto"/>
                <w:sz w:val="24"/>
                <w:szCs w:val="24"/>
                <w:highlight w:val="none"/>
                <w:lang w:val="en-US" w:eastAsia="zh-CN"/>
              </w:rPr>
              <w:t>5）过滤：为石英砂过滤，可有效去除水中大颗粒物、胶体等。</w:t>
            </w:r>
          </w:p>
          <w:p w14:paraId="6C716CF2">
            <w:pPr>
              <w:spacing w:line="360" w:lineRule="auto"/>
              <w:ind w:firstLine="480" w:firstLineChars="200"/>
              <w:rPr>
                <w:rFonts w:hint="default" w:eastAsia="宋体"/>
                <w:bCs/>
                <w:color w:val="auto"/>
                <w:sz w:val="24"/>
                <w:szCs w:val="24"/>
                <w:highlight w:val="none"/>
                <w:lang w:val="en-US" w:eastAsia="zh-CN"/>
              </w:rPr>
            </w:pPr>
            <w:r>
              <w:rPr>
                <w:rFonts w:hint="eastAsia"/>
                <w:bCs/>
                <w:color w:val="auto"/>
                <w:sz w:val="24"/>
                <w:szCs w:val="24"/>
                <w:highlight w:val="none"/>
                <w:lang w:val="en-US" w:eastAsia="zh-CN"/>
              </w:rPr>
              <w:t>综上，本项目废水治理措施情况见下表。</w:t>
            </w:r>
          </w:p>
          <w:p w14:paraId="6DA20627">
            <w:pPr>
              <w:pStyle w:val="14"/>
            </w:pPr>
          </w:p>
          <w:p w14:paraId="10A1E2F7">
            <w:pPr>
              <w:pStyle w:val="14"/>
              <w:rPr>
                <w:rFonts w:hint="default" w:eastAsia="宋体"/>
                <w:lang w:val="en-US" w:eastAsia="zh-CN"/>
              </w:rPr>
            </w:pPr>
            <w:r>
              <w:t xml:space="preserve">表4- </w:t>
            </w:r>
            <w:r>
              <w:fldChar w:fldCharType="begin"/>
            </w:r>
            <w:r>
              <w:instrText xml:space="preserve"> SEQ 表4- \* ARABIC </w:instrText>
            </w:r>
            <w:r>
              <w:fldChar w:fldCharType="separate"/>
            </w:r>
            <w:r>
              <w:t>11</w:t>
            </w:r>
            <w:r>
              <w:fldChar w:fldCharType="end"/>
            </w:r>
            <w:r>
              <w:rPr>
                <w:rFonts w:hint="eastAsia"/>
                <w:lang w:val="en-US" w:eastAsia="zh-CN"/>
              </w:rPr>
              <w:t xml:space="preserve">  项目废水治理措施情况一览表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1"/>
              <w:gridCol w:w="744"/>
              <w:gridCol w:w="886"/>
              <w:gridCol w:w="758"/>
              <w:gridCol w:w="812"/>
              <w:gridCol w:w="925"/>
              <w:gridCol w:w="651"/>
              <w:gridCol w:w="739"/>
              <w:gridCol w:w="1332"/>
              <w:gridCol w:w="426"/>
              <w:gridCol w:w="416"/>
            </w:tblGrid>
            <w:tr w14:paraId="44BF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 w:hRule="atLeast"/>
                <w:jc w:val="center"/>
              </w:trPr>
              <w:tc>
                <w:tcPr>
                  <w:tcW w:w="825" w:type="pct"/>
                  <w:vMerge w:val="restart"/>
                  <w:tcBorders>
                    <w:top w:val="single" w:color="auto" w:sz="12" w:space="0"/>
                    <w:bottom w:val="single" w:color="auto" w:sz="4" w:space="0"/>
                    <w:right w:val="single" w:color="auto" w:sz="4" w:space="0"/>
                  </w:tcBorders>
                  <w:vAlign w:val="center"/>
                </w:tcPr>
                <w:p w14:paraId="2FD3D6FA">
                  <w:pPr>
                    <w:pStyle w:val="106"/>
                    <w:bidi w:val="0"/>
                    <w:rPr>
                      <w:rFonts w:hint="default"/>
                      <w:b/>
                      <w:bCs/>
                    </w:rPr>
                  </w:pPr>
                  <w:r>
                    <w:rPr>
                      <w:rFonts w:hint="default"/>
                      <w:b/>
                      <w:bCs/>
                    </w:rPr>
                    <w:t>产排污环节</w:t>
                  </w:r>
                </w:p>
              </w:tc>
              <w:tc>
                <w:tcPr>
                  <w:tcW w:w="403" w:type="pct"/>
                  <w:vMerge w:val="restart"/>
                  <w:tcBorders>
                    <w:top w:val="single" w:color="auto" w:sz="12" w:space="0"/>
                    <w:left w:val="single" w:color="auto" w:sz="4" w:space="0"/>
                    <w:bottom w:val="single" w:color="auto" w:sz="4" w:space="0"/>
                    <w:right w:val="single" w:color="auto" w:sz="4" w:space="0"/>
                  </w:tcBorders>
                  <w:vAlign w:val="center"/>
                </w:tcPr>
                <w:p w14:paraId="4293438E">
                  <w:pPr>
                    <w:pStyle w:val="106"/>
                    <w:bidi w:val="0"/>
                    <w:rPr>
                      <w:rFonts w:hint="default"/>
                      <w:b/>
                      <w:bCs/>
                    </w:rPr>
                  </w:pPr>
                  <w:r>
                    <w:rPr>
                      <w:rFonts w:hint="default"/>
                      <w:b/>
                      <w:bCs/>
                    </w:rPr>
                    <w:t>废水类别</w:t>
                  </w:r>
                </w:p>
              </w:tc>
              <w:tc>
                <w:tcPr>
                  <w:tcW w:w="480" w:type="pct"/>
                  <w:vMerge w:val="restart"/>
                  <w:tcBorders>
                    <w:top w:val="single" w:color="auto" w:sz="12" w:space="0"/>
                    <w:left w:val="single" w:color="auto" w:sz="4" w:space="0"/>
                    <w:bottom w:val="single" w:color="auto" w:sz="4" w:space="0"/>
                    <w:right w:val="single" w:color="auto" w:sz="4" w:space="0"/>
                  </w:tcBorders>
                  <w:vAlign w:val="center"/>
                </w:tcPr>
                <w:p w14:paraId="174A1084">
                  <w:pPr>
                    <w:pStyle w:val="106"/>
                    <w:bidi w:val="0"/>
                    <w:rPr>
                      <w:rFonts w:hint="default"/>
                      <w:b/>
                      <w:bCs/>
                    </w:rPr>
                  </w:pPr>
                  <w:r>
                    <w:rPr>
                      <w:rFonts w:hint="default"/>
                      <w:b/>
                      <w:bCs/>
                    </w:rPr>
                    <w:t>污染物种类</w:t>
                  </w:r>
                </w:p>
              </w:tc>
              <w:tc>
                <w:tcPr>
                  <w:tcW w:w="2109" w:type="pct"/>
                  <w:gridSpan w:val="5"/>
                  <w:tcBorders>
                    <w:top w:val="single" w:color="auto" w:sz="12" w:space="0"/>
                    <w:left w:val="single" w:color="auto" w:sz="4" w:space="0"/>
                    <w:bottom w:val="single" w:color="auto" w:sz="4" w:space="0"/>
                    <w:right w:val="single" w:color="auto" w:sz="4" w:space="0"/>
                  </w:tcBorders>
                  <w:vAlign w:val="center"/>
                </w:tcPr>
                <w:p w14:paraId="758F8CA5">
                  <w:pPr>
                    <w:pStyle w:val="106"/>
                    <w:bidi w:val="0"/>
                    <w:rPr>
                      <w:rFonts w:hint="default"/>
                      <w:b/>
                      <w:bCs/>
                    </w:rPr>
                  </w:pPr>
                  <w:r>
                    <w:rPr>
                      <w:rFonts w:hint="default"/>
                      <w:b/>
                      <w:bCs/>
                    </w:rPr>
                    <w:t>污染治理设施</w:t>
                  </w:r>
                </w:p>
              </w:tc>
              <w:tc>
                <w:tcPr>
                  <w:tcW w:w="723" w:type="pct"/>
                  <w:vMerge w:val="restart"/>
                  <w:tcBorders>
                    <w:top w:val="single" w:color="auto" w:sz="12" w:space="0"/>
                    <w:left w:val="single" w:color="auto" w:sz="4" w:space="0"/>
                    <w:bottom w:val="single" w:color="auto" w:sz="4" w:space="0"/>
                    <w:right w:val="single" w:color="auto" w:sz="4" w:space="0"/>
                  </w:tcBorders>
                  <w:vAlign w:val="center"/>
                </w:tcPr>
                <w:p w14:paraId="3676F4CE">
                  <w:pPr>
                    <w:pStyle w:val="106"/>
                    <w:bidi w:val="0"/>
                    <w:rPr>
                      <w:rFonts w:hint="default"/>
                      <w:b/>
                      <w:bCs/>
                    </w:rPr>
                  </w:pPr>
                  <w:r>
                    <w:rPr>
                      <w:rFonts w:hint="default"/>
                      <w:b/>
                      <w:bCs/>
                    </w:rPr>
                    <w:t>排放去向</w:t>
                  </w:r>
                </w:p>
              </w:tc>
              <w:tc>
                <w:tcPr>
                  <w:tcW w:w="231" w:type="pct"/>
                  <w:vMerge w:val="restart"/>
                  <w:tcBorders>
                    <w:top w:val="single" w:color="auto" w:sz="12" w:space="0"/>
                    <w:left w:val="single" w:color="auto" w:sz="4" w:space="0"/>
                    <w:bottom w:val="single" w:color="auto" w:sz="4" w:space="0"/>
                    <w:right w:val="single" w:color="auto" w:sz="4" w:space="0"/>
                  </w:tcBorders>
                  <w:vAlign w:val="center"/>
                </w:tcPr>
                <w:p w14:paraId="4985B524">
                  <w:pPr>
                    <w:pStyle w:val="106"/>
                    <w:bidi w:val="0"/>
                    <w:rPr>
                      <w:rFonts w:hint="default"/>
                      <w:b/>
                      <w:bCs/>
                    </w:rPr>
                  </w:pPr>
                  <w:r>
                    <w:rPr>
                      <w:rFonts w:hint="default"/>
                      <w:b/>
                      <w:bCs/>
                    </w:rPr>
                    <w:t>排放方式</w:t>
                  </w:r>
                </w:p>
              </w:tc>
              <w:tc>
                <w:tcPr>
                  <w:tcW w:w="225" w:type="pct"/>
                  <w:vMerge w:val="restart"/>
                  <w:tcBorders>
                    <w:top w:val="single" w:color="auto" w:sz="12" w:space="0"/>
                    <w:left w:val="single" w:color="auto" w:sz="4" w:space="0"/>
                    <w:bottom w:val="single" w:color="auto" w:sz="4" w:space="0"/>
                    <w:right w:val="nil"/>
                  </w:tcBorders>
                  <w:vAlign w:val="center"/>
                </w:tcPr>
                <w:p w14:paraId="215A8F49">
                  <w:pPr>
                    <w:pStyle w:val="106"/>
                    <w:bidi w:val="0"/>
                    <w:rPr>
                      <w:rFonts w:hint="default"/>
                      <w:b/>
                      <w:bCs/>
                    </w:rPr>
                  </w:pPr>
                  <w:r>
                    <w:rPr>
                      <w:rFonts w:hint="default"/>
                      <w:b/>
                      <w:bCs/>
                    </w:rPr>
                    <w:t>排放规律</w:t>
                  </w:r>
                </w:p>
              </w:tc>
            </w:tr>
            <w:tr w14:paraId="327E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8" w:hRule="atLeast"/>
                <w:jc w:val="center"/>
              </w:trPr>
              <w:tc>
                <w:tcPr>
                  <w:tcW w:w="825" w:type="pct"/>
                  <w:vMerge w:val="continue"/>
                  <w:tcBorders>
                    <w:top w:val="single" w:color="auto" w:sz="4" w:space="0"/>
                    <w:left w:val="nil"/>
                    <w:bottom w:val="single" w:color="auto" w:sz="4" w:space="0"/>
                    <w:right w:val="single" w:color="auto" w:sz="4" w:space="0"/>
                  </w:tcBorders>
                  <w:vAlign w:val="center"/>
                </w:tcPr>
                <w:p w14:paraId="70E3E928">
                  <w:pPr>
                    <w:pStyle w:val="106"/>
                    <w:bidi w:val="0"/>
                    <w:rPr>
                      <w:rFonts w:hint="default"/>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14:paraId="0C0A734B">
                  <w:pPr>
                    <w:pStyle w:val="106"/>
                    <w:bidi w:val="0"/>
                    <w:rPr>
                      <w:rFonts w:hint="default"/>
                    </w:rPr>
                  </w:pPr>
                </w:p>
              </w:tc>
              <w:tc>
                <w:tcPr>
                  <w:tcW w:w="480" w:type="pct"/>
                  <w:vMerge w:val="continue"/>
                  <w:tcBorders>
                    <w:top w:val="single" w:color="auto" w:sz="4" w:space="0"/>
                    <w:left w:val="single" w:color="auto" w:sz="4" w:space="0"/>
                    <w:bottom w:val="single" w:color="auto" w:sz="4" w:space="0"/>
                    <w:right w:val="single" w:color="auto" w:sz="4" w:space="0"/>
                  </w:tcBorders>
                  <w:vAlign w:val="center"/>
                </w:tcPr>
                <w:p w14:paraId="701E3C65">
                  <w:pPr>
                    <w:pStyle w:val="106"/>
                    <w:bidi w:val="0"/>
                    <w:rPr>
                      <w:rFonts w:hint="default"/>
                    </w:rPr>
                  </w:pPr>
                </w:p>
              </w:tc>
              <w:tc>
                <w:tcPr>
                  <w:tcW w:w="411" w:type="pct"/>
                  <w:tcBorders>
                    <w:top w:val="single" w:color="auto" w:sz="4" w:space="0"/>
                    <w:left w:val="single" w:color="auto" w:sz="4" w:space="0"/>
                    <w:bottom w:val="single" w:color="auto" w:sz="4" w:space="0"/>
                    <w:right w:val="single" w:color="auto" w:sz="4" w:space="0"/>
                  </w:tcBorders>
                  <w:vAlign w:val="center"/>
                </w:tcPr>
                <w:p w14:paraId="20CE0B82">
                  <w:pPr>
                    <w:pStyle w:val="106"/>
                    <w:bidi w:val="0"/>
                    <w:rPr>
                      <w:rFonts w:hint="default"/>
                      <w:b/>
                      <w:bCs/>
                    </w:rPr>
                  </w:pPr>
                  <w:r>
                    <w:rPr>
                      <w:rFonts w:hint="default"/>
                      <w:b/>
                      <w:bCs/>
                    </w:rPr>
                    <w:t>污染治理设施编号</w:t>
                  </w:r>
                </w:p>
              </w:tc>
              <w:tc>
                <w:tcPr>
                  <w:tcW w:w="440" w:type="pct"/>
                  <w:tcBorders>
                    <w:top w:val="single" w:color="auto" w:sz="4" w:space="0"/>
                    <w:left w:val="single" w:color="auto" w:sz="4" w:space="0"/>
                    <w:bottom w:val="single" w:color="auto" w:sz="4" w:space="0"/>
                    <w:right w:val="single" w:color="auto" w:sz="4" w:space="0"/>
                  </w:tcBorders>
                  <w:vAlign w:val="center"/>
                </w:tcPr>
                <w:p w14:paraId="3A1F9AB9">
                  <w:pPr>
                    <w:pStyle w:val="106"/>
                    <w:bidi w:val="0"/>
                    <w:rPr>
                      <w:rFonts w:hint="default"/>
                      <w:b/>
                      <w:bCs/>
                    </w:rPr>
                  </w:pPr>
                  <w:r>
                    <w:rPr>
                      <w:rFonts w:hint="default"/>
                      <w:b/>
                      <w:bCs/>
                    </w:rPr>
                    <w:t>污染治理设施名称</w:t>
                  </w:r>
                </w:p>
              </w:tc>
              <w:tc>
                <w:tcPr>
                  <w:tcW w:w="502" w:type="pct"/>
                  <w:tcBorders>
                    <w:top w:val="single" w:color="auto" w:sz="4" w:space="0"/>
                    <w:left w:val="single" w:color="auto" w:sz="4" w:space="0"/>
                    <w:bottom w:val="single" w:color="auto" w:sz="4" w:space="0"/>
                    <w:right w:val="single" w:color="auto" w:sz="4" w:space="0"/>
                  </w:tcBorders>
                  <w:vAlign w:val="center"/>
                </w:tcPr>
                <w:p w14:paraId="04E18ABA">
                  <w:pPr>
                    <w:pStyle w:val="106"/>
                    <w:bidi w:val="0"/>
                    <w:rPr>
                      <w:rFonts w:hint="default"/>
                      <w:b/>
                      <w:bCs/>
                    </w:rPr>
                  </w:pPr>
                  <w:r>
                    <w:rPr>
                      <w:rFonts w:hint="default"/>
                      <w:b/>
                      <w:bCs/>
                    </w:rPr>
                    <w:t>污染治理设施工艺</w:t>
                  </w:r>
                </w:p>
              </w:tc>
              <w:tc>
                <w:tcPr>
                  <w:tcW w:w="353" w:type="pct"/>
                  <w:tcBorders>
                    <w:top w:val="single" w:color="auto" w:sz="4" w:space="0"/>
                    <w:left w:val="single" w:color="auto" w:sz="4" w:space="0"/>
                    <w:bottom w:val="single" w:color="auto" w:sz="4" w:space="0"/>
                    <w:right w:val="single" w:color="auto" w:sz="4" w:space="0"/>
                  </w:tcBorders>
                  <w:vAlign w:val="center"/>
                </w:tcPr>
                <w:p w14:paraId="1382EEAC">
                  <w:pPr>
                    <w:pStyle w:val="106"/>
                    <w:bidi w:val="0"/>
                    <w:rPr>
                      <w:rFonts w:hint="default"/>
                      <w:b/>
                      <w:bCs/>
                    </w:rPr>
                  </w:pPr>
                  <w:r>
                    <w:rPr>
                      <w:rFonts w:hint="default"/>
                      <w:b/>
                      <w:bCs/>
                    </w:rPr>
                    <w:t>设计处理水量</w:t>
                  </w:r>
                </w:p>
              </w:tc>
              <w:tc>
                <w:tcPr>
                  <w:tcW w:w="401" w:type="pct"/>
                  <w:tcBorders>
                    <w:top w:val="single" w:color="auto" w:sz="4" w:space="0"/>
                    <w:left w:val="single" w:color="auto" w:sz="4" w:space="0"/>
                    <w:bottom w:val="single" w:color="auto" w:sz="4" w:space="0"/>
                    <w:right w:val="single" w:color="auto" w:sz="4" w:space="0"/>
                  </w:tcBorders>
                  <w:vAlign w:val="center"/>
                </w:tcPr>
                <w:p w14:paraId="2D1AC162">
                  <w:pPr>
                    <w:pStyle w:val="106"/>
                    <w:bidi w:val="0"/>
                    <w:rPr>
                      <w:rFonts w:hint="default"/>
                      <w:b/>
                      <w:bCs/>
                    </w:rPr>
                  </w:pPr>
                  <w:r>
                    <w:rPr>
                      <w:rFonts w:hint="default"/>
                      <w:b/>
                      <w:bCs/>
                    </w:rPr>
                    <w:t>是否为可行技术</w:t>
                  </w:r>
                </w:p>
              </w:tc>
              <w:tc>
                <w:tcPr>
                  <w:tcW w:w="723" w:type="pct"/>
                  <w:vMerge w:val="continue"/>
                  <w:tcBorders>
                    <w:top w:val="single" w:color="auto" w:sz="4" w:space="0"/>
                    <w:left w:val="single" w:color="auto" w:sz="4" w:space="0"/>
                    <w:bottom w:val="single" w:color="auto" w:sz="4" w:space="0"/>
                    <w:right w:val="single" w:color="auto" w:sz="4" w:space="0"/>
                  </w:tcBorders>
                  <w:vAlign w:val="center"/>
                </w:tcPr>
                <w:p w14:paraId="6E09D439">
                  <w:pPr>
                    <w:pStyle w:val="106"/>
                    <w:bidi w:val="0"/>
                    <w:rPr>
                      <w:rFonts w:hint="default"/>
                    </w:rPr>
                  </w:pPr>
                </w:p>
              </w:tc>
              <w:tc>
                <w:tcPr>
                  <w:tcW w:w="231" w:type="pct"/>
                  <w:vMerge w:val="continue"/>
                  <w:tcBorders>
                    <w:top w:val="single" w:color="auto" w:sz="4" w:space="0"/>
                    <w:left w:val="single" w:color="auto" w:sz="4" w:space="0"/>
                    <w:bottom w:val="single" w:color="auto" w:sz="4" w:space="0"/>
                    <w:right w:val="single" w:color="auto" w:sz="4" w:space="0"/>
                  </w:tcBorders>
                  <w:vAlign w:val="center"/>
                </w:tcPr>
                <w:p w14:paraId="765C13AC">
                  <w:pPr>
                    <w:pStyle w:val="106"/>
                    <w:bidi w:val="0"/>
                    <w:rPr>
                      <w:rFonts w:hint="default"/>
                    </w:rPr>
                  </w:pPr>
                </w:p>
              </w:tc>
              <w:tc>
                <w:tcPr>
                  <w:tcW w:w="225" w:type="pct"/>
                  <w:vMerge w:val="continue"/>
                  <w:tcBorders>
                    <w:top w:val="single" w:color="auto" w:sz="4" w:space="0"/>
                    <w:left w:val="single" w:color="auto" w:sz="4" w:space="0"/>
                    <w:bottom w:val="single" w:color="auto" w:sz="4" w:space="0"/>
                    <w:right w:val="nil"/>
                  </w:tcBorders>
                  <w:vAlign w:val="center"/>
                </w:tcPr>
                <w:p w14:paraId="34229296">
                  <w:pPr>
                    <w:pStyle w:val="106"/>
                    <w:bidi w:val="0"/>
                    <w:rPr>
                      <w:rFonts w:hint="default"/>
                    </w:rPr>
                  </w:pPr>
                </w:p>
              </w:tc>
            </w:tr>
            <w:tr w14:paraId="4EAD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3" w:hRule="atLeast"/>
                <w:jc w:val="center"/>
              </w:trPr>
              <w:tc>
                <w:tcPr>
                  <w:tcW w:w="825" w:type="pct"/>
                  <w:tcBorders>
                    <w:top w:val="single" w:color="auto" w:sz="4" w:space="0"/>
                    <w:left w:val="nil"/>
                    <w:bottom w:val="single" w:color="auto" w:sz="4" w:space="0"/>
                    <w:right w:val="single" w:color="auto" w:sz="4" w:space="0"/>
                  </w:tcBorders>
                  <w:vAlign w:val="center"/>
                </w:tcPr>
                <w:p w14:paraId="124EDB98">
                  <w:pPr>
                    <w:pStyle w:val="106"/>
                    <w:bidi w:val="0"/>
                    <w:rPr>
                      <w:rFonts w:hint="default" w:eastAsia="宋体"/>
                      <w:lang w:val="en-US" w:eastAsia="zh-CN"/>
                    </w:rPr>
                  </w:pPr>
                  <w:r>
                    <w:rPr>
                      <w:rFonts w:hint="default"/>
                    </w:rPr>
                    <w:t>办公生活</w:t>
                  </w:r>
                  <w:r>
                    <w:rPr>
                      <w:rFonts w:hint="eastAsia"/>
                      <w:lang w:eastAsia="zh-CN"/>
                    </w:rPr>
                    <w:t>、</w:t>
                  </w:r>
                  <w:r>
                    <w:rPr>
                      <w:rFonts w:hint="eastAsia"/>
                      <w:lang w:val="en-US" w:eastAsia="zh-CN"/>
                    </w:rPr>
                    <w:t>质检</w:t>
                  </w:r>
                </w:p>
              </w:tc>
              <w:tc>
                <w:tcPr>
                  <w:tcW w:w="403" w:type="pct"/>
                  <w:tcBorders>
                    <w:top w:val="single" w:color="auto" w:sz="4" w:space="0"/>
                    <w:left w:val="single" w:color="auto" w:sz="4" w:space="0"/>
                    <w:bottom w:val="single" w:color="auto" w:sz="4" w:space="0"/>
                    <w:right w:val="single" w:color="auto" w:sz="4" w:space="0"/>
                  </w:tcBorders>
                  <w:vAlign w:val="center"/>
                </w:tcPr>
                <w:p w14:paraId="5EF6AA53">
                  <w:pPr>
                    <w:pStyle w:val="106"/>
                    <w:bidi w:val="0"/>
                    <w:rPr>
                      <w:rFonts w:hint="default"/>
                    </w:rPr>
                  </w:pPr>
                  <w:r>
                    <w:rPr>
                      <w:rFonts w:hint="default"/>
                    </w:rPr>
                    <w:t>生活</w:t>
                  </w:r>
                </w:p>
                <w:p w14:paraId="54B18272">
                  <w:pPr>
                    <w:pStyle w:val="106"/>
                    <w:bidi w:val="0"/>
                    <w:rPr>
                      <w:rFonts w:hint="eastAsia" w:eastAsia="宋体"/>
                      <w:lang w:eastAsia="zh-CN"/>
                    </w:rPr>
                  </w:pPr>
                  <w:r>
                    <w:rPr>
                      <w:rFonts w:hint="default"/>
                    </w:rPr>
                    <w:t>污水</w:t>
                  </w:r>
                  <w:r>
                    <w:rPr>
                      <w:rFonts w:hint="eastAsia"/>
                      <w:lang w:eastAsia="zh-CN"/>
                    </w:rPr>
                    <w:t>、实验器皿清洗废水</w:t>
                  </w:r>
                </w:p>
              </w:tc>
              <w:tc>
                <w:tcPr>
                  <w:tcW w:w="480" w:type="pct"/>
                  <w:tcBorders>
                    <w:top w:val="single" w:color="auto" w:sz="4" w:space="0"/>
                    <w:left w:val="single" w:color="auto" w:sz="4" w:space="0"/>
                    <w:bottom w:val="single" w:color="auto" w:sz="4" w:space="0"/>
                    <w:right w:val="single" w:color="auto" w:sz="4" w:space="0"/>
                  </w:tcBorders>
                  <w:vAlign w:val="center"/>
                </w:tcPr>
                <w:p w14:paraId="6B7043B9">
                  <w:pPr>
                    <w:pStyle w:val="106"/>
                    <w:bidi w:val="0"/>
                    <w:rPr>
                      <w:rFonts w:hint="default"/>
                    </w:rPr>
                  </w:pPr>
                  <w:r>
                    <w:rPr>
                      <w:rFonts w:hint="default"/>
                    </w:rPr>
                    <w:t>COD</w:t>
                  </w:r>
                  <w:r>
                    <w:rPr>
                      <w:rFonts w:hint="default"/>
                      <w:lang w:val="en-US" w:eastAsia="zh-CN"/>
                    </w:rPr>
                    <w:t>cr</w:t>
                  </w:r>
                  <w:r>
                    <w:rPr>
                      <w:rFonts w:hint="default"/>
                    </w:rPr>
                    <w:t>、BOD</w:t>
                  </w:r>
                  <w:r>
                    <w:rPr>
                      <w:rFonts w:hint="default"/>
                      <w:vertAlign w:val="subscript"/>
                    </w:rPr>
                    <w:t>5</w:t>
                  </w:r>
                  <w:r>
                    <w:rPr>
                      <w:rFonts w:hint="default"/>
                    </w:rPr>
                    <w:t>、NH</w:t>
                  </w:r>
                  <w:r>
                    <w:rPr>
                      <w:rFonts w:hint="default"/>
                      <w:vertAlign w:val="subscript"/>
                    </w:rPr>
                    <w:t>3</w:t>
                  </w:r>
                  <w:r>
                    <w:rPr>
                      <w:rFonts w:hint="default"/>
                    </w:rPr>
                    <w:t>-N、SS</w:t>
                  </w:r>
                </w:p>
              </w:tc>
              <w:tc>
                <w:tcPr>
                  <w:tcW w:w="411" w:type="pct"/>
                  <w:tcBorders>
                    <w:top w:val="single" w:color="auto" w:sz="4" w:space="0"/>
                    <w:left w:val="single" w:color="auto" w:sz="4" w:space="0"/>
                    <w:bottom w:val="single" w:color="auto" w:sz="4" w:space="0"/>
                    <w:right w:val="single" w:color="auto" w:sz="4" w:space="0"/>
                  </w:tcBorders>
                  <w:vAlign w:val="center"/>
                </w:tcPr>
                <w:p w14:paraId="0447C813">
                  <w:pPr>
                    <w:pStyle w:val="106"/>
                    <w:bidi w:val="0"/>
                    <w:rPr>
                      <w:rFonts w:hint="default"/>
                    </w:rPr>
                  </w:pPr>
                  <w:r>
                    <w:rPr>
                      <w:rFonts w:hint="eastAsia"/>
                      <w:lang w:val="en-US" w:eastAsia="zh-CN"/>
                    </w:rPr>
                    <w:t>TW001</w:t>
                  </w:r>
                </w:p>
              </w:tc>
              <w:tc>
                <w:tcPr>
                  <w:tcW w:w="440" w:type="pct"/>
                  <w:tcBorders>
                    <w:top w:val="single" w:color="auto" w:sz="4" w:space="0"/>
                    <w:left w:val="single" w:color="auto" w:sz="4" w:space="0"/>
                    <w:bottom w:val="single" w:color="auto" w:sz="4" w:space="0"/>
                    <w:right w:val="single" w:color="auto" w:sz="4" w:space="0"/>
                  </w:tcBorders>
                  <w:vAlign w:val="center"/>
                </w:tcPr>
                <w:p w14:paraId="672B8F99">
                  <w:pPr>
                    <w:pStyle w:val="106"/>
                    <w:bidi w:val="0"/>
                    <w:rPr>
                      <w:rFonts w:hint="eastAsia" w:eastAsia="宋体"/>
                      <w:lang w:eastAsia="zh-CN"/>
                    </w:rPr>
                  </w:pPr>
                  <w:r>
                    <w:rPr>
                      <w:rFonts w:hint="eastAsia"/>
                      <w:lang w:val="en-US" w:eastAsia="zh-CN"/>
                    </w:rPr>
                    <w:t>预处理池</w:t>
                  </w:r>
                </w:p>
              </w:tc>
              <w:tc>
                <w:tcPr>
                  <w:tcW w:w="502" w:type="pct"/>
                  <w:tcBorders>
                    <w:top w:val="single" w:color="auto" w:sz="4" w:space="0"/>
                    <w:left w:val="single" w:color="auto" w:sz="4" w:space="0"/>
                    <w:bottom w:val="single" w:color="auto" w:sz="4" w:space="0"/>
                    <w:right w:val="single" w:color="auto" w:sz="4" w:space="0"/>
                  </w:tcBorders>
                  <w:vAlign w:val="center"/>
                </w:tcPr>
                <w:p w14:paraId="2FE5A323">
                  <w:pPr>
                    <w:pStyle w:val="106"/>
                    <w:bidi w:val="0"/>
                    <w:rPr>
                      <w:rFonts w:hint="default"/>
                      <w:lang w:val="en-US" w:eastAsia="zh-CN"/>
                    </w:rPr>
                  </w:pPr>
                  <w:r>
                    <w:rPr>
                      <w:rFonts w:hint="eastAsia"/>
                      <w:lang w:val="en-US" w:eastAsia="zh-CN"/>
                    </w:rPr>
                    <w:t>厌氧处理</w:t>
                  </w:r>
                </w:p>
              </w:tc>
              <w:tc>
                <w:tcPr>
                  <w:tcW w:w="353" w:type="pct"/>
                  <w:tcBorders>
                    <w:top w:val="single" w:color="auto" w:sz="4" w:space="0"/>
                    <w:left w:val="single" w:color="auto" w:sz="4" w:space="0"/>
                    <w:bottom w:val="single" w:color="auto" w:sz="4" w:space="0"/>
                    <w:right w:val="single" w:color="auto" w:sz="4" w:space="0"/>
                  </w:tcBorders>
                  <w:vAlign w:val="center"/>
                </w:tcPr>
                <w:p w14:paraId="3C2D9905">
                  <w:pPr>
                    <w:pStyle w:val="106"/>
                    <w:bidi w:val="0"/>
                    <w:rPr>
                      <w:rFonts w:hint="eastAsia" w:eastAsia="宋体"/>
                      <w:lang w:val="en-US" w:eastAsia="zh-CN"/>
                    </w:rPr>
                  </w:pPr>
                  <w:r>
                    <w:rPr>
                      <w:rFonts w:hint="eastAsia"/>
                      <w:lang w:val="en-US" w:eastAsia="zh-CN"/>
                    </w:rPr>
                    <w:t>5</w:t>
                  </w:r>
                  <w:r>
                    <w:rPr>
                      <w:rFonts w:hint="default"/>
                    </w:rPr>
                    <w:t>m</w:t>
                  </w:r>
                  <w:r>
                    <w:rPr>
                      <w:rFonts w:hint="default"/>
                      <w:vertAlign w:val="superscript"/>
                    </w:rPr>
                    <w:t>3</w:t>
                  </w:r>
                  <w:r>
                    <w:rPr>
                      <w:rFonts w:hint="default"/>
                    </w:rPr>
                    <w:t>/d</w:t>
                  </w:r>
                </w:p>
              </w:tc>
              <w:tc>
                <w:tcPr>
                  <w:tcW w:w="401" w:type="pct"/>
                  <w:tcBorders>
                    <w:top w:val="single" w:color="auto" w:sz="4" w:space="0"/>
                    <w:left w:val="single" w:color="auto" w:sz="4" w:space="0"/>
                    <w:bottom w:val="single" w:color="auto" w:sz="4" w:space="0"/>
                    <w:right w:val="single" w:color="auto" w:sz="4" w:space="0"/>
                  </w:tcBorders>
                  <w:vAlign w:val="center"/>
                </w:tcPr>
                <w:p w14:paraId="35F3F623">
                  <w:pPr>
                    <w:pStyle w:val="106"/>
                    <w:bidi w:val="0"/>
                    <w:rPr>
                      <w:rFonts w:hint="eastAsia" w:eastAsia="宋体"/>
                      <w:lang w:eastAsia="zh-CN"/>
                    </w:rPr>
                  </w:pPr>
                  <w:r>
                    <w:rPr>
                      <w:rFonts w:hint="eastAsia"/>
                      <w:lang w:val="en-US" w:eastAsia="zh-CN"/>
                    </w:rPr>
                    <w:t>是</w:t>
                  </w:r>
                </w:p>
              </w:tc>
              <w:tc>
                <w:tcPr>
                  <w:tcW w:w="723" w:type="pct"/>
                  <w:tcBorders>
                    <w:top w:val="single" w:color="auto" w:sz="4" w:space="0"/>
                    <w:left w:val="single" w:color="auto" w:sz="4" w:space="0"/>
                    <w:bottom w:val="single" w:color="auto" w:sz="4" w:space="0"/>
                    <w:right w:val="single" w:color="auto" w:sz="4" w:space="0"/>
                  </w:tcBorders>
                  <w:vAlign w:val="center"/>
                </w:tcPr>
                <w:p w14:paraId="7A1E8BDA">
                  <w:pPr>
                    <w:pStyle w:val="106"/>
                    <w:bidi w:val="0"/>
                    <w:rPr>
                      <w:rFonts w:hint="eastAsia" w:eastAsia="宋体"/>
                      <w:lang w:val="en-US" w:eastAsia="zh-CN"/>
                    </w:rPr>
                  </w:pPr>
                  <w:r>
                    <w:rPr>
                      <w:rFonts w:hint="eastAsia"/>
                      <w:lang w:val="en-US" w:eastAsia="zh-CN"/>
                    </w:rPr>
                    <w:t>经</w:t>
                  </w:r>
                  <w:r>
                    <w:rPr>
                      <w:rFonts w:hint="default"/>
                    </w:rPr>
                    <w:t>市政污水管网</w:t>
                  </w:r>
                  <w:r>
                    <w:rPr>
                      <w:rFonts w:hint="eastAsia"/>
                      <w:lang w:val="en-US" w:eastAsia="zh-CN"/>
                    </w:rPr>
                    <w:t>排入龙眼井</w:t>
                  </w:r>
                  <w:r>
                    <w:rPr>
                      <w:rFonts w:hint="default"/>
                    </w:rPr>
                    <w:t>污水处理厂</w:t>
                  </w:r>
                  <w:r>
                    <w:rPr>
                      <w:rFonts w:hint="eastAsia"/>
                      <w:lang w:val="en-US" w:eastAsia="zh-CN"/>
                    </w:rPr>
                    <w:t>处理</w:t>
                  </w:r>
                </w:p>
              </w:tc>
              <w:tc>
                <w:tcPr>
                  <w:tcW w:w="231" w:type="pct"/>
                  <w:tcBorders>
                    <w:top w:val="single" w:color="auto" w:sz="4" w:space="0"/>
                    <w:left w:val="single" w:color="auto" w:sz="4" w:space="0"/>
                    <w:bottom w:val="single" w:color="auto" w:sz="4" w:space="0"/>
                    <w:right w:val="single" w:color="auto" w:sz="4" w:space="0"/>
                  </w:tcBorders>
                  <w:vAlign w:val="center"/>
                </w:tcPr>
                <w:p w14:paraId="49E40791">
                  <w:pPr>
                    <w:pStyle w:val="106"/>
                    <w:bidi w:val="0"/>
                    <w:rPr>
                      <w:rFonts w:hint="default"/>
                    </w:rPr>
                  </w:pPr>
                  <w:r>
                    <w:rPr>
                      <w:rFonts w:hint="default"/>
                    </w:rPr>
                    <w:t>间接排放</w:t>
                  </w:r>
                </w:p>
              </w:tc>
              <w:tc>
                <w:tcPr>
                  <w:tcW w:w="225" w:type="pct"/>
                  <w:tcBorders>
                    <w:top w:val="single" w:color="auto" w:sz="4" w:space="0"/>
                    <w:left w:val="single" w:color="auto" w:sz="4" w:space="0"/>
                    <w:bottom w:val="single" w:color="auto" w:sz="4" w:space="0"/>
                    <w:right w:val="nil"/>
                  </w:tcBorders>
                  <w:vAlign w:val="center"/>
                </w:tcPr>
                <w:p w14:paraId="6985F259">
                  <w:pPr>
                    <w:pStyle w:val="106"/>
                    <w:bidi w:val="0"/>
                    <w:rPr>
                      <w:rFonts w:hint="default"/>
                    </w:rPr>
                  </w:pPr>
                  <w:r>
                    <w:rPr>
                      <w:rFonts w:hint="default"/>
                    </w:rPr>
                    <w:t>间歇排放</w:t>
                  </w:r>
                </w:p>
              </w:tc>
            </w:tr>
            <w:tr w14:paraId="5328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2" w:hRule="atLeast"/>
                <w:jc w:val="center"/>
              </w:trPr>
              <w:tc>
                <w:tcPr>
                  <w:tcW w:w="825" w:type="pct"/>
                  <w:tcBorders>
                    <w:top w:val="single" w:color="auto" w:sz="4" w:space="0"/>
                    <w:left w:val="nil"/>
                    <w:bottom w:val="single" w:color="auto" w:sz="12" w:space="0"/>
                    <w:right w:val="single" w:color="auto" w:sz="4" w:space="0"/>
                  </w:tcBorders>
                  <w:vAlign w:val="center"/>
                </w:tcPr>
                <w:p w14:paraId="6E48EF7E">
                  <w:pPr>
                    <w:pStyle w:val="106"/>
                    <w:bidi w:val="0"/>
                    <w:rPr>
                      <w:rFonts w:hint="default"/>
                      <w:lang w:val="en-US" w:eastAsia="zh-CN"/>
                    </w:rPr>
                  </w:pPr>
                  <w:r>
                    <w:rPr>
                      <w:rFonts w:hint="eastAsia"/>
                      <w:lang w:val="en-US" w:eastAsia="zh-CN"/>
                    </w:rPr>
                    <w:t>原料清洗、设备清洗、漂烫、猪肉解冻、空罐及实罐清洗、蒸汽制备、地面清洗、质检</w:t>
                  </w:r>
                </w:p>
              </w:tc>
              <w:tc>
                <w:tcPr>
                  <w:tcW w:w="403" w:type="pct"/>
                  <w:tcBorders>
                    <w:top w:val="single" w:color="auto" w:sz="4" w:space="0"/>
                    <w:left w:val="single" w:color="auto" w:sz="4" w:space="0"/>
                    <w:bottom w:val="single" w:color="auto" w:sz="12" w:space="0"/>
                    <w:right w:val="single" w:color="auto" w:sz="4" w:space="0"/>
                  </w:tcBorders>
                  <w:vAlign w:val="center"/>
                </w:tcPr>
                <w:p w14:paraId="22173D31">
                  <w:pPr>
                    <w:pStyle w:val="106"/>
                    <w:bidi w:val="0"/>
                    <w:rPr>
                      <w:rFonts w:hint="default"/>
                      <w:lang w:val="en-US" w:eastAsia="zh-CN"/>
                    </w:rPr>
                  </w:pPr>
                  <w:r>
                    <w:rPr>
                      <w:rFonts w:hint="default"/>
                    </w:rPr>
                    <w:t>生产废水</w:t>
                  </w:r>
                </w:p>
              </w:tc>
              <w:tc>
                <w:tcPr>
                  <w:tcW w:w="480" w:type="pct"/>
                  <w:tcBorders>
                    <w:top w:val="single" w:color="auto" w:sz="4" w:space="0"/>
                    <w:left w:val="single" w:color="auto" w:sz="4" w:space="0"/>
                    <w:bottom w:val="single" w:color="auto" w:sz="12" w:space="0"/>
                    <w:right w:val="single" w:color="auto" w:sz="4" w:space="0"/>
                  </w:tcBorders>
                  <w:vAlign w:val="center"/>
                </w:tcPr>
                <w:p w14:paraId="1D2847B0">
                  <w:pPr>
                    <w:pStyle w:val="106"/>
                    <w:bidi w:val="0"/>
                    <w:rPr>
                      <w:rFonts w:hint="default"/>
                      <w:lang w:val="en-US" w:eastAsia="zh-CN"/>
                    </w:rPr>
                  </w:pPr>
                  <w:r>
                    <w:rPr>
                      <w:rFonts w:hint="default"/>
                    </w:rPr>
                    <w:t>COD</w:t>
                  </w:r>
                  <w:r>
                    <w:rPr>
                      <w:rFonts w:hint="default"/>
                      <w:lang w:val="en-US" w:eastAsia="zh-CN"/>
                    </w:rPr>
                    <w:t>cr</w:t>
                  </w:r>
                  <w:r>
                    <w:rPr>
                      <w:rFonts w:hint="default"/>
                    </w:rPr>
                    <w:t>、BOD</w:t>
                  </w:r>
                  <w:r>
                    <w:rPr>
                      <w:rFonts w:hint="default"/>
                      <w:vertAlign w:val="subscript"/>
                    </w:rPr>
                    <w:t>5</w:t>
                  </w:r>
                  <w:r>
                    <w:rPr>
                      <w:rFonts w:hint="default"/>
                    </w:rPr>
                    <w:t>、NH</w:t>
                  </w:r>
                  <w:r>
                    <w:rPr>
                      <w:rFonts w:hint="default"/>
                      <w:vertAlign w:val="subscript"/>
                    </w:rPr>
                    <w:t>3</w:t>
                  </w:r>
                  <w:r>
                    <w:rPr>
                      <w:rFonts w:hint="default"/>
                    </w:rPr>
                    <w:t>-N、SS、</w:t>
                  </w:r>
                  <w:r>
                    <w:rPr>
                      <w:rFonts w:hint="eastAsia"/>
                      <w:lang w:val="en-US" w:eastAsia="zh-CN"/>
                    </w:rPr>
                    <w:t>TP、动植物油</w:t>
                  </w:r>
                </w:p>
              </w:tc>
              <w:tc>
                <w:tcPr>
                  <w:tcW w:w="411" w:type="pct"/>
                  <w:tcBorders>
                    <w:top w:val="single" w:color="auto" w:sz="4" w:space="0"/>
                    <w:left w:val="single" w:color="auto" w:sz="4" w:space="0"/>
                    <w:bottom w:val="single" w:color="auto" w:sz="12" w:space="0"/>
                    <w:right w:val="single" w:color="auto" w:sz="4" w:space="0"/>
                  </w:tcBorders>
                  <w:vAlign w:val="center"/>
                </w:tcPr>
                <w:p w14:paraId="41CDC0DB">
                  <w:pPr>
                    <w:pStyle w:val="106"/>
                    <w:bidi w:val="0"/>
                    <w:rPr>
                      <w:rFonts w:hint="default"/>
                      <w:lang w:val="en-US" w:eastAsia="zh-CN"/>
                    </w:rPr>
                  </w:pPr>
                  <w:r>
                    <w:rPr>
                      <w:rFonts w:hint="eastAsia"/>
                      <w:lang w:val="en-US" w:eastAsia="zh-CN"/>
                    </w:rPr>
                    <w:t>TW002</w:t>
                  </w:r>
                </w:p>
              </w:tc>
              <w:tc>
                <w:tcPr>
                  <w:tcW w:w="440" w:type="pct"/>
                  <w:tcBorders>
                    <w:top w:val="single" w:color="auto" w:sz="4" w:space="0"/>
                    <w:left w:val="single" w:color="auto" w:sz="4" w:space="0"/>
                    <w:bottom w:val="single" w:color="auto" w:sz="12" w:space="0"/>
                    <w:right w:val="single" w:color="auto" w:sz="4" w:space="0"/>
                  </w:tcBorders>
                  <w:vAlign w:val="center"/>
                </w:tcPr>
                <w:p w14:paraId="726A33AD">
                  <w:pPr>
                    <w:pStyle w:val="106"/>
                    <w:bidi w:val="0"/>
                    <w:rPr>
                      <w:rFonts w:hint="default"/>
                      <w:lang w:val="en-US" w:eastAsia="zh-CN"/>
                    </w:rPr>
                  </w:pPr>
                  <w:r>
                    <w:rPr>
                      <w:rFonts w:hint="eastAsia"/>
                      <w:lang w:val="en-US" w:eastAsia="zh-CN"/>
                    </w:rPr>
                    <w:t>污水处理池</w:t>
                  </w:r>
                </w:p>
              </w:tc>
              <w:tc>
                <w:tcPr>
                  <w:tcW w:w="502" w:type="pct"/>
                  <w:tcBorders>
                    <w:top w:val="single" w:color="auto" w:sz="4" w:space="0"/>
                    <w:left w:val="single" w:color="auto" w:sz="4" w:space="0"/>
                    <w:bottom w:val="single" w:color="auto" w:sz="12" w:space="0"/>
                    <w:right w:val="single" w:color="auto" w:sz="4" w:space="0"/>
                  </w:tcBorders>
                  <w:vAlign w:val="center"/>
                </w:tcPr>
                <w:p w14:paraId="42294383">
                  <w:pPr>
                    <w:pStyle w:val="106"/>
                    <w:bidi w:val="0"/>
                    <w:rPr>
                      <w:rFonts w:hint="default"/>
                    </w:rPr>
                  </w:pPr>
                  <w:r>
                    <w:rPr>
                      <w:rFonts w:hint="default"/>
                      <w:lang w:val="en-US" w:eastAsia="zh-CN"/>
                    </w:rPr>
                    <w:t>“气浮预处理+A/O+过滤吸附”</w:t>
                  </w:r>
                </w:p>
              </w:tc>
              <w:tc>
                <w:tcPr>
                  <w:tcW w:w="353" w:type="pct"/>
                  <w:tcBorders>
                    <w:top w:val="single" w:color="auto" w:sz="4" w:space="0"/>
                    <w:left w:val="single" w:color="auto" w:sz="4" w:space="0"/>
                    <w:bottom w:val="single" w:color="auto" w:sz="12" w:space="0"/>
                    <w:right w:val="single" w:color="auto" w:sz="4" w:space="0"/>
                  </w:tcBorders>
                  <w:vAlign w:val="center"/>
                </w:tcPr>
                <w:p w14:paraId="3EDDAD42">
                  <w:pPr>
                    <w:pStyle w:val="106"/>
                    <w:bidi w:val="0"/>
                    <w:rPr>
                      <w:rFonts w:hint="default"/>
                      <w:lang w:val="en-US" w:eastAsia="zh-CN"/>
                    </w:rPr>
                  </w:pPr>
                  <w:r>
                    <w:rPr>
                      <w:rFonts w:hint="eastAsia"/>
                      <w:lang w:val="en-US" w:eastAsia="zh-CN"/>
                    </w:rPr>
                    <w:t>60</w:t>
                  </w:r>
                  <w:r>
                    <w:rPr>
                      <w:rFonts w:hint="default"/>
                    </w:rPr>
                    <w:t>m</w:t>
                  </w:r>
                  <w:r>
                    <w:rPr>
                      <w:rFonts w:hint="default"/>
                      <w:vertAlign w:val="superscript"/>
                    </w:rPr>
                    <w:t>3</w:t>
                  </w:r>
                  <w:r>
                    <w:rPr>
                      <w:rFonts w:hint="default"/>
                    </w:rPr>
                    <w:t>/d</w:t>
                  </w:r>
                </w:p>
              </w:tc>
              <w:tc>
                <w:tcPr>
                  <w:tcW w:w="401" w:type="pct"/>
                  <w:tcBorders>
                    <w:top w:val="single" w:color="auto" w:sz="4" w:space="0"/>
                    <w:left w:val="single" w:color="auto" w:sz="4" w:space="0"/>
                    <w:bottom w:val="single" w:color="auto" w:sz="12" w:space="0"/>
                    <w:right w:val="single" w:color="auto" w:sz="4" w:space="0"/>
                  </w:tcBorders>
                  <w:vAlign w:val="center"/>
                </w:tcPr>
                <w:p w14:paraId="733724FD">
                  <w:pPr>
                    <w:pStyle w:val="106"/>
                    <w:bidi w:val="0"/>
                    <w:rPr>
                      <w:rFonts w:hint="default"/>
                      <w:lang w:val="en-US" w:eastAsia="zh-CN"/>
                    </w:rPr>
                  </w:pPr>
                  <w:r>
                    <w:rPr>
                      <w:rFonts w:hint="default"/>
                      <w:lang w:val="en-US" w:eastAsia="zh-CN"/>
                    </w:rPr>
                    <w:t>是</w:t>
                  </w:r>
                </w:p>
              </w:tc>
              <w:tc>
                <w:tcPr>
                  <w:tcW w:w="723" w:type="pct"/>
                  <w:tcBorders>
                    <w:top w:val="single" w:color="auto" w:sz="4" w:space="0"/>
                    <w:left w:val="single" w:color="auto" w:sz="4" w:space="0"/>
                    <w:bottom w:val="single" w:color="auto" w:sz="12" w:space="0"/>
                    <w:right w:val="single" w:color="auto" w:sz="4" w:space="0"/>
                  </w:tcBorders>
                  <w:vAlign w:val="center"/>
                </w:tcPr>
                <w:p w14:paraId="5E76740E">
                  <w:pPr>
                    <w:pStyle w:val="106"/>
                    <w:bidi w:val="0"/>
                    <w:rPr>
                      <w:rFonts w:hint="default"/>
                    </w:rPr>
                  </w:pPr>
                  <w:r>
                    <w:rPr>
                      <w:rFonts w:hint="eastAsia"/>
                      <w:lang w:val="en-US" w:eastAsia="zh-CN"/>
                    </w:rPr>
                    <w:t>经</w:t>
                  </w:r>
                  <w:r>
                    <w:rPr>
                      <w:rFonts w:hint="default"/>
                    </w:rPr>
                    <w:t>市政污水管网</w:t>
                  </w:r>
                  <w:r>
                    <w:rPr>
                      <w:rFonts w:hint="eastAsia"/>
                      <w:lang w:val="en-US" w:eastAsia="zh-CN"/>
                    </w:rPr>
                    <w:t>排入龙眼井</w:t>
                  </w:r>
                  <w:r>
                    <w:rPr>
                      <w:rFonts w:hint="default"/>
                    </w:rPr>
                    <w:t>污水处理厂</w:t>
                  </w:r>
                  <w:r>
                    <w:rPr>
                      <w:rFonts w:hint="eastAsia"/>
                      <w:lang w:val="en-US" w:eastAsia="zh-CN"/>
                    </w:rPr>
                    <w:t>处理</w:t>
                  </w:r>
                </w:p>
              </w:tc>
              <w:tc>
                <w:tcPr>
                  <w:tcW w:w="231" w:type="pct"/>
                  <w:tcBorders>
                    <w:top w:val="single" w:color="auto" w:sz="4" w:space="0"/>
                    <w:left w:val="single" w:color="auto" w:sz="4" w:space="0"/>
                    <w:bottom w:val="single" w:color="auto" w:sz="12" w:space="0"/>
                    <w:right w:val="single" w:color="auto" w:sz="4" w:space="0"/>
                  </w:tcBorders>
                  <w:vAlign w:val="center"/>
                </w:tcPr>
                <w:p w14:paraId="645E2DF0">
                  <w:pPr>
                    <w:pStyle w:val="106"/>
                    <w:bidi w:val="0"/>
                    <w:rPr>
                      <w:rFonts w:hint="default"/>
                      <w:lang w:val="en-US" w:eastAsia="zh-CN"/>
                    </w:rPr>
                  </w:pPr>
                  <w:r>
                    <w:rPr>
                      <w:rFonts w:hint="default"/>
                    </w:rPr>
                    <w:t>间接排放</w:t>
                  </w:r>
                </w:p>
              </w:tc>
              <w:tc>
                <w:tcPr>
                  <w:tcW w:w="225" w:type="pct"/>
                  <w:tcBorders>
                    <w:top w:val="single" w:color="auto" w:sz="4" w:space="0"/>
                    <w:left w:val="single" w:color="auto" w:sz="4" w:space="0"/>
                    <w:bottom w:val="single" w:color="auto" w:sz="12" w:space="0"/>
                    <w:right w:val="nil"/>
                  </w:tcBorders>
                  <w:vAlign w:val="center"/>
                </w:tcPr>
                <w:p w14:paraId="65B08268">
                  <w:pPr>
                    <w:pStyle w:val="106"/>
                    <w:bidi w:val="0"/>
                    <w:rPr>
                      <w:rFonts w:hint="default"/>
                      <w:lang w:val="en-US" w:eastAsia="zh-CN"/>
                    </w:rPr>
                  </w:pPr>
                  <w:r>
                    <w:rPr>
                      <w:rFonts w:hint="default"/>
                    </w:rPr>
                    <w:t>间歇排放</w:t>
                  </w:r>
                </w:p>
              </w:tc>
            </w:tr>
          </w:tbl>
          <w:p w14:paraId="468B78E9">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rFonts w:hint="eastAsia"/>
                <w:bCs/>
                <w:color w:val="auto"/>
                <w:sz w:val="24"/>
                <w:szCs w:val="24"/>
                <w:highlight w:val="none"/>
              </w:rPr>
            </w:pPr>
            <w:r>
              <w:rPr>
                <w:rFonts w:hint="eastAsia"/>
                <w:bCs/>
                <w:color w:val="auto"/>
                <w:sz w:val="24"/>
                <w:szCs w:val="24"/>
                <w:highlight w:val="none"/>
              </w:rPr>
              <w:t>本项目废水污染物排放情况见下表。</w:t>
            </w:r>
          </w:p>
          <w:p w14:paraId="71F7D6AB">
            <w:pPr>
              <w:pStyle w:val="14"/>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lang w:val="en-US" w:eastAsia="zh-CN"/>
              </w:rPr>
              <w:t xml:space="preserve">  废水污染物排放情况表</w:t>
            </w:r>
          </w:p>
          <w:tbl>
            <w:tblPr>
              <w:tblStyle w:val="28"/>
              <w:tblW w:w="92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95"/>
              <w:gridCol w:w="1180"/>
              <w:gridCol w:w="1235"/>
              <w:gridCol w:w="789"/>
              <w:gridCol w:w="789"/>
              <w:gridCol w:w="789"/>
              <w:gridCol w:w="789"/>
              <w:gridCol w:w="789"/>
              <w:gridCol w:w="789"/>
              <w:gridCol w:w="793"/>
            </w:tblGrid>
            <w:tr w14:paraId="356D0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39" w:type="pct"/>
                  <w:gridSpan w:val="2"/>
                  <w:tcBorders>
                    <w:tl2br w:val="nil"/>
                    <w:tr2bl w:val="nil"/>
                  </w:tcBorders>
                  <w:shd w:val="clear" w:color="auto" w:fill="auto"/>
                  <w:tcMar>
                    <w:top w:w="15" w:type="dxa"/>
                    <w:left w:w="15" w:type="dxa"/>
                    <w:bottom w:w="0" w:type="dxa"/>
                    <w:right w:w="15" w:type="dxa"/>
                  </w:tcMar>
                  <w:vAlign w:val="center"/>
                </w:tcPr>
                <w:p w14:paraId="51B630FD">
                  <w:pPr>
                    <w:pStyle w:val="106"/>
                    <w:bidi w:val="0"/>
                    <w:rPr>
                      <w:b/>
                      <w:bCs/>
                      <w:color w:val="auto"/>
                      <w:highlight w:val="none"/>
                    </w:rPr>
                  </w:pPr>
                  <w:r>
                    <w:rPr>
                      <w:rFonts w:hint="eastAsia"/>
                      <w:b/>
                      <w:bCs/>
                      <w:color w:val="auto"/>
                      <w:highlight w:val="none"/>
                    </w:rPr>
                    <w:t>污染物名称</w:t>
                  </w:r>
                </w:p>
              </w:tc>
              <w:tc>
                <w:tcPr>
                  <w:tcW w:w="668" w:type="pct"/>
                  <w:tcBorders>
                    <w:tl2br w:val="nil"/>
                    <w:tr2bl w:val="nil"/>
                  </w:tcBorders>
                  <w:shd w:val="clear" w:color="auto" w:fill="auto"/>
                  <w:tcMar>
                    <w:top w:w="15" w:type="dxa"/>
                    <w:left w:w="15" w:type="dxa"/>
                    <w:bottom w:w="0" w:type="dxa"/>
                    <w:right w:w="15" w:type="dxa"/>
                  </w:tcMar>
                  <w:vAlign w:val="center"/>
                </w:tcPr>
                <w:p w14:paraId="24E0B4FE">
                  <w:pPr>
                    <w:pStyle w:val="106"/>
                    <w:bidi w:val="0"/>
                    <w:rPr>
                      <w:b/>
                      <w:bCs/>
                      <w:color w:val="auto"/>
                      <w:highlight w:val="none"/>
                    </w:rPr>
                  </w:pPr>
                  <w:r>
                    <w:rPr>
                      <w:rFonts w:hint="eastAsia"/>
                      <w:b/>
                      <w:bCs/>
                      <w:color w:val="auto"/>
                      <w:highlight w:val="none"/>
                    </w:rPr>
                    <w:t>废水量m</w:t>
                  </w:r>
                  <w:r>
                    <w:rPr>
                      <w:rFonts w:hint="eastAsia"/>
                      <w:b/>
                      <w:bCs/>
                      <w:color w:val="auto"/>
                      <w:highlight w:val="none"/>
                      <w:vertAlign w:val="superscript"/>
                    </w:rPr>
                    <w:t>3</w:t>
                  </w:r>
                  <w:r>
                    <w:rPr>
                      <w:rFonts w:hint="eastAsia"/>
                      <w:b/>
                      <w:bCs/>
                      <w:color w:val="auto"/>
                      <w:highlight w:val="none"/>
                    </w:rPr>
                    <w:t>/a</w:t>
                  </w:r>
                </w:p>
              </w:tc>
              <w:tc>
                <w:tcPr>
                  <w:tcW w:w="427" w:type="pct"/>
                  <w:tcBorders>
                    <w:tl2br w:val="nil"/>
                    <w:tr2bl w:val="nil"/>
                  </w:tcBorders>
                  <w:shd w:val="clear" w:color="auto" w:fill="auto"/>
                  <w:tcMar>
                    <w:top w:w="15" w:type="dxa"/>
                    <w:left w:w="15" w:type="dxa"/>
                    <w:bottom w:w="0" w:type="dxa"/>
                    <w:right w:w="15" w:type="dxa"/>
                  </w:tcMar>
                  <w:vAlign w:val="center"/>
                </w:tcPr>
                <w:p w14:paraId="198DF293">
                  <w:pPr>
                    <w:pStyle w:val="106"/>
                    <w:bidi w:val="0"/>
                    <w:rPr>
                      <w:rFonts w:hint="default" w:eastAsia="宋体"/>
                      <w:b/>
                      <w:bCs/>
                      <w:color w:val="auto"/>
                      <w:highlight w:val="none"/>
                      <w:lang w:val="en-US" w:eastAsia="zh-CN"/>
                    </w:rPr>
                  </w:pPr>
                  <w:r>
                    <w:rPr>
                      <w:rFonts w:hint="eastAsia"/>
                      <w:b/>
                      <w:bCs/>
                      <w:color w:val="auto"/>
                      <w:highlight w:val="none"/>
                      <w:lang w:val="en-US" w:eastAsia="zh-CN"/>
                    </w:rPr>
                    <w:t>pH</w:t>
                  </w:r>
                </w:p>
              </w:tc>
              <w:tc>
                <w:tcPr>
                  <w:tcW w:w="427" w:type="pct"/>
                  <w:tcBorders>
                    <w:tl2br w:val="nil"/>
                    <w:tr2bl w:val="nil"/>
                  </w:tcBorders>
                  <w:shd w:val="clear" w:color="auto" w:fill="auto"/>
                  <w:tcMar>
                    <w:top w:w="15" w:type="dxa"/>
                    <w:left w:w="15" w:type="dxa"/>
                    <w:bottom w:w="0" w:type="dxa"/>
                    <w:right w:w="15" w:type="dxa"/>
                  </w:tcMar>
                  <w:vAlign w:val="center"/>
                </w:tcPr>
                <w:p w14:paraId="057DDD63">
                  <w:pPr>
                    <w:pStyle w:val="106"/>
                    <w:bidi w:val="0"/>
                    <w:rPr>
                      <w:b/>
                      <w:bCs/>
                      <w:color w:val="auto"/>
                      <w:highlight w:val="none"/>
                    </w:rPr>
                  </w:pPr>
                  <w:r>
                    <w:rPr>
                      <w:b/>
                      <w:bCs/>
                      <w:color w:val="auto"/>
                      <w:highlight w:val="none"/>
                    </w:rPr>
                    <w:t>COD</w:t>
                  </w:r>
                </w:p>
              </w:tc>
              <w:tc>
                <w:tcPr>
                  <w:tcW w:w="427" w:type="pct"/>
                  <w:tcBorders>
                    <w:tl2br w:val="nil"/>
                    <w:tr2bl w:val="nil"/>
                  </w:tcBorders>
                  <w:shd w:val="clear" w:color="auto" w:fill="auto"/>
                  <w:tcMar>
                    <w:top w:w="15" w:type="dxa"/>
                    <w:left w:w="15" w:type="dxa"/>
                    <w:bottom w:w="0" w:type="dxa"/>
                    <w:right w:w="15" w:type="dxa"/>
                  </w:tcMar>
                  <w:vAlign w:val="center"/>
                </w:tcPr>
                <w:p w14:paraId="583DA89A">
                  <w:pPr>
                    <w:pStyle w:val="106"/>
                    <w:bidi w:val="0"/>
                    <w:rPr>
                      <w:b/>
                      <w:bCs/>
                      <w:color w:val="auto"/>
                      <w:highlight w:val="none"/>
                    </w:rPr>
                  </w:pPr>
                  <w:r>
                    <w:rPr>
                      <w:b/>
                      <w:bCs/>
                      <w:color w:val="auto"/>
                      <w:highlight w:val="none"/>
                    </w:rPr>
                    <w:t>BOD</w:t>
                  </w:r>
                  <w:r>
                    <w:rPr>
                      <w:b/>
                      <w:bCs/>
                      <w:color w:val="auto"/>
                      <w:highlight w:val="none"/>
                      <w:vertAlign w:val="subscript"/>
                    </w:rPr>
                    <w:t>5</w:t>
                  </w:r>
                </w:p>
              </w:tc>
              <w:tc>
                <w:tcPr>
                  <w:tcW w:w="427" w:type="pct"/>
                  <w:tcBorders>
                    <w:tl2br w:val="nil"/>
                    <w:tr2bl w:val="nil"/>
                  </w:tcBorders>
                  <w:shd w:val="clear" w:color="auto" w:fill="auto"/>
                  <w:tcMar>
                    <w:top w:w="15" w:type="dxa"/>
                    <w:left w:w="15" w:type="dxa"/>
                    <w:bottom w:w="0" w:type="dxa"/>
                    <w:right w:w="15" w:type="dxa"/>
                  </w:tcMar>
                  <w:vAlign w:val="center"/>
                </w:tcPr>
                <w:p w14:paraId="7B420059">
                  <w:pPr>
                    <w:pStyle w:val="106"/>
                    <w:bidi w:val="0"/>
                    <w:rPr>
                      <w:b/>
                      <w:bCs/>
                      <w:color w:val="auto"/>
                      <w:highlight w:val="none"/>
                    </w:rPr>
                  </w:pPr>
                  <w:r>
                    <w:rPr>
                      <w:b/>
                      <w:bCs/>
                      <w:color w:val="auto"/>
                      <w:highlight w:val="none"/>
                    </w:rPr>
                    <w:t>SS</w:t>
                  </w:r>
                </w:p>
              </w:tc>
              <w:tc>
                <w:tcPr>
                  <w:tcW w:w="427" w:type="pct"/>
                  <w:tcBorders>
                    <w:tl2br w:val="nil"/>
                    <w:tr2bl w:val="nil"/>
                  </w:tcBorders>
                  <w:shd w:val="clear" w:color="auto" w:fill="auto"/>
                  <w:tcMar>
                    <w:top w:w="15" w:type="dxa"/>
                    <w:left w:w="15" w:type="dxa"/>
                    <w:bottom w:w="0" w:type="dxa"/>
                    <w:right w:w="15" w:type="dxa"/>
                  </w:tcMar>
                  <w:vAlign w:val="center"/>
                </w:tcPr>
                <w:p w14:paraId="734C12FE">
                  <w:pPr>
                    <w:pStyle w:val="106"/>
                    <w:bidi w:val="0"/>
                    <w:ind w:firstLine="0" w:firstLineChars="0"/>
                    <w:rPr>
                      <w:b/>
                      <w:bCs/>
                      <w:color w:val="auto"/>
                      <w:highlight w:val="none"/>
                    </w:rPr>
                  </w:pPr>
                  <w:r>
                    <w:rPr>
                      <w:rFonts w:hint="default"/>
                      <w:b/>
                      <w:bCs/>
                      <w:color w:val="auto"/>
                      <w:highlight w:val="none"/>
                    </w:rPr>
                    <w:t>NH</w:t>
                  </w:r>
                  <w:r>
                    <w:rPr>
                      <w:rFonts w:hint="default"/>
                      <w:b/>
                      <w:bCs/>
                      <w:color w:val="auto"/>
                      <w:highlight w:val="none"/>
                      <w:vertAlign w:val="subscript"/>
                    </w:rPr>
                    <w:t>3</w:t>
                  </w:r>
                  <w:r>
                    <w:rPr>
                      <w:rFonts w:hint="default"/>
                      <w:b/>
                      <w:bCs/>
                      <w:color w:val="auto"/>
                      <w:highlight w:val="none"/>
                    </w:rPr>
                    <w:t>-N</w:t>
                  </w:r>
                </w:p>
              </w:tc>
              <w:tc>
                <w:tcPr>
                  <w:tcW w:w="427" w:type="pct"/>
                  <w:tcBorders>
                    <w:tl2br w:val="nil"/>
                    <w:tr2bl w:val="nil"/>
                  </w:tcBorders>
                  <w:shd w:val="clear" w:color="auto" w:fill="auto"/>
                  <w:tcMar>
                    <w:top w:w="15" w:type="dxa"/>
                    <w:left w:w="15" w:type="dxa"/>
                    <w:bottom w:w="0" w:type="dxa"/>
                    <w:right w:w="15" w:type="dxa"/>
                  </w:tcMar>
                  <w:vAlign w:val="center"/>
                </w:tcPr>
                <w:p w14:paraId="2FECDF3C">
                  <w:pPr>
                    <w:pStyle w:val="106"/>
                    <w:bidi w:val="0"/>
                    <w:ind w:firstLine="0" w:firstLineChars="0"/>
                    <w:rPr>
                      <w:rFonts w:hint="eastAsia"/>
                      <w:b/>
                      <w:bCs/>
                      <w:color w:val="auto"/>
                      <w:highlight w:val="none"/>
                    </w:rPr>
                  </w:pPr>
                  <w:r>
                    <w:rPr>
                      <w:rFonts w:hint="eastAsia"/>
                      <w:b/>
                      <w:bCs/>
                      <w:color w:val="auto"/>
                      <w:highlight w:val="none"/>
                      <w:lang w:val="en-US" w:eastAsia="zh-CN"/>
                    </w:rPr>
                    <w:t>TP</w:t>
                  </w:r>
                </w:p>
              </w:tc>
              <w:tc>
                <w:tcPr>
                  <w:tcW w:w="429" w:type="pct"/>
                  <w:tcBorders>
                    <w:tl2br w:val="nil"/>
                    <w:tr2bl w:val="nil"/>
                  </w:tcBorders>
                  <w:shd w:val="clear" w:color="auto" w:fill="auto"/>
                  <w:tcMar>
                    <w:top w:w="15" w:type="dxa"/>
                    <w:left w:w="15" w:type="dxa"/>
                    <w:bottom w:w="0" w:type="dxa"/>
                    <w:right w:w="15" w:type="dxa"/>
                  </w:tcMar>
                  <w:vAlign w:val="center"/>
                </w:tcPr>
                <w:p w14:paraId="3CBC32A1">
                  <w:pPr>
                    <w:pStyle w:val="106"/>
                    <w:bidi w:val="0"/>
                    <w:rPr>
                      <w:rFonts w:hint="eastAsia" w:eastAsia="宋体"/>
                      <w:b/>
                      <w:bCs/>
                      <w:color w:val="auto"/>
                      <w:highlight w:val="none"/>
                      <w:lang w:val="en-US" w:eastAsia="zh-CN"/>
                    </w:rPr>
                  </w:pPr>
                  <w:r>
                    <w:rPr>
                      <w:rFonts w:hint="eastAsia"/>
                      <w:b/>
                      <w:bCs/>
                      <w:color w:val="auto"/>
                      <w:highlight w:val="none"/>
                      <w:lang w:val="en-US" w:eastAsia="zh-CN"/>
                    </w:rPr>
                    <w:t>动植物油</w:t>
                  </w:r>
                </w:p>
              </w:tc>
            </w:tr>
            <w:tr w14:paraId="39FCF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00" w:type="pct"/>
                  <w:tcBorders>
                    <w:tl2br w:val="nil"/>
                    <w:tr2bl w:val="nil"/>
                  </w:tcBorders>
                  <w:shd w:val="clear" w:color="auto" w:fill="auto"/>
                  <w:tcMar>
                    <w:top w:w="15" w:type="dxa"/>
                    <w:left w:w="15" w:type="dxa"/>
                    <w:bottom w:w="0" w:type="dxa"/>
                    <w:right w:w="15" w:type="dxa"/>
                  </w:tcMar>
                  <w:vAlign w:val="center"/>
                </w:tcPr>
                <w:p w14:paraId="02A45668">
                  <w:pPr>
                    <w:pStyle w:val="106"/>
                    <w:bidi w:val="0"/>
                    <w:rPr>
                      <w:rFonts w:hint="eastAsia"/>
                      <w:color w:val="auto"/>
                      <w:highlight w:val="none"/>
                      <w:lang w:val="en-US" w:eastAsia="zh-CN"/>
                    </w:rPr>
                  </w:pPr>
                  <w:r>
                    <w:rPr>
                      <w:rFonts w:hint="eastAsia"/>
                      <w:color w:val="auto"/>
                      <w:highlight w:val="none"/>
                      <w:lang w:val="en-US" w:eastAsia="zh-CN"/>
                    </w:rPr>
                    <w:t>排入预处理池污染物量合计</w:t>
                  </w:r>
                </w:p>
              </w:tc>
              <w:tc>
                <w:tcPr>
                  <w:tcW w:w="638" w:type="pct"/>
                  <w:tcBorders>
                    <w:tl2br w:val="nil"/>
                    <w:tr2bl w:val="nil"/>
                  </w:tcBorders>
                  <w:shd w:val="clear" w:color="auto" w:fill="auto"/>
                  <w:tcMar>
                    <w:top w:w="15" w:type="dxa"/>
                    <w:left w:w="15" w:type="dxa"/>
                    <w:bottom w:w="0" w:type="dxa"/>
                    <w:right w:w="15" w:type="dxa"/>
                  </w:tcMar>
                  <w:vAlign w:val="center"/>
                </w:tcPr>
                <w:p w14:paraId="2512B457">
                  <w:pPr>
                    <w:pStyle w:val="106"/>
                    <w:bidi w:val="0"/>
                    <w:rPr>
                      <w:rFonts w:hint="eastAsia"/>
                      <w:color w:val="auto"/>
                      <w:highlight w:val="none"/>
                      <w:lang w:val="en-US" w:eastAsia="zh-CN"/>
                    </w:rPr>
                  </w:pPr>
                  <w:r>
                    <w:rPr>
                      <w:rFonts w:hint="eastAsia"/>
                      <w:color w:val="auto"/>
                      <w:highlight w:val="none"/>
                      <w:lang w:val="en-US" w:eastAsia="zh-CN"/>
                    </w:rPr>
                    <w:t>排放</w:t>
                  </w:r>
                  <w:r>
                    <w:rPr>
                      <w:rFonts w:hint="default"/>
                      <w:color w:val="auto"/>
                      <w:highlight w:val="none"/>
                      <w:lang w:val="en-US" w:eastAsia="zh-CN"/>
                    </w:rPr>
                    <w:t>量（t/a）</w:t>
                  </w:r>
                </w:p>
              </w:tc>
              <w:tc>
                <w:tcPr>
                  <w:tcW w:w="668" w:type="pct"/>
                  <w:tcBorders>
                    <w:tl2br w:val="nil"/>
                    <w:tr2bl w:val="nil"/>
                  </w:tcBorders>
                  <w:shd w:val="clear" w:color="auto" w:fill="auto"/>
                  <w:tcMar>
                    <w:top w:w="15" w:type="dxa"/>
                    <w:left w:w="15" w:type="dxa"/>
                    <w:bottom w:w="0" w:type="dxa"/>
                    <w:right w:w="15" w:type="dxa"/>
                  </w:tcMar>
                  <w:vAlign w:val="center"/>
                </w:tcPr>
                <w:p w14:paraId="06B93612">
                  <w:pPr>
                    <w:pStyle w:val="106"/>
                    <w:bidi w:val="0"/>
                    <w:rPr>
                      <w:rFonts w:hint="default"/>
                      <w:color w:val="auto"/>
                      <w:highlight w:val="none"/>
                      <w:lang w:val="en-US" w:eastAsia="zh-CN"/>
                    </w:rPr>
                  </w:pPr>
                  <w:r>
                    <w:rPr>
                      <w:rFonts w:hint="eastAsia"/>
                      <w:color w:val="auto"/>
                      <w:lang w:val="en-US" w:eastAsia="zh-CN"/>
                    </w:rPr>
                    <w:t>812.7</w:t>
                  </w:r>
                </w:p>
              </w:tc>
              <w:tc>
                <w:tcPr>
                  <w:tcW w:w="427" w:type="pct"/>
                  <w:tcBorders>
                    <w:tl2br w:val="nil"/>
                    <w:tr2bl w:val="nil"/>
                  </w:tcBorders>
                  <w:shd w:val="clear" w:color="auto" w:fill="auto"/>
                  <w:tcMar>
                    <w:top w:w="15" w:type="dxa"/>
                    <w:left w:w="15" w:type="dxa"/>
                    <w:bottom w:w="0" w:type="dxa"/>
                    <w:right w:w="15" w:type="dxa"/>
                  </w:tcMar>
                  <w:vAlign w:val="center"/>
                </w:tcPr>
                <w:p w14:paraId="5E3D1484">
                  <w:pPr>
                    <w:pStyle w:val="106"/>
                    <w:bidi w:val="0"/>
                    <w:jc w:val="center"/>
                    <w:rPr>
                      <w:rFonts w:hint="default"/>
                      <w:color w:val="auto"/>
                      <w:highlight w:val="none"/>
                      <w:lang w:val="en-US" w:eastAsia="zh-CN"/>
                    </w:rPr>
                  </w:pPr>
                  <w:r>
                    <w:rPr>
                      <w:rFonts w:hint="eastAsia"/>
                      <w:color w:val="auto"/>
                      <w:highlight w:val="none"/>
                      <w:lang w:val="en-US" w:eastAsia="zh-CN"/>
                    </w:rPr>
                    <w:t>/</w:t>
                  </w:r>
                </w:p>
              </w:tc>
              <w:tc>
                <w:tcPr>
                  <w:tcW w:w="427" w:type="pct"/>
                  <w:tcBorders>
                    <w:tl2br w:val="nil"/>
                    <w:tr2bl w:val="nil"/>
                  </w:tcBorders>
                  <w:shd w:val="clear" w:color="auto" w:fill="auto"/>
                  <w:tcMar>
                    <w:top w:w="15" w:type="dxa"/>
                    <w:left w:w="15" w:type="dxa"/>
                    <w:bottom w:w="0" w:type="dxa"/>
                    <w:right w:w="15" w:type="dxa"/>
                  </w:tcMar>
                  <w:vAlign w:val="center"/>
                </w:tcPr>
                <w:p w14:paraId="599CB8F0">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0.4061</w:t>
                  </w:r>
                </w:p>
              </w:tc>
              <w:tc>
                <w:tcPr>
                  <w:tcW w:w="427" w:type="pct"/>
                  <w:tcBorders>
                    <w:tl2br w:val="nil"/>
                    <w:tr2bl w:val="nil"/>
                  </w:tcBorders>
                  <w:shd w:val="clear" w:color="auto" w:fill="auto"/>
                  <w:tcMar>
                    <w:top w:w="15" w:type="dxa"/>
                    <w:left w:w="15" w:type="dxa"/>
                    <w:bottom w:w="0" w:type="dxa"/>
                    <w:right w:w="15" w:type="dxa"/>
                  </w:tcMar>
                  <w:vAlign w:val="center"/>
                </w:tcPr>
                <w:p w14:paraId="69824F7C">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0.2437</w:t>
                  </w:r>
                </w:p>
              </w:tc>
              <w:tc>
                <w:tcPr>
                  <w:tcW w:w="427" w:type="pct"/>
                  <w:tcBorders>
                    <w:tl2br w:val="nil"/>
                    <w:tr2bl w:val="nil"/>
                  </w:tcBorders>
                  <w:shd w:val="clear" w:color="auto" w:fill="auto"/>
                  <w:tcMar>
                    <w:top w:w="15" w:type="dxa"/>
                    <w:left w:w="15" w:type="dxa"/>
                    <w:bottom w:w="0" w:type="dxa"/>
                    <w:right w:w="15" w:type="dxa"/>
                  </w:tcMar>
                  <w:vAlign w:val="center"/>
                </w:tcPr>
                <w:p w14:paraId="42214E1A">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0.3244</w:t>
                  </w:r>
                </w:p>
              </w:tc>
              <w:tc>
                <w:tcPr>
                  <w:tcW w:w="427" w:type="pct"/>
                  <w:tcBorders>
                    <w:tl2br w:val="nil"/>
                    <w:tr2bl w:val="nil"/>
                  </w:tcBorders>
                  <w:shd w:val="clear" w:color="auto" w:fill="auto"/>
                  <w:tcMar>
                    <w:top w:w="15" w:type="dxa"/>
                    <w:left w:w="15" w:type="dxa"/>
                    <w:bottom w:w="0" w:type="dxa"/>
                    <w:right w:w="15" w:type="dxa"/>
                  </w:tcMar>
                  <w:vAlign w:val="center"/>
                </w:tcPr>
                <w:p w14:paraId="000CB7E3">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0.0365</w:t>
                  </w:r>
                </w:p>
              </w:tc>
              <w:tc>
                <w:tcPr>
                  <w:tcW w:w="427" w:type="pct"/>
                  <w:tcBorders>
                    <w:tl2br w:val="nil"/>
                    <w:tr2bl w:val="nil"/>
                  </w:tcBorders>
                  <w:shd w:val="clear" w:color="auto" w:fill="auto"/>
                  <w:tcMar>
                    <w:top w:w="15" w:type="dxa"/>
                    <w:left w:w="15" w:type="dxa"/>
                    <w:bottom w:w="0" w:type="dxa"/>
                    <w:right w:w="15" w:type="dxa"/>
                  </w:tcMar>
                  <w:vAlign w:val="center"/>
                </w:tcPr>
                <w:p w14:paraId="3C791E23">
                  <w:pPr>
                    <w:pStyle w:val="106"/>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0.0065</w:t>
                  </w:r>
                </w:p>
              </w:tc>
              <w:tc>
                <w:tcPr>
                  <w:tcW w:w="429" w:type="pct"/>
                  <w:tcBorders>
                    <w:tl2br w:val="nil"/>
                    <w:tr2bl w:val="nil"/>
                  </w:tcBorders>
                  <w:shd w:val="clear" w:color="auto" w:fill="auto"/>
                  <w:tcMar>
                    <w:top w:w="15" w:type="dxa"/>
                    <w:left w:w="15" w:type="dxa"/>
                    <w:bottom w:w="0" w:type="dxa"/>
                    <w:right w:w="15" w:type="dxa"/>
                  </w:tcMar>
                  <w:vAlign w:val="center"/>
                </w:tcPr>
                <w:p w14:paraId="6C6EF72F">
                  <w:pPr>
                    <w:pStyle w:val="106"/>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0F14C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8" w:type="pct"/>
                  <w:gridSpan w:val="3"/>
                  <w:tcBorders>
                    <w:tl2br w:val="nil"/>
                    <w:tr2bl w:val="nil"/>
                  </w:tcBorders>
                  <w:shd w:val="clear" w:color="auto" w:fill="auto"/>
                  <w:tcMar>
                    <w:top w:w="15" w:type="dxa"/>
                    <w:left w:w="15" w:type="dxa"/>
                    <w:bottom w:w="0" w:type="dxa"/>
                    <w:right w:w="15" w:type="dxa"/>
                  </w:tcMar>
                  <w:vAlign w:val="center"/>
                </w:tcPr>
                <w:p w14:paraId="782D10C7">
                  <w:pPr>
                    <w:pStyle w:val="106"/>
                    <w:bidi w:val="0"/>
                    <w:rPr>
                      <w:rFonts w:hint="default"/>
                      <w:color w:val="auto"/>
                      <w:highlight w:val="none"/>
                      <w:lang w:val="en-US" w:eastAsia="zh-CN"/>
                    </w:rPr>
                  </w:pPr>
                  <w:r>
                    <w:rPr>
                      <w:rFonts w:hint="eastAsia"/>
                      <w:color w:val="auto"/>
                      <w:highlight w:val="none"/>
                      <w:lang w:val="en-US" w:eastAsia="zh-CN"/>
                    </w:rPr>
                    <w:t>预处理池处理效率</w:t>
                  </w:r>
                </w:p>
              </w:tc>
              <w:tc>
                <w:tcPr>
                  <w:tcW w:w="427" w:type="pct"/>
                  <w:tcBorders>
                    <w:tl2br w:val="nil"/>
                    <w:tr2bl w:val="nil"/>
                  </w:tcBorders>
                  <w:shd w:val="clear" w:color="auto" w:fill="auto"/>
                  <w:tcMar>
                    <w:top w:w="15" w:type="dxa"/>
                    <w:left w:w="15" w:type="dxa"/>
                    <w:bottom w:w="0" w:type="dxa"/>
                    <w:right w:w="15" w:type="dxa"/>
                  </w:tcMar>
                  <w:vAlign w:val="center"/>
                </w:tcPr>
                <w:p w14:paraId="39DE1B50">
                  <w:pPr>
                    <w:pStyle w:val="106"/>
                    <w:bidi w:val="0"/>
                    <w:jc w:val="center"/>
                    <w:rPr>
                      <w:rFonts w:hint="default"/>
                      <w:color w:val="auto"/>
                      <w:highlight w:val="none"/>
                      <w:lang w:val="en-US" w:eastAsia="zh-CN"/>
                    </w:rPr>
                  </w:pPr>
                  <w:r>
                    <w:rPr>
                      <w:rFonts w:hint="eastAsia"/>
                      <w:color w:val="auto"/>
                      <w:highlight w:val="none"/>
                      <w:lang w:val="en-US" w:eastAsia="zh-CN"/>
                    </w:rPr>
                    <w:t>/</w:t>
                  </w:r>
                </w:p>
              </w:tc>
              <w:tc>
                <w:tcPr>
                  <w:tcW w:w="427" w:type="pct"/>
                  <w:tcBorders>
                    <w:tl2br w:val="nil"/>
                    <w:tr2bl w:val="nil"/>
                  </w:tcBorders>
                  <w:shd w:val="clear" w:color="auto" w:fill="auto"/>
                  <w:tcMar>
                    <w:top w:w="15" w:type="dxa"/>
                    <w:left w:w="15" w:type="dxa"/>
                    <w:bottom w:w="0" w:type="dxa"/>
                    <w:right w:w="15" w:type="dxa"/>
                  </w:tcMar>
                  <w:vAlign w:val="center"/>
                </w:tcPr>
                <w:p w14:paraId="0D62199F">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427" w:type="pct"/>
                  <w:tcBorders>
                    <w:tl2br w:val="nil"/>
                    <w:tr2bl w:val="nil"/>
                  </w:tcBorders>
                  <w:shd w:val="clear" w:color="auto" w:fill="auto"/>
                  <w:tcMar>
                    <w:top w:w="15" w:type="dxa"/>
                    <w:left w:w="15" w:type="dxa"/>
                    <w:bottom w:w="0" w:type="dxa"/>
                    <w:right w:w="15" w:type="dxa"/>
                  </w:tcMar>
                  <w:vAlign w:val="center"/>
                </w:tcPr>
                <w:p w14:paraId="37158403">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w:t>
                  </w:r>
                </w:p>
              </w:tc>
              <w:tc>
                <w:tcPr>
                  <w:tcW w:w="427" w:type="pct"/>
                  <w:tcBorders>
                    <w:tl2br w:val="nil"/>
                    <w:tr2bl w:val="nil"/>
                  </w:tcBorders>
                  <w:shd w:val="clear" w:color="auto" w:fill="auto"/>
                  <w:tcMar>
                    <w:top w:w="15" w:type="dxa"/>
                    <w:left w:w="15" w:type="dxa"/>
                    <w:bottom w:w="0" w:type="dxa"/>
                    <w:right w:w="15" w:type="dxa"/>
                  </w:tcMar>
                  <w:vAlign w:val="center"/>
                </w:tcPr>
                <w:p w14:paraId="7BC37A7D">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427" w:type="pct"/>
                  <w:tcBorders>
                    <w:tl2br w:val="nil"/>
                    <w:tr2bl w:val="nil"/>
                  </w:tcBorders>
                  <w:shd w:val="clear" w:color="auto" w:fill="auto"/>
                  <w:tcMar>
                    <w:top w:w="15" w:type="dxa"/>
                    <w:left w:w="15" w:type="dxa"/>
                    <w:bottom w:w="0" w:type="dxa"/>
                    <w:right w:w="15" w:type="dxa"/>
                  </w:tcMar>
                  <w:vAlign w:val="center"/>
                </w:tcPr>
                <w:p w14:paraId="6ECB6287">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427" w:type="pct"/>
                  <w:tcBorders>
                    <w:tl2br w:val="nil"/>
                    <w:tr2bl w:val="nil"/>
                  </w:tcBorders>
                  <w:shd w:val="clear" w:color="auto" w:fill="auto"/>
                  <w:tcMar>
                    <w:top w:w="15" w:type="dxa"/>
                    <w:left w:w="15" w:type="dxa"/>
                    <w:bottom w:w="0" w:type="dxa"/>
                    <w:right w:w="15" w:type="dxa"/>
                  </w:tcMar>
                  <w:vAlign w:val="center"/>
                </w:tcPr>
                <w:p w14:paraId="2B66F055">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429" w:type="pct"/>
                  <w:tcBorders>
                    <w:tl2br w:val="nil"/>
                    <w:tr2bl w:val="nil"/>
                  </w:tcBorders>
                  <w:shd w:val="clear" w:color="auto" w:fill="auto"/>
                  <w:tcMar>
                    <w:top w:w="15" w:type="dxa"/>
                    <w:left w:w="15" w:type="dxa"/>
                    <w:bottom w:w="0" w:type="dxa"/>
                    <w:right w:w="15" w:type="dxa"/>
                  </w:tcMar>
                  <w:vAlign w:val="center"/>
                </w:tcPr>
                <w:p w14:paraId="5D50EFFB">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3A4CC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00" w:type="pct"/>
                  <w:tcBorders>
                    <w:tl2br w:val="nil"/>
                    <w:tr2bl w:val="nil"/>
                  </w:tcBorders>
                  <w:shd w:val="clear" w:color="auto" w:fill="auto"/>
                  <w:tcMar>
                    <w:top w:w="15" w:type="dxa"/>
                    <w:left w:w="15" w:type="dxa"/>
                    <w:bottom w:w="0" w:type="dxa"/>
                    <w:right w:w="15" w:type="dxa"/>
                  </w:tcMar>
                  <w:vAlign w:val="center"/>
                </w:tcPr>
                <w:p w14:paraId="6329A671">
                  <w:pPr>
                    <w:pStyle w:val="106"/>
                    <w:bidi w:val="0"/>
                    <w:rPr>
                      <w:rFonts w:hint="eastAsia"/>
                      <w:color w:val="auto"/>
                      <w:highlight w:val="none"/>
                      <w:lang w:val="en-US" w:eastAsia="zh-CN"/>
                    </w:rPr>
                  </w:pPr>
                  <w:r>
                    <w:rPr>
                      <w:rFonts w:hint="eastAsia"/>
                      <w:color w:val="auto"/>
                      <w:highlight w:val="none"/>
                      <w:lang w:val="en-US" w:eastAsia="zh-CN"/>
                    </w:rPr>
                    <w:t>排入污水处理池污染物量合计</w:t>
                  </w:r>
                </w:p>
              </w:tc>
              <w:tc>
                <w:tcPr>
                  <w:tcW w:w="638" w:type="pct"/>
                  <w:tcBorders>
                    <w:tl2br w:val="nil"/>
                    <w:tr2bl w:val="nil"/>
                  </w:tcBorders>
                  <w:shd w:val="clear" w:color="auto" w:fill="auto"/>
                  <w:tcMar>
                    <w:top w:w="15" w:type="dxa"/>
                    <w:left w:w="15" w:type="dxa"/>
                    <w:bottom w:w="0" w:type="dxa"/>
                    <w:right w:w="15" w:type="dxa"/>
                  </w:tcMar>
                  <w:vAlign w:val="center"/>
                </w:tcPr>
                <w:p w14:paraId="72D6499A">
                  <w:pPr>
                    <w:pStyle w:val="106"/>
                    <w:bidi w:val="0"/>
                    <w:rPr>
                      <w:rFonts w:hint="eastAsia"/>
                      <w:color w:val="auto"/>
                      <w:highlight w:val="none"/>
                      <w:lang w:val="en-US" w:eastAsia="zh-CN"/>
                    </w:rPr>
                  </w:pPr>
                  <w:r>
                    <w:rPr>
                      <w:rFonts w:hint="eastAsia"/>
                      <w:color w:val="auto"/>
                      <w:highlight w:val="none"/>
                      <w:lang w:val="en-US" w:eastAsia="zh-CN"/>
                    </w:rPr>
                    <w:t>排放</w:t>
                  </w:r>
                  <w:r>
                    <w:rPr>
                      <w:rFonts w:hint="default"/>
                      <w:color w:val="auto"/>
                      <w:highlight w:val="none"/>
                      <w:lang w:val="en-US" w:eastAsia="zh-CN"/>
                    </w:rPr>
                    <w:t>量（t/a）</w:t>
                  </w:r>
                </w:p>
              </w:tc>
              <w:tc>
                <w:tcPr>
                  <w:tcW w:w="668" w:type="pct"/>
                  <w:tcBorders>
                    <w:tl2br w:val="nil"/>
                    <w:tr2bl w:val="nil"/>
                  </w:tcBorders>
                  <w:shd w:val="clear" w:color="auto" w:fill="auto"/>
                  <w:tcMar>
                    <w:top w:w="15" w:type="dxa"/>
                    <w:left w:w="15" w:type="dxa"/>
                    <w:bottom w:w="0" w:type="dxa"/>
                    <w:right w:w="15" w:type="dxa"/>
                  </w:tcMar>
                  <w:vAlign w:val="center"/>
                </w:tcPr>
                <w:p w14:paraId="4D2729A1">
                  <w:pPr>
                    <w:pStyle w:val="106"/>
                    <w:bidi w:val="0"/>
                    <w:rPr>
                      <w:rFonts w:hint="default" w:ascii="Times New Roman" w:hAnsi="Times New Roman" w:eastAsia="宋体" w:cs="Times New Roman"/>
                      <w:i w:val="0"/>
                      <w:iCs w:val="0"/>
                      <w:color w:val="auto"/>
                      <w:kern w:val="2"/>
                      <w:sz w:val="21"/>
                      <w:szCs w:val="21"/>
                      <w:u w:val="none"/>
                      <w:lang w:val="en-US" w:eastAsia="zh-CN" w:bidi="ar-SA"/>
                    </w:rPr>
                  </w:pPr>
                  <w:r>
                    <w:rPr>
                      <w:rFonts w:hint="eastAsia"/>
                      <w:color w:val="auto"/>
                      <w:lang w:val="en-US" w:eastAsia="zh-CN"/>
                    </w:rPr>
                    <w:t>13458.7</w:t>
                  </w:r>
                </w:p>
              </w:tc>
              <w:tc>
                <w:tcPr>
                  <w:tcW w:w="427" w:type="pct"/>
                  <w:tcBorders>
                    <w:tl2br w:val="nil"/>
                    <w:tr2bl w:val="nil"/>
                  </w:tcBorders>
                  <w:shd w:val="clear" w:color="auto" w:fill="auto"/>
                  <w:tcMar>
                    <w:top w:w="15" w:type="dxa"/>
                    <w:left w:w="15" w:type="dxa"/>
                    <w:bottom w:w="0" w:type="dxa"/>
                    <w:right w:w="15" w:type="dxa"/>
                  </w:tcMar>
                  <w:vAlign w:val="center"/>
                </w:tcPr>
                <w:p w14:paraId="147F59AF">
                  <w:pPr>
                    <w:pStyle w:val="106"/>
                    <w:bidi w:val="0"/>
                    <w:jc w:val="center"/>
                    <w:rPr>
                      <w:rFonts w:hint="default"/>
                      <w:color w:val="auto"/>
                      <w:highlight w:val="none"/>
                      <w:lang w:val="en-US" w:eastAsia="zh-CN"/>
                    </w:rPr>
                  </w:pPr>
                  <w:r>
                    <w:rPr>
                      <w:rFonts w:hint="eastAsia"/>
                      <w:color w:val="auto"/>
                      <w:highlight w:val="none"/>
                      <w:lang w:val="en-US" w:eastAsia="zh-CN"/>
                    </w:rPr>
                    <w:t>/</w:t>
                  </w:r>
                </w:p>
              </w:tc>
              <w:tc>
                <w:tcPr>
                  <w:tcW w:w="427" w:type="pct"/>
                  <w:tcBorders>
                    <w:tl2br w:val="nil"/>
                    <w:tr2bl w:val="nil"/>
                  </w:tcBorders>
                  <w:shd w:val="clear" w:color="auto" w:fill="auto"/>
                  <w:tcMar>
                    <w:top w:w="15" w:type="dxa"/>
                    <w:left w:w="15" w:type="dxa"/>
                    <w:bottom w:w="0" w:type="dxa"/>
                    <w:right w:w="15" w:type="dxa"/>
                  </w:tcMar>
                  <w:vAlign w:val="center"/>
                </w:tcPr>
                <w:p w14:paraId="199160A1">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15.1072</w:t>
                  </w:r>
                </w:p>
              </w:tc>
              <w:tc>
                <w:tcPr>
                  <w:tcW w:w="427" w:type="pct"/>
                  <w:tcBorders>
                    <w:tl2br w:val="nil"/>
                    <w:tr2bl w:val="nil"/>
                  </w:tcBorders>
                  <w:shd w:val="clear" w:color="auto" w:fill="auto"/>
                  <w:tcMar>
                    <w:top w:w="15" w:type="dxa"/>
                    <w:left w:w="15" w:type="dxa"/>
                    <w:bottom w:w="0" w:type="dxa"/>
                    <w:right w:w="15" w:type="dxa"/>
                  </w:tcMar>
                  <w:vAlign w:val="center"/>
                </w:tcPr>
                <w:p w14:paraId="147C96EB">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8.9036</w:t>
                  </w:r>
                </w:p>
              </w:tc>
              <w:tc>
                <w:tcPr>
                  <w:tcW w:w="427" w:type="pct"/>
                  <w:tcBorders>
                    <w:tl2br w:val="nil"/>
                    <w:tr2bl w:val="nil"/>
                  </w:tcBorders>
                  <w:shd w:val="clear" w:color="auto" w:fill="auto"/>
                  <w:tcMar>
                    <w:top w:w="15" w:type="dxa"/>
                    <w:left w:w="15" w:type="dxa"/>
                    <w:bottom w:w="0" w:type="dxa"/>
                    <w:right w:w="15" w:type="dxa"/>
                  </w:tcMar>
                  <w:vAlign w:val="center"/>
                </w:tcPr>
                <w:p w14:paraId="21DFA572">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5.5215</w:t>
                  </w:r>
                </w:p>
              </w:tc>
              <w:tc>
                <w:tcPr>
                  <w:tcW w:w="427" w:type="pct"/>
                  <w:tcBorders>
                    <w:tl2br w:val="nil"/>
                    <w:tr2bl w:val="nil"/>
                  </w:tcBorders>
                  <w:shd w:val="clear" w:color="auto" w:fill="auto"/>
                  <w:tcMar>
                    <w:top w:w="15" w:type="dxa"/>
                    <w:left w:w="15" w:type="dxa"/>
                    <w:bottom w:w="0" w:type="dxa"/>
                    <w:right w:w="15" w:type="dxa"/>
                  </w:tcMar>
                  <w:vAlign w:val="center"/>
                </w:tcPr>
                <w:p w14:paraId="7070C2BF">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0.8820</w:t>
                  </w:r>
                </w:p>
              </w:tc>
              <w:tc>
                <w:tcPr>
                  <w:tcW w:w="427" w:type="pct"/>
                  <w:tcBorders>
                    <w:tl2br w:val="nil"/>
                    <w:tr2bl w:val="nil"/>
                  </w:tcBorders>
                  <w:shd w:val="clear" w:color="auto" w:fill="auto"/>
                  <w:tcMar>
                    <w:top w:w="15" w:type="dxa"/>
                    <w:left w:w="15" w:type="dxa"/>
                    <w:bottom w:w="0" w:type="dxa"/>
                    <w:right w:w="15" w:type="dxa"/>
                  </w:tcMar>
                  <w:vAlign w:val="center"/>
                </w:tcPr>
                <w:p w14:paraId="19C9C1AA">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0.0702</w:t>
                  </w:r>
                </w:p>
              </w:tc>
              <w:tc>
                <w:tcPr>
                  <w:tcW w:w="429" w:type="pct"/>
                  <w:tcBorders>
                    <w:tl2br w:val="nil"/>
                    <w:tr2bl w:val="nil"/>
                  </w:tcBorders>
                  <w:shd w:val="clear" w:color="auto" w:fill="auto"/>
                  <w:tcMar>
                    <w:top w:w="15" w:type="dxa"/>
                    <w:left w:w="15" w:type="dxa"/>
                    <w:bottom w:w="0" w:type="dxa"/>
                    <w:right w:w="15" w:type="dxa"/>
                  </w:tcMar>
                  <w:vAlign w:val="center"/>
                </w:tcPr>
                <w:p w14:paraId="548166FB">
                  <w:pPr>
                    <w:pStyle w:val="106"/>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5848</w:t>
                  </w:r>
                </w:p>
              </w:tc>
            </w:tr>
            <w:tr w14:paraId="14A58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8" w:type="pct"/>
                  <w:gridSpan w:val="3"/>
                  <w:tcBorders>
                    <w:tl2br w:val="nil"/>
                    <w:tr2bl w:val="nil"/>
                  </w:tcBorders>
                  <w:shd w:val="clear" w:color="auto" w:fill="auto"/>
                  <w:tcMar>
                    <w:top w:w="15" w:type="dxa"/>
                    <w:left w:w="15" w:type="dxa"/>
                    <w:bottom w:w="0" w:type="dxa"/>
                    <w:right w:w="15" w:type="dxa"/>
                  </w:tcMar>
                  <w:vAlign w:val="center"/>
                </w:tcPr>
                <w:p w14:paraId="2C281038">
                  <w:pPr>
                    <w:pStyle w:val="106"/>
                    <w:bidi w:val="0"/>
                    <w:rPr>
                      <w:rFonts w:hint="default"/>
                      <w:color w:val="auto"/>
                      <w:highlight w:val="none"/>
                      <w:lang w:val="en-US" w:eastAsia="zh-CN"/>
                    </w:rPr>
                  </w:pPr>
                  <w:r>
                    <w:rPr>
                      <w:rFonts w:hint="eastAsia"/>
                      <w:color w:val="auto"/>
                      <w:highlight w:val="none"/>
                      <w:lang w:val="en-US" w:eastAsia="zh-CN"/>
                    </w:rPr>
                    <w:t>污水处理池预计处理效率</w:t>
                  </w:r>
                </w:p>
              </w:tc>
              <w:tc>
                <w:tcPr>
                  <w:tcW w:w="427" w:type="pct"/>
                  <w:tcBorders>
                    <w:tl2br w:val="nil"/>
                    <w:tr2bl w:val="nil"/>
                  </w:tcBorders>
                  <w:shd w:val="clear" w:color="auto" w:fill="auto"/>
                  <w:tcMar>
                    <w:top w:w="15" w:type="dxa"/>
                    <w:left w:w="15" w:type="dxa"/>
                    <w:bottom w:w="0" w:type="dxa"/>
                    <w:right w:w="15" w:type="dxa"/>
                  </w:tcMar>
                  <w:vAlign w:val="center"/>
                </w:tcPr>
                <w:p w14:paraId="5E128FC3">
                  <w:pPr>
                    <w:pStyle w:val="106"/>
                    <w:bidi w:val="0"/>
                    <w:jc w:val="center"/>
                    <w:rPr>
                      <w:rFonts w:hint="default"/>
                      <w:color w:val="auto"/>
                      <w:highlight w:val="none"/>
                      <w:lang w:val="en-US" w:eastAsia="zh-CN"/>
                    </w:rPr>
                  </w:pPr>
                  <w:r>
                    <w:rPr>
                      <w:rFonts w:hint="eastAsia"/>
                      <w:color w:val="auto"/>
                      <w:highlight w:val="none"/>
                      <w:lang w:val="en-US" w:eastAsia="zh-CN"/>
                    </w:rPr>
                    <w:t>/</w:t>
                  </w:r>
                </w:p>
              </w:tc>
              <w:tc>
                <w:tcPr>
                  <w:tcW w:w="427" w:type="pct"/>
                  <w:tcBorders>
                    <w:tl2br w:val="nil"/>
                    <w:tr2bl w:val="nil"/>
                  </w:tcBorders>
                  <w:shd w:val="clear" w:color="auto" w:fill="auto"/>
                  <w:tcMar>
                    <w:top w:w="15" w:type="dxa"/>
                    <w:left w:w="15" w:type="dxa"/>
                    <w:bottom w:w="0" w:type="dxa"/>
                    <w:right w:w="15" w:type="dxa"/>
                  </w:tcMar>
                  <w:vAlign w:val="center"/>
                </w:tcPr>
                <w:p w14:paraId="76632379">
                  <w:pPr>
                    <w:pStyle w:val="106"/>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80%</w:t>
                  </w:r>
                </w:p>
              </w:tc>
              <w:tc>
                <w:tcPr>
                  <w:tcW w:w="427" w:type="pct"/>
                  <w:tcBorders>
                    <w:tl2br w:val="nil"/>
                    <w:tr2bl w:val="nil"/>
                  </w:tcBorders>
                  <w:shd w:val="clear" w:color="auto" w:fill="auto"/>
                  <w:tcMar>
                    <w:top w:w="15" w:type="dxa"/>
                    <w:left w:w="15" w:type="dxa"/>
                    <w:bottom w:w="0" w:type="dxa"/>
                    <w:right w:w="15" w:type="dxa"/>
                  </w:tcMar>
                  <w:vAlign w:val="center"/>
                </w:tcPr>
                <w:p w14:paraId="79230317">
                  <w:pPr>
                    <w:pStyle w:val="106"/>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427" w:type="pct"/>
                  <w:tcBorders>
                    <w:tl2br w:val="nil"/>
                    <w:tr2bl w:val="nil"/>
                  </w:tcBorders>
                  <w:shd w:val="clear" w:color="auto" w:fill="auto"/>
                  <w:tcMar>
                    <w:top w:w="15" w:type="dxa"/>
                    <w:left w:w="15" w:type="dxa"/>
                    <w:bottom w:w="0" w:type="dxa"/>
                    <w:right w:w="15" w:type="dxa"/>
                  </w:tcMar>
                  <w:vAlign w:val="center"/>
                </w:tcPr>
                <w:p w14:paraId="7CD57D63">
                  <w:pPr>
                    <w:pStyle w:val="106"/>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90%</w:t>
                  </w:r>
                </w:p>
              </w:tc>
              <w:tc>
                <w:tcPr>
                  <w:tcW w:w="427" w:type="pct"/>
                  <w:tcBorders>
                    <w:tl2br w:val="nil"/>
                    <w:tr2bl w:val="nil"/>
                  </w:tcBorders>
                  <w:shd w:val="clear" w:color="auto" w:fill="auto"/>
                  <w:tcMar>
                    <w:top w:w="15" w:type="dxa"/>
                    <w:left w:w="15" w:type="dxa"/>
                    <w:bottom w:w="0" w:type="dxa"/>
                    <w:right w:w="15" w:type="dxa"/>
                  </w:tcMar>
                  <w:vAlign w:val="center"/>
                </w:tcPr>
                <w:p w14:paraId="0FFE6C01">
                  <w:pPr>
                    <w:pStyle w:val="106"/>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70%</w:t>
                  </w:r>
                </w:p>
              </w:tc>
              <w:tc>
                <w:tcPr>
                  <w:tcW w:w="427" w:type="pct"/>
                  <w:tcBorders>
                    <w:tl2br w:val="nil"/>
                    <w:tr2bl w:val="nil"/>
                  </w:tcBorders>
                  <w:shd w:val="clear" w:color="auto" w:fill="auto"/>
                  <w:tcMar>
                    <w:top w:w="15" w:type="dxa"/>
                    <w:left w:w="15" w:type="dxa"/>
                    <w:bottom w:w="0" w:type="dxa"/>
                    <w:right w:w="15" w:type="dxa"/>
                  </w:tcMar>
                  <w:vAlign w:val="center"/>
                </w:tcPr>
                <w:p w14:paraId="3E05B78A">
                  <w:pPr>
                    <w:pStyle w:val="106"/>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429" w:type="pct"/>
                  <w:tcBorders>
                    <w:tl2br w:val="nil"/>
                    <w:tr2bl w:val="nil"/>
                  </w:tcBorders>
                  <w:shd w:val="clear" w:color="auto" w:fill="auto"/>
                  <w:tcMar>
                    <w:top w:w="15" w:type="dxa"/>
                    <w:left w:w="15" w:type="dxa"/>
                    <w:bottom w:w="0" w:type="dxa"/>
                    <w:right w:w="15" w:type="dxa"/>
                  </w:tcMar>
                  <w:vAlign w:val="center"/>
                </w:tcPr>
                <w:p w14:paraId="3BC5F11C">
                  <w:pPr>
                    <w:pStyle w:val="106"/>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80%</w:t>
                  </w:r>
                </w:p>
              </w:tc>
            </w:tr>
            <w:tr w14:paraId="17450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00" w:type="pct"/>
                  <w:vMerge w:val="restart"/>
                  <w:tcBorders>
                    <w:tl2br w:val="nil"/>
                    <w:tr2bl w:val="nil"/>
                  </w:tcBorders>
                  <w:shd w:val="clear" w:color="auto" w:fill="auto"/>
                  <w:tcMar>
                    <w:top w:w="15" w:type="dxa"/>
                    <w:left w:w="15" w:type="dxa"/>
                    <w:bottom w:w="0" w:type="dxa"/>
                    <w:right w:w="15" w:type="dxa"/>
                  </w:tcMar>
                  <w:vAlign w:val="center"/>
                </w:tcPr>
                <w:p w14:paraId="370A99DC">
                  <w:pPr>
                    <w:pStyle w:val="106"/>
                    <w:bidi w:val="0"/>
                    <w:rPr>
                      <w:rFonts w:hint="eastAsia"/>
                      <w:color w:val="auto"/>
                      <w:highlight w:val="none"/>
                    </w:rPr>
                  </w:pPr>
                  <w:r>
                    <w:rPr>
                      <w:rFonts w:hint="eastAsia"/>
                      <w:color w:val="auto"/>
                      <w:highlight w:val="none"/>
                      <w:lang w:val="en-US" w:eastAsia="zh-CN"/>
                    </w:rPr>
                    <w:t>排入龙眼井污水处理厂污染物量合计</w:t>
                  </w:r>
                </w:p>
              </w:tc>
              <w:tc>
                <w:tcPr>
                  <w:tcW w:w="638" w:type="pct"/>
                  <w:tcBorders>
                    <w:tl2br w:val="nil"/>
                    <w:tr2bl w:val="nil"/>
                  </w:tcBorders>
                  <w:shd w:val="clear" w:color="auto" w:fill="auto"/>
                  <w:tcMar>
                    <w:top w:w="15" w:type="dxa"/>
                    <w:left w:w="15" w:type="dxa"/>
                    <w:bottom w:w="0" w:type="dxa"/>
                    <w:right w:w="15" w:type="dxa"/>
                  </w:tcMar>
                  <w:vAlign w:val="center"/>
                </w:tcPr>
                <w:p w14:paraId="2A135482">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排放</w:t>
                  </w:r>
                  <w:r>
                    <w:rPr>
                      <w:rFonts w:hint="default"/>
                      <w:color w:val="auto"/>
                      <w:highlight w:val="none"/>
                    </w:rPr>
                    <w:t>浓度（mg/L）</w:t>
                  </w:r>
                </w:p>
              </w:tc>
              <w:tc>
                <w:tcPr>
                  <w:tcW w:w="668" w:type="pct"/>
                  <w:vMerge w:val="restart"/>
                  <w:tcBorders>
                    <w:tl2br w:val="nil"/>
                    <w:tr2bl w:val="nil"/>
                  </w:tcBorders>
                  <w:shd w:val="clear" w:color="auto" w:fill="auto"/>
                  <w:tcMar>
                    <w:top w:w="15" w:type="dxa"/>
                    <w:left w:w="15" w:type="dxa"/>
                    <w:bottom w:w="0" w:type="dxa"/>
                    <w:right w:w="15" w:type="dxa"/>
                  </w:tcMar>
                  <w:vAlign w:val="center"/>
                </w:tcPr>
                <w:p w14:paraId="32032AA1">
                  <w:pPr>
                    <w:pStyle w:val="106"/>
                    <w:bidi w:val="0"/>
                    <w:rPr>
                      <w:rFonts w:hint="eastAsia"/>
                      <w:color w:val="auto"/>
                      <w:highlight w:val="none"/>
                      <w:lang w:val="en-US" w:eastAsia="zh-CN"/>
                    </w:rPr>
                  </w:pPr>
                  <w:r>
                    <w:rPr>
                      <w:rFonts w:hint="eastAsia"/>
                      <w:color w:val="auto"/>
                      <w:highlight w:val="none"/>
                      <w:lang w:eastAsia="zh-CN"/>
                    </w:rPr>
                    <w:t>14271</w:t>
                  </w:r>
                </w:p>
              </w:tc>
              <w:tc>
                <w:tcPr>
                  <w:tcW w:w="427" w:type="pct"/>
                  <w:tcBorders>
                    <w:tl2br w:val="nil"/>
                    <w:tr2bl w:val="nil"/>
                  </w:tcBorders>
                  <w:shd w:val="clear" w:color="auto" w:fill="auto"/>
                  <w:tcMar>
                    <w:top w:w="15" w:type="dxa"/>
                    <w:left w:w="15" w:type="dxa"/>
                    <w:bottom w:w="0" w:type="dxa"/>
                    <w:right w:w="15" w:type="dxa"/>
                  </w:tcMar>
                  <w:vAlign w:val="center"/>
                </w:tcPr>
                <w:p w14:paraId="72B261E5">
                  <w:pPr>
                    <w:pStyle w:val="106"/>
                    <w:bidi w:val="0"/>
                    <w:jc w:val="center"/>
                    <w:rPr>
                      <w:rFonts w:hint="default"/>
                      <w:color w:val="auto"/>
                      <w:highlight w:val="none"/>
                      <w:lang w:val="en-US" w:eastAsia="zh-CN"/>
                    </w:rPr>
                  </w:pPr>
                  <w:r>
                    <w:rPr>
                      <w:rFonts w:hint="eastAsia"/>
                      <w:color w:val="auto"/>
                      <w:highlight w:val="none"/>
                      <w:lang w:val="en-US" w:eastAsia="zh-CN"/>
                    </w:rPr>
                    <w:t>6~9</w:t>
                  </w:r>
                </w:p>
              </w:tc>
              <w:tc>
                <w:tcPr>
                  <w:tcW w:w="427" w:type="pct"/>
                  <w:tcBorders>
                    <w:tl2br w:val="nil"/>
                    <w:tr2bl w:val="nil"/>
                  </w:tcBorders>
                  <w:shd w:val="clear" w:color="auto" w:fill="auto"/>
                  <w:tcMar>
                    <w:top w:w="15" w:type="dxa"/>
                    <w:left w:w="15" w:type="dxa"/>
                    <w:bottom w:w="0" w:type="dxa"/>
                    <w:right w:w="15" w:type="dxa"/>
                  </w:tcMar>
                  <w:vAlign w:val="center"/>
                </w:tcPr>
                <w:p w14:paraId="11E4C92D">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234</w:t>
                  </w:r>
                </w:p>
              </w:tc>
              <w:tc>
                <w:tcPr>
                  <w:tcW w:w="427" w:type="pct"/>
                  <w:tcBorders>
                    <w:tl2br w:val="nil"/>
                    <w:tr2bl w:val="nil"/>
                  </w:tcBorders>
                  <w:shd w:val="clear" w:color="auto" w:fill="auto"/>
                  <w:tcMar>
                    <w:top w:w="15" w:type="dxa"/>
                    <w:left w:w="15" w:type="dxa"/>
                    <w:bottom w:w="0" w:type="dxa"/>
                    <w:right w:w="15" w:type="dxa"/>
                  </w:tcMar>
                  <w:vAlign w:val="center"/>
                </w:tcPr>
                <w:p w14:paraId="3CE757B2">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262</w:t>
                  </w:r>
                </w:p>
              </w:tc>
              <w:tc>
                <w:tcPr>
                  <w:tcW w:w="427" w:type="pct"/>
                  <w:tcBorders>
                    <w:tl2br w:val="nil"/>
                    <w:tr2bl w:val="nil"/>
                  </w:tcBorders>
                  <w:shd w:val="clear" w:color="auto" w:fill="auto"/>
                  <w:tcMar>
                    <w:top w:w="15" w:type="dxa"/>
                    <w:left w:w="15" w:type="dxa"/>
                    <w:bottom w:w="0" w:type="dxa"/>
                    <w:right w:w="15" w:type="dxa"/>
                  </w:tcMar>
                  <w:vAlign w:val="center"/>
                </w:tcPr>
                <w:p w14:paraId="3261F2DD">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427" w:type="pct"/>
                  <w:tcBorders>
                    <w:tl2br w:val="nil"/>
                    <w:tr2bl w:val="nil"/>
                  </w:tcBorders>
                  <w:shd w:val="clear" w:color="auto" w:fill="auto"/>
                  <w:tcMar>
                    <w:top w:w="15" w:type="dxa"/>
                    <w:left w:w="15" w:type="dxa"/>
                    <w:bottom w:w="0" w:type="dxa"/>
                    <w:right w:w="15" w:type="dxa"/>
                  </w:tcMar>
                  <w:vAlign w:val="center"/>
                </w:tcPr>
                <w:p w14:paraId="44E52C60">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21</w:t>
                  </w:r>
                </w:p>
              </w:tc>
              <w:tc>
                <w:tcPr>
                  <w:tcW w:w="427" w:type="pct"/>
                  <w:tcBorders>
                    <w:tl2br w:val="nil"/>
                    <w:tr2bl w:val="nil"/>
                  </w:tcBorders>
                  <w:shd w:val="clear" w:color="auto" w:fill="auto"/>
                  <w:tcMar>
                    <w:top w:w="15" w:type="dxa"/>
                    <w:left w:w="15" w:type="dxa"/>
                    <w:bottom w:w="0" w:type="dxa"/>
                    <w:right w:w="15" w:type="dxa"/>
                  </w:tcMar>
                  <w:vAlign w:val="center"/>
                </w:tcPr>
                <w:p w14:paraId="746A08C4">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429" w:type="pct"/>
                  <w:tcBorders>
                    <w:tl2br w:val="nil"/>
                    <w:tr2bl w:val="nil"/>
                  </w:tcBorders>
                  <w:shd w:val="clear" w:color="auto" w:fill="auto"/>
                  <w:tcMar>
                    <w:top w:w="15" w:type="dxa"/>
                    <w:left w:w="15" w:type="dxa"/>
                    <w:bottom w:w="0" w:type="dxa"/>
                    <w:right w:w="15" w:type="dxa"/>
                  </w:tcMar>
                  <w:vAlign w:val="center"/>
                </w:tcPr>
                <w:p w14:paraId="466156E9">
                  <w:pPr>
                    <w:pStyle w:val="106"/>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36</w:t>
                  </w:r>
                </w:p>
              </w:tc>
            </w:tr>
            <w:tr w14:paraId="0AB4C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00" w:type="pct"/>
                  <w:vMerge w:val="continue"/>
                  <w:tcBorders>
                    <w:tl2br w:val="nil"/>
                    <w:tr2bl w:val="nil"/>
                  </w:tcBorders>
                  <w:shd w:val="clear" w:color="auto" w:fill="auto"/>
                  <w:tcMar>
                    <w:top w:w="15" w:type="dxa"/>
                    <w:left w:w="15" w:type="dxa"/>
                    <w:bottom w:w="0" w:type="dxa"/>
                    <w:right w:w="15" w:type="dxa"/>
                  </w:tcMar>
                  <w:vAlign w:val="center"/>
                </w:tcPr>
                <w:p w14:paraId="4B265683">
                  <w:pPr>
                    <w:pStyle w:val="106"/>
                    <w:bidi w:val="0"/>
                    <w:rPr>
                      <w:rFonts w:hint="eastAsia"/>
                      <w:color w:val="auto"/>
                      <w:highlight w:val="none"/>
                    </w:rPr>
                  </w:pPr>
                </w:p>
              </w:tc>
              <w:tc>
                <w:tcPr>
                  <w:tcW w:w="638" w:type="pct"/>
                  <w:tcBorders>
                    <w:tl2br w:val="nil"/>
                    <w:tr2bl w:val="nil"/>
                  </w:tcBorders>
                  <w:shd w:val="clear" w:color="auto" w:fill="auto"/>
                  <w:tcMar>
                    <w:top w:w="15" w:type="dxa"/>
                    <w:left w:w="15" w:type="dxa"/>
                    <w:bottom w:w="0" w:type="dxa"/>
                    <w:right w:w="15" w:type="dxa"/>
                  </w:tcMar>
                  <w:vAlign w:val="center"/>
                </w:tcPr>
                <w:p w14:paraId="57A968DD">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排放</w:t>
                  </w:r>
                  <w:r>
                    <w:rPr>
                      <w:rFonts w:hint="default"/>
                      <w:color w:val="auto"/>
                      <w:highlight w:val="none"/>
                      <w:lang w:val="en-US" w:eastAsia="zh-CN"/>
                    </w:rPr>
                    <w:t>量（t/a）</w:t>
                  </w:r>
                </w:p>
              </w:tc>
              <w:tc>
                <w:tcPr>
                  <w:tcW w:w="668" w:type="pct"/>
                  <w:vMerge w:val="continue"/>
                  <w:tcBorders>
                    <w:tl2br w:val="nil"/>
                    <w:tr2bl w:val="nil"/>
                  </w:tcBorders>
                  <w:shd w:val="clear" w:color="auto" w:fill="auto"/>
                  <w:tcMar>
                    <w:top w:w="15" w:type="dxa"/>
                    <w:left w:w="15" w:type="dxa"/>
                    <w:bottom w:w="0" w:type="dxa"/>
                    <w:right w:w="15" w:type="dxa"/>
                  </w:tcMar>
                  <w:vAlign w:val="center"/>
                </w:tcPr>
                <w:p w14:paraId="6D4EC1A7">
                  <w:pPr>
                    <w:pStyle w:val="106"/>
                    <w:bidi w:val="0"/>
                    <w:rPr>
                      <w:rFonts w:hint="eastAsia"/>
                      <w:color w:val="auto"/>
                      <w:highlight w:val="none"/>
                      <w:lang w:val="en-US" w:eastAsia="zh-CN"/>
                    </w:rPr>
                  </w:pPr>
                </w:p>
              </w:tc>
              <w:tc>
                <w:tcPr>
                  <w:tcW w:w="427" w:type="pct"/>
                  <w:tcBorders>
                    <w:tl2br w:val="nil"/>
                    <w:tr2bl w:val="nil"/>
                  </w:tcBorders>
                  <w:shd w:val="clear" w:color="auto" w:fill="auto"/>
                  <w:tcMar>
                    <w:top w:w="15" w:type="dxa"/>
                    <w:left w:w="15" w:type="dxa"/>
                    <w:bottom w:w="0" w:type="dxa"/>
                    <w:right w:w="15" w:type="dxa"/>
                  </w:tcMar>
                  <w:vAlign w:val="center"/>
                </w:tcPr>
                <w:p w14:paraId="5251E51C">
                  <w:pPr>
                    <w:pStyle w:val="106"/>
                    <w:bidi w:val="0"/>
                    <w:jc w:val="center"/>
                    <w:rPr>
                      <w:rFonts w:hint="default"/>
                      <w:color w:val="auto"/>
                      <w:highlight w:val="none"/>
                      <w:lang w:val="en-US" w:eastAsia="zh-CN"/>
                    </w:rPr>
                  </w:pPr>
                  <w:r>
                    <w:rPr>
                      <w:rFonts w:hint="eastAsia"/>
                      <w:color w:val="auto"/>
                      <w:highlight w:val="none"/>
                      <w:lang w:val="en-US" w:eastAsia="zh-CN"/>
                    </w:rPr>
                    <w:t>/</w:t>
                  </w:r>
                </w:p>
              </w:tc>
              <w:tc>
                <w:tcPr>
                  <w:tcW w:w="427" w:type="pct"/>
                  <w:tcBorders>
                    <w:tl2br w:val="nil"/>
                    <w:tr2bl w:val="nil"/>
                  </w:tcBorders>
                  <w:shd w:val="clear" w:color="auto" w:fill="auto"/>
                  <w:tcMar>
                    <w:top w:w="15" w:type="dxa"/>
                    <w:left w:w="15" w:type="dxa"/>
                    <w:bottom w:w="0" w:type="dxa"/>
                    <w:right w:w="15" w:type="dxa"/>
                  </w:tcMar>
                  <w:vAlign w:val="center"/>
                </w:tcPr>
                <w:p w14:paraId="15FC2B53">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3.3463</w:t>
                  </w:r>
                </w:p>
              </w:tc>
              <w:tc>
                <w:tcPr>
                  <w:tcW w:w="427" w:type="pct"/>
                  <w:tcBorders>
                    <w:tl2br w:val="nil"/>
                    <w:tr2bl w:val="nil"/>
                  </w:tcBorders>
                  <w:shd w:val="clear" w:color="auto" w:fill="auto"/>
                  <w:tcMar>
                    <w:top w:w="15" w:type="dxa"/>
                    <w:left w:w="15" w:type="dxa"/>
                    <w:bottom w:w="0" w:type="dxa"/>
                    <w:right w:w="15" w:type="dxa"/>
                  </w:tcMar>
                  <w:vAlign w:val="center"/>
                </w:tcPr>
                <w:p w14:paraId="142D4A11">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3.7320</w:t>
                  </w:r>
                </w:p>
              </w:tc>
              <w:tc>
                <w:tcPr>
                  <w:tcW w:w="427" w:type="pct"/>
                  <w:tcBorders>
                    <w:tl2br w:val="nil"/>
                    <w:tr2bl w:val="nil"/>
                  </w:tcBorders>
                  <w:shd w:val="clear" w:color="auto" w:fill="auto"/>
                  <w:tcMar>
                    <w:top w:w="15" w:type="dxa"/>
                    <w:left w:w="15" w:type="dxa"/>
                    <w:bottom w:w="0" w:type="dxa"/>
                    <w:right w:w="15" w:type="dxa"/>
                  </w:tcMar>
                  <w:vAlign w:val="center"/>
                </w:tcPr>
                <w:p w14:paraId="37FE09BA">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0.7144</w:t>
                  </w:r>
                </w:p>
              </w:tc>
              <w:tc>
                <w:tcPr>
                  <w:tcW w:w="427" w:type="pct"/>
                  <w:tcBorders>
                    <w:tl2br w:val="nil"/>
                    <w:tr2bl w:val="nil"/>
                  </w:tcBorders>
                  <w:shd w:val="clear" w:color="auto" w:fill="auto"/>
                  <w:tcMar>
                    <w:top w:w="15" w:type="dxa"/>
                    <w:left w:w="15" w:type="dxa"/>
                    <w:bottom w:w="0" w:type="dxa"/>
                    <w:right w:w="15" w:type="dxa"/>
                  </w:tcMar>
                  <w:vAlign w:val="center"/>
                </w:tcPr>
                <w:p w14:paraId="17280ED6">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0.3011</w:t>
                  </w:r>
                </w:p>
              </w:tc>
              <w:tc>
                <w:tcPr>
                  <w:tcW w:w="427" w:type="pct"/>
                  <w:tcBorders>
                    <w:tl2br w:val="nil"/>
                    <w:tr2bl w:val="nil"/>
                  </w:tcBorders>
                  <w:shd w:val="clear" w:color="auto" w:fill="auto"/>
                  <w:tcMar>
                    <w:top w:w="15" w:type="dxa"/>
                    <w:left w:w="15" w:type="dxa"/>
                    <w:bottom w:w="0" w:type="dxa"/>
                    <w:right w:w="15" w:type="dxa"/>
                  </w:tcMar>
                  <w:vAlign w:val="center"/>
                </w:tcPr>
                <w:p w14:paraId="2D30F90A">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0.0333</w:t>
                  </w:r>
                </w:p>
              </w:tc>
              <w:tc>
                <w:tcPr>
                  <w:tcW w:w="429" w:type="pct"/>
                  <w:tcBorders>
                    <w:tl2br w:val="nil"/>
                    <w:tr2bl w:val="nil"/>
                  </w:tcBorders>
                  <w:shd w:val="clear" w:color="auto" w:fill="auto"/>
                  <w:tcMar>
                    <w:top w:w="15" w:type="dxa"/>
                    <w:left w:w="15" w:type="dxa"/>
                    <w:bottom w:w="0" w:type="dxa"/>
                    <w:right w:w="15" w:type="dxa"/>
                  </w:tcMar>
                  <w:vAlign w:val="center"/>
                </w:tcPr>
                <w:p w14:paraId="456E896B">
                  <w:pPr>
                    <w:pStyle w:val="106"/>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w:t>
                  </w:r>
                  <w:r>
                    <w:rPr>
                      <w:rFonts w:hint="eastAsia" w:cs="Times New Roman"/>
                      <w:color w:val="auto"/>
                      <w:highlight w:val="none"/>
                      <w:lang w:val="en-US" w:eastAsia="zh-CN"/>
                    </w:rPr>
                    <w:t>170</w:t>
                  </w:r>
                </w:p>
              </w:tc>
            </w:tr>
            <w:tr w14:paraId="1BF6D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8" w:type="pct"/>
                  <w:gridSpan w:val="3"/>
                  <w:tcBorders>
                    <w:tl2br w:val="nil"/>
                    <w:tr2bl w:val="nil"/>
                  </w:tcBorders>
                  <w:vAlign w:val="center"/>
                </w:tcPr>
                <w:p w14:paraId="3D873E6A">
                  <w:pPr>
                    <w:pStyle w:val="106"/>
                    <w:bidi w:val="0"/>
                    <w:rPr>
                      <w:rFonts w:hint="default" w:eastAsia="宋体"/>
                      <w:b/>
                      <w:bCs/>
                      <w:color w:val="auto"/>
                      <w:highlight w:val="none"/>
                      <w:lang w:val="en-US" w:eastAsia="zh-CN"/>
                    </w:rPr>
                  </w:pPr>
                  <w:r>
                    <w:rPr>
                      <w:rFonts w:hint="eastAsia"/>
                      <w:color w:val="auto"/>
                      <w:highlight w:val="none"/>
                      <w:lang w:val="en-US" w:eastAsia="zh-CN"/>
                    </w:rPr>
                    <w:t>龙眼井污水处理厂预计处理效率</w:t>
                  </w:r>
                </w:p>
              </w:tc>
              <w:tc>
                <w:tcPr>
                  <w:tcW w:w="427" w:type="pct"/>
                  <w:tcBorders>
                    <w:tl2br w:val="nil"/>
                    <w:tr2bl w:val="nil"/>
                  </w:tcBorders>
                  <w:shd w:val="clear" w:color="auto" w:fill="auto"/>
                  <w:tcMar>
                    <w:top w:w="15" w:type="dxa"/>
                    <w:left w:w="15" w:type="dxa"/>
                    <w:bottom w:w="0" w:type="dxa"/>
                    <w:right w:w="15" w:type="dxa"/>
                  </w:tcMar>
                  <w:vAlign w:val="center"/>
                </w:tcPr>
                <w:p w14:paraId="7C176C6A">
                  <w:pPr>
                    <w:pStyle w:val="106"/>
                    <w:bidi w:val="0"/>
                    <w:jc w:val="center"/>
                    <w:rPr>
                      <w:rFonts w:hint="default"/>
                      <w:b/>
                      <w:bCs/>
                      <w:color w:val="auto"/>
                      <w:highlight w:val="none"/>
                      <w:lang w:val="en-US" w:eastAsia="zh-CN"/>
                    </w:rPr>
                  </w:pPr>
                  <w:r>
                    <w:rPr>
                      <w:rFonts w:hint="eastAsia"/>
                      <w:b/>
                      <w:bCs/>
                      <w:color w:val="auto"/>
                      <w:highlight w:val="none"/>
                      <w:lang w:val="en-US" w:eastAsia="zh-CN"/>
                    </w:rPr>
                    <w:t>/</w:t>
                  </w:r>
                </w:p>
              </w:tc>
              <w:tc>
                <w:tcPr>
                  <w:tcW w:w="427" w:type="pct"/>
                  <w:tcBorders>
                    <w:tl2br w:val="nil"/>
                    <w:tr2bl w:val="nil"/>
                  </w:tcBorders>
                  <w:shd w:val="clear" w:color="auto" w:fill="auto"/>
                  <w:tcMar>
                    <w:top w:w="15" w:type="dxa"/>
                    <w:left w:w="15" w:type="dxa"/>
                    <w:bottom w:w="0" w:type="dxa"/>
                    <w:right w:w="15" w:type="dxa"/>
                  </w:tcMar>
                  <w:vAlign w:val="center"/>
                </w:tcPr>
                <w:p w14:paraId="15CC99BE">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90%</w:t>
                  </w:r>
                </w:p>
              </w:tc>
              <w:tc>
                <w:tcPr>
                  <w:tcW w:w="427" w:type="pct"/>
                  <w:tcBorders>
                    <w:tl2br w:val="nil"/>
                    <w:tr2bl w:val="nil"/>
                  </w:tcBorders>
                  <w:shd w:val="clear" w:color="auto" w:fill="auto"/>
                  <w:tcMar>
                    <w:top w:w="15" w:type="dxa"/>
                    <w:left w:w="15" w:type="dxa"/>
                    <w:bottom w:w="0" w:type="dxa"/>
                    <w:right w:w="15" w:type="dxa"/>
                  </w:tcMar>
                  <w:vAlign w:val="center"/>
                </w:tcPr>
                <w:p w14:paraId="11DCC2EC">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98%</w:t>
                  </w:r>
                </w:p>
              </w:tc>
              <w:tc>
                <w:tcPr>
                  <w:tcW w:w="427" w:type="pct"/>
                  <w:tcBorders>
                    <w:tl2br w:val="nil"/>
                    <w:tr2bl w:val="nil"/>
                  </w:tcBorders>
                  <w:shd w:val="clear" w:color="auto" w:fill="auto"/>
                  <w:tcMar>
                    <w:top w:w="15" w:type="dxa"/>
                    <w:left w:w="15" w:type="dxa"/>
                    <w:bottom w:w="0" w:type="dxa"/>
                    <w:right w:w="15" w:type="dxa"/>
                  </w:tcMar>
                  <w:vAlign w:val="center"/>
                </w:tcPr>
                <w:p w14:paraId="65C4A7E8">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90%</w:t>
                  </w:r>
                </w:p>
              </w:tc>
              <w:tc>
                <w:tcPr>
                  <w:tcW w:w="427" w:type="pct"/>
                  <w:tcBorders>
                    <w:tl2br w:val="nil"/>
                    <w:tr2bl w:val="nil"/>
                  </w:tcBorders>
                  <w:shd w:val="clear" w:color="auto" w:fill="auto"/>
                  <w:tcMar>
                    <w:top w:w="15" w:type="dxa"/>
                    <w:left w:w="15" w:type="dxa"/>
                    <w:bottom w:w="0" w:type="dxa"/>
                    <w:right w:w="15" w:type="dxa"/>
                  </w:tcMar>
                  <w:vAlign w:val="center"/>
                </w:tcPr>
                <w:p w14:paraId="30B58B34">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95%</w:t>
                  </w:r>
                </w:p>
              </w:tc>
              <w:tc>
                <w:tcPr>
                  <w:tcW w:w="427" w:type="pct"/>
                  <w:tcBorders>
                    <w:tl2br w:val="nil"/>
                    <w:tr2bl w:val="nil"/>
                  </w:tcBorders>
                  <w:shd w:val="clear" w:color="auto" w:fill="auto"/>
                  <w:tcMar>
                    <w:top w:w="15" w:type="dxa"/>
                    <w:left w:w="15" w:type="dxa"/>
                    <w:bottom w:w="0" w:type="dxa"/>
                    <w:right w:w="15" w:type="dxa"/>
                  </w:tcMar>
                  <w:vAlign w:val="center"/>
                </w:tcPr>
                <w:p w14:paraId="59479C9C">
                  <w:pPr>
                    <w:pStyle w:val="106"/>
                    <w:bidi w:val="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9</w:t>
                  </w:r>
                  <w:r>
                    <w:rPr>
                      <w:rFonts w:hint="eastAsia" w:ascii="Times New Roman" w:hAnsi="Times New Roman" w:eastAsia="宋体" w:cs="Times New Roman"/>
                      <w:color w:val="auto"/>
                      <w:highlight w:val="none"/>
                      <w:lang w:val="en-US" w:eastAsia="zh-CN"/>
                    </w:rPr>
                    <w:t>0%</w:t>
                  </w:r>
                </w:p>
              </w:tc>
              <w:tc>
                <w:tcPr>
                  <w:tcW w:w="429" w:type="pct"/>
                  <w:tcBorders>
                    <w:tl2br w:val="nil"/>
                    <w:tr2bl w:val="nil"/>
                  </w:tcBorders>
                  <w:shd w:val="clear" w:color="auto" w:fill="auto"/>
                  <w:tcMar>
                    <w:top w:w="15" w:type="dxa"/>
                    <w:left w:w="15" w:type="dxa"/>
                    <w:bottom w:w="0" w:type="dxa"/>
                    <w:right w:w="15" w:type="dxa"/>
                  </w:tcMar>
                  <w:vAlign w:val="center"/>
                </w:tcPr>
                <w:p w14:paraId="45EB9E8F">
                  <w:pPr>
                    <w:pStyle w:val="106"/>
                    <w:bidi w:val="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99</w:t>
                  </w:r>
                  <w:r>
                    <w:rPr>
                      <w:rFonts w:hint="eastAsia" w:ascii="Times New Roman" w:hAnsi="Times New Roman" w:eastAsia="宋体" w:cs="Times New Roman"/>
                      <w:color w:val="auto"/>
                      <w:highlight w:val="none"/>
                      <w:lang w:val="en-US" w:eastAsia="zh-CN"/>
                    </w:rPr>
                    <w:t>%</w:t>
                  </w:r>
                </w:p>
              </w:tc>
            </w:tr>
            <w:tr w14:paraId="44508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00" w:type="pct"/>
                  <w:vMerge w:val="restart"/>
                  <w:tcBorders>
                    <w:tl2br w:val="nil"/>
                    <w:tr2bl w:val="nil"/>
                  </w:tcBorders>
                  <w:vAlign w:val="center"/>
                </w:tcPr>
                <w:p w14:paraId="36F6C0B3">
                  <w:pPr>
                    <w:pStyle w:val="106"/>
                    <w:bidi w:val="0"/>
                    <w:rPr>
                      <w:rFonts w:hint="default" w:eastAsia="宋体"/>
                      <w:b/>
                      <w:bCs/>
                      <w:color w:val="auto"/>
                      <w:highlight w:val="none"/>
                      <w:lang w:val="en-US" w:eastAsia="zh-CN"/>
                    </w:rPr>
                  </w:pPr>
                  <w:r>
                    <w:rPr>
                      <w:rFonts w:hint="eastAsia"/>
                      <w:color w:val="auto"/>
                      <w:highlight w:val="none"/>
                      <w:lang w:val="en-US" w:eastAsia="zh-CN"/>
                    </w:rPr>
                    <w:t>龙眼井污水处理厂污染物排放合计</w:t>
                  </w:r>
                </w:p>
              </w:tc>
              <w:tc>
                <w:tcPr>
                  <w:tcW w:w="638" w:type="pct"/>
                  <w:tcBorders>
                    <w:tl2br w:val="nil"/>
                    <w:tr2bl w:val="nil"/>
                  </w:tcBorders>
                  <w:vAlign w:val="center"/>
                </w:tcPr>
                <w:p w14:paraId="56DC3B1A">
                  <w:pPr>
                    <w:pStyle w:val="106"/>
                    <w:bidi w:val="0"/>
                    <w:ind w:firstLine="0" w:firstLineChars="0"/>
                    <w:rPr>
                      <w:rFonts w:hint="eastAsia" w:eastAsia="宋体"/>
                      <w:b/>
                      <w:bCs/>
                      <w:color w:val="auto"/>
                      <w:highlight w:val="none"/>
                      <w:lang w:val="en-US" w:eastAsia="zh-CN"/>
                    </w:rPr>
                  </w:pPr>
                  <w:r>
                    <w:rPr>
                      <w:rFonts w:hint="eastAsia"/>
                      <w:color w:val="auto"/>
                      <w:highlight w:val="none"/>
                      <w:lang w:val="en-US" w:eastAsia="zh-CN"/>
                    </w:rPr>
                    <w:t>排放</w:t>
                  </w:r>
                  <w:r>
                    <w:rPr>
                      <w:rFonts w:hint="default"/>
                      <w:color w:val="auto"/>
                      <w:highlight w:val="none"/>
                    </w:rPr>
                    <w:t>浓度（mg/L）</w:t>
                  </w:r>
                </w:p>
              </w:tc>
              <w:tc>
                <w:tcPr>
                  <w:tcW w:w="668" w:type="pct"/>
                  <w:vMerge w:val="restart"/>
                  <w:tcBorders>
                    <w:tl2br w:val="nil"/>
                    <w:tr2bl w:val="nil"/>
                  </w:tcBorders>
                  <w:vAlign w:val="center"/>
                </w:tcPr>
                <w:p w14:paraId="35B61F59">
                  <w:pPr>
                    <w:pStyle w:val="106"/>
                    <w:bidi w:val="0"/>
                    <w:rPr>
                      <w:rFonts w:hint="eastAsia" w:eastAsia="宋体"/>
                      <w:b/>
                      <w:bCs/>
                      <w:color w:val="auto"/>
                      <w:highlight w:val="none"/>
                      <w:lang w:val="en-US" w:eastAsia="zh-CN"/>
                    </w:rPr>
                  </w:pPr>
                  <w:r>
                    <w:rPr>
                      <w:rFonts w:hint="eastAsia"/>
                      <w:color w:val="auto"/>
                      <w:highlight w:val="none"/>
                      <w:lang w:eastAsia="zh-CN"/>
                    </w:rPr>
                    <w:t>14271</w:t>
                  </w:r>
                </w:p>
              </w:tc>
              <w:tc>
                <w:tcPr>
                  <w:tcW w:w="427" w:type="pct"/>
                  <w:tcBorders>
                    <w:tl2br w:val="nil"/>
                    <w:tr2bl w:val="nil"/>
                  </w:tcBorders>
                  <w:shd w:val="clear" w:color="auto" w:fill="auto"/>
                  <w:tcMar>
                    <w:top w:w="15" w:type="dxa"/>
                    <w:left w:w="15" w:type="dxa"/>
                    <w:bottom w:w="0" w:type="dxa"/>
                    <w:right w:w="15" w:type="dxa"/>
                  </w:tcMar>
                  <w:vAlign w:val="center"/>
                </w:tcPr>
                <w:p w14:paraId="71B1CA4B">
                  <w:pPr>
                    <w:pStyle w:val="106"/>
                    <w:bidi w:val="0"/>
                    <w:jc w:val="center"/>
                    <w:rPr>
                      <w:rFonts w:hint="default"/>
                      <w:b/>
                      <w:bCs/>
                      <w:color w:val="auto"/>
                      <w:highlight w:val="none"/>
                      <w:lang w:val="en-US" w:eastAsia="zh-CN"/>
                    </w:rPr>
                  </w:pPr>
                  <w:r>
                    <w:rPr>
                      <w:rFonts w:hint="eastAsia"/>
                      <w:color w:val="auto"/>
                      <w:highlight w:val="none"/>
                      <w:lang w:val="en-US" w:eastAsia="zh-CN"/>
                    </w:rPr>
                    <w:t>6~9</w:t>
                  </w:r>
                </w:p>
              </w:tc>
              <w:tc>
                <w:tcPr>
                  <w:tcW w:w="427" w:type="pct"/>
                  <w:tcBorders>
                    <w:tl2br w:val="nil"/>
                    <w:tr2bl w:val="nil"/>
                  </w:tcBorders>
                  <w:shd w:val="clear" w:color="auto" w:fill="auto"/>
                  <w:tcMar>
                    <w:top w:w="15" w:type="dxa"/>
                    <w:left w:w="15" w:type="dxa"/>
                    <w:bottom w:w="0" w:type="dxa"/>
                    <w:right w:w="15" w:type="dxa"/>
                  </w:tcMar>
                  <w:vAlign w:val="center"/>
                </w:tcPr>
                <w:p w14:paraId="2AFA0F7A">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23</w:t>
                  </w:r>
                </w:p>
              </w:tc>
              <w:tc>
                <w:tcPr>
                  <w:tcW w:w="427" w:type="pct"/>
                  <w:tcBorders>
                    <w:tl2br w:val="nil"/>
                    <w:tr2bl w:val="nil"/>
                  </w:tcBorders>
                  <w:shd w:val="clear" w:color="auto" w:fill="auto"/>
                  <w:tcMar>
                    <w:top w:w="15" w:type="dxa"/>
                    <w:left w:w="15" w:type="dxa"/>
                    <w:bottom w:w="0" w:type="dxa"/>
                    <w:right w:w="15" w:type="dxa"/>
                  </w:tcMar>
                  <w:vAlign w:val="center"/>
                </w:tcPr>
                <w:p w14:paraId="68E8DC5E">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427" w:type="pct"/>
                  <w:tcBorders>
                    <w:tl2br w:val="nil"/>
                    <w:tr2bl w:val="nil"/>
                  </w:tcBorders>
                  <w:shd w:val="clear" w:color="auto" w:fill="auto"/>
                  <w:tcMar>
                    <w:top w:w="15" w:type="dxa"/>
                    <w:left w:w="15" w:type="dxa"/>
                    <w:bottom w:w="0" w:type="dxa"/>
                    <w:right w:w="15" w:type="dxa"/>
                  </w:tcMar>
                  <w:vAlign w:val="center"/>
                </w:tcPr>
                <w:p w14:paraId="1BCD9711">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427" w:type="pct"/>
                  <w:tcBorders>
                    <w:tl2br w:val="nil"/>
                    <w:tr2bl w:val="nil"/>
                  </w:tcBorders>
                  <w:shd w:val="clear" w:color="auto" w:fill="auto"/>
                  <w:tcMar>
                    <w:top w:w="15" w:type="dxa"/>
                    <w:left w:w="15" w:type="dxa"/>
                    <w:bottom w:w="0" w:type="dxa"/>
                    <w:right w:w="15" w:type="dxa"/>
                  </w:tcMar>
                  <w:vAlign w:val="center"/>
                </w:tcPr>
                <w:p w14:paraId="36B4D981">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427" w:type="pct"/>
                  <w:tcBorders>
                    <w:tl2br w:val="nil"/>
                    <w:tr2bl w:val="nil"/>
                  </w:tcBorders>
                  <w:shd w:val="clear" w:color="auto" w:fill="auto"/>
                  <w:tcMar>
                    <w:top w:w="15" w:type="dxa"/>
                    <w:left w:w="15" w:type="dxa"/>
                    <w:bottom w:w="0" w:type="dxa"/>
                    <w:right w:w="15" w:type="dxa"/>
                  </w:tcMar>
                  <w:vAlign w:val="center"/>
                </w:tcPr>
                <w:p w14:paraId="683FA298">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2</w:t>
                  </w:r>
                </w:p>
              </w:tc>
              <w:tc>
                <w:tcPr>
                  <w:tcW w:w="429" w:type="pct"/>
                  <w:tcBorders>
                    <w:tl2br w:val="nil"/>
                    <w:tr2bl w:val="nil"/>
                  </w:tcBorders>
                  <w:shd w:val="clear" w:color="auto" w:fill="auto"/>
                  <w:tcMar>
                    <w:top w:w="15" w:type="dxa"/>
                    <w:left w:w="15" w:type="dxa"/>
                    <w:bottom w:w="0" w:type="dxa"/>
                    <w:right w:w="15" w:type="dxa"/>
                  </w:tcMar>
                  <w:vAlign w:val="center"/>
                </w:tcPr>
                <w:p w14:paraId="6A58C776">
                  <w:pPr>
                    <w:pStyle w:val="106"/>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0.4</w:t>
                  </w:r>
                </w:p>
              </w:tc>
            </w:tr>
            <w:tr w14:paraId="6B536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00" w:type="pct"/>
                  <w:vMerge w:val="continue"/>
                  <w:tcBorders>
                    <w:tl2br w:val="nil"/>
                    <w:tr2bl w:val="nil"/>
                  </w:tcBorders>
                  <w:vAlign w:val="center"/>
                </w:tcPr>
                <w:p w14:paraId="62459DAC">
                  <w:pPr>
                    <w:pStyle w:val="106"/>
                    <w:bidi w:val="0"/>
                    <w:rPr>
                      <w:rFonts w:hint="eastAsia" w:eastAsia="宋体"/>
                      <w:b/>
                      <w:bCs/>
                      <w:color w:val="auto"/>
                      <w:highlight w:val="none"/>
                      <w:lang w:val="en-US" w:eastAsia="zh-CN"/>
                    </w:rPr>
                  </w:pPr>
                </w:p>
              </w:tc>
              <w:tc>
                <w:tcPr>
                  <w:tcW w:w="638" w:type="pct"/>
                  <w:tcBorders>
                    <w:tl2br w:val="nil"/>
                    <w:tr2bl w:val="nil"/>
                  </w:tcBorders>
                  <w:vAlign w:val="center"/>
                </w:tcPr>
                <w:p w14:paraId="7BEAF470">
                  <w:pPr>
                    <w:pStyle w:val="106"/>
                    <w:bidi w:val="0"/>
                    <w:ind w:firstLine="0" w:firstLineChars="0"/>
                    <w:rPr>
                      <w:rFonts w:hint="eastAsia" w:eastAsia="宋体"/>
                      <w:b/>
                      <w:bCs/>
                      <w:color w:val="auto"/>
                      <w:highlight w:val="none"/>
                      <w:lang w:val="en-US" w:eastAsia="zh-CN"/>
                    </w:rPr>
                  </w:pPr>
                  <w:r>
                    <w:rPr>
                      <w:rFonts w:hint="eastAsia"/>
                      <w:color w:val="auto"/>
                      <w:highlight w:val="none"/>
                      <w:lang w:val="en-US" w:eastAsia="zh-CN"/>
                    </w:rPr>
                    <w:t>排放</w:t>
                  </w:r>
                  <w:r>
                    <w:rPr>
                      <w:rFonts w:hint="default"/>
                      <w:color w:val="auto"/>
                      <w:highlight w:val="none"/>
                      <w:lang w:val="en-US" w:eastAsia="zh-CN"/>
                    </w:rPr>
                    <w:t>量（t/a）</w:t>
                  </w:r>
                </w:p>
              </w:tc>
              <w:tc>
                <w:tcPr>
                  <w:tcW w:w="668" w:type="pct"/>
                  <w:vMerge w:val="continue"/>
                  <w:tcBorders>
                    <w:tl2br w:val="nil"/>
                    <w:tr2bl w:val="nil"/>
                  </w:tcBorders>
                  <w:vAlign w:val="center"/>
                </w:tcPr>
                <w:p w14:paraId="722F2B3A">
                  <w:pPr>
                    <w:pStyle w:val="106"/>
                    <w:bidi w:val="0"/>
                    <w:rPr>
                      <w:rFonts w:hint="eastAsia" w:eastAsia="宋体"/>
                      <w:b/>
                      <w:bCs/>
                      <w:color w:val="auto"/>
                      <w:highlight w:val="none"/>
                      <w:lang w:val="en-US" w:eastAsia="zh-CN"/>
                    </w:rPr>
                  </w:pPr>
                </w:p>
              </w:tc>
              <w:tc>
                <w:tcPr>
                  <w:tcW w:w="427" w:type="pct"/>
                  <w:tcBorders>
                    <w:tl2br w:val="nil"/>
                    <w:tr2bl w:val="nil"/>
                  </w:tcBorders>
                  <w:shd w:val="clear" w:color="auto" w:fill="auto"/>
                  <w:tcMar>
                    <w:top w:w="15" w:type="dxa"/>
                    <w:left w:w="15" w:type="dxa"/>
                    <w:bottom w:w="0" w:type="dxa"/>
                    <w:right w:w="15" w:type="dxa"/>
                  </w:tcMar>
                  <w:vAlign w:val="center"/>
                </w:tcPr>
                <w:p w14:paraId="3967A41D">
                  <w:pPr>
                    <w:pStyle w:val="106"/>
                    <w:bidi w:val="0"/>
                    <w:jc w:val="center"/>
                    <w:rPr>
                      <w:rFonts w:hint="default"/>
                      <w:b/>
                      <w:bCs/>
                      <w:color w:val="auto"/>
                      <w:highlight w:val="none"/>
                      <w:lang w:val="en-US" w:eastAsia="zh-CN"/>
                    </w:rPr>
                  </w:pPr>
                  <w:r>
                    <w:rPr>
                      <w:rFonts w:hint="eastAsia"/>
                      <w:b/>
                      <w:bCs/>
                      <w:color w:val="auto"/>
                      <w:highlight w:val="none"/>
                      <w:lang w:val="en-US" w:eastAsia="zh-CN"/>
                    </w:rPr>
                    <w:t>/</w:t>
                  </w:r>
                </w:p>
              </w:tc>
              <w:tc>
                <w:tcPr>
                  <w:tcW w:w="427" w:type="pct"/>
                  <w:tcBorders>
                    <w:tl2br w:val="nil"/>
                    <w:tr2bl w:val="nil"/>
                  </w:tcBorders>
                  <w:shd w:val="clear" w:color="auto" w:fill="auto"/>
                  <w:tcMar>
                    <w:top w:w="15" w:type="dxa"/>
                    <w:left w:w="15" w:type="dxa"/>
                    <w:bottom w:w="0" w:type="dxa"/>
                    <w:right w:w="15" w:type="dxa"/>
                  </w:tcMar>
                  <w:vAlign w:val="center"/>
                </w:tcPr>
                <w:p w14:paraId="52558AEA">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0.3346</w:t>
                  </w:r>
                </w:p>
              </w:tc>
              <w:tc>
                <w:tcPr>
                  <w:tcW w:w="427" w:type="pct"/>
                  <w:tcBorders>
                    <w:tl2br w:val="nil"/>
                    <w:tr2bl w:val="nil"/>
                  </w:tcBorders>
                  <w:shd w:val="clear" w:color="auto" w:fill="auto"/>
                  <w:tcMar>
                    <w:top w:w="15" w:type="dxa"/>
                    <w:left w:w="15" w:type="dxa"/>
                    <w:bottom w:w="0" w:type="dxa"/>
                    <w:right w:w="15" w:type="dxa"/>
                  </w:tcMar>
                  <w:vAlign w:val="center"/>
                </w:tcPr>
                <w:p w14:paraId="49DD430F">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0.0746</w:t>
                  </w:r>
                </w:p>
              </w:tc>
              <w:tc>
                <w:tcPr>
                  <w:tcW w:w="427" w:type="pct"/>
                  <w:tcBorders>
                    <w:tl2br w:val="nil"/>
                    <w:tr2bl w:val="nil"/>
                  </w:tcBorders>
                  <w:shd w:val="clear" w:color="auto" w:fill="auto"/>
                  <w:tcMar>
                    <w:top w:w="15" w:type="dxa"/>
                    <w:left w:w="15" w:type="dxa"/>
                    <w:bottom w:w="0" w:type="dxa"/>
                    <w:right w:w="15" w:type="dxa"/>
                  </w:tcMar>
                  <w:vAlign w:val="center"/>
                </w:tcPr>
                <w:p w14:paraId="138EBD1A">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0.0714</w:t>
                  </w:r>
                </w:p>
              </w:tc>
              <w:tc>
                <w:tcPr>
                  <w:tcW w:w="427" w:type="pct"/>
                  <w:tcBorders>
                    <w:tl2br w:val="nil"/>
                    <w:tr2bl w:val="nil"/>
                  </w:tcBorders>
                  <w:shd w:val="clear" w:color="auto" w:fill="auto"/>
                  <w:tcMar>
                    <w:top w:w="15" w:type="dxa"/>
                    <w:left w:w="15" w:type="dxa"/>
                    <w:bottom w:w="0" w:type="dxa"/>
                    <w:right w:w="15" w:type="dxa"/>
                  </w:tcMar>
                  <w:vAlign w:val="center"/>
                </w:tcPr>
                <w:p w14:paraId="3CE4832D">
                  <w:pPr>
                    <w:pStyle w:val="106"/>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0.0151</w:t>
                  </w:r>
                </w:p>
              </w:tc>
              <w:tc>
                <w:tcPr>
                  <w:tcW w:w="427" w:type="pct"/>
                  <w:tcBorders>
                    <w:tl2br w:val="nil"/>
                    <w:tr2bl w:val="nil"/>
                  </w:tcBorders>
                  <w:shd w:val="clear" w:color="auto" w:fill="auto"/>
                  <w:tcMar>
                    <w:top w:w="15" w:type="dxa"/>
                    <w:left w:w="15" w:type="dxa"/>
                    <w:bottom w:w="0" w:type="dxa"/>
                    <w:right w:w="15" w:type="dxa"/>
                  </w:tcMar>
                  <w:vAlign w:val="center"/>
                </w:tcPr>
                <w:p w14:paraId="7F2AD761">
                  <w:pPr>
                    <w:pStyle w:val="106"/>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w:t>
                  </w:r>
                  <w:r>
                    <w:rPr>
                      <w:rFonts w:hint="eastAsia" w:cs="Times New Roman"/>
                      <w:color w:val="auto"/>
                      <w:highlight w:val="none"/>
                      <w:lang w:val="en-US" w:eastAsia="zh-CN"/>
                    </w:rPr>
                    <w:t>33</w:t>
                  </w:r>
                </w:p>
              </w:tc>
              <w:tc>
                <w:tcPr>
                  <w:tcW w:w="429" w:type="pct"/>
                  <w:tcBorders>
                    <w:tl2br w:val="nil"/>
                    <w:tr2bl w:val="nil"/>
                  </w:tcBorders>
                  <w:shd w:val="clear" w:color="auto" w:fill="auto"/>
                  <w:tcMar>
                    <w:top w:w="15" w:type="dxa"/>
                    <w:left w:w="15" w:type="dxa"/>
                    <w:bottom w:w="0" w:type="dxa"/>
                    <w:right w:w="15" w:type="dxa"/>
                  </w:tcMar>
                  <w:vAlign w:val="center"/>
                </w:tcPr>
                <w:p w14:paraId="7C82F61D">
                  <w:pPr>
                    <w:pStyle w:val="106"/>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0.0052</w:t>
                  </w:r>
                </w:p>
              </w:tc>
            </w:tr>
            <w:tr w14:paraId="0D280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8" w:type="pct"/>
                  <w:gridSpan w:val="3"/>
                  <w:tcBorders>
                    <w:tl2br w:val="nil"/>
                    <w:tr2bl w:val="nil"/>
                  </w:tcBorders>
                  <w:vAlign w:val="center"/>
                </w:tcPr>
                <w:p w14:paraId="0C114819">
                  <w:pPr>
                    <w:pStyle w:val="106"/>
                    <w:bidi w:val="0"/>
                    <w:rPr>
                      <w:rFonts w:hint="eastAsia" w:eastAsia="宋体"/>
                      <w:b/>
                      <w:bCs/>
                      <w:color w:val="auto"/>
                      <w:highlight w:val="none"/>
                      <w:lang w:val="en-US" w:eastAsia="zh-CN"/>
                    </w:rPr>
                  </w:pPr>
                  <w:r>
                    <w:rPr>
                      <w:rFonts w:hint="eastAsia" w:eastAsia="宋体"/>
                      <w:b/>
                      <w:bCs/>
                      <w:color w:val="auto"/>
                      <w:highlight w:val="none"/>
                      <w:lang w:val="en-US" w:eastAsia="zh-CN"/>
                    </w:rPr>
                    <w:t>《污水综合排放标准》（GB8978-1996）三级标准</w:t>
                  </w:r>
                </w:p>
              </w:tc>
              <w:tc>
                <w:tcPr>
                  <w:tcW w:w="427" w:type="pct"/>
                  <w:tcBorders>
                    <w:tl2br w:val="nil"/>
                    <w:tr2bl w:val="nil"/>
                  </w:tcBorders>
                  <w:shd w:val="clear" w:color="auto" w:fill="auto"/>
                  <w:tcMar>
                    <w:top w:w="15" w:type="dxa"/>
                    <w:left w:w="15" w:type="dxa"/>
                    <w:bottom w:w="0" w:type="dxa"/>
                    <w:right w:w="15" w:type="dxa"/>
                  </w:tcMar>
                  <w:vAlign w:val="center"/>
                </w:tcPr>
                <w:p w14:paraId="464C141E">
                  <w:pPr>
                    <w:pStyle w:val="106"/>
                    <w:bidi w:val="0"/>
                    <w:jc w:val="center"/>
                    <w:rPr>
                      <w:rFonts w:hint="eastAsia"/>
                      <w:b/>
                      <w:bCs/>
                      <w:color w:val="auto"/>
                      <w:highlight w:val="none"/>
                      <w:lang w:val="en-US" w:eastAsia="zh-CN"/>
                    </w:rPr>
                  </w:pPr>
                  <w:r>
                    <w:rPr>
                      <w:rFonts w:hint="eastAsia"/>
                      <w:b/>
                      <w:bCs/>
                      <w:color w:val="auto"/>
                      <w:highlight w:val="none"/>
                      <w:lang w:val="en-US" w:eastAsia="zh-CN"/>
                    </w:rPr>
                    <w:t>6~9</w:t>
                  </w:r>
                </w:p>
              </w:tc>
              <w:tc>
                <w:tcPr>
                  <w:tcW w:w="427" w:type="pct"/>
                  <w:tcBorders>
                    <w:tl2br w:val="nil"/>
                    <w:tr2bl w:val="nil"/>
                  </w:tcBorders>
                  <w:shd w:val="clear" w:color="auto" w:fill="auto"/>
                  <w:tcMar>
                    <w:top w:w="15" w:type="dxa"/>
                    <w:left w:w="15" w:type="dxa"/>
                    <w:bottom w:w="0" w:type="dxa"/>
                    <w:right w:w="15" w:type="dxa"/>
                  </w:tcMar>
                  <w:vAlign w:val="center"/>
                </w:tcPr>
                <w:p w14:paraId="4C228D6D">
                  <w:pPr>
                    <w:pStyle w:val="106"/>
                    <w:bidi w:val="0"/>
                    <w:jc w:val="center"/>
                    <w:rPr>
                      <w:rFonts w:hint="default"/>
                      <w:b/>
                      <w:bCs/>
                      <w:color w:val="auto"/>
                      <w:highlight w:val="none"/>
                      <w:lang w:val="en-US" w:eastAsia="zh-CN"/>
                    </w:rPr>
                  </w:pPr>
                  <w:r>
                    <w:rPr>
                      <w:rFonts w:hint="eastAsia"/>
                      <w:b/>
                      <w:bCs/>
                      <w:color w:val="auto"/>
                      <w:highlight w:val="none"/>
                      <w:lang w:val="en-US" w:eastAsia="zh-CN"/>
                    </w:rPr>
                    <w:t>500</w:t>
                  </w:r>
                </w:p>
              </w:tc>
              <w:tc>
                <w:tcPr>
                  <w:tcW w:w="427" w:type="pct"/>
                  <w:tcBorders>
                    <w:tl2br w:val="nil"/>
                    <w:tr2bl w:val="nil"/>
                  </w:tcBorders>
                  <w:shd w:val="clear" w:color="auto" w:fill="auto"/>
                  <w:tcMar>
                    <w:top w:w="15" w:type="dxa"/>
                    <w:left w:w="15" w:type="dxa"/>
                    <w:bottom w:w="0" w:type="dxa"/>
                    <w:right w:w="15" w:type="dxa"/>
                  </w:tcMar>
                  <w:vAlign w:val="center"/>
                </w:tcPr>
                <w:p w14:paraId="46F0B5BC">
                  <w:pPr>
                    <w:pStyle w:val="106"/>
                    <w:bidi w:val="0"/>
                    <w:jc w:val="center"/>
                    <w:rPr>
                      <w:rFonts w:hint="default"/>
                      <w:b/>
                      <w:bCs/>
                      <w:color w:val="auto"/>
                      <w:highlight w:val="none"/>
                      <w:lang w:val="en-US" w:eastAsia="zh-CN"/>
                    </w:rPr>
                  </w:pPr>
                  <w:r>
                    <w:rPr>
                      <w:rFonts w:hint="eastAsia"/>
                      <w:b/>
                      <w:bCs/>
                      <w:color w:val="auto"/>
                      <w:highlight w:val="none"/>
                      <w:lang w:val="en-US" w:eastAsia="zh-CN"/>
                    </w:rPr>
                    <w:t>300</w:t>
                  </w:r>
                </w:p>
              </w:tc>
              <w:tc>
                <w:tcPr>
                  <w:tcW w:w="427" w:type="pct"/>
                  <w:tcBorders>
                    <w:tl2br w:val="nil"/>
                    <w:tr2bl w:val="nil"/>
                  </w:tcBorders>
                  <w:shd w:val="clear" w:color="auto" w:fill="auto"/>
                  <w:tcMar>
                    <w:top w:w="15" w:type="dxa"/>
                    <w:left w:w="15" w:type="dxa"/>
                    <w:bottom w:w="0" w:type="dxa"/>
                    <w:right w:w="15" w:type="dxa"/>
                  </w:tcMar>
                  <w:vAlign w:val="center"/>
                </w:tcPr>
                <w:p w14:paraId="6BF0100D">
                  <w:pPr>
                    <w:pStyle w:val="106"/>
                    <w:bidi w:val="0"/>
                    <w:jc w:val="center"/>
                    <w:rPr>
                      <w:rFonts w:hint="default"/>
                      <w:b/>
                      <w:bCs/>
                      <w:color w:val="auto"/>
                      <w:highlight w:val="none"/>
                      <w:lang w:val="en-US" w:eastAsia="zh-CN"/>
                    </w:rPr>
                  </w:pPr>
                  <w:r>
                    <w:rPr>
                      <w:rFonts w:hint="eastAsia"/>
                      <w:b/>
                      <w:bCs/>
                      <w:color w:val="auto"/>
                      <w:highlight w:val="none"/>
                      <w:lang w:val="en-US" w:eastAsia="zh-CN"/>
                    </w:rPr>
                    <w:t>400</w:t>
                  </w:r>
                </w:p>
              </w:tc>
              <w:tc>
                <w:tcPr>
                  <w:tcW w:w="427" w:type="pct"/>
                  <w:tcBorders>
                    <w:tl2br w:val="nil"/>
                    <w:tr2bl w:val="nil"/>
                  </w:tcBorders>
                  <w:shd w:val="clear" w:color="auto" w:fill="auto"/>
                  <w:tcMar>
                    <w:top w:w="15" w:type="dxa"/>
                    <w:left w:w="15" w:type="dxa"/>
                    <w:bottom w:w="0" w:type="dxa"/>
                    <w:right w:w="15" w:type="dxa"/>
                  </w:tcMar>
                  <w:vAlign w:val="center"/>
                </w:tcPr>
                <w:p w14:paraId="68A703D1">
                  <w:pPr>
                    <w:pStyle w:val="106"/>
                    <w:bidi w:val="0"/>
                    <w:jc w:val="center"/>
                    <w:rPr>
                      <w:rFonts w:hint="default"/>
                      <w:b/>
                      <w:bCs/>
                      <w:color w:val="auto"/>
                      <w:highlight w:val="none"/>
                      <w:lang w:val="en-US" w:eastAsia="zh-CN"/>
                    </w:rPr>
                  </w:pPr>
                  <w:r>
                    <w:rPr>
                      <w:rFonts w:hint="eastAsia"/>
                      <w:b/>
                      <w:bCs/>
                      <w:color w:val="auto"/>
                      <w:highlight w:val="none"/>
                      <w:lang w:val="en-US" w:eastAsia="zh-CN"/>
                    </w:rPr>
                    <w:t>45</w:t>
                  </w:r>
                </w:p>
              </w:tc>
              <w:tc>
                <w:tcPr>
                  <w:tcW w:w="427" w:type="pct"/>
                  <w:tcBorders>
                    <w:tl2br w:val="nil"/>
                    <w:tr2bl w:val="nil"/>
                  </w:tcBorders>
                  <w:shd w:val="clear" w:color="auto" w:fill="auto"/>
                  <w:tcMar>
                    <w:top w:w="15" w:type="dxa"/>
                    <w:left w:w="15" w:type="dxa"/>
                    <w:bottom w:w="0" w:type="dxa"/>
                    <w:right w:w="15" w:type="dxa"/>
                  </w:tcMar>
                  <w:vAlign w:val="center"/>
                </w:tcPr>
                <w:p w14:paraId="0B835947">
                  <w:pPr>
                    <w:pStyle w:val="106"/>
                    <w:bidi w:val="0"/>
                    <w:jc w:val="center"/>
                    <w:rPr>
                      <w:rFonts w:hint="default"/>
                      <w:b/>
                      <w:bCs/>
                      <w:color w:val="auto"/>
                      <w:highlight w:val="none"/>
                      <w:lang w:val="en-US" w:eastAsia="zh-CN"/>
                    </w:rPr>
                  </w:pPr>
                  <w:r>
                    <w:rPr>
                      <w:rFonts w:hint="eastAsia"/>
                      <w:b/>
                      <w:bCs/>
                      <w:color w:val="auto"/>
                      <w:highlight w:val="none"/>
                      <w:lang w:val="en-US" w:eastAsia="zh-CN"/>
                    </w:rPr>
                    <w:t>8</w:t>
                  </w:r>
                </w:p>
              </w:tc>
              <w:tc>
                <w:tcPr>
                  <w:tcW w:w="429" w:type="pct"/>
                  <w:tcBorders>
                    <w:tl2br w:val="nil"/>
                    <w:tr2bl w:val="nil"/>
                  </w:tcBorders>
                  <w:shd w:val="clear" w:color="auto" w:fill="auto"/>
                  <w:tcMar>
                    <w:top w:w="15" w:type="dxa"/>
                    <w:left w:w="15" w:type="dxa"/>
                    <w:bottom w:w="0" w:type="dxa"/>
                    <w:right w:w="15" w:type="dxa"/>
                  </w:tcMar>
                  <w:vAlign w:val="center"/>
                </w:tcPr>
                <w:p w14:paraId="378B392A">
                  <w:pPr>
                    <w:pStyle w:val="106"/>
                    <w:bidi w:val="0"/>
                    <w:jc w:val="center"/>
                    <w:rPr>
                      <w:rFonts w:hint="default"/>
                      <w:b/>
                      <w:bCs/>
                      <w:color w:val="auto"/>
                      <w:highlight w:val="none"/>
                      <w:lang w:val="en-US" w:eastAsia="zh-CN"/>
                    </w:rPr>
                  </w:pPr>
                  <w:r>
                    <w:rPr>
                      <w:rFonts w:hint="eastAsia"/>
                      <w:b/>
                      <w:bCs/>
                      <w:color w:val="auto"/>
                      <w:highlight w:val="none"/>
                      <w:lang w:val="en-US" w:eastAsia="zh-CN"/>
                    </w:rPr>
                    <w:t>100</w:t>
                  </w:r>
                </w:p>
              </w:tc>
            </w:tr>
            <w:tr w14:paraId="600C2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8" w:type="pct"/>
                  <w:gridSpan w:val="3"/>
                  <w:tcBorders>
                    <w:tl2br w:val="nil"/>
                    <w:tr2bl w:val="nil"/>
                  </w:tcBorders>
                  <w:vAlign w:val="center"/>
                </w:tcPr>
                <w:p w14:paraId="78F15E0F">
                  <w:pPr>
                    <w:pStyle w:val="106"/>
                    <w:bidi w:val="0"/>
                    <w:rPr>
                      <w:rFonts w:hint="default" w:eastAsia="宋体"/>
                      <w:b/>
                      <w:bCs/>
                      <w:color w:val="auto"/>
                      <w:highlight w:val="none"/>
                      <w:lang w:val="en-US" w:eastAsia="zh-CN"/>
                    </w:rPr>
                  </w:pPr>
                  <w:r>
                    <w:rPr>
                      <w:rFonts w:hint="default" w:eastAsia="宋体"/>
                      <w:b/>
                      <w:bCs/>
                      <w:color w:val="auto"/>
                      <w:highlight w:val="none"/>
                      <w:lang w:val="en-US" w:eastAsia="zh-CN"/>
                    </w:rPr>
                    <w:t>《城镇污水处理厂污染物排放标准》（GB18918-2002）中一级A标准</w:t>
                  </w:r>
                </w:p>
              </w:tc>
              <w:tc>
                <w:tcPr>
                  <w:tcW w:w="427" w:type="pct"/>
                  <w:tcBorders>
                    <w:tl2br w:val="nil"/>
                    <w:tr2bl w:val="nil"/>
                  </w:tcBorders>
                  <w:shd w:val="clear" w:color="auto" w:fill="auto"/>
                  <w:tcMar>
                    <w:top w:w="15" w:type="dxa"/>
                    <w:left w:w="15" w:type="dxa"/>
                    <w:bottom w:w="0" w:type="dxa"/>
                    <w:right w:w="15" w:type="dxa"/>
                  </w:tcMar>
                  <w:vAlign w:val="center"/>
                </w:tcPr>
                <w:p w14:paraId="523F8D20">
                  <w:pPr>
                    <w:pStyle w:val="106"/>
                    <w:bidi w:val="0"/>
                    <w:jc w:val="center"/>
                    <w:rPr>
                      <w:rFonts w:hint="default"/>
                      <w:b/>
                      <w:bCs/>
                      <w:color w:val="auto"/>
                      <w:highlight w:val="none"/>
                      <w:lang w:val="en-US" w:eastAsia="zh-CN"/>
                    </w:rPr>
                  </w:pPr>
                  <w:r>
                    <w:rPr>
                      <w:rFonts w:hint="eastAsia"/>
                      <w:b/>
                      <w:bCs/>
                      <w:color w:val="auto"/>
                      <w:highlight w:val="none"/>
                      <w:lang w:val="en-US" w:eastAsia="zh-CN"/>
                    </w:rPr>
                    <w:t>6~9</w:t>
                  </w:r>
                </w:p>
              </w:tc>
              <w:tc>
                <w:tcPr>
                  <w:tcW w:w="427" w:type="pct"/>
                  <w:tcBorders>
                    <w:tl2br w:val="nil"/>
                    <w:tr2bl w:val="nil"/>
                  </w:tcBorders>
                  <w:shd w:val="clear" w:color="auto" w:fill="auto"/>
                  <w:tcMar>
                    <w:top w:w="15" w:type="dxa"/>
                    <w:left w:w="15" w:type="dxa"/>
                    <w:bottom w:w="0" w:type="dxa"/>
                    <w:right w:w="15" w:type="dxa"/>
                  </w:tcMar>
                  <w:vAlign w:val="center"/>
                </w:tcPr>
                <w:p w14:paraId="3197975A">
                  <w:pPr>
                    <w:pStyle w:val="106"/>
                    <w:bidi w:val="0"/>
                    <w:jc w:val="center"/>
                    <w:rPr>
                      <w:rFonts w:hint="default"/>
                      <w:b/>
                      <w:bCs/>
                      <w:color w:val="auto"/>
                      <w:highlight w:val="none"/>
                      <w:lang w:val="en-US" w:eastAsia="zh-CN"/>
                    </w:rPr>
                  </w:pPr>
                  <w:r>
                    <w:rPr>
                      <w:rFonts w:hint="eastAsia"/>
                      <w:b/>
                      <w:bCs/>
                      <w:color w:val="auto"/>
                      <w:highlight w:val="none"/>
                      <w:lang w:val="en-US" w:eastAsia="zh-CN"/>
                    </w:rPr>
                    <w:t>50</w:t>
                  </w:r>
                </w:p>
              </w:tc>
              <w:tc>
                <w:tcPr>
                  <w:tcW w:w="427" w:type="pct"/>
                  <w:tcBorders>
                    <w:tl2br w:val="nil"/>
                    <w:tr2bl w:val="nil"/>
                  </w:tcBorders>
                  <w:shd w:val="clear" w:color="auto" w:fill="auto"/>
                  <w:tcMar>
                    <w:top w:w="15" w:type="dxa"/>
                    <w:left w:w="15" w:type="dxa"/>
                    <w:bottom w:w="0" w:type="dxa"/>
                    <w:right w:w="15" w:type="dxa"/>
                  </w:tcMar>
                  <w:vAlign w:val="center"/>
                </w:tcPr>
                <w:p w14:paraId="4432C49A">
                  <w:pPr>
                    <w:pStyle w:val="106"/>
                    <w:bidi w:val="0"/>
                    <w:jc w:val="center"/>
                    <w:rPr>
                      <w:rFonts w:hint="default"/>
                      <w:b/>
                      <w:bCs/>
                      <w:color w:val="auto"/>
                      <w:highlight w:val="none"/>
                      <w:lang w:val="en-US" w:eastAsia="zh-CN"/>
                    </w:rPr>
                  </w:pPr>
                  <w:r>
                    <w:rPr>
                      <w:rFonts w:hint="eastAsia"/>
                      <w:b/>
                      <w:bCs/>
                      <w:color w:val="auto"/>
                      <w:highlight w:val="none"/>
                      <w:lang w:val="en-US" w:eastAsia="zh-CN"/>
                    </w:rPr>
                    <w:t>10</w:t>
                  </w:r>
                </w:p>
              </w:tc>
              <w:tc>
                <w:tcPr>
                  <w:tcW w:w="427" w:type="pct"/>
                  <w:tcBorders>
                    <w:tl2br w:val="nil"/>
                    <w:tr2bl w:val="nil"/>
                  </w:tcBorders>
                  <w:shd w:val="clear" w:color="auto" w:fill="auto"/>
                  <w:tcMar>
                    <w:top w:w="15" w:type="dxa"/>
                    <w:left w:w="15" w:type="dxa"/>
                    <w:bottom w:w="0" w:type="dxa"/>
                    <w:right w:w="15" w:type="dxa"/>
                  </w:tcMar>
                  <w:vAlign w:val="center"/>
                </w:tcPr>
                <w:p w14:paraId="462C9FF2">
                  <w:pPr>
                    <w:pStyle w:val="106"/>
                    <w:bidi w:val="0"/>
                    <w:jc w:val="center"/>
                    <w:rPr>
                      <w:rFonts w:hint="default"/>
                      <w:b/>
                      <w:bCs/>
                      <w:color w:val="auto"/>
                      <w:highlight w:val="none"/>
                      <w:lang w:val="en-US" w:eastAsia="zh-CN"/>
                    </w:rPr>
                  </w:pPr>
                  <w:r>
                    <w:rPr>
                      <w:rFonts w:hint="eastAsia"/>
                      <w:b/>
                      <w:bCs/>
                      <w:color w:val="auto"/>
                      <w:highlight w:val="none"/>
                      <w:lang w:val="en-US" w:eastAsia="zh-CN"/>
                    </w:rPr>
                    <w:t>10</w:t>
                  </w:r>
                </w:p>
              </w:tc>
              <w:tc>
                <w:tcPr>
                  <w:tcW w:w="427" w:type="pct"/>
                  <w:tcBorders>
                    <w:tl2br w:val="nil"/>
                    <w:tr2bl w:val="nil"/>
                  </w:tcBorders>
                  <w:shd w:val="clear" w:color="auto" w:fill="auto"/>
                  <w:tcMar>
                    <w:top w:w="15" w:type="dxa"/>
                    <w:left w:w="15" w:type="dxa"/>
                    <w:bottom w:w="0" w:type="dxa"/>
                    <w:right w:w="15" w:type="dxa"/>
                  </w:tcMar>
                  <w:vAlign w:val="center"/>
                </w:tcPr>
                <w:p w14:paraId="45AA8D75">
                  <w:pPr>
                    <w:pStyle w:val="106"/>
                    <w:bidi w:val="0"/>
                    <w:jc w:val="center"/>
                    <w:rPr>
                      <w:rFonts w:hint="default"/>
                      <w:b/>
                      <w:bCs/>
                      <w:color w:val="auto"/>
                      <w:highlight w:val="none"/>
                      <w:lang w:val="en-US" w:eastAsia="zh-CN"/>
                    </w:rPr>
                  </w:pPr>
                  <w:r>
                    <w:rPr>
                      <w:rFonts w:hint="eastAsia"/>
                      <w:b/>
                      <w:bCs/>
                      <w:color w:val="auto"/>
                      <w:highlight w:val="none"/>
                      <w:lang w:val="en-US" w:eastAsia="zh-CN"/>
                    </w:rPr>
                    <w:t>5</w:t>
                  </w:r>
                </w:p>
              </w:tc>
              <w:tc>
                <w:tcPr>
                  <w:tcW w:w="427" w:type="pct"/>
                  <w:tcBorders>
                    <w:tl2br w:val="nil"/>
                    <w:tr2bl w:val="nil"/>
                  </w:tcBorders>
                  <w:shd w:val="clear" w:color="auto" w:fill="auto"/>
                  <w:tcMar>
                    <w:top w:w="15" w:type="dxa"/>
                    <w:left w:w="15" w:type="dxa"/>
                    <w:bottom w:w="0" w:type="dxa"/>
                    <w:right w:w="15" w:type="dxa"/>
                  </w:tcMar>
                  <w:vAlign w:val="center"/>
                </w:tcPr>
                <w:p w14:paraId="08B66B5C">
                  <w:pPr>
                    <w:pStyle w:val="106"/>
                    <w:bidi w:val="0"/>
                    <w:jc w:val="center"/>
                    <w:rPr>
                      <w:rFonts w:hint="default"/>
                      <w:b/>
                      <w:bCs/>
                      <w:color w:val="auto"/>
                      <w:highlight w:val="none"/>
                      <w:lang w:val="en-US" w:eastAsia="zh-CN"/>
                    </w:rPr>
                  </w:pPr>
                  <w:r>
                    <w:rPr>
                      <w:rFonts w:hint="eastAsia"/>
                      <w:b/>
                      <w:bCs/>
                      <w:color w:val="auto"/>
                      <w:highlight w:val="none"/>
                      <w:lang w:val="en-US" w:eastAsia="zh-CN"/>
                    </w:rPr>
                    <w:t>0.5</w:t>
                  </w:r>
                </w:p>
              </w:tc>
              <w:tc>
                <w:tcPr>
                  <w:tcW w:w="429" w:type="pct"/>
                  <w:tcBorders>
                    <w:tl2br w:val="nil"/>
                    <w:tr2bl w:val="nil"/>
                  </w:tcBorders>
                  <w:shd w:val="clear" w:color="auto" w:fill="auto"/>
                  <w:tcMar>
                    <w:top w:w="15" w:type="dxa"/>
                    <w:left w:w="15" w:type="dxa"/>
                    <w:bottom w:w="0" w:type="dxa"/>
                    <w:right w:w="15" w:type="dxa"/>
                  </w:tcMar>
                  <w:vAlign w:val="center"/>
                </w:tcPr>
                <w:p w14:paraId="7A9AC3E5">
                  <w:pPr>
                    <w:pStyle w:val="106"/>
                    <w:bidi w:val="0"/>
                    <w:jc w:val="center"/>
                    <w:rPr>
                      <w:rFonts w:hint="default"/>
                      <w:b/>
                      <w:bCs/>
                      <w:color w:val="auto"/>
                      <w:highlight w:val="none"/>
                      <w:lang w:val="en-US" w:eastAsia="zh-CN"/>
                    </w:rPr>
                  </w:pPr>
                  <w:r>
                    <w:rPr>
                      <w:rFonts w:hint="eastAsia"/>
                      <w:b/>
                      <w:bCs/>
                      <w:color w:val="auto"/>
                      <w:highlight w:val="none"/>
                      <w:lang w:val="en-US" w:eastAsia="zh-CN"/>
                    </w:rPr>
                    <w:t>1</w:t>
                  </w:r>
                </w:p>
              </w:tc>
            </w:tr>
            <w:bookmarkEnd w:id="20"/>
          </w:tbl>
          <w:p w14:paraId="6FA90291">
            <w:pPr>
              <w:keepNext w:val="0"/>
              <w:keepLines w:val="0"/>
              <w:pageBreakBefore w:val="0"/>
              <w:widowControl w:val="0"/>
              <w:kinsoku/>
              <w:wordWrap/>
              <w:overflowPunct/>
              <w:topLinePunct w:val="0"/>
              <w:autoSpaceDE w:val="0"/>
              <w:autoSpaceDN w:val="0"/>
              <w:bidi w:val="0"/>
              <w:adjustRightInd w:val="0"/>
              <w:snapToGrid w:val="0"/>
              <w:spacing w:before="157" w:beforeLines="50"/>
              <w:ind w:firstLine="463" w:firstLineChars="192"/>
              <w:textAlignment w:val="auto"/>
              <w:rPr>
                <w:b/>
                <w:color w:val="auto"/>
                <w:sz w:val="24"/>
                <w:highlight w:val="none"/>
              </w:rPr>
            </w:pPr>
            <w:r>
              <w:rPr>
                <w:rFonts w:hint="eastAsia"/>
                <w:b/>
                <w:color w:val="auto"/>
                <w:sz w:val="24"/>
                <w:highlight w:val="none"/>
                <w:lang w:val="en-US" w:eastAsia="zh-CN"/>
              </w:rPr>
              <w:t>（3）依托</w:t>
            </w:r>
            <w:r>
              <w:rPr>
                <w:rFonts w:hint="eastAsia"/>
                <w:b/>
                <w:color w:val="auto"/>
                <w:sz w:val="24"/>
                <w:highlight w:val="none"/>
              </w:rPr>
              <w:t>可行性分析</w:t>
            </w:r>
          </w:p>
          <w:p w14:paraId="63BE1A71">
            <w:pPr>
              <w:pStyle w:val="2"/>
              <w:rPr>
                <w:rFonts w:hint="eastAsia"/>
                <w:b w:val="0"/>
                <w:bCs/>
                <w:color w:val="auto"/>
                <w:sz w:val="24"/>
                <w:highlight w:val="none"/>
                <w:lang w:eastAsia="zh-CN"/>
              </w:rPr>
            </w:pPr>
            <w:r>
              <w:rPr>
                <w:rFonts w:hint="eastAsia"/>
                <w:b w:val="0"/>
                <w:bCs/>
                <w:color w:val="auto"/>
                <w:sz w:val="24"/>
                <w:highlight w:val="none"/>
                <w:lang w:eastAsia="zh-CN"/>
              </w:rPr>
              <w:t>1）龙眼井污水处理厂简介</w:t>
            </w:r>
          </w:p>
          <w:p w14:paraId="64965A24">
            <w:pPr>
              <w:pStyle w:val="2"/>
              <w:rPr>
                <w:rFonts w:hint="eastAsia"/>
                <w:b w:val="0"/>
                <w:bCs/>
                <w:color w:val="auto"/>
                <w:sz w:val="24"/>
                <w:highlight w:val="none"/>
                <w:lang w:eastAsia="zh-CN"/>
              </w:rPr>
            </w:pPr>
            <w:r>
              <w:rPr>
                <w:rFonts w:hint="eastAsia"/>
                <w:b w:val="0"/>
                <w:bCs/>
                <w:color w:val="auto"/>
                <w:sz w:val="24"/>
                <w:highlight w:val="none"/>
                <w:lang w:eastAsia="zh-CN"/>
              </w:rPr>
              <w:t>龙眼井污水处理厂位于安居区龙眼井村，占地面积约50亩，设计废水处理规模为</w:t>
            </w:r>
            <w:r>
              <w:rPr>
                <w:rFonts w:hint="eastAsia"/>
                <w:b w:val="0"/>
                <w:bCs/>
                <w:color w:val="auto"/>
                <w:sz w:val="24"/>
                <w:highlight w:val="none"/>
                <w:lang w:val="en-US" w:eastAsia="zh-CN"/>
              </w:rPr>
              <w:t>1</w:t>
            </w:r>
            <w:r>
              <w:rPr>
                <w:rFonts w:hint="eastAsia"/>
                <w:b w:val="0"/>
                <w:bCs/>
                <w:color w:val="auto"/>
                <w:sz w:val="24"/>
                <w:highlight w:val="none"/>
                <w:lang w:eastAsia="zh-CN"/>
              </w:rPr>
              <w:t>.6万m</w:t>
            </w:r>
            <w:r>
              <w:rPr>
                <w:rFonts w:hint="eastAsia"/>
                <w:b w:val="0"/>
                <w:bCs/>
                <w:color w:val="auto"/>
                <w:sz w:val="24"/>
                <w:highlight w:val="none"/>
                <w:vertAlign w:val="superscript"/>
                <w:lang w:eastAsia="zh-CN"/>
              </w:rPr>
              <w:t>3</w:t>
            </w:r>
            <w:r>
              <w:rPr>
                <w:rFonts w:hint="eastAsia"/>
                <w:b w:val="0"/>
                <w:bCs/>
                <w:color w:val="auto"/>
                <w:sz w:val="24"/>
                <w:highlight w:val="none"/>
                <w:lang w:eastAsia="zh-CN"/>
              </w:rPr>
              <w:t>/d，采用CASS+D型滤池污水处理工艺，尾水达《城镇污水处理厂污染物排放标准》（GB18918-2002）中一级A标准排入琼江。该污水处理厂工程于2013年10月开工建设，已于2015年4月完工并投入运行。2022年龙眼井污水处理厂进行提档升级，处理能力由原来的1.6万m</w:t>
            </w:r>
            <w:r>
              <w:rPr>
                <w:rFonts w:hint="eastAsia"/>
                <w:b w:val="0"/>
                <w:bCs/>
                <w:color w:val="auto"/>
                <w:sz w:val="24"/>
                <w:highlight w:val="none"/>
                <w:vertAlign w:val="superscript"/>
                <w:lang w:eastAsia="zh-CN"/>
              </w:rPr>
              <w:t>3</w:t>
            </w:r>
            <w:r>
              <w:rPr>
                <w:rFonts w:hint="eastAsia"/>
                <w:b w:val="0"/>
                <w:bCs/>
                <w:color w:val="auto"/>
                <w:sz w:val="24"/>
                <w:highlight w:val="none"/>
                <w:lang w:eastAsia="zh-CN"/>
              </w:rPr>
              <w:t>/d提升至2.5万m</w:t>
            </w:r>
            <w:r>
              <w:rPr>
                <w:rFonts w:hint="eastAsia"/>
                <w:b w:val="0"/>
                <w:bCs/>
                <w:color w:val="auto"/>
                <w:sz w:val="24"/>
                <w:highlight w:val="none"/>
                <w:vertAlign w:val="superscript"/>
                <w:lang w:eastAsia="zh-CN"/>
              </w:rPr>
              <w:t>3</w:t>
            </w:r>
            <w:r>
              <w:rPr>
                <w:rFonts w:hint="eastAsia"/>
                <w:b w:val="0"/>
                <w:bCs/>
                <w:color w:val="auto"/>
                <w:sz w:val="24"/>
                <w:highlight w:val="none"/>
                <w:lang w:eastAsia="zh-CN"/>
              </w:rPr>
              <w:t>/d，龙眼井污水处理厂已于2023年8月完成提档升级工作，目前污水处理厂运行正常。</w:t>
            </w:r>
          </w:p>
          <w:p w14:paraId="2A7BF2A8">
            <w:pPr>
              <w:pStyle w:val="2"/>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3268345" cy="3637280"/>
                  <wp:effectExtent l="0" t="0" r="8255" b="1270"/>
                  <wp:docPr id="16" name="图片 2" descr="]SZ{7OFT@1[HR_B3K[RLX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SZ{7OFT@1[HR_B3K[RLXOG"/>
                          <pic:cNvPicPr>
                            <a:picLocks noChangeAspect="1"/>
                          </pic:cNvPicPr>
                        </pic:nvPicPr>
                        <pic:blipFill>
                          <a:blip r:embed="rId29"/>
                          <a:stretch>
                            <a:fillRect/>
                          </a:stretch>
                        </pic:blipFill>
                        <pic:spPr>
                          <a:xfrm>
                            <a:off x="0" y="0"/>
                            <a:ext cx="3268345" cy="3637280"/>
                          </a:xfrm>
                          <a:prstGeom prst="rect">
                            <a:avLst/>
                          </a:prstGeom>
                          <a:noFill/>
                          <a:ln>
                            <a:noFill/>
                          </a:ln>
                        </pic:spPr>
                      </pic:pic>
                    </a:graphicData>
                  </a:graphic>
                </wp:inline>
              </w:drawing>
            </w:r>
          </w:p>
          <w:p w14:paraId="7D3957DD">
            <w:pPr>
              <w:pStyle w:val="14"/>
              <w:ind w:left="0" w:leftChars="0" w:firstLine="0" w:firstLineChars="0"/>
              <w:jc w:val="center"/>
              <w:rPr>
                <w:rFonts w:hint="default" w:eastAsia="宋体"/>
                <w:color w:val="auto"/>
                <w:lang w:val="en-US" w:eastAsia="zh-CN"/>
              </w:rPr>
            </w:pPr>
            <w:r>
              <w:t xml:space="preserve">图4- </w:t>
            </w:r>
            <w:r>
              <w:fldChar w:fldCharType="begin"/>
            </w:r>
            <w:r>
              <w:instrText xml:space="preserve"> SEQ 图4- \* ARABIC </w:instrText>
            </w:r>
            <w:r>
              <w:fldChar w:fldCharType="separate"/>
            </w:r>
            <w:r>
              <w:t>2</w:t>
            </w:r>
            <w:r>
              <w:fldChar w:fldCharType="end"/>
            </w:r>
            <w:r>
              <w:rPr>
                <w:rFonts w:hint="eastAsia"/>
                <w:lang w:val="en-US" w:eastAsia="zh-CN"/>
              </w:rPr>
              <w:t xml:space="preserve">  龙眼井污水处理厂工艺流程</w:t>
            </w:r>
          </w:p>
          <w:p w14:paraId="7C6D7088">
            <w:pPr>
              <w:pStyle w:val="2"/>
              <w:rPr>
                <w:rFonts w:hint="eastAsia"/>
                <w:b w:val="0"/>
                <w:bCs/>
                <w:color w:val="auto"/>
                <w:sz w:val="24"/>
                <w:highlight w:val="none"/>
                <w:lang w:eastAsia="zh-CN"/>
              </w:rPr>
            </w:pPr>
            <w:r>
              <w:rPr>
                <w:rFonts w:hint="eastAsia"/>
                <w:b w:val="0"/>
                <w:bCs/>
                <w:color w:val="auto"/>
                <w:sz w:val="24"/>
                <w:highlight w:val="none"/>
                <w:lang w:eastAsia="zh-CN"/>
              </w:rPr>
              <w:t>2）纳管可行性</w:t>
            </w:r>
          </w:p>
          <w:p w14:paraId="2C2C9FB0">
            <w:pPr>
              <w:pStyle w:val="2"/>
              <w:rPr>
                <w:rFonts w:hint="eastAsia"/>
                <w:b w:val="0"/>
                <w:bCs/>
                <w:color w:val="auto"/>
                <w:sz w:val="24"/>
                <w:highlight w:val="none"/>
                <w:lang w:eastAsia="zh-CN"/>
              </w:rPr>
            </w:pPr>
            <w:r>
              <w:rPr>
                <w:rFonts w:hint="eastAsia"/>
                <w:b w:val="0"/>
                <w:bCs/>
                <w:color w:val="auto"/>
                <w:sz w:val="24"/>
                <w:highlight w:val="none"/>
                <w:lang w:eastAsia="zh-CN"/>
              </w:rPr>
              <w:t>本项目位于安居工业集中发展区内，根据实地调查可知，安东大道污水管网已经全部建成，且与龙眼井污水处理厂相接。本项目位于龙眼井污水处理厂的纳污范围内，项目外排废水经处理达标后，可排入龙眼井污水处理厂进行处理。</w:t>
            </w:r>
          </w:p>
          <w:p w14:paraId="684A728B">
            <w:pPr>
              <w:pStyle w:val="2"/>
              <w:rPr>
                <w:rFonts w:hint="eastAsia"/>
                <w:b w:val="0"/>
                <w:bCs/>
                <w:color w:val="auto"/>
                <w:sz w:val="24"/>
                <w:highlight w:val="none"/>
                <w:lang w:eastAsia="zh-CN"/>
              </w:rPr>
            </w:pPr>
            <w:r>
              <w:rPr>
                <w:rFonts w:hint="eastAsia"/>
                <w:b w:val="0"/>
                <w:bCs/>
                <w:color w:val="auto"/>
                <w:sz w:val="24"/>
                <w:highlight w:val="none"/>
                <w:lang w:eastAsia="zh-CN"/>
              </w:rPr>
              <w:t>3）水量可行性</w:t>
            </w:r>
          </w:p>
          <w:p w14:paraId="40AEA66A">
            <w:pPr>
              <w:pStyle w:val="2"/>
              <w:rPr>
                <w:rFonts w:hint="eastAsia"/>
                <w:b w:val="0"/>
                <w:bCs/>
                <w:color w:val="auto"/>
                <w:sz w:val="24"/>
                <w:highlight w:val="none"/>
                <w:lang w:eastAsia="zh-CN"/>
              </w:rPr>
            </w:pPr>
            <w:r>
              <w:rPr>
                <w:rFonts w:hint="eastAsia"/>
                <w:b w:val="0"/>
                <w:bCs/>
                <w:color w:val="auto"/>
                <w:sz w:val="24"/>
                <w:highlight w:val="none"/>
                <w:lang w:eastAsia="zh-CN"/>
              </w:rPr>
              <w:t>本项目外排废水总量为</w:t>
            </w:r>
            <w:r>
              <w:rPr>
                <w:rFonts w:hint="eastAsia"/>
                <w:b w:val="0"/>
                <w:bCs/>
                <w:color w:val="auto"/>
                <w:sz w:val="24"/>
                <w:highlight w:val="none"/>
                <w:lang w:val="en-US" w:eastAsia="zh-CN"/>
              </w:rPr>
              <w:t>47.57</w:t>
            </w:r>
            <w:r>
              <w:rPr>
                <w:rFonts w:hint="eastAsia"/>
                <w:b w:val="0"/>
                <w:bCs/>
                <w:color w:val="auto"/>
                <w:sz w:val="24"/>
                <w:highlight w:val="none"/>
                <w:lang w:eastAsia="zh-CN"/>
              </w:rPr>
              <w:t>m</w:t>
            </w:r>
            <w:r>
              <w:rPr>
                <w:rFonts w:hint="eastAsia"/>
                <w:b w:val="0"/>
                <w:bCs/>
                <w:color w:val="auto"/>
                <w:sz w:val="24"/>
                <w:highlight w:val="none"/>
                <w:vertAlign w:val="superscript"/>
                <w:lang w:eastAsia="zh-CN"/>
              </w:rPr>
              <w:t>3</w:t>
            </w:r>
            <w:r>
              <w:rPr>
                <w:rFonts w:hint="eastAsia"/>
                <w:b w:val="0"/>
                <w:bCs/>
                <w:color w:val="auto"/>
                <w:sz w:val="24"/>
                <w:highlight w:val="none"/>
                <w:lang w:eastAsia="zh-CN"/>
              </w:rPr>
              <w:t>/d，龙眼井污水处理厂处理能力为2.5万m</w:t>
            </w:r>
            <w:r>
              <w:rPr>
                <w:rFonts w:hint="eastAsia"/>
                <w:b w:val="0"/>
                <w:bCs/>
                <w:color w:val="auto"/>
                <w:sz w:val="24"/>
                <w:highlight w:val="none"/>
                <w:vertAlign w:val="superscript"/>
                <w:lang w:eastAsia="zh-CN"/>
              </w:rPr>
              <w:t>3</w:t>
            </w:r>
            <w:r>
              <w:rPr>
                <w:rFonts w:hint="eastAsia"/>
                <w:b w:val="0"/>
                <w:bCs/>
                <w:color w:val="auto"/>
                <w:sz w:val="24"/>
                <w:highlight w:val="none"/>
                <w:lang w:eastAsia="zh-CN"/>
              </w:rPr>
              <w:t>/d，龙眼井污水处理厂现阶段处理量为2.04万m</w:t>
            </w:r>
            <w:r>
              <w:rPr>
                <w:rFonts w:hint="eastAsia"/>
                <w:b w:val="0"/>
                <w:bCs/>
                <w:color w:val="auto"/>
                <w:sz w:val="24"/>
                <w:highlight w:val="none"/>
                <w:vertAlign w:val="superscript"/>
                <w:lang w:eastAsia="zh-CN"/>
              </w:rPr>
              <w:t>3</w:t>
            </w:r>
            <w:r>
              <w:rPr>
                <w:rFonts w:hint="eastAsia"/>
                <w:b w:val="0"/>
                <w:bCs/>
                <w:color w:val="auto"/>
                <w:sz w:val="24"/>
                <w:highlight w:val="none"/>
                <w:lang w:eastAsia="zh-CN"/>
              </w:rPr>
              <w:t>/d，剩余约4600m</w:t>
            </w:r>
            <w:r>
              <w:rPr>
                <w:rFonts w:hint="eastAsia"/>
                <w:b w:val="0"/>
                <w:bCs/>
                <w:color w:val="auto"/>
                <w:sz w:val="24"/>
                <w:highlight w:val="none"/>
                <w:vertAlign w:val="superscript"/>
                <w:lang w:eastAsia="zh-CN"/>
              </w:rPr>
              <w:t>3</w:t>
            </w:r>
            <w:r>
              <w:rPr>
                <w:rFonts w:hint="eastAsia"/>
                <w:b w:val="0"/>
                <w:bCs/>
                <w:color w:val="auto"/>
                <w:sz w:val="24"/>
                <w:highlight w:val="none"/>
                <w:lang w:eastAsia="zh-CN"/>
              </w:rPr>
              <w:t>/d处理量，有足够容量处理本项目的废水。</w:t>
            </w:r>
          </w:p>
          <w:p w14:paraId="67AA3294">
            <w:pPr>
              <w:pStyle w:val="2"/>
              <w:rPr>
                <w:rFonts w:hint="eastAsia"/>
                <w:b w:val="0"/>
                <w:bCs/>
                <w:color w:val="auto"/>
                <w:sz w:val="24"/>
                <w:highlight w:val="none"/>
                <w:lang w:eastAsia="zh-CN"/>
              </w:rPr>
            </w:pPr>
            <w:r>
              <w:rPr>
                <w:rFonts w:hint="eastAsia"/>
                <w:b w:val="0"/>
                <w:bCs/>
                <w:color w:val="auto"/>
                <w:sz w:val="24"/>
                <w:highlight w:val="none"/>
                <w:lang w:eastAsia="zh-CN"/>
              </w:rPr>
              <w:t>4）水质可行性</w:t>
            </w:r>
          </w:p>
          <w:p w14:paraId="23D8CDA0">
            <w:pPr>
              <w:pStyle w:val="2"/>
              <w:rPr>
                <w:rFonts w:hint="eastAsia"/>
                <w:b w:val="0"/>
                <w:bCs/>
                <w:color w:val="auto"/>
                <w:sz w:val="24"/>
                <w:highlight w:val="none"/>
                <w:lang w:eastAsia="zh-CN"/>
              </w:rPr>
            </w:pPr>
            <w:r>
              <w:rPr>
                <w:rFonts w:hint="eastAsia"/>
                <w:b w:val="0"/>
                <w:bCs/>
                <w:color w:val="auto"/>
                <w:sz w:val="24"/>
                <w:highlight w:val="none"/>
                <w:lang w:eastAsia="zh-CN"/>
              </w:rPr>
              <w:t>本项目外排废水处理后能够达到《污水综合排放标准》（GB8978-1996）中的三级排放标准，符合龙眼井污水处理厂纳管水质要求。</w:t>
            </w:r>
          </w:p>
          <w:p w14:paraId="12B0E2D7">
            <w:pPr>
              <w:pStyle w:val="2"/>
              <w:rPr>
                <w:rFonts w:hint="eastAsia"/>
                <w:b w:val="0"/>
                <w:bCs/>
                <w:color w:val="auto"/>
                <w:sz w:val="24"/>
                <w:highlight w:val="none"/>
                <w:lang w:eastAsia="zh-CN"/>
              </w:rPr>
            </w:pPr>
            <w:r>
              <w:rPr>
                <w:rFonts w:hint="eastAsia"/>
                <w:b w:val="0"/>
                <w:bCs/>
                <w:color w:val="auto"/>
                <w:sz w:val="24"/>
                <w:highlight w:val="none"/>
                <w:lang w:eastAsia="zh-CN"/>
              </w:rPr>
              <w:t>综上，本项目建成投产后，其外排废水进入龙眼井污水处理厂处理是可行的。</w:t>
            </w:r>
          </w:p>
          <w:p w14:paraId="6BB888FA">
            <w:pPr>
              <w:pStyle w:val="2"/>
              <w:rPr>
                <w:rFonts w:hint="default" w:eastAsia="宋体"/>
                <w:b/>
                <w:bCs w:val="0"/>
                <w:color w:val="auto"/>
                <w:sz w:val="24"/>
                <w:highlight w:val="none"/>
                <w:lang w:val="en-US" w:eastAsia="zh-CN"/>
              </w:rPr>
            </w:pPr>
            <w:r>
              <w:rPr>
                <w:rFonts w:hint="eastAsia"/>
                <w:b/>
                <w:bCs w:val="0"/>
                <w:color w:val="auto"/>
                <w:sz w:val="24"/>
                <w:highlight w:val="none"/>
                <w:lang w:eastAsia="zh-CN"/>
              </w:rPr>
              <w:t>（</w:t>
            </w:r>
            <w:r>
              <w:rPr>
                <w:rFonts w:hint="eastAsia"/>
                <w:b/>
                <w:bCs w:val="0"/>
                <w:color w:val="auto"/>
                <w:sz w:val="24"/>
                <w:highlight w:val="none"/>
                <w:lang w:val="en-US" w:eastAsia="zh-CN"/>
              </w:rPr>
              <w:t>4</w:t>
            </w:r>
            <w:r>
              <w:rPr>
                <w:rFonts w:hint="eastAsia"/>
                <w:b/>
                <w:bCs w:val="0"/>
                <w:color w:val="auto"/>
                <w:sz w:val="24"/>
                <w:highlight w:val="none"/>
                <w:lang w:eastAsia="zh-CN"/>
              </w:rPr>
              <w:t>）</w:t>
            </w:r>
            <w:r>
              <w:rPr>
                <w:rFonts w:hint="eastAsia"/>
                <w:b/>
                <w:bCs w:val="0"/>
                <w:color w:val="auto"/>
                <w:sz w:val="24"/>
                <w:highlight w:val="none"/>
                <w:lang w:val="en-US" w:eastAsia="zh-CN"/>
              </w:rPr>
              <w:t>排放口信息</w:t>
            </w:r>
          </w:p>
          <w:p w14:paraId="730DE925">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根据</w:t>
            </w:r>
            <w:r>
              <w:rPr>
                <w:rFonts w:hint="default" w:ascii="Times New Roman" w:hAnsi="Times New Roman" w:cs="Times New Roman"/>
                <w:color w:val="auto"/>
                <w:highlight w:val="none"/>
                <w:lang w:val="en-US" w:eastAsia="zh-CN"/>
              </w:rPr>
              <w:t>《排污单位自行监测技术指南 总则》（HJ819-2017）</w:t>
            </w:r>
            <w:r>
              <w:rPr>
                <w:rFonts w:hint="eastAsia" w:ascii="Times New Roman" w:hAnsi="Times New Roman" w:cs="Times New Roman"/>
                <w:color w:val="auto"/>
                <w:highlight w:val="none"/>
                <w:lang w:val="en-US" w:eastAsia="zh-CN"/>
              </w:rPr>
              <w:t>及</w:t>
            </w:r>
            <w:r>
              <w:rPr>
                <w:rFonts w:hint="default"/>
                <w:color w:val="auto"/>
                <w:highlight w:val="none"/>
              </w:rPr>
              <w:t>《排污许可证申请与核发技术规范食品制造工业一方便食品、食品及饲料添加剂制造工业》</w:t>
            </w:r>
            <w:r>
              <w:rPr>
                <w:rFonts w:hint="eastAsia"/>
                <w:color w:val="auto"/>
                <w:highlight w:val="none"/>
                <w:lang w:eastAsia="zh-CN"/>
              </w:rPr>
              <w:t>（</w:t>
            </w:r>
            <w:r>
              <w:rPr>
                <w:rFonts w:hint="default"/>
                <w:color w:val="auto"/>
                <w:highlight w:val="none"/>
              </w:rPr>
              <w:t>HJ</w:t>
            </w:r>
            <w:r>
              <w:rPr>
                <w:rFonts w:hint="eastAsia"/>
                <w:color w:val="auto"/>
                <w:highlight w:val="none"/>
                <w:lang w:val="en-US" w:eastAsia="zh-CN"/>
              </w:rPr>
              <w:t xml:space="preserve"> 1030.3</w:t>
            </w:r>
            <w:r>
              <w:rPr>
                <w:rFonts w:hint="default"/>
                <w:color w:val="auto"/>
                <w:highlight w:val="none"/>
              </w:rPr>
              <w:t>-20</w:t>
            </w:r>
            <w:r>
              <w:rPr>
                <w:rFonts w:hint="eastAsia"/>
                <w:color w:val="auto"/>
                <w:highlight w:val="none"/>
                <w:lang w:val="en-US" w:eastAsia="zh-CN"/>
              </w:rPr>
              <w:t>19</w:t>
            </w:r>
            <w:r>
              <w:rPr>
                <w:rFonts w:hint="eastAsia"/>
                <w:color w:val="auto"/>
                <w:highlight w:val="none"/>
                <w:lang w:eastAsia="zh-CN"/>
              </w:rPr>
              <w:t>）</w:t>
            </w:r>
            <w:r>
              <w:rPr>
                <w:rFonts w:hint="eastAsia"/>
                <w:color w:val="auto"/>
                <w:sz w:val="24"/>
                <w:highlight w:val="none"/>
              </w:rPr>
              <w:t>，项目投产后，企业应定期组织废水排放监测。若企业不具备监测条件，需委托当地具有监测资质的单位开展监测。项目监测计划具体如下表所示。</w:t>
            </w:r>
          </w:p>
          <w:p w14:paraId="20C6EC37">
            <w:pPr>
              <w:pStyle w:val="14"/>
              <w:rPr>
                <w:rFonts w:hint="default" w:eastAsia="宋体"/>
                <w:lang w:val="en-US" w:eastAsia="zh-CN"/>
              </w:rPr>
            </w:pPr>
            <w:r>
              <w:t xml:space="preserve">表4- </w:t>
            </w:r>
            <w:r>
              <w:fldChar w:fldCharType="begin"/>
            </w:r>
            <w:r>
              <w:instrText xml:space="preserve"> SEQ 表4- \* ARABIC </w:instrText>
            </w:r>
            <w:r>
              <w:fldChar w:fldCharType="separate"/>
            </w:r>
            <w:r>
              <w:t>13</w:t>
            </w:r>
            <w:r>
              <w:fldChar w:fldCharType="end"/>
            </w:r>
            <w:r>
              <w:rPr>
                <w:rFonts w:hint="eastAsia"/>
                <w:lang w:val="en-US" w:eastAsia="zh-CN"/>
              </w:rPr>
              <w:t xml:space="preserve">  项目废水自行检测要求</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9"/>
              <w:gridCol w:w="1036"/>
              <w:gridCol w:w="2845"/>
              <w:gridCol w:w="1246"/>
              <w:gridCol w:w="3194"/>
            </w:tblGrid>
            <w:tr w14:paraId="140D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483" w:type="pct"/>
                  <w:shd w:val="clear" w:color="auto" w:fill="FFFFFF"/>
                  <w:noWrap w:val="0"/>
                  <w:vAlign w:val="center"/>
                </w:tcPr>
                <w:p w14:paraId="2E386FF5">
                  <w:pPr>
                    <w:pStyle w:val="106"/>
                    <w:bidi w:val="0"/>
                    <w:rPr>
                      <w:rFonts w:hint="eastAsia"/>
                      <w:b/>
                      <w:bCs/>
                      <w:color w:val="auto"/>
                    </w:rPr>
                  </w:pPr>
                  <w:r>
                    <w:rPr>
                      <w:rFonts w:hint="eastAsia"/>
                      <w:b/>
                      <w:bCs/>
                      <w:color w:val="auto"/>
                    </w:rPr>
                    <w:t>类别</w:t>
                  </w:r>
                </w:p>
              </w:tc>
              <w:tc>
                <w:tcPr>
                  <w:tcW w:w="562" w:type="pct"/>
                  <w:shd w:val="clear" w:color="auto" w:fill="FFFFFF"/>
                  <w:noWrap w:val="0"/>
                  <w:vAlign w:val="center"/>
                </w:tcPr>
                <w:p w14:paraId="59AD149C">
                  <w:pPr>
                    <w:pStyle w:val="106"/>
                    <w:bidi w:val="0"/>
                    <w:rPr>
                      <w:rFonts w:hint="eastAsia"/>
                      <w:b/>
                      <w:bCs/>
                      <w:color w:val="auto"/>
                    </w:rPr>
                  </w:pPr>
                  <w:r>
                    <w:rPr>
                      <w:rFonts w:hint="eastAsia"/>
                      <w:b/>
                      <w:bCs/>
                      <w:color w:val="auto"/>
                    </w:rPr>
                    <w:t>监测位置</w:t>
                  </w:r>
                </w:p>
              </w:tc>
              <w:tc>
                <w:tcPr>
                  <w:tcW w:w="1544" w:type="pct"/>
                  <w:shd w:val="clear" w:color="auto" w:fill="FFFFFF"/>
                  <w:noWrap w:val="0"/>
                  <w:vAlign w:val="center"/>
                </w:tcPr>
                <w:p w14:paraId="228B1281">
                  <w:pPr>
                    <w:pStyle w:val="106"/>
                    <w:bidi w:val="0"/>
                    <w:rPr>
                      <w:rFonts w:hint="eastAsia"/>
                      <w:b/>
                      <w:bCs/>
                      <w:color w:val="auto"/>
                    </w:rPr>
                  </w:pPr>
                  <w:r>
                    <w:rPr>
                      <w:rFonts w:hint="eastAsia"/>
                      <w:b/>
                      <w:bCs/>
                      <w:color w:val="auto"/>
                    </w:rPr>
                    <w:t>监测项目</w:t>
                  </w:r>
                </w:p>
              </w:tc>
              <w:tc>
                <w:tcPr>
                  <w:tcW w:w="676" w:type="pct"/>
                  <w:shd w:val="clear" w:color="auto" w:fill="FFFFFF"/>
                  <w:noWrap w:val="0"/>
                  <w:vAlign w:val="center"/>
                </w:tcPr>
                <w:p w14:paraId="76268CBC">
                  <w:pPr>
                    <w:pStyle w:val="106"/>
                    <w:bidi w:val="0"/>
                    <w:rPr>
                      <w:rFonts w:hint="eastAsia"/>
                      <w:b/>
                      <w:bCs/>
                      <w:color w:val="auto"/>
                    </w:rPr>
                  </w:pPr>
                  <w:r>
                    <w:rPr>
                      <w:rFonts w:hint="eastAsia"/>
                      <w:b/>
                      <w:bCs/>
                      <w:color w:val="auto"/>
                    </w:rPr>
                    <w:t>监测频率</w:t>
                  </w:r>
                </w:p>
              </w:tc>
              <w:tc>
                <w:tcPr>
                  <w:tcW w:w="1733" w:type="pct"/>
                  <w:shd w:val="clear" w:color="auto" w:fill="FFFFFF"/>
                  <w:noWrap w:val="0"/>
                  <w:vAlign w:val="center"/>
                </w:tcPr>
                <w:p w14:paraId="7F36F282">
                  <w:pPr>
                    <w:pStyle w:val="106"/>
                    <w:bidi w:val="0"/>
                    <w:rPr>
                      <w:rFonts w:hint="eastAsia"/>
                      <w:b/>
                      <w:bCs/>
                      <w:color w:val="auto"/>
                    </w:rPr>
                  </w:pPr>
                  <w:r>
                    <w:rPr>
                      <w:rFonts w:hint="eastAsia"/>
                      <w:b/>
                      <w:bCs/>
                      <w:color w:val="auto"/>
                    </w:rPr>
                    <w:t>执行标准</w:t>
                  </w:r>
                </w:p>
              </w:tc>
            </w:tr>
            <w:tr w14:paraId="1CB0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6" w:hRule="atLeast"/>
                <w:jc w:val="center"/>
              </w:trPr>
              <w:tc>
                <w:tcPr>
                  <w:tcW w:w="483" w:type="pct"/>
                  <w:noWrap w:val="0"/>
                  <w:vAlign w:val="center"/>
                </w:tcPr>
                <w:p w14:paraId="06F67E78">
                  <w:pPr>
                    <w:pStyle w:val="106"/>
                    <w:bidi w:val="0"/>
                    <w:rPr>
                      <w:color w:val="auto"/>
                    </w:rPr>
                  </w:pPr>
                  <w:r>
                    <w:rPr>
                      <w:rFonts w:hint="eastAsia"/>
                      <w:color w:val="auto"/>
                    </w:rPr>
                    <w:t>生活污水、生产废水</w:t>
                  </w:r>
                </w:p>
              </w:tc>
              <w:tc>
                <w:tcPr>
                  <w:tcW w:w="562" w:type="pct"/>
                  <w:noWrap w:val="0"/>
                  <w:vAlign w:val="center"/>
                </w:tcPr>
                <w:p w14:paraId="2CC0B617">
                  <w:pPr>
                    <w:pStyle w:val="106"/>
                    <w:bidi w:val="0"/>
                    <w:rPr>
                      <w:rFonts w:hint="eastAsia"/>
                      <w:color w:val="auto"/>
                    </w:rPr>
                  </w:pPr>
                  <w:r>
                    <w:rPr>
                      <w:rFonts w:hint="eastAsia"/>
                      <w:color w:val="auto"/>
                    </w:rPr>
                    <w:t>厂区废水总排口</w:t>
                  </w:r>
                </w:p>
              </w:tc>
              <w:tc>
                <w:tcPr>
                  <w:tcW w:w="1544" w:type="pct"/>
                  <w:noWrap w:val="0"/>
                  <w:vAlign w:val="center"/>
                </w:tcPr>
                <w:p w14:paraId="592C3542">
                  <w:pPr>
                    <w:pStyle w:val="106"/>
                    <w:bidi w:val="0"/>
                    <w:rPr>
                      <w:rFonts w:hint="default"/>
                      <w:color w:val="auto"/>
                      <w:lang w:val="en-US" w:eastAsia="zh-CN"/>
                    </w:rPr>
                  </w:pPr>
                  <w:r>
                    <w:rPr>
                      <w:rFonts w:hint="eastAsia"/>
                      <w:color w:val="auto"/>
                      <w:lang w:val="en-US" w:eastAsia="zh-CN"/>
                    </w:rPr>
                    <w:t>pH、COD、</w:t>
                  </w:r>
                  <w:r>
                    <w:rPr>
                      <w:rFonts w:hint="eastAsia"/>
                      <w:color w:val="auto"/>
                    </w:rPr>
                    <w:t>BOD5、</w:t>
                  </w:r>
                  <w:r>
                    <w:rPr>
                      <w:rFonts w:hint="eastAsia"/>
                      <w:color w:val="auto"/>
                      <w:lang w:val="en-US" w:eastAsia="zh-CN"/>
                    </w:rPr>
                    <w:t>氨氮</w:t>
                  </w:r>
                  <w:r>
                    <w:rPr>
                      <w:rFonts w:hint="eastAsia"/>
                      <w:color w:val="auto"/>
                    </w:rPr>
                    <w:t>、</w:t>
                  </w:r>
                  <w:r>
                    <w:rPr>
                      <w:rFonts w:hint="eastAsia"/>
                      <w:color w:val="auto"/>
                      <w:lang w:val="en-US" w:eastAsia="zh-CN"/>
                    </w:rPr>
                    <w:t>悬浮物、总磷、动植物油</w:t>
                  </w:r>
                </w:p>
              </w:tc>
              <w:tc>
                <w:tcPr>
                  <w:tcW w:w="676" w:type="pct"/>
                  <w:noWrap w:val="0"/>
                  <w:vAlign w:val="center"/>
                </w:tcPr>
                <w:p w14:paraId="12F96A64">
                  <w:pPr>
                    <w:pStyle w:val="106"/>
                    <w:bidi w:val="0"/>
                    <w:rPr>
                      <w:rFonts w:hint="eastAsia" w:eastAsia="宋体"/>
                      <w:color w:val="auto"/>
                      <w:lang w:val="en-US" w:eastAsia="zh-CN"/>
                    </w:rPr>
                  </w:pPr>
                  <w:r>
                    <w:rPr>
                      <w:rFonts w:hint="eastAsia"/>
                      <w:color w:val="auto"/>
                    </w:rPr>
                    <w:t>1次/</w:t>
                  </w:r>
                  <w:r>
                    <w:rPr>
                      <w:rFonts w:hint="eastAsia"/>
                      <w:color w:val="auto"/>
                      <w:lang w:val="en-US" w:eastAsia="zh-CN"/>
                    </w:rPr>
                    <w:t>半年</w:t>
                  </w:r>
                </w:p>
              </w:tc>
              <w:tc>
                <w:tcPr>
                  <w:tcW w:w="1733" w:type="pct"/>
                  <w:noWrap w:val="0"/>
                  <w:vAlign w:val="center"/>
                </w:tcPr>
                <w:p w14:paraId="53D9A76A">
                  <w:pPr>
                    <w:pStyle w:val="106"/>
                    <w:bidi w:val="0"/>
                    <w:rPr>
                      <w:rFonts w:hint="eastAsia"/>
                      <w:color w:val="auto"/>
                    </w:rPr>
                  </w:pPr>
                  <w:r>
                    <w:rPr>
                      <w:rFonts w:hint="eastAsia"/>
                      <w:color w:val="auto"/>
                    </w:rPr>
                    <w:t>《污水综合排放标准》（GB8978-1996）中的三级排放标准</w:t>
                  </w:r>
                </w:p>
              </w:tc>
            </w:tr>
          </w:tbl>
          <w:p w14:paraId="66E3A5B2">
            <w:pPr>
              <w:adjustRightInd w:val="0"/>
              <w:snapToGrid w:val="0"/>
              <w:spacing w:line="360" w:lineRule="auto"/>
              <w:ind w:firstLine="482" w:firstLineChars="200"/>
              <w:jc w:val="left"/>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val="en-US" w:eastAsia="zh-CN"/>
              </w:rPr>
              <w:t>3、噪声</w:t>
            </w:r>
          </w:p>
          <w:p w14:paraId="144C35CA">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eastAsia" w:ascii="Times New Roman" w:hAnsi="Times New Roman" w:eastAsia="宋体" w:cs="Times New Roman"/>
                <w:b/>
                <w:bCs w:val="0"/>
                <w:color w:val="auto"/>
                <w:spacing w:val="-10"/>
                <w:sz w:val="24"/>
                <w:szCs w:val="24"/>
                <w:highlight w:val="none"/>
                <w:lang w:val="en-US" w:eastAsia="zh-CN"/>
              </w:rPr>
            </w:pPr>
            <w:r>
              <w:rPr>
                <w:rFonts w:hint="eastAsia" w:ascii="Times New Roman" w:hAnsi="Times New Roman" w:eastAsia="宋体" w:cs="Times New Roman"/>
                <w:b/>
                <w:bCs w:val="0"/>
                <w:color w:val="auto"/>
                <w:spacing w:val="-10"/>
                <w:sz w:val="24"/>
                <w:szCs w:val="24"/>
                <w:highlight w:val="none"/>
                <w:lang w:val="en-US" w:eastAsia="zh-CN"/>
              </w:rPr>
              <w:t>（1）声环境保护目标</w:t>
            </w:r>
          </w:p>
          <w:p w14:paraId="085EFAC8">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eastAsia" w:ascii="Times New Roman" w:hAnsi="Times New Roman" w:eastAsia="宋体" w:cs="Times New Roman"/>
                <w:b w:val="0"/>
                <w:bCs/>
                <w:color w:val="auto"/>
                <w:spacing w:val="-10"/>
                <w:sz w:val="24"/>
                <w:szCs w:val="24"/>
                <w:highlight w:val="none"/>
                <w:lang w:val="en-US" w:eastAsia="zh-CN"/>
              </w:rPr>
            </w:pPr>
            <w:r>
              <w:rPr>
                <w:rFonts w:hint="eastAsia" w:ascii="Times New Roman" w:hAnsi="Times New Roman" w:eastAsia="宋体" w:cs="Times New Roman"/>
                <w:b w:val="0"/>
                <w:bCs/>
                <w:color w:val="auto"/>
                <w:spacing w:val="-10"/>
                <w:sz w:val="24"/>
                <w:szCs w:val="24"/>
                <w:highlight w:val="none"/>
                <w:lang w:val="en-US" w:eastAsia="zh-CN"/>
              </w:rPr>
              <w:t>根据《建设项目环境影响报告表编制技术指南（污染影响类）（试行）》的要求，厂界外周边50米范围内存在声环境保护目标的建设项目，应监测保护目标声环境质量现状并评价达标情况。本项目周边50m范围内</w:t>
            </w:r>
            <w:r>
              <w:rPr>
                <w:rFonts w:hint="eastAsia" w:cs="Times New Roman"/>
                <w:b w:val="0"/>
                <w:bCs/>
                <w:color w:val="auto"/>
                <w:spacing w:val="-10"/>
                <w:sz w:val="24"/>
                <w:szCs w:val="24"/>
                <w:highlight w:val="none"/>
                <w:lang w:val="en-US" w:eastAsia="zh-CN"/>
              </w:rPr>
              <w:t>无</w:t>
            </w:r>
            <w:r>
              <w:rPr>
                <w:rFonts w:hint="eastAsia" w:ascii="Times New Roman" w:hAnsi="Times New Roman" w:eastAsia="宋体" w:cs="Times New Roman"/>
                <w:b w:val="0"/>
                <w:bCs/>
                <w:color w:val="auto"/>
                <w:spacing w:val="-10"/>
                <w:sz w:val="24"/>
                <w:szCs w:val="24"/>
                <w:highlight w:val="none"/>
                <w:lang w:val="en-US" w:eastAsia="zh-CN"/>
              </w:rPr>
              <w:t>声环境保护目标。</w:t>
            </w:r>
          </w:p>
          <w:p w14:paraId="3CF51B42">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eastAsia" w:ascii="Times New Roman" w:hAnsi="Times New Roman" w:eastAsia="宋体" w:cs="Times New Roman"/>
                <w:b/>
                <w:bCs w:val="0"/>
                <w:color w:val="auto"/>
                <w:spacing w:val="-10"/>
                <w:sz w:val="24"/>
                <w:szCs w:val="24"/>
                <w:highlight w:val="none"/>
                <w:lang w:val="en-US" w:eastAsia="zh-CN"/>
              </w:rPr>
            </w:pPr>
            <w:r>
              <w:rPr>
                <w:rFonts w:hint="eastAsia" w:ascii="Times New Roman" w:hAnsi="Times New Roman" w:cs="Times New Roman"/>
                <w:b/>
                <w:bCs w:val="0"/>
                <w:color w:val="auto"/>
                <w:spacing w:val="-10"/>
                <w:sz w:val="24"/>
                <w:szCs w:val="24"/>
                <w:highlight w:val="none"/>
                <w:lang w:val="en-US" w:eastAsia="zh-CN"/>
              </w:rPr>
              <w:t>（2）</w:t>
            </w:r>
            <w:r>
              <w:rPr>
                <w:rFonts w:hint="eastAsia" w:ascii="Times New Roman" w:hAnsi="Times New Roman" w:eastAsia="宋体" w:cs="Times New Roman"/>
                <w:b/>
                <w:bCs w:val="0"/>
                <w:color w:val="auto"/>
                <w:spacing w:val="-10"/>
                <w:sz w:val="24"/>
                <w:szCs w:val="24"/>
                <w:highlight w:val="none"/>
                <w:lang w:val="en-US" w:eastAsia="zh-CN"/>
              </w:rPr>
              <w:t>噪声源强</w:t>
            </w:r>
          </w:p>
          <w:p w14:paraId="6B13D48B">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 w:val="0"/>
                <w:bCs/>
                <w:color w:val="auto"/>
                <w:spacing w:val="-10"/>
                <w:sz w:val="24"/>
                <w:szCs w:val="24"/>
                <w:highlight w:val="none"/>
                <w:lang w:val="en-US" w:eastAsia="zh-CN"/>
              </w:rPr>
            </w:pPr>
            <w:r>
              <w:rPr>
                <w:rFonts w:hint="default" w:ascii="Times New Roman" w:hAnsi="Times New Roman" w:eastAsia="宋体" w:cs="Times New Roman"/>
                <w:b w:val="0"/>
                <w:bCs/>
                <w:color w:val="auto"/>
                <w:spacing w:val="-10"/>
                <w:sz w:val="24"/>
                <w:szCs w:val="24"/>
                <w:highlight w:val="none"/>
                <w:lang w:val="en-US" w:eastAsia="zh-CN"/>
              </w:rPr>
              <w:t>本项目营运期的主要噪声来源是</w:t>
            </w:r>
            <w:r>
              <w:rPr>
                <w:rFonts w:hint="eastAsia" w:cs="Times New Roman"/>
                <w:b w:val="0"/>
                <w:bCs/>
                <w:color w:val="auto"/>
                <w:spacing w:val="-10"/>
                <w:sz w:val="24"/>
                <w:szCs w:val="24"/>
                <w:highlight w:val="none"/>
                <w:lang w:val="en-US" w:eastAsia="zh-CN"/>
              </w:rPr>
              <w:t>多功能切菜机、蒸汽发生器、真空冷冻干燥机、振动筛分机、绞肉机、杀菌锅、切纸机</w:t>
            </w:r>
            <w:r>
              <w:rPr>
                <w:rFonts w:hint="eastAsia" w:ascii="Times New Roman" w:hAnsi="Times New Roman" w:eastAsia="宋体" w:cs="Times New Roman"/>
                <w:b w:val="0"/>
                <w:bCs/>
                <w:color w:val="auto"/>
                <w:spacing w:val="-10"/>
                <w:sz w:val="24"/>
                <w:szCs w:val="24"/>
                <w:highlight w:val="none"/>
                <w:lang w:val="en-US" w:eastAsia="zh-CN"/>
              </w:rPr>
              <w:t>、空压机</w:t>
            </w:r>
            <w:r>
              <w:rPr>
                <w:rFonts w:hint="eastAsia" w:cs="Times New Roman"/>
                <w:b w:val="0"/>
                <w:bCs/>
                <w:color w:val="auto"/>
                <w:spacing w:val="-10"/>
                <w:sz w:val="24"/>
                <w:szCs w:val="24"/>
                <w:highlight w:val="none"/>
                <w:lang w:val="en-US" w:eastAsia="zh-CN"/>
              </w:rPr>
              <w:t>、风机</w:t>
            </w:r>
            <w:r>
              <w:rPr>
                <w:rFonts w:hint="eastAsia" w:ascii="Times New Roman" w:hAnsi="Times New Roman" w:eastAsia="宋体" w:cs="Times New Roman"/>
                <w:b w:val="0"/>
                <w:bCs/>
                <w:color w:val="auto"/>
                <w:spacing w:val="-10"/>
                <w:sz w:val="24"/>
                <w:szCs w:val="24"/>
                <w:highlight w:val="none"/>
                <w:lang w:val="en-US" w:eastAsia="zh-CN"/>
              </w:rPr>
              <w:t>等设备在生产运行过程中产生的空气动力性噪声、机械噪声及电机噪声。</w:t>
            </w:r>
            <w:r>
              <w:rPr>
                <w:rFonts w:hint="eastAsia" w:cs="Times New Roman"/>
                <w:b/>
                <w:bCs w:val="0"/>
                <w:color w:val="auto"/>
                <w:spacing w:val="-10"/>
                <w:sz w:val="24"/>
                <w:szCs w:val="24"/>
                <w:highlight w:val="none"/>
                <w:lang w:val="en-US" w:eastAsia="zh-CN"/>
              </w:rPr>
              <w:t>本项目除空压机和风机，其他噪声源都在厂房内，空压机为厂房外空压机房内。</w:t>
            </w:r>
            <w:r>
              <w:rPr>
                <w:rFonts w:hint="eastAsia" w:ascii="Times New Roman" w:hAnsi="Times New Roman" w:eastAsia="宋体" w:cs="Times New Roman"/>
                <w:b w:val="0"/>
                <w:bCs/>
                <w:color w:val="auto"/>
                <w:spacing w:val="-10"/>
                <w:sz w:val="24"/>
                <w:szCs w:val="24"/>
                <w:highlight w:val="none"/>
                <w:lang w:val="en-US" w:eastAsia="zh-CN"/>
              </w:rPr>
              <w:t>根据《环境工程手册 环境噪声控制卷》（2000年）中表6-13中风机的声级L</w:t>
            </w:r>
            <w:r>
              <w:rPr>
                <w:rFonts w:hint="eastAsia" w:ascii="Times New Roman" w:hAnsi="Times New Roman" w:eastAsia="宋体" w:cs="Times New Roman"/>
                <w:b w:val="0"/>
                <w:bCs/>
                <w:color w:val="auto"/>
                <w:spacing w:val="-10"/>
                <w:sz w:val="24"/>
                <w:szCs w:val="24"/>
                <w:highlight w:val="none"/>
                <w:vertAlign w:val="subscript"/>
                <w:lang w:val="en-US" w:eastAsia="zh-CN"/>
              </w:rPr>
              <w:t>A</w:t>
            </w:r>
            <w:r>
              <w:rPr>
                <w:rFonts w:hint="eastAsia" w:ascii="Times New Roman" w:hAnsi="Times New Roman" w:eastAsia="宋体" w:cs="Times New Roman"/>
                <w:b w:val="0"/>
                <w:bCs/>
                <w:color w:val="auto"/>
                <w:spacing w:val="-10"/>
                <w:sz w:val="24"/>
                <w:szCs w:val="24"/>
                <w:highlight w:val="none"/>
                <w:lang w:val="en-US" w:eastAsia="zh-CN"/>
              </w:rPr>
              <w:t>为63.5-79.5dB，在风机进、出口安装消声器后，噪声可降低10-20dB；本项目所用风机按最</w:t>
            </w:r>
            <w:r>
              <w:rPr>
                <w:rFonts w:hint="eastAsia" w:cs="Times New Roman"/>
                <w:b w:val="0"/>
                <w:bCs/>
                <w:color w:val="auto"/>
                <w:spacing w:val="-10"/>
                <w:sz w:val="24"/>
                <w:szCs w:val="24"/>
                <w:highlight w:val="none"/>
                <w:lang w:val="en-US" w:eastAsia="zh-CN"/>
              </w:rPr>
              <w:t>大值</w:t>
            </w:r>
            <w:r>
              <w:rPr>
                <w:rFonts w:hint="eastAsia" w:ascii="Times New Roman" w:hAnsi="Times New Roman" w:eastAsia="宋体" w:cs="Times New Roman"/>
                <w:b w:val="0"/>
                <w:bCs/>
                <w:color w:val="auto"/>
                <w:spacing w:val="-10"/>
                <w:sz w:val="24"/>
                <w:szCs w:val="24"/>
                <w:highlight w:val="none"/>
                <w:lang w:val="en-US" w:eastAsia="zh-CN"/>
              </w:rPr>
              <w:t>选择取79.5dB，</w:t>
            </w:r>
            <w:r>
              <w:rPr>
                <w:rFonts w:hint="eastAsia" w:ascii="Times New Roman" w:hAnsi="Times New Roman" w:eastAsia="宋体" w:cs="Times New Roman"/>
                <w:b/>
                <w:bCs w:val="0"/>
                <w:color w:val="auto"/>
                <w:spacing w:val="-10"/>
                <w:sz w:val="24"/>
                <w:szCs w:val="24"/>
                <w:highlight w:val="none"/>
                <w:lang w:val="en-US" w:eastAsia="zh-CN"/>
              </w:rPr>
              <w:t>并采取消声措施（</w:t>
            </w:r>
            <w:r>
              <w:rPr>
                <w:rFonts w:hint="eastAsia" w:cs="Times New Roman"/>
                <w:b/>
                <w:bCs w:val="0"/>
                <w:color w:val="auto"/>
                <w:spacing w:val="-10"/>
                <w:sz w:val="24"/>
                <w:szCs w:val="24"/>
                <w:highlight w:val="none"/>
                <w:lang w:val="en-US" w:eastAsia="zh-CN"/>
              </w:rPr>
              <w:t>根据业主提供的资料，</w:t>
            </w:r>
            <w:r>
              <w:rPr>
                <w:rFonts w:hint="eastAsia" w:ascii="Times New Roman" w:hAnsi="Times New Roman" w:eastAsia="宋体" w:cs="Times New Roman"/>
                <w:b/>
                <w:bCs w:val="0"/>
                <w:color w:val="auto"/>
                <w:spacing w:val="-10"/>
                <w:sz w:val="24"/>
                <w:szCs w:val="24"/>
                <w:highlight w:val="none"/>
                <w:lang w:val="en-US" w:eastAsia="zh-CN"/>
              </w:rPr>
              <w:t>降噪量取10dB）</w:t>
            </w:r>
            <w:r>
              <w:rPr>
                <w:rFonts w:hint="eastAsia" w:ascii="Times New Roman" w:hAnsi="Times New Roman" w:eastAsia="宋体" w:cs="Times New Roman"/>
                <w:b w:val="0"/>
                <w:bCs/>
                <w:color w:val="auto"/>
                <w:spacing w:val="-10"/>
                <w:sz w:val="24"/>
                <w:szCs w:val="24"/>
                <w:highlight w:val="none"/>
                <w:lang w:val="en-US" w:eastAsia="zh-CN"/>
              </w:rPr>
              <w:t>。项目所用</w:t>
            </w:r>
            <w:r>
              <w:rPr>
                <w:rFonts w:hint="eastAsia" w:ascii="Times New Roman" w:hAnsi="Times New Roman" w:cs="Times New Roman"/>
                <w:b w:val="0"/>
                <w:bCs/>
                <w:color w:val="auto"/>
                <w:spacing w:val="-10"/>
                <w:sz w:val="24"/>
                <w:szCs w:val="24"/>
                <w:highlight w:val="none"/>
                <w:lang w:val="en-US" w:eastAsia="zh-CN"/>
              </w:rPr>
              <w:t>废气治理设备</w:t>
            </w:r>
            <w:r>
              <w:rPr>
                <w:rFonts w:hint="eastAsia" w:ascii="Times New Roman" w:hAnsi="Times New Roman" w:eastAsia="宋体" w:cs="Times New Roman"/>
                <w:b w:val="0"/>
                <w:bCs/>
                <w:color w:val="auto"/>
                <w:spacing w:val="-10"/>
                <w:sz w:val="24"/>
                <w:szCs w:val="24"/>
                <w:highlight w:val="none"/>
                <w:lang w:val="en-US" w:eastAsia="zh-CN"/>
              </w:rPr>
              <w:t>主要噪声为风机带来的噪声，参考风机噪声源强，声级L</w:t>
            </w:r>
            <w:r>
              <w:rPr>
                <w:rFonts w:hint="eastAsia" w:ascii="Times New Roman" w:hAnsi="Times New Roman" w:eastAsia="宋体" w:cs="Times New Roman"/>
                <w:b w:val="0"/>
                <w:bCs/>
                <w:color w:val="auto"/>
                <w:spacing w:val="-10"/>
                <w:sz w:val="24"/>
                <w:szCs w:val="24"/>
                <w:highlight w:val="none"/>
                <w:vertAlign w:val="subscript"/>
                <w:lang w:val="en-US" w:eastAsia="zh-CN"/>
              </w:rPr>
              <w:t>A</w:t>
            </w:r>
            <w:r>
              <w:rPr>
                <w:rFonts w:hint="eastAsia" w:ascii="Times New Roman" w:hAnsi="Times New Roman" w:eastAsia="宋体" w:cs="Times New Roman"/>
                <w:b w:val="0"/>
                <w:bCs/>
                <w:color w:val="auto"/>
                <w:spacing w:val="-10"/>
                <w:sz w:val="24"/>
                <w:szCs w:val="24"/>
                <w:highlight w:val="none"/>
                <w:lang w:val="en-US" w:eastAsia="zh-CN"/>
              </w:rPr>
              <w:t>取79.5dB。</w:t>
            </w:r>
          </w:p>
          <w:p w14:paraId="14955ACD">
            <w:pPr>
              <w:adjustRightInd w:val="0"/>
              <w:snapToGrid w:val="0"/>
              <w:ind w:firstLine="482"/>
              <w:rPr>
                <w:rFonts w:hint="default" w:ascii="Times New Roman" w:hAnsi="Times New Roman" w:eastAsia="宋体" w:cs="Times New Roman"/>
                <w:b w:val="0"/>
                <w:bCs/>
                <w:color w:val="auto"/>
                <w:spacing w:val="-10"/>
                <w:sz w:val="24"/>
                <w:szCs w:val="24"/>
                <w:highlight w:val="none"/>
                <w:lang w:val="en-US" w:eastAsia="zh-CN"/>
              </w:rPr>
            </w:pPr>
            <w:r>
              <w:rPr>
                <w:rFonts w:hint="eastAsia" w:ascii="Times New Roman" w:hAnsi="Times New Roman" w:eastAsia="宋体" w:cs="Times New Roman"/>
                <w:b w:val="0"/>
                <w:bCs/>
                <w:color w:val="auto"/>
                <w:spacing w:val="-10"/>
                <w:sz w:val="24"/>
                <w:szCs w:val="24"/>
                <w:highlight w:val="none"/>
                <w:lang w:val="en-US" w:eastAsia="zh-CN"/>
              </w:rPr>
              <w:t>根据声源源强类比，本</w:t>
            </w:r>
            <w:r>
              <w:rPr>
                <w:rFonts w:hint="default" w:ascii="Times New Roman" w:hAnsi="Times New Roman" w:eastAsia="宋体" w:cs="Times New Roman"/>
                <w:b w:val="0"/>
                <w:bCs/>
                <w:color w:val="auto"/>
                <w:spacing w:val="-10"/>
                <w:sz w:val="24"/>
                <w:szCs w:val="24"/>
                <w:highlight w:val="none"/>
                <w:lang w:val="en-US" w:eastAsia="zh-CN"/>
              </w:rPr>
              <w:t>项目噪声</w:t>
            </w:r>
            <w:r>
              <w:rPr>
                <w:rFonts w:hint="eastAsia" w:ascii="Times New Roman" w:hAnsi="Times New Roman" w:eastAsia="宋体" w:cs="Times New Roman"/>
                <w:b w:val="0"/>
                <w:bCs/>
                <w:color w:val="auto"/>
                <w:spacing w:val="-10"/>
                <w:sz w:val="24"/>
                <w:szCs w:val="24"/>
                <w:highlight w:val="none"/>
                <w:lang w:val="en-US" w:eastAsia="zh-CN"/>
              </w:rPr>
              <w:t>源强及治理措施</w:t>
            </w:r>
            <w:r>
              <w:rPr>
                <w:rFonts w:hint="default" w:ascii="Times New Roman" w:hAnsi="Times New Roman" w:eastAsia="宋体" w:cs="Times New Roman"/>
                <w:b w:val="0"/>
                <w:bCs/>
                <w:color w:val="auto"/>
                <w:spacing w:val="-10"/>
                <w:sz w:val="24"/>
                <w:szCs w:val="24"/>
                <w:highlight w:val="none"/>
                <w:lang w:val="en-US" w:eastAsia="zh-CN"/>
              </w:rPr>
              <w:t>详见下表。</w:t>
            </w:r>
          </w:p>
          <w:p w14:paraId="4B448735">
            <w:pPr>
              <w:pStyle w:val="14"/>
              <w:rPr>
                <w:rFonts w:hint="default" w:eastAsia="宋体"/>
                <w:color w:val="auto"/>
                <w:highlight w:val="none"/>
                <w:lang w:val="en-US" w:eastAsia="zh-CN"/>
              </w:rPr>
            </w:pPr>
            <w:r>
              <w:rPr>
                <w:color w:val="auto"/>
                <w:highlight w:val="none"/>
              </w:rPr>
              <w:t xml:space="preserve">表4- </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14</w:t>
            </w:r>
            <w:r>
              <w:rPr>
                <w:color w:val="auto"/>
                <w:highlight w:val="none"/>
              </w:rPr>
              <w:fldChar w:fldCharType="end"/>
            </w:r>
            <w:r>
              <w:rPr>
                <w:rFonts w:hint="eastAsia"/>
                <w:color w:val="auto"/>
                <w:highlight w:val="none"/>
                <w:lang w:val="en-US" w:eastAsia="zh-CN"/>
              </w:rPr>
              <w:t xml:space="preserve">  噪声设备产生源强</w:t>
            </w:r>
          </w:p>
          <w:tbl>
            <w:tblPr>
              <w:tblStyle w:val="28"/>
              <w:tblW w:w="499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136"/>
              <w:gridCol w:w="803"/>
              <w:gridCol w:w="1276"/>
              <w:gridCol w:w="3344"/>
              <w:gridCol w:w="918"/>
            </w:tblGrid>
            <w:tr w14:paraId="5977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top w:val="single" w:color="auto" w:sz="12" w:space="0"/>
                  </w:tcBorders>
                  <w:noWrap w:val="0"/>
                  <w:vAlign w:val="center"/>
                </w:tcPr>
                <w:p w14:paraId="19C28500">
                  <w:pPr>
                    <w:pStyle w:val="106"/>
                    <w:bidi w:val="0"/>
                    <w:rPr>
                      <w:rFonts w:hint="default"/>
                      <w:b/>
                      <w:bCs/>
                    </w:rPr>
                  </w:pPr>
                  <w:r>
                    <w:rPr>
                      <w:rFonts w:hint="default"/>
                      <w:b/>
                      <w:bCs/>
                    </w:rPr>
                    <w:t>序号</w:t>
                  </w:r>
                </w:p>
              </w:tc>
              <w:tc>
                <w:tcPr>
                  <w:tcW w:w="1161" w:type="pct"/>
                  <w:tcBorders>
                    <w:top w:val="single" w:color="auto" w:sz="12" w:space="0"/>
                  </w:tcBorders>
                  <w:noWrap w:val="0"/>
                  <w:vAlign w:val="center"/>
                </w:tcPr>
                <w:p w14:paraId="0AD223A4">
                  <w:pPr>
                    <w:pStyle w:val="106"/>
                    <w:bidi w:val="0"/>
                    <w:rPr>
                      <w:rFonts w:hint="default"/>
                      <w:b/>
                      <w:bCs/>
                    </w:rPr>
                  </w:pPr>
                  <w:r>
                    <w:rPr>
                      <w:rFonts w:hint="default"/>
                      <w:b/>
                      <w:bCs/>
                    </w:rPr>
                    <w:t>设备名称</w:t>
                  </w:r>
                </w:p>
              </w:tc>
              <w:tc>
                <w:tcPr>
                  <w:tcW w:w="436" w:type="pct"/>
                  <w:tcBorders>
                    <w:top w:val="single" w:color="auto" w:sz="12" w:space="0"/>
                  </w:tcBorders>
                  <w:noWrap w:val="0"/>
                  <w:vAlign w:val="center"/>
                </w:tcPr>
                <w:p w14:paraId="1E8CF598">
                  <w:pPr>
                    <w:pStyle w:val="106"/>
                    <w:bidi w:val="0"/>
                    <w:rPr>
                      <w:rFonts w:hint="default"/>
                      <w:b/>
                      <w:bCs/>
                    </w:rPr>
                  </w:pPr>
                  <w:r>
                    <w:rPr>
                      <w:rFonts w:hint="default"/>
                      <w:b/>
                      <w:bCs/>
                    </w:rPr>
                    <w:t>数量（台）</w:t>
                  </w:r>
                </w:p>
              </w:tc>
              <w:tc>
                <w:tcPr>
                  <w:tcW w:w="694" w:type="pct"/>
                  <w:tcBorders>
                    <w:top w:val="single" w:color="auto" w:sz="12" w:space="0"/>
                  </w:tcBorders>
                  <w:noWrap w:val="0"/>
                  <w:vAlign w:val="center"/>
                </w:tcPr>
                <w:p w14:paraId="50A5F327">
                  <w:pPr>
                    <w:pStyle w:val="106"/>
                    <w:bidi w:val="0"/>
                    <w:rPr>
                      <w:rFonts w:hint="default"/>
                      <w:b/>
                      <w:bCs/>
                    </w:rPr>
                  </w:pPr>
                  <w:r>
                    <w:rPr>
                      <w:rFonts w:hint="default"/>
                      <w:b/>
                      <w:bCs/>
                    </w:rPr>
                    <w:t>产噪强度</w:t>
                  </w:r>
                  <w:r>
                    <w:rPr>
                      <w:rFonts w:hint="eastAsia"/>
                      <w:b/>
                      <w:bCs/>
                      <w:lang w:val="en-US" w:eastAsia="zh-CN"/>
                    </w:rPr>
                    <w:t>声压级</w:t>
                  </w:r>
                  <w:r>
                    <w:rPr>
                      <w:rFonts w:hint="default"/>
                      <w:b/>
                      <w:bCs/>
                    </w:rPr>
                    <w:t>dB（A）</w:t>
                  </w:r>
                </w:p>
              </w:tc>
              <w:tc>
                <w:tcPr>
                  <w:tcW w:w="1818" w:type="pct"/>
                  <w:tcBorders>
                    <w:top w:val="single" w:color="auto" w:sz="12" w:space="0"/>
                  </w:tcBorders>
                  <w:noWrap w:val="0"/>
                  <w:vAlign w:val="center"/>
                </w:tcPr>
                <w:p w14:paraId="770B72E7">
                  <w:pPr>
                    <w:pStyle w:val="106"/>
                    <w:bidi w:val="0"/>
                    <w:rPr>
                      <w:rFonts w:hint="default"/>
                      <w:b/>
                      <w:bCs/>
                      <w:lang w:eastAsia="zh-CN"/>
                    </w:rPr>
                  </w:pPr>
                  <w:r>
                    <w:rPr>
                      <w:rFonts w:hint="default"/>
                      <w:b/>
                      <w:bCs/>
                      <w:lang w:eastAsia="zh-CN"/>
                    </w:rPr>
                    <w:t>治理措施</w:t>
                  </w:r>
                </w:p>
              </w:tc>
              <w:tc>
                <w:tcPr>
                  <w:tcW w:w="499" w:type="pct"/>
                  <w:tcBorders>
                    <w:top w:val="single" w:color="auto" w:sz="12" w:space="0"/>
                    <w:right w:val="nil"/>
                  </w:tcBorders>
                  <w:noWrap w:val="0"/>
                  <w:vAlign w:val="center"/>
                </w:tcPr>
                <w:p w14:paraId="7E13061B">
                  <w:pPr>
                    <w:pStyle w:val="106"/>
                    <w:bidi w:val="0"/>
                    <w:rPr>
                      <w:rFonts w:hint="default"/>
                      <w:b/>
                      <w:bCs/>
                      <w:lang w:eastAsia="zh-CN"/>
                    </w:rPr>
                  </w:pPr>
                  <w:r>
                    <w:rPr>
                      <w:rFonts w:hint="eastAsia"/>
                      <w:b/>
                      <w:bCs/>
                      <w:lang w:eastAsia="zh-CN"/>
                    </w:rPr>
                    <w:t>处理后声压级</w:t>
                  </w:r>
                </w:p>
              </w:tc>
            </w:tr>
            <w:tr w14:paraId="0AA8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noWrap w:val="0"/>
                  <w:vAlign w:val="center"/>
                </w:tcPr>
                <w:p w14:paraId="3470F629">
                  <w:pPr>
                    <w:pStyle w:val="106"/>
                    <w:bidi w:val="0"/>
                    <w:rPr>
                      <w:rFonts w:hint="default"/>
                      <w:lang w:val="en-US" w:eastAsia="zh-CN"/>
                    </w:rPr>
                  </w:pPr>
                  <w:r>
                    <w:rPr>
                      <w:rFonts w:hint="eastAsia"/>
                      <w:lang w:val="en-US" w:eastAsia="zh-CN"/>
                    </w:rPr>
                    <w:t>1</w:t>
                  </w:r>
                </w:p>
              </w:tc>
              <w:tc>
                <w:tcPr>
                  <w:tcW w:w="1161" w:type="pct"/>
                  <w:shd w:val="clear" w:color="auto" w:fill="auto"/>
                  <w:noWrap w:val="0"/>
                  <w:vAlign w:val="center"/>
                </w:tcPr>
                <w:p w14:paraId="0EED03E2">
                  <w:pPr>
                    <w:pStyle w:val="106"/>
                    <w:bidi w:val="0"/>
                    <w:rPr>
                      <w:rFonts w:hint="default"/>
                      <w:lang w:val="en-US" w:eastAsia="zh-CN"/>
                    </w:rPr>
                  </w:pPr>
                  <w:r>
                    <w:rPr>
                      <w:rFonts w:hint="eastAsia"/>
                      <w:lang w:val="en-US" w:eastAsia="zh-CN"/>
                    </w:rPr>
                    <w:t>气泡清洗机</w:t>
                  </w:r>
                </w:p>
              </w:tc>
              <w:tc>
                <w:tcPr>
                  <w:tcW w:w="436" w:type="pct"/>
                  <w:shd w:val="clear" w:color="auto" w:fill="auto"/>
                  <w:noWrap w:val="0"/>
                  <w:vAlign w:val="center"/>
                </w:tcPr>
                <w:p w14:paraId="5B3F7A0A">
                  <w:pPr>
                    <w:pStyle w:val="106"/>
                    <w:bidi w:val="0"/>
                    <w:rPr>
                      <w:rFonts w:hint="default"/>
                      <w:lang w:val="en-US" w:eastAsia="zh-CN"/>
                    </w:rPr>
                  </w:pPr>
                  <w:r>
                    <w:rPr>
                      <w:rFonts w:hint="eastAsia"/>
                      <w:lang w:val="en-US" w:eastAsia="zh-CN"/>
                    </w:rPr>
                    <w:t>4</w:t>
                  </w:r>
                </w:p>
              </w:tc>
              <w:tc>
                <w:tcPr>
                  <w:tcW w:w="694" w:type="pct"/>
                  <w:noWrap w:val="0"/>
                  <w:vAlign w:val="center"/>
                </w:tcPr>
                <w:p w14:paraId="16F60989">
                  <w:pPr>
                    <w:pStyle w:val="106"/>
                    <w:bidi w:val="0"/>
                    <w:rPr>
                      <w:rFonts w:hint="default"/>
                      <w:lang w:val="en-US" w:eastAsia="zh-CN"/>
                    </w:rPr>
                  </w:pPr>
                  <w:r>
                    <w:rPr>
                      <w:rFonts w:hint="eastAsia"/>
                      <w:lang w:val="en-US" w:eastAsia="zh-CN"/>
                    </w:rPr>
                    <w:t>70</w:t>
                  </w:r>
                </w:p>
              </w:tc>
              <w:tc>
                <w:tcPr>
                  <w:tcW w:w="1818" w:type="pct"/>
                  <w:noWrap w:val="0"/>
                  <w:vAlign w:val="center"/>
                </w:tcPr>
                <w:p w14:paraId="76A4525D">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noWrap w:val="0"/>
                  <w:vAlign w:val="center"/>
                </w:tcPr>
                <w:p w14:paraId="22B25A25">
                  <w:pPr>
                    <w:pStyle w:val="106"/>
                    <w:bidi w:val="0"/>
                    <w:rPr>
                      <w:rFonts w:hint="default"/>
                      <w:lang w:val="en-US" w:eastAsia="zh-CN"/>
                    </w:rPr>
                  </w:pPr>
                  <w:r>
                    <w:rPr>
                      <w:rFonts w:hint="eastAsia"/>
                      <w:lang w:val="en-US" w:eastAsia="zh-CN"/>
                    </w:rPr>
                    <w:t>70</w:t>
                  </w:r>
                </w:p>
              </w:tc>
            </w:tr>
            <w:tr w14:paraId="3C7D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noWrap w:val="0"/>
                  <w:vAlign w:val="center"/>
                </w:tcPr>
                <w:p w14:paraId="6DC0B236">
                  <w:pPr>
                    <w:pStyle w:val="106"/>
                    <w:bidi w:val="0"/>
                    <w:rPr>
                      <w:rFonts w:hint="default"/>
                      <w:lang w:val="en-US" w:eastAsia="zh-CN"/>
                    </w:rPr>
                  </w:pPr>
                  <w:r>
                    <w:t>2</w:t>
                  </w:r>
                </w:p>
              </w:tc>
              <w:tc>
                <w:tcPr>
                  <w:tcW w:w="1161" w:type="pct"/>
                  <w:shd w:val="clear" w:color="auto" w:fill="auto"/>
                  <w:noWrap w:val="0"/>
                  <w:vAlign w:val="center"/>
                </w:tcPr>
                <w:p w14:paraId="4C54062F">
                  <w:pPr>
                    <w:pStyle w:val="106"/>
                    <w:bidi w:val="0"/>
                    <w:rPr>
                      <w:rFonts w:hint="default"/>
                      <w:lang w:val="en-US" w:eastAsia="zh-CN"/>
                    </w:rPr>
                  </w:pPr>
                  <w:r>
                    <w:rPr>
                      <w:rFonts w:hint="eastAsia"/>
                      <w:lang w:val="en-US" w:eastAsia="zh-CN"/>
                    </w:rPr>
                    <w:t>高压喷淋机</w:t>
                  </w:r>
                </w:p>
              </w:tc>
              <w:tc>
                <w:tcPr>
                  <w:tcW w:w="436" w:type="pct"/>
                  <w:shd w:val="clear" w:color="auto" w:fill="auto"/>
                  <w:noWrap w:val="0"/>
                  <w:vAlign w:val="center"/>
                </w:tcPr>
                <w:p w14:paraId="6E2B458B">
                  <w:pPr>
                    <w:pStyle w:val="106"/>
                    <w:bidi w:val="0"/>
                    <w:rPr>
                      <w:rFonts w:hint="default"/>
                      <w:lang w:val="en-US" w:eastAsia="zh-CN"/>
                    </w:rPr>
                  </w:pPr>
                  <w:r>
                    <w:rPr>
                      <w:rFonts w:hint="eastAsia"/>
                      <w:lang w:val="en-US" w:eastAsia="zh-CN"/>
                    </w:rPr>
                    <w:t>4</w:t>
                  </w:r>
                </w:p>
              </w:tc>
              <w:tc>
                <w:tcPr>
                  <w:tcW w:w="694" w:type="pct"/>
                  <w:noWrap w:val="0"/>
                  <w:vAlign w:val="center"/>
                </w:tcPr>
                <w:p w14:paraId="37EFD486">
                  <w:pPr>
                    <w:pStyle w:val="106"/>
                    <w:bidi w:val="0"/>
                    <w:rPr>
                      <w:rFonts w:hint="default"/>
                      <w:lang w:val="en-US" w:eastAsia="zh-CN"/>
                    </w:rPr>
                  </w:pPr>
                  <w:r>
                    <w:rPr>
                      <w:rFonts w:hint="eastAsia"/>
                      <w:lang w:val="en-US" w:eastAsia="zh-CN"/>
                    </w:rPr>
                    <w:t>70</w:t>
                  </w:r>
                </w:p>
              </w:tc>
              <w:tc>
                <w:tcPr>
                  <w:tcW w:w="1818" w:type="pct"/>
                  <w:noWrap w:val="0"/>
                  <w:vAlign w:val="center"/>
                </w:tcPr>
                <w:p w14:paraId="36C5DF49">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noWrap w:val="0"/>
                  <w:vAlign w:val="center"/>
                </w:tcPr>
                <w:p w14:paraId="1E8AFAF1">
                  <w:pPr>
                    <w:pStyle w:val="106"/>
                    <w:bidi w:val="0"/>
                    <w:rPr>
                      <w:rFonts w:hint="default"/>
                      <w:lang w:val="en-US" w:eastAsia="zh-CN"/>
                    </w:rPr>
                  </w:pPr>
                  <w:r>
                    <w:rPr>
                      <w:rFonts w:hint="eastAsia"/>
                      <w:lang w:val="en-US" w:eastAsia="zh-CN"/>
                    </w:rPr>
                    <w:t>70</w:t>
                  </w:r>
                </w:p>
              </w:tc>
            </w:tr>
            <w:tr w14:paraId="249C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noWrap w:val="0"/>
                  <w:vAlign w:val="center"/>
                </w:tcPr>
                <w:p w14:paraId="566BCB93">
                  <w:pPr>
                    <w:pStyle w:val="106"/>
                    <w:bidi w:val="0"/>
                    <w:rPr>
                      <w:rFonts w:hint="default"/>
                      <w:lang w:val="en-US" w:eastAsia="zh-CN"/>
                    </w:rPr>
                  </w:pPr>
                  <w:r>
                    <w:t>3</w:t>
                  </w:r>
                </w:p>
              </w:tc>
              <w:tc>
                <w:tcPr>
                  <w:tcW w:w="1161" w:type="pct"/>
                  <w:shd w:val="clear" w:color="auto" w:fill="auto"/>
                  <w:noWrap w:val="0"/>
                  <w:vAlign w:val="center"/>
                </w:tcPr>
                <w:p w14:paraId="1B035845">
                  <w:pPr>
                    <w:pStyle w:val="106"/>
                    <w:bidi w:val="0"/>
                    <w:rPr>
                      <w:rFonts w:hint="default"/>
                      <w:lang w:val="en-US" w:eastAsia="zh-CN"/>
                    </w:rPr>
                  </w:pPr>
                  <w:r>
                    <w:rPr>
                      <w:rFonts w:hint="eastAsia"/>
                      <w:lang w:val="en-US" w:eastAsia="zh-CN"/>
                    </w:rPr>
                    <w:t>分选机</w:t>
                  </w:r>
                </w:p>
              </w:tc>
              <w:tc>
                <w:tcPr>
                  <w:tcW w:w="436" w:type="pct"/>
                  <w:shd w:val="clear" w:color="auto" w:fill="auto"/>
                  <w:noWrap w:val="0"/>
                  <w:vAlign w:val="center"/>
                </w:tcPr>
                <w:p w14:paraId="5A45BB57">
                  <w:pPr>
                    <w:pStyle w:val="106"/>
                    <w:bidi w:val="0"/>
                    <w:rPr>
                      <w:rFonts w:hint="default"/>
                      <w:lang w:val="en-US" w:eastAsia="zh-CN"/>
                    </w:rPr>
                  </w:pPr>
                  <w:r>
                    <w:rPr>
                      <w:rFonts w:hint="eastAsia"/>
                      <w:lang w:val="en-US" w:eastAsia="zh-CN"/>
                    </w:rPr>
                    <w:t>1</w:t>
                  </w:r>
                </w:p>
              </w:tc>
              <w:tc>
                <w:tcPr>
                  <w:tcW w:w="694" w:type="pct"/>
                  <w:noWrap w:val="0"/>
                  <w:vAlign w:val="center"/>
                </w:tcPr>
                <w:p w14:paraId="3C4FA07C">
                  <w:pPr>
                    <w:pStyle w:val="106"/>
                    <w:bidi w:val="0"/>
                    <w:rPr>
                      <w:rFonts w:hint="default"/>
                      <w:lang w:val="en-US" w:eastAsia="zh-CN"/>
                    </w:rPr>
                  </w:pPr>
                  <w:r>
                    <w:rPr>
                      <w:rFonts w:hint="eastAsia"/>
                      <w:lang w:val="en-US" w:eastAsia="zh-CN"/>
                    </w:rPr>
                    <w:t>70</w:t>
                  </w:r>
                </w:p>
              </w:tc>
              <w:tc>
                <w:tcPr>
                  <w:tcW w:w="1818" w:type="pct"/>
                  <w:noWrap w:val="0"/>
                  <w:vAlign w:val="center"/>
                </w:tcPr>
                <w:p w14:paraId="7C32E817">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noWrap w:val="0"/>
                  <w:vAlign w:val="center"/>
                </w:tcPr>
                <w:p w14:paraId="44B6D27F">
                  <w:pPr>
                    <w:pStyle w:val="106"/>
                    <w:bidi w:val="0"/>
                    <w:rPr>
                      <w:rFonts w:hint="default"/>
                      <w:lang w:val="en-US" w:eastAsia="zh-CN"/>
                    </w:rPr>
                  </w:pPr>
                  <w:r>
                    <w:rPr>
                      <w:rFonts w:hint="eastAsia"/>
                      <w:lang w:val="en-US" w:eastAsia="zh-CN"/>
                    </w:rPr>
                    <w:t>70</w:t>
                  </w:r>
                </w:p>
              </w:tc>
            </w:tr>
            <w:tr w14:paraId="2C2D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noWrap w:val="0"/>
                  <w:vAlign w:val="center"/>
                </w:tcPr>
                <w:p w14:paraId="5BBB2622">
                  <w:pPr>
                    <w:pStyle w:val="106"/>
                    <w:bidi w:val="0"/>
                    <w:rPr>
                      <w:rFonts w:hint="default"/>
                      <w:lang w:val="en-US" w:eastAsia="zh-CN"/>
                    </w:rPr>
                  </w:pPr>
                  <w:r>
                    <w:t>4</w:t>
                  </w:r>
                </w:p>
              </w:tc>
              <w:tc>
                <w:tcPr>
                  <w:tcW w:w="1161" w:type="pct"/>
                  <w:shd w:val="clear" w:color="auto" w:fill="auto"/>
                  <w:noWrap w:val="0"/>
                  <w:vAlign w:val="center"/>
                </w:tcPr>
                <w:p w14:paraId="2136272B">
                  <w:pPr>
                    <w:pStyle w:val="106"/>
                    <w:bidi w:val="0"/>
                    <w:rPr>
                      <w:rFonts w:hint="default"/>
                      <w:lang w:val="en-US" w:eastAsia="zh-CN"/>
                    </w:rPr>
                  </w:pPr>
                  <w:r>
                    <w:rPr>
                      <w:rFonts w:hint="eastAsia"/>
                      <w:lang w:val="en-US" w:eastAsia="zh-CN"/>
                    </w:rPr>
                    <w:t>去皮/去核机</w:t>
                  </w:r>
                </w:p>
              </w:tc>
              <w:tc>
                <w:tcPr>
                  <w:tcW w:w="436" w:type="pct"/>
                  <w:shd w:val="clear" w:color="auto" w:fill="auto"/>
                  <w:noWrap w:val="0"/>
                  <w:vAlign w:val="center"/>
                </w:tcPr>
                <w:p w14:paraId="77B529B7">
                  <w:pPr>
                    <w:pStyle w:val="106"/>
                    <w:bidi w:val="0"/>
                    <w:rPr>
                      <w:rFonts w:hint="default"/>
                      <w:lang w:val="en-US" w:eastAsia="zh-CN"/>
                    </w:rPr>
                  </w:pPr>
                  <w:r>
                    <w:rPr>
                      <w:rFonts w:hint="eastAsia"/>
                      <w:lang w:val="en-US" w:eastAsia="zh-CN"/>
                    </w:rPr>
                    <w:t>2</w:t>
                  </w:r>
                </w:p>
              </w:tc>
              <w:tc>
                <w:tcPr>
                  <w:tcW w:w="694" w:type="pct"/>
                  <w:noWrap w:val="0"/>
                  <w:vAlign w:val="center"/>
                </w:tcPr>
                <w:p w14:paraId="1B983045">
                  <w:pPr>
                    <w:pStyle w:val="106"/>
                    <w:bidi w:val="0"/>
                    <w:rPr>
                      <w:rFonts w:hint="default"/>
                      <w:lang w:val="en-US" w:eastAsia="zh-CN"/>
                    </w:rPr>
                  </w:pPr>
                  <w:r>
                    <w:rPr>
                      <w:rFonts w:hint="eastAsia"/>
                      <w:lang w:val="en-US" w:eastAsia="zh-CN"/>
                    </w:rPr>
                    <w:t>70</w:t>
                  </w:r>
                </w:p>
              </w:tc>
              <w:tc>
                <w:tcPr>
                  <w:tcW w:w="1818" w:type="pct"/>
                  <w:noWrap w:val="0"/>
                  <w:vAlign w:val="center"/>
                </w:tcPr>
                <w:p w14:paraId="7E969069">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noWrap w:val="0"/>
                  <w:vAlign w:val="center"/>
                </w:tcPr>
                <w:p w14:paraId="7A23A260">
                  <w:pPr>
                    <w:pStyle w:val="106"/>
                    <w:bidi w:val="0"/>
                    <w:rPr>
                      <w:rFonts w:hint="default"/>
                      <w:lang w:val="en-US" w:eastAsia="zh-CN"/>
                    </w:rPr>
                  </w:pPr>
                  <w:r>
                    <w:rPr>
                      <w:rFonts w:hint="eastAsia"/>
                      <w:lang w:val="en-US" w:eastAsia="zh-CN"/>
                    </w:rPr>
                    <w:t>70</w:t>
                  </w:r>
                </w:p>
              </w:tc>
            </w:tr>
            <w:tr w14:paraId="2F50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noWrap w:val="0"/>
                  <w:vAlign w:val="center"/>
                </w:tcPr>
                <w:p w14:paraId="0F7FA0D6">
                  <w:pPr>
                    <w:pStyle w:val="106"/>
                    <w:bidi w:val="0"/>
                    <w:rPr>
                      <w:rFonts w:hint="default"/>
                      <w:lang w:val="en-US" w:eastAsia="zh-CN"/>
                    </w:rPr>
                  </w:pPr>
                  <w:r>
                    <w:t>5</w:t>
                  </w:r>
                </w:p>
              </w:tc>
              <w:tc>
                <w:tcPr>
                  <w:tcW w:w="1161" w:type="pct"/>
                  <w:shd w:val="clear" w:color="auto" w:fill="auto"/>
                  <w:noWrap w:val="0"/>
                  <w:vAlign w:val="center"/>
                </w:tcPr>
                <w:p w14:paraId="6BB7E257">
                  <w:pPr>
                    <w:pStyle w:val="106"/>
                    <w:bidi w:val="0"/>
                    <w:rPr>
                      <w:rFonts w:hint="default"/>
                      <w:lang w:val="en-US" w:eastAsia="zh-CN"/>
                    </w:rPr>
                  </w:pPr>
                  <w:r>
                    <w:rPr>
                      <w:rFonts w:hint="eastAsia"/>
                      <w:lang w:val="en-US" w:eastAsia="zh-CN"/>
                    </w:rPr>
                    <w:t>多功能切菜机</w:t>
                  </w:r>
                </w:p>
              </w:tc>
              <w:tc>
                <w:tcPr>
                  <w:tcW w:w="436" w:type="pct"/>
                  <w:shd w:val="clear" w:color="auto" w:fill="auto"/>
                  <w:noWrap w:val="0"/>
                  <w:vAlign w:val="center"/>
                </w:tcPr>
                <w:p w14:paraId="40AB6045">
                  <w:pPr>
                    <w:pStyle w:val="106"/>
                    <w:bidi w:val="0"/>
                    <w:rPr>
                      <w:rFonts w:hint="default"/>
                      <w:lang w:val="en-US" w:eastAsia="zh-CN"/>
                    </w:rPr>
                  </w:pPr>
                  <w:r>
                    <w:rPr>
                      <w:rFonts w:hint="eastAsia"/>
                      <w:lang w:val="en-US" w:eastAsia="zh-CN"/>
                    </w:rPr>
                    <w:t>3</w:t>
                  </w:r>
                </w:p>
              </w:tc>
              <w:tc>
                <w:tcPr>
                  <w:tcW w:w="694" w:type="pct"/>
                  <w:noWrap w:val="0"/>
                  <w:vAlign w:val="center"/>
                </w:tcPr>
                <w:p w14:paraId="3370F310">
                  <w:pPr>
                    <w:pStyle w:val="106"/>
                    <w:bidi w:val="0"/>
                    <w:rPr>
                      <w:rFonts w:hint="default"/>
                      <w:lang w:val="en-US" w:eastAsia="zh-CN"/>
                    </w:rPr>
                  </w:pPr>
                  <w:r>
                    <w:rPr>
                      <w:rFonts w:hint="eastAsia"/>
                      <w:lang w:val="en-US" w:eastAsia="zh-CN"/>
                    </w:rPr>
                    <w:t>80</w:t>
                  </w:r>
                </w:p>
              </w:tc>
              <w:tc>
                <w:tcPr>
                  <w:tcW w:w="1818" w:type="pct"/>
                  <w:noWrap w:val="0"/>
                  <w:vAlign w:val="center"/>
                </w:tcPr>
                <w:p w14:paraId="2C014ECE">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noWrap w:val="0"/>
                  <w:vAlign w:val="center"/>
                </w:tcPr>
                <w:p w14:paraId="3411FE10">
                  <w:pPr>
                    <w:pStyle w:val="106"/>
                    <w:bidi w:val="0"/>
                    <w:rPr>
                      <w:rFonts w:hint="default"/>
                      <w:lang w:val="en-US" w:eastAsia="zh-CN"/>
                    </w:rPr>
                  </w:pPr>
                  <w:r>
                    <w:rPr>
                      <w:rFonts w:hint="eastAsia"/>
                      <w:lang w:val="en-US" w:eastAsia="zh-CN"/>
                    </w:rPr>
                    <w:t>80</w:t>
                  </w:r>
                </w:p>
              </w:tc>
            </w:tr>
            <w:tr w14:paraId="3420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noWrap w:val="0"/>
                  <w:vAlign w:val="center"/>
                </w:tcPr>
                <w:p w14:paraId="0EF6DE70">
                  <w:pPr>
                    <w:pStyle w:val="106"/>
                    <w:bidi w:val="0"/>
                    <w:rPr>
                      <w:rFonts w:hint="default"/>
                      <w:lang w:val="en-US" w:eastAsia="zh-CN"/>
                    </w:rPr>
                  </w:pPr>
                  <w:r>
                    <w:t>6</w:t>
                  </w:r>
                </w:p>
              </w:tc>
              <w:tc>
                <w:tcPr>
                  <w:tcW w:w="1161" w:type="pct"/>
                  <w:shd w:val="clear" w:color="auto" w:fill="auto"/>
                  <w:noWrap w:val="0"/>
                  <w:vAlign w:val="center"/>
                </w:tcPr>
                <w:p w14:paraId="61E3D52A">
                  <w:pPr>
                    <w:pStyle w:val="106"/>
                    <w:bidi w:val="0"/>
                    <w:rPr>
                      <w:rFonts w:hint="default"/>
                      <w:lang w:val="en-US" w:eastAsia="zh-CN"/>
                    </w:rPr>
                  </w:pPr>
                  <w:r>
                    <w:rPr>
                      <w:rFonts w:hint="eastAsia"/>
                      <w:lang w:val="en-US" w:eastAsia="zh-CN"/>
                    </w:rPr>
                    <w:t>切片机</w:t>
                  </w:r>
                </w:p>
              </w:tc>
              <w:tc>
                <w:tcPr>
                  <w:tcW w:w="436" w:type="pct"/>
                  <w:shd w:val="clear" w:color="auto" w:fill="auto"/>
                  <w:noWrap w:val="0"/>
                  <w:vAlign w:val="center"/>
                </w:tcPr>
                <w:p w14:paraId="1A28D7E4">
                  <w:pPr>
                    <w:pStyle w:val="106"/>
                    <w:bidi w:val="0"/>
                    <w:rPr>
                      <w:rFonts w:hint="default"/>
                      <w:lang w:val="en-US" w:eastAsia="zh-CN"/>
                    </w:rPr>
                  </w:pPr>
                  <w:r>
                    <w:rPr>
                      <w:rFonts w:hint="eastAsia"/>
                      <w:lang w:val="en-US" w:eastAsia="zh-CN"/>
                    </w:rPr>
                    <w:t>3</w:t>
                  </w:r>
                </w:p>
              </w:tc>
              <w:tc>
                <w:tcPr>
                  <w:tcW w:w="694" w:type="pct"/>
                  <w:noWrap w:val="0"/>
                  <w:vAlign w:val="center"/>
                </w:tcPr>
                <w:p w14:paraId="72A6349F">
                  <w:pPr>
                    <w:pStyle w:val="106"/>
                    <w:bidi w:val="0"/>
                    <w:rPr>
                      <w:rFonts w:hint="default"/>
                      <w:lang w:val="en-US" w:eastAsia="zh-CN"/>
                    </w:rPr>
                  </w:pPr>
                  <w:r>
                    <w:rPr>
                      <w:rFonts w:hint="eastAsia"/>
                      <w:lang w:val="en-US" w:eastAsia="zh-CN"/>
                    </w:rPr>
                    <w:t>80</w:t>
                  </w:r>
                </w:p>
              </w:tc>
              <w:tc>
                <w:tcPr>
                  <w:tcW w:w="1818" w:type="pct"/>
                  <w:noWrap w:val="0"/>
                  <w:vAlign w:val="center"/>
                </w:tcPr>
                <w:p w14:paraId="7E0E2992">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noWrap w:val="0"/>
                  <w:vAlign w:val="center"/>
                </w:tcPr>
                <w:p w14:paraId="67D4DDDA">
                  <w:pPr>
                    <w:pStyle w:val="106"/>
                    <w:bidi w:val="0"/>
                    <w:rPr>
                      <w:rFonts w:hint="default"/>
                      <w:lang w:val="en-US" w:eastAsia="zh-CN"/>
                    </w:rPr>
                  </w:pPr>
                  <w:r>
                    <w:rPr>
                      <w:rFonts w:hint="eastAsia"/>
                      <w:lang w:val="en-US" w:eastAsia="zh-CN"/>
                    </w:rPr>
                    <w:t>80</w:t>
                  </w:r>
                </w:p>
              </w:tc>
            </w:tr>
            <w:tr w14:paraId="11E5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51B2B99A">
                  <w:pPr>
                    <w:pStyle w:val="106"/>
                    <w:bidi w:val="0"/>
                    <w:rPr>
                      <w:rFonts w:hint="default"/>
                      <w:lang w:val="en-US" w:eastAsia="zh-CN"/>
                    </w:rPr>
                  </w:pPr>
                  <w:r>
                    <w:t>7</w:t>
                  </w:r>
                </w:p>
              </w:tc>
              <w:tc>
                <w:tcPr>
                  <w:tcW w:w="1161" w:type="pct"/>
                  <w:shd w:val="clear" w:color="auto" w:fill="auto"/>
                  <w:vAlign w:val="center"/>
                </w:tcPr>
                <w:p w14:paraId="316E1A48">
                  <w:pPr>
                    <w:pStyle w:val="106"/>
                    <w:bidi w:val="0"/>
                    <w:rPr>
                      <w:rFonts w:hint="default"/>
                      <w:lang w:val="en-US" w:eastAsia="zh-CN"/>
                    </w:rPr>
                  </w:pPr>
                  <w:r>
                    <w:rPr>
                      <w:rFonts w:hint="eastAsia"/>
                      <w:lang w:val="en-US" w:eastAsia="zh-CN"/>
                    </w:rPr>
                    <w:t>切丁机</w:t>
                  </w:r>
                </w:p>
              </w:tc>
              <w:tc>
                <w:tcPr>
                  <w:tcW w:w="436" w:type="pct"/>
                  <w:shd w:val="clear" w:color="auto" w:fill="auto"/>
                  <w:vAlign w:val="center"/>
                </w:tcPr>
                <w:p w14:paraId="4A332F5D">
                  <w:pPr>
                    <w:pStyle w:val="106"/>
                    <w:bidi w:val="0"/>
                    <w:rPr>
                      <w:rFonts w:hint="default"/>
                      <w:lang w:val="en-US" w:eastAsia="zh-CN"/>
                    </w:rPr>
                  </w:pPr>
                  <w:r>
                    <w:rPr>
                      <w:rFonts w:hint="eastAsia"/>
                      <w:lang w:val="en-US" w:eastAsia="zh-CN"/>
                    </w:rPr>
                    <w:t>3</w:t>
                  </w:r>
                </w:p>
              </w:tc>
              <w:tc>
                <w:tcPr>
                  <w:tcW w:w="694" w:type="pct"/>
                  <w:vAlign w:val="center"/>
                </w:tcPr>
                <w:p w14:paraId="55F38695">
                  <w:pPr>
                    <w:pStyle w:val="106"/>
                    <w:bidi w:val="0"/>
                    <w:rPr>
                      <w:rFonts w:hint="default"/>
                      <w:lang w:val="en-US" w:eastAsia="zh-CN"/>
                    </w:rPr>
                  </w:pPr>
                  <w:r>
                    <w:rPr>
                      <w:rFonts w:hint="eastAsia"/>
                      <w:lang w:val="en-US" w:eastAsia="zh-CN"/>
                    </w:rPr>
                    <w:t>80</w:t>
                  </w:r>
                </w:p>
              </w:tc>
              <w:tc>
                <w:tcPr>
                  <w:tcW w:w="1818" w:type="pct"/>
                  <w:vAlign w:val="center"/>
                </w:tcPr>
                <w:p w14:paraId="7C3EF237">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28448507">
                  <w:pPr>
                    <w:pStyle w:val="106"/>
                    <w:bidi w:val="0"/>
                    <w:rPr>
                      <w:rFonts w:hint="default"/>
                      <w:lang w:val="en-US" w:eastAsia="zh-CN"/>
                    </w:rPr>
                  </w:pPr>
                  <w:r>
                    <w:rPr>
                      <w:rFonts w:hint="eastAsia"/>
                      <w:lang w:val="en-US" w:eastAsia="zh-CN"/>
                    </w:rPr>
                    <w:t>80</w:t>
                  </w:r>
                </w:p>
              </w:tc>
            </w:tr>
            <w:tr w14:paraId="30AB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388D1654">
                  <w:pPr>
                    <w:pStyle w:val="106"/>
                    <w:bidi w:val="0"/>
                    <w:rPr>
                      <w:rFonts w:hint="default"/>
                      <w:lang w:val="en-US" w:eastAsia="zh-CN"/>
                    </w:rPr>
                  </w:pPr>
                  <w:r>
                    <w:t>8</w:t>
                  </w:r>
                </w:p>
              </w:tc>
              <w:tc>
                <w:tcPr>
                  <w:tcW w:w="1161" w:type="pct"/>
                  <w:shd w:val="clear" w:color="auto" w:fill="auto"/>
                  <w:vAlign w:val="center"/>
                </w:tcPr>
                <w:p w14:paraId="0904FD3B">
                  <w:pPr>
                    <w:pStyle w:val="106"/>
                    <w:bidi w:val="0"/>
                    <w:rPr>
                      <w:rFonts w:hint="default"/>
                      <w:lang w:val="en-US" w:eastAsia="zh-CN"/>
                    </w:rPr>
                  </w:pPr>
                  <w:r>
                    <w:rPr>
                      <w:rFonts w:hint="eastAsia"/>
                      <w:lang w:val="en-US" w:eastAsia="zh-CN"/>
                    </w:rPr>
                    <w:t>蒸汽发生器</w:t>
                  </w:r>
                </w:p>
              </w:tc>
              <w:tc>
                <w:tcPr>
                  <w:tcW w:w="436" w:type="pct"/>
                  <w:shd w:val="clear" w:color="auto" w:fill="auto"/>
                  <w:vAlign w:val="center"/>
                </w:tcPr>
                <w:p w14:paraId="1CDDC820">
                  <w:pPr>
                    <w:pStyle w:val="106"/>
                    <w:bidi w:val="0"/>
                    <w:rPr>
                      <w:rFonts w:hint="default"/>
                      <w:lang w:val="en-US" w:eastAsia="zh-CN"/>
                    </w:rPr>
                  </w:pPr>
                  <w:r>
                    <w:rPr>
                      <w:rFonts w:hint="eastAsia"/>
                      <w:lang w:val="en-US" w:eastAsia="zh-CN"/>
                    </w:rPr>
                    <w:t>1</w:t>
                  </w:r>
                </w:p>
              </w:tc>
              <w:tc>
                <w:tcPr>
                  <w:tcW w:w="694" w:type="pct"/>
                  <w:vAlign w:val="center"/>
                </w:tcPr>
                <w:p w14:paraId="2B6356CA">
                  <w:pPr>
                    <w:pStyle w:val="106"/>
                    <w:bidi w:val="0"/>
                    <w:rPr>
                      <w:rFonts w:hint="default"/>
                      <w:lang w:val="en-US" w:eastAsia="zh-CN"/>
                    </w:rPr>
                  </w:pPr>
                  <w:r>
                    <w:rPr>
                      <w:rFonts w:hint="eastAsia"/>
                      <w:lang w:val="en-US" w:eastAsia="zh-CN"/>
                    </w:rPr>
                    <w:t>80</w:t>
                  </w:r>
                </w:p>
              </w:tc>
              <w:tc>
                <w:tcPr>
                  <w:tcW w:w="1818" w:type="pct"/>
                  <w:vAlign w:val="center"/>
                </w:tcPr>
                <w:p w14:paraId="0B536869">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5FC666E5">
                  <w:pPr>
                    <w:pStyle w:val="106"/>
                    <w:bidi w:val="0"/>
                    <w:rPr>
                      <w:rFonts w:hint="default"/>
                      <w:lang w:val="en-US" w:eastAsia="zh-CN"/>
                    </w:rPr>
                  </w:pPr>
                  <w:r>
                    <w:rPr>
                      <w:rFonts w:hint="eastAsia"/>
                      <w:lang w:val="en-US" w:eastAsia="zh-CN"/>
                    </w:rPr>
                    <w:t>80</w:t>
                  </w:r>
                </w:p>
              </w:tc>
            </w:tr>
            <w:tr w14:paraId="13D2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54108F10">
                  <w:pPr>
                    <w:pStyle w:val="106"/>
                    <w:bidi w:val="0"/>
                    <w:rPr>
                      <w:rFonts w:hint="default"/>
                      <w:lang w:val="en-US" w:eastAsia="zh-CN"/>
                    </w:rPr>
                  </w:pPr>
                  <w:r>
                    <w:t>9</w:t>
                  </w:r>
                </w:p>
              </w:tc>
              <w:tc>
                <w:tcPr>
                  <w:tcW w:w="1161" w:type="pct"/>
                  <w:shd w:val="clear" w:color="auto" w:fill="auto"/>
                  <w:vAlign w:val="center"/>
                </w:tcPr>
                <w:p w14:paraId="6381D128">
                  <w:pPr>
                    <w:pStyle w:val="106"/>
                    <w:bidi w:val="0"/>
                    <w:rPr>
                      <w:rFonts w:hint="default"/>
                      <w:lang w:val="en-US" w:eastAsia="zh-CN"/>
                    </w:rPr>
                  </w:pPr>
                  <w:r>
                    <w:rPr>
                      <w:rFonts w:hint="eastAsia"/>
                      <w:lang w:val="en-US" w:eastAsia="zh-CN"/>
                    </w:rPr>
                    <w:t>隧道式漂烫机</w:t>
                  </w:r>
                </w:p>
              </w:tc>
              <w:tc>
                <w:tcPr>
                  <w:tcW w:w="436" w:type="pct"/>
                  <w:shd w:val="clear" w:color="auto" w:fill="auto"/>
                  <w:vAlign w:val="center"/>
                </w:tcPr>
                <w:p w14:paraId="6F042B3D">
                  <w:pPr>
                    <w:pStyle w:val="106"/>
                    <w:bidi w:val="0"/>
                    <w:rPr>
                      <w:rFonts w:hint="default"/>
                      <w:lang w:val="en-US" w:eastAsia="zh-CN"/>
                    </w:rPr>
                  </w:pPr>
                  <w:r>
                    <w:rPr>
                      <w:rFonts w:hint="eastAsia"/>
                      <w:lang w:val="en-US" w:eastAsia="zh-CN"/>
                    </w:rPr>
                    <w:t>4</w:t>
                  </w:r>
                </w:p>
              </w:tc>
              <w:tc>
                <w:tcPr>
                  <w:tcW w:w="694" w:type="pct"/>
                  <w:vAlign w:val="center"/>
                </w:tcPr>
                <w:p w14:paraId="0242FF46">
                  <w:pPr>
                    <w:pStyle w:val="106"/>
                    <w:bidi w:val="0"/>
                    <w:rPr>
                      <w:rFonts w:hint="default"/>
                      <w:lang w:val="en-US" w:eastAsia="zh-CN"/>
                    </w:rPr>
                  </w:pPr>
                  <w:r>
                    <w:rPr>
                      <w:rFonts w:hint="eastAsia"/>
                      <w:lang w:val="en-US" w:eastAsia="zh-CN"/>
                    </w:rPr>
                    <w:t>70</w:t>
                  </w:r>
                </w:p>
              </w:tc>
              <w:tc>
                <w:tcPr>
                  <w:tcW w:w="1818" w:type="pct"/>
                  <w:vAlign w:val="center"/>
                </w:tcPr>
                <w:p w14:paraId="0A469984">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3FE7123C">
                  <w:pPr>
                    <w:pStyle w:val="106"/>
                    <w:bidi w:val="0"/>
                    <w:rPr>
                      <w:rFonts w:hint="default"/>
                      <w:lang w:val="en-US" w:eastAsia="zh-CN"/>
                    </w:rPr>
                  </w:pPr>
                  <w:r>
                    <w:rPr>
                      <w:rFonts w:hint="eastAsia"/>
                      <w:lang w:val="en-US" w:eastAsia="zh-CN"/>
                    </w:rPr>
                    <w:t>70</w:t>
                  </w:r>
                </w:p>
              </w:tc>
            </w:tr>
            <w:tr w14:paraId="20FF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53974185">
                  <w:pPr>
                    <w:pStyle w:val="106"/>
                    <w:bidi w:val="0"/>
                    <w:rPr>
                      <w:rFonts w:hint="default"/>
                      <w:lang w:val="en-US" w:eastAsia="zh-CN"/>
                    </w:rPr>
                  </w:pPr>
                  <w:r>
                    <w:t>10</w:t>
                  </w:r>
                </w:p>
              </w:tc>
              <w:tc>
                <w:tcPr>
                  <w:tcW w:w="1161" w:type="pct"/>
                  <w:shd w:val="clear" w:color="auto" w:fill="auto"/>
                  <w:vAlign w:val="center"/>
                </w:tcPr>
                <w:p w14:paraId="72FE282A">
                  <w:pPr>
                    <w:pStyle w:val="106"/>
                    <w:bidi w:val="0"/>
                    <w:rPr>
                      <w:rFonts w:hint="default"/>
                      <w:lang w:val="en-US" w:eastAsia="zh-CN"/>
                    </w:rPr>
                  </w:pPr>
                  <w:r>
                    <w:rPr>
                      <w:rFonts w:hint="eastAsia"/>
                      <w:lang w:val="en-US" w:eastAsia="zh-CN"/>
                    </w:rPr>
                    <w:t>冷水循环冷却槽</w:t>
                  </w:r>
                </w:p>
              </w:tc>
              <w:tc>
                <w:tcPr>
                  <w:tcW w:w="436" w:type="pct"/>
                  <w:shd w:val="clear" w:color="auto" w:fill="auto"/>
                  <w:vAlign w:val="center"/>
                </w:tcPr>
                <w:p w14:paraId="12E718EE">
                  <w:pPr>
                    <w:pStyle w:val="106"/>
                    <w:bidi w:val="0"/>
                    <w:rPr>
                      <w:rFonts w:hint="default"/>
                      <w:lang w:val="en-US" w:eastAsia="zh-CN"/>
                    </w:rPr>
                  </w:pPr>
                  <w:r>
                    <w:rPr>
                      <w:rFonts w:hint="eastAsia"/>
                      <w:lang w:val="en-US" w:eastAsia="zh-CN"/>
                    </w:rPr>
                    <w:t>4</w:t>
                  </w:r>
                </w:p>
              </w:tc>
              <w:tc>
                <w:tcPr>
                  <w:tcW w:w="694" w:type="pct"/>
                  <w:vAlign w:val="center"/>
                </w:tcPr>
                <w:p w14:paraId="1A11A40E">
                  <w:pPr>
                    <w:pStyle w:val="106"/>
                    <w:bidi w:val="0"/>
                    <w:rPr>
                      <w:rFonts w:hint="default"/>
                      <w:lang w:val="en-US" w:eastAsia="zh-CN"/>
                    </w:rPr>
                  </w:pPr>
                  <w:r>
                    <w:rPr>
                      <w:rFonts w:hint="eastAsia"/>
                      <w:lang w:val="en-US" w:eastAsia="zh-CN"/>
                    </w:rPr>
                    <w:t>70</w:t>
                  </w:r>
                </w:p>
              </w:tc>
              <w:tc>
                <w:tcPr>
                  <w:tcW w:w="1818" w:type="pct"/>
                  <w:vAlign w:val="center"/>
                </w:tcPr>
                <w:p w14:paraId="0CFBC3EC">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754ACB17">
                  <w:pPr>
                    <w:pStyle w:val="106"/>
                    <w:bidi w:val="0"/>
                    <w:rPr>
                      <w:rFonts w:hint="default"/>
                      <w:lang w:val="en-US" w:eastAsia="zh-CN"/>
                    </w:rPr>
                  </w:pPr>
                  <w:r>
                    <w:rPr>
                      <w:rFonts w:hint="eastAsia"/>
                      <w:lang w:val="en-US" w:eastAsia="zh-CN"/>
                    </w:rPr>
                    <w:t>70</w:t>
                  </w:r>
                </w:p>
              </w:tc>
            </w:tr>
            <w:tr w14:paraId="0439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4E5FBC06">
                  <w:pPr>
                    <w:pStyle w:val="106"/>
                    <w:bidi w:val="0"/>
                    <w:rPr>
                      <w:rFonts w:hint="default"/>
                      <w:lang w:val="en-US" w:eastAsia="zh-CN"/>
                    </w:rPr>
                  </w:pPr>
                  <w:r>
                    <w:t>11</w:t>
                  </w:r>
                </w:p>
              </w:tc>
              <w:tc>
                <w:tcPr>
                  <w:tcW w:w="1161" w:type="pct"/>
                  <w:shd w:val="clear" w:color="auto" w:fill="auto"/>
                  <w:vAlign w:val="center"/>
                </w:tcPr>
                <w:p w14:paraId="3FFA9E6D">
                  <w:pPr>
                    <w:pStyle w:val="106"/>
                    <w:bidi w:val="0"/>
                    <w:rPr>
                      <w:rFonts w:hint="default"/>
                      <w:lang w:val="en-US" w:eastAsia="zh-CN"/>
                    </w:rPr>
                  </w:pPr>
                  <w:r>
                    <w:rPr>
                      <w:rFonts w:hint="eastAsia"/>
                      <w:lang w:val="en-US" w:eastAsia="zh-CN"/>
                    </w:rPr>
                    <w:t>螺旋速冻机</w:t>
                  </w:r>
                </w:p>
              </w:tc>
              <w:tc>
                <w:tcPr>
                  <w:tcW w:w="436" w:type="pct"/>
                  <w:shd w:val="clear" w:color="auto" w:fill="auto"/>
                  <w:vAlign w:val="center"/>
                </w:tcPr>
                <w:p w14:paraId="253BB8C2">
                  <w:pPr>
                    <w:pStyle w:val="106"/>
                    <w:bidi w:val="0"/>
                    <w:rPr>
                      <w:rFonts w:hint="default"/>
                      <w:lang w:val="en-US" w:eastAsia="zh-CN"/>
                    </w:rPr>
                  </w:pPr>
                  <w:r>
                    <w:rPr>
                      <w:rFonts w:hint="eastAsia"/>
                      <w:lang w:val="en-US" w:eastAsia="zh-CN"/>
                    </w:rPr>
                    <w:t>2</w:t>
                  </w:r>
                </w:p>
              </w:tc>
              <w:tc>
                <w:tcPr>
                  <w:tcW w:w="694" w:type="pct"/>
                  <w:vAlign w:val="center"/>
                </w:tcPr>
                <w:p w14:paraId="31112FEA">
                  <w:pPr>
                    <w:pStyle w:val="106"/>
                    <w:bidi w:val="0"/>
                    <w:rPr>
                      <w:rFonts w:hint="default"/>
                      <w:lang w:val="en-US" w:eastAsia="zh-CN"/>
                    </w:rPr>
                  </w:pPr>
                  <w:r>
                    <w:rPr>
                      <w:rFonts w:hint="eastAsia"/>
                      <w:lang w:val="en-US" w:eastAsia="zh-CN"/>
                    </w:rPr>
                    <w:t>80</w:t>
                  </w:r>
                </w:p>
              </w:tc>
              <w:tc>
                <w:tcPr>
                  <w:tcW w:w="1818" w:type="pct"/>
                  <w:vAlign w:val="center"/>
                </w:tcPr>
                <w:p w14:paraId="1252967A">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1A7F1059">
                  <w:pPr>
                    <w:pStyle w:val="106"/>
                    <w:bidi w:val="0"/>
                    <w:rPr>
                      <w:rFonts w:hint="default"/>
                      <w:lang w:val="en-US" w:eastAsia="zh-CN"/>
                    </w:rPr>
                  </w:pPr>
                  <w:r>
                    <w:rPr>
                      <w:rFonts w:hint="eastAsia"/>
                      <w:lang w:val="en-US" w:eastAsia="zh-CN"/>
                    </w:rPr>
                    <w:t>80</w:t>
                  </w:r>
                </w:p>
              </w:tc>
            </w:tr>
            <w:tr w14:paraId="5FC1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65D4D651">
                  <w:pPr>
                    <w:pStyle w:val="106"/>
                    <w:bidi w:val="0"/>
                    <w:rPr>
                      <w:rFonts w:hint="default"/>
                      <w:lang w:val="en-US" w:eastAsia="zh-CN"/>
                    </w:rPr>
                  </w:pPr>
                  <w:r>
                    <w:t>12</w:t>
                  </w:r>
                </w:p>
              </w:tc>
              <w:tc>
                <w:tcPr>
                  <w:tcW w:w="1161" w:type="pct"/>
                  <w:shd w:val="clear" w:color="auto" w:fill="auto"/>
                  <w:vAlign w:val="center"/>
                </w:tcPr>
                <w:p w14:paraId="75AF69AE">
                  <w:pPr>
                    <w:pStyle w:val="106"/>
                    <w:bidi w:val="0"/>
                    <w:rPr>
                      <w:rFonts w:hint="default"/>
                      <w:lang w:val="en-US" w:eastAsia="zh-CN"/>
                    </w:rPr>
                  </w:pPr>
                  <w:r>
                    <w:rPr>
                      <w:rFonts w:hint="eastAsia"/>
                      <w:lang w:val="en-US" w:eastAsia="zh-CN"/>
                    </w:rPr>
                    <w:t>真空冷冻干燥机</w:t>
                  </w:r>
                </w:p>
              </w:tc>
              <w:tc>
                <w:tcPr>
                  <w:tcW w:w="436" w:type="pct"/>
                  <w:shd w:val="clear" w:color="auto" w:fill="auto"/>
                  <w:vAlign w:val="center"/>
                </w:tcPr>
                <w:p w14:paraId="71507B66">
                  <w:pPr>
                    <w:pStyle w:val="106"/>
                    <w:bidi w:val="0"/>
                    <w:rPr>
                      <w:rFonts w:hint="default"/>
                      <w:lang w:val="en-US" w:eastAsia="zh-CN"/>
                    </w:rPr>
                  </w:pPr>
                  <w:r>
                    <w:rPr>
                      <w:rFonts w:hint="eastAsia"/>
                      <w:lang w:val="en-US" w:eastAsia="zh-CN"/>
                    </w:rPr>
                    <w:t>2</w:t>
                  </w:r>
                </w:p>
              </w:tc>
              <w:tc>
                <w:tcPr>
                  <w:tcW w:w="694" w:type="pct"/>
                  <w:vAlign w:val="center"/>
                </w:tcPr>
                <w:p w14:paraId="26D0DBC6">
                  <w:pPr>
                    <w:pStyle w:val="106"/>
                    <w:bidi w:val="0"/>
                    <w:rPr>
                      <w:rFonts w:hint="default"/>
                      <w:lang w:val="en-US" w:eastAsia="zh-CN"/>
                    </w:rPr>
                  </w:pPr>
                  <w:r>
                    <w:rPr>
                      <w:rFonts w:hint="eastAsia"/>
                      <w:lang w:val="en-US" w:eastAsia="zh-CN"/>
                    </w:rPr>
                    <w:t>80</w:t>
                  </w:r>
                </w:p>
              </w:tc>
              <w:tc>
                <w:tcPr>
                  <w:tcW w:w="1818" w:type="pct"/>
                  <w:vAlign w:val="center"/>
                </w:tcPr>
                <w:p w14:paraId="3DAD8122">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02D1E942">
                  <w:pPr>
                    <w:pStyle w:val="106"/>
                    <w:bidi w:val="0"/>
                    <w:rPr>
                      <w:rFonts w:hint="default"/>
                      <w:lang w:val="en-US" w:eastAsia="zh-CN"/>
                    </w:rPr>
                  </w:pPr>
                  <w:r>
                    <w:rPr>
                      <w:rFonts w:hint="eastAsia"/>
                      <w:lang w:val="en-US" w:eastAsia="zh-CN"/>
                    </w:rPr>
                    <w:t>80</w:t>
                  </w:r>
                </w:p>
              </w:tc>
            </w:tr>
            <w:tr w14:paraId="0231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032B6002">
                  <w:pPr>
                    <w:pStyle w:val="106"/>
                    <w:bidi w:val="0"/>
                    <w:rPr>
                      <w:rFonts w:hint="default"/>
                      <w:lang w:val="en-US" w:eastAsia="zh-CN"/>
                    </w:rPr>
                  </w:pPr>
                  <w:r>
                    <w:t>13</w:t>
                  </w:r>
                </w:p>
              </w:tc>
              <w:tc>
                <w:tcPr>
                  <w:tcW w:w="1161" w:type="pct"/>
                  <w:shd w:val="clear" w:color="auto" w:fill="auto"/>
                  <w:vAlign w:val="center"/>
                </w:tcPr>
                <w:p w14:paraId="7A819FDA">
                  <w:pPr>
                    <w:pStyle w:val="106"/>
                    <w:bidi w:val="0"/>
                    <w:rPr>
                      <w:rFonts w:hint="default"/>
                      <w:lang w:val="en-US" w:eastAsia="zh-CN"/>
                    </w:rPr>
                  </w:pPr>
                  <w:r>
                    <w:rPr>
                      <w:rFonts w:hint="eastAsia"/>
                      <w:lang w:val="en-US" w:eastAsia="zh-CN"/>
                    </w:rPr>
                    <w:t>振动筛分机</w:t>
                  </w:r>
                </w:p>
              </w:tc>
              <w:tc>
                <w:tcPr>
                  <w:tcW w:w="436" w:type="pct"/>
                  <w:shd w:val="clear" w:color="auto" w:fill="auto"/>
                  <w:vAlign w:val="center"/>
                </w:tcPr>
                <w:p w14:paraId="5B865987">
                  <w:pPr>
                    <w:pStyle w:val="106"/>
                    <w:bidi w:val="0"/>
                    <w:rPr>
                      <w:rFonts w:hint="default"/>
                      <w:lang w:val="en-US" w:eastAsia="zh-CN"/>
                    </w:rPr>
                  </w:pPr>
                  <w:r>
                    <w:rPr>
                      <w:rFonts w:hint="eastAsia"/>
                      <w:lang w:val="en-US" w:eastAsia="zh-CN"/>
                    </w:rPr>
                    <w:t>3</w:t>
                  </w:r>
                </w:p>
              </w:tc>
              <w:tc>
                <w:tcPr>
                  <w:tcW w:w="694" w:type="pct"/>
                  <w:vAlign w:val="center"/>
                </w:tcPr>
                <w:p w14:paraId="04702B26">
                  <w:pPr>
                    <w:pStyle w:val="106"/>
                    <w:bidi w:val="0"/>
                    <w:rPr>
                      <w:rFonts w:hint="default"/>
                      <w:lang w:val="en-US" w:eastAsia="zh-CN"/>
                    </w:rPr>
                  </w:pPr>
                  <w:r>
                    <w:rPr>
                      <w:rFonts w:hint="eastAsia"/>
                      <w:lang w:val="en-US" w:eastAsia="zh-CN"/>
                    </w:rPr>
                    <w:t>80</w:t>
                  </w:r>
                </w:p>
              </w:tc>
              <w:tc>
                <w:tcPr>
                  <w:tcW w:w="1818" w:type="pct"/>
                  <w:vAlign w:val="center"/>
                </w:tcPr>
                <w:p w14:paraId="0E86A34D">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343F1134">
                  <w:pPr>
                    <w:pStyle w:val="106"/>
                    <w:bidi w:val="0"/>
                    <w:rPr>
                      <w:rFonts w:hint="default"/>
                      <w:lang w:val="en-US" w:eastAsia="zh-CN"/>
                    </w:rPr>
                  </w:pPr>
                  <w:r>
                    <w:rPr>
                      <w:rFonts w:hint="eastAsia"/>
                      <w:lang w:val="en-US" w:eastAsia="zh-CN"/>
                    </w:rPr>
                    <w:t>80</w:t>
                  </w:r>
                </w:p>
              </w:tc>
            </w:tr>
            <w:tr w14:paraId="179A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6126798A">
                  <w:pPr>
                    <w:pStyle w:val="106"/>
                    <w:bidi w:val="0"/>
                    <w:rPr>
                      <w:rFonts w:hint="default"/>
                      <w:lang w:val="en-US" w:eastAsia="zh-CN"/>
                    </w:rPr>
                  </w:pPr>
                  <w:r>
                    <w:t>14</w:t>
                  </w:r>
                </w:p>
              </w:tc>
              <w:tc>
                <w:tcPr>
                  <w:tcW w:w="1161" w:type="pct"/>
                  <w:shd w:val="clear" w:color="auto" w:fill="auto"/>
                  <w:vAlign w:val="center"/>
                </w:tcPr>
                <w:p w14:paraId="2CEC53DC">
                  <w:pPr>
                    <w:pStyle w:val="106"/>
                    <w:bidi w:val="0"/>
                    <w:rPr>
                      <w:rFonts w:hint="default"/>
                      <w:lang w:val="en-US" w:eastAsia="zh-CN"/>
                    </w:rPr>
                  </w:pPr>
                  <w:r>
                    <w:rPr>
                      <w:rFonts w:hint="eastAsia"/>
                      <w:lang w:val="en-US" w:eastAsia="zh-CN"/>
                    </w:rPr>
                    <w:t>X射线检测仪</w:t>
                  </w:r>
                </w:p>
              </w:tc>
              <w:tc>
                <w:tcPr>
                  <w:tcW w:w="436" w:type="pct"/>
                  <w:shd w:val="clear" w:color="auto" w:fill="auto"/>
                  <w:vAlign w:val="center"/>
                </w:tcPr>
                <w:p w14:paraId="1D2BB2E1">
                  <w:pPr>
                    <w:pStyle w:val="106"/>
                    <w:bidi w:val="0"/>
                    <w:rPr>
                      <w:rFonts w:hint="default"/>
                      <w:lang w:val="en-US" w:eastAsia="zh-CN"/>
                    </w:rPr>
                  </w:pPr>
                  <w:r>
                    <w:rPr>
                      <w:rFonts w:hint="eastAsia"/>
                      <w:lang w:val="en-US" w:eastAsia="zh-CN"/>
                    </w:rPr>
                    <w:t>3</w:t>
                  </w:r>
                </w:p>
              </w:tc>
              <w:tc>
                <w:tcPr>
                  <w:tcW w:w="694" w:type="pct"/>
                  <w:vAlign w:val="center"/>
                </w:tcPr>
                <w:p w14:paraId="7A11D1AC">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28C4A18F">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713A3B56">
                  <w:pPr>
                    <w:pStyle w:val="106"/>
                    <w:bidi w:val="0"/>
                    <w:rPr>
                      <w:rFonts w:hint="default"/>
                      <w:lang w:val="en-US" w:eastAsia="zh-CN"/>
                    </w:rPr>
                  </w:pPr>
                  <w:r>
                    <w:rPr>
                      <w:rFonts w:hint="eastAsia"/>
                      <w:lang w:val="en-US" w:eastAsia="zh-CN"/>
                    </w:rPr>
                    <w:t>70</w:t>
                  </w:r>
                </w:p>
              </w:tc>
            </w:tr>
            <w:tr w14:paraId="5FE8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2B8787BD">
                  <w:pPr>
                    <w:pStyle w:val="106"/>
                    <w:bidi w:val="0"/>
                    <w:rPr>
                      <w:rFonts w:hint="default"/>
                      <w:lang w:val="en-US" w:eastAsia="zh-CN"/>
                    </w:rPr>
                  </w:pPr>
                  <w:r>
                    <w:rPr>
                      <w:rFonts w:hint="eastAsia"/>
                      <w:lang w:val="en-US" w:eastAsia="zh-CN"/>
                    </w:rPr>
                    <w:t>15</w:t>
                  </w:r>
                </w:p>
              </w:tc>
              <w:tc>
                <w:tcPr>
                  <w:tcW w:w="1161" w:type="pct"/>
                  <w:shd w:val="clear" w:color="auto" w:fill="auto"/>
                  <w:vAlign w:val="center"/>
                </w:tcPr>
                <w:p w14:paraId="0D813190">
                  <w:pPr>
                    <w:pStyle w:val="106"/>
                    <w:bidi w:val="0"/>
                    <w:rPr>
                      <w:rFonts w:hint="default"/>
                      <w:lang w:val="en-US" w:eastAsia="zh-CN"/>
                    </w:rPr>
                  </w:pPr>
                  <w:r>
                    <w:rPr>
                      <w:rFonts w:hint="eastAsia"/>
                      <w:lang w:val="en-US" w:eastAsia="zh-CN"/>
                    </w:rPr>
                    <w:t>激光喷码机</w:t>
                  </w:r>
                </w:p>
              </w:tc>
              <w:tc>
                <w:tcPr>
                  <w:tcW w:w="436" w:type="pct"/>
                  <w:shd w:val="clear" w:color="auto" w:fill="auto"/>
                  <w:vAlign w:val="center"/>
                </w:tcPr>
                <w:p w14:paraId="4689DC26">
                  <w:pPr>
                    <w:pStyle w:val="106"/>
                    <w:bidi w:val="0"/>
                    <w:rPr>
                      <w:rFonts w:hint="default"/>
                      <w:lang w:val="en-US" w:eastAsia="zh-CN"/>
                    </w:rPr>
                  </w:pPr>
                  <w:r>
                    <w:rPr>
                      <w:rFonts w:hint="eastAsia"/>
                      <w:lang w:val="en-US" w:eastAsia="zh-CN"/>
                    </w:rPr>
                    <w:t>3</w:t>
                  </w:r>
                </w:p>
              </w:tc>
              <w:tc>
                <w:tcPr>
                  <w:tcW w:w="694" w:type="pct"/>
                  <w:shd w:val="clear" w:color="auto" w:fill="auto"/>
                  <w:vAlign w:val="center"/>
                </w:tcPr>
                <w:p w14:paraId="72B15F0D">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07DB9F8D">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565A1ADB">
                  <w:pPr>
                    <w:pStyle w:val="106"/>
                    <w:bidi w:val="0"/>
                    <w:rPr>
                      <w:rFonts w:hint="default"/>
                      <w:lang w:val="en-US" w:eastAsia="zh-CN"/>
                    </w:rPr>
                  </w:pPr>
                  <w:r>
                    <w:rPr>
                      <w:rFonts w:hint="eastAsia"/>
                      <w:lang w:val="en-US" w:eastAsia="zh-CN"/>
                    </w:rPr>
                    <w:t>80</w:t>
                  </w:r>
                </w:p>
              </w:tc>
            </w:tr>
            <w:tr w14:paraId="7ECD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4B045657">
                  <w:pPr>
                    <w:pStyle w:val="106"/>
                    <w:bidi w:val="0"/>
                    <w:rPr>
                      <w:rFonts w:hint="default"/>
                      <w:lang w:val="en-US" w:eastAsia="zh-CN"/>
                    </w:rPr>
                  </w:pPr>
                  <w:r>
                    <w:rPr>
                      <w:rFonts w:hint="eastAsia"/>
                      <w:lang w:val="en-US" w:eastAsia="zh-CN"/>
                    </w:rPr>
                    <w:t>16</w:t>
                  </w:r>
                </w:p>
              </w:tc>
              <w:tc>
                <w:tcPr>
                  <w:tcW w:w="1161" w:type="pct"/>
                  <w:shd w:val="clear" w:color="auto" w:fill="auto"/>
                  <w:vAlign w:val="center"/>
                </w:tcPr>
                <w:p w14:paraId="6A508D1D">
                  <w:pPr>
                    <w:pStyle w:val="106"/>
                    <w:bidi w:val="0"/>
                    <w:rPr>
                      <w:rFonts w:hint="default"/>
                      <w:lang w:val="en-US" w:eastAsia="zh-CN"/>
                    </w:rPr>
                  </w:pPr>
                  <w:r>
                    <w:rPr>
                      <w:rFonts w:hint="eastAsia"/>
                      <w:lang w:val="en-US" w:eastAsia="zh-CN"/>
                    </w:rPr>
                    <w:t>臭氧机</w:t>
                  </w:r>
                </w:p>
              </w:tc>
              <w:tc>
                <w:tcPr>
                  <w:tcW w:w="436" w:type="pct"/>
                  <w:shd w:val="clear" w:color="auto" w:fill="auto"/>
                  <w:vAlign w:val="center"/>
                </w:tcPr>
                <w:p w14:paraId="17657E5E">
                  <w:pPr>
                    <w:pStyle w:val="106"/>
                    <w:bidi w:val="0"/>
                    <w:rPr>
                      <w:rFonts w:hint="default"/>
                      <w:lang w:val="en-US" w:eastAsia="zh-CN"/>
                    </w:rPr>
                  </w:pPr>
                  <w:r>
                    <w:rPr>
                      <w:rFonts w:hint="eastAsia"/>
                      <w:lang w:val="en-US" w:eastAsia="zh-CN"/>
                    </w:rPr>
                    <w:t>1</w:t>
                  </w:r>
                </w:p>
              </w:tc>
              <w:tc>
                <w:tcPr>
                  <w:tcW w:w="694" w:type="pct"/>
                  <w:shd w:val="clear" w:color="auto" w:fill="auto"/>
                  <w:vAlign w:val="center"/>
                </w:tcPr>
                <w:p w14:paraId="0F8DBBE3">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17A74A25">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248EED12">
                  <w:pPr>
                    <w:pStyle w:val="106"/>
                    <w:bidi w:val="0"/>
                    <w:rPr>
                      <w:rFonts w:hint="default"/>
                      <w:lang w:val="en-US" w:eastAsia="zh-CN"/>
                    </w:rPr>
                  </w:pPr>
                  <w:r>
                    <w:rPr>
                      <w:rFonts w:hint="eastAsia"/>
                      <w:lang w:val="en-US" w:eastAsia="zh-CN"/>
                    </w:rPr>
                    <w:t>70</w:t>
                  </w:r>
                </w:p>
              </w:tc>
            </w:tr>
            <w:tr w14:paraId="1626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483466DA">
                  <w:pPr>
                    <w:pStyle w:val="106"/>
                    <w:bidi w:val="0"/>
                    <w:rPr>
                      <w:rFonts w:hint="default"/>
                      <w:lang w:val="en-US" w:eastAsia="zh-CN"/>
                    </w:rPr>
                  </w:pPr>
                  <w:r>
                    <w:rPr>
                      <w:rFonts w:hint="eastAsia"/>
                      <w:lang w:val="en-US" w:eastAsia="zh-CN"/>
                    </w:rPr>
                    <w:t>17</w:t>
                  </w:r>
                </w:p>
              </w:tc>
              <w:tc>
                <w:tcPr>
                  <w:tcW w:w="1161" w:type="pct"/>
                  <w:shd w:val="clear" w:color="auto" w:fill="auto"/>
                  <w:vAlign w:val="center"/>
                </w:tcPr>
                <w:p w14:paraId="10C87B58">
                  <w:pPr>
                    <w:pStyle w:val="106"/>
                    <w:bidi w:val="0"/>
                    <w:rPr>
                      <w:rFonts w:hint="default"/>
                      <w:lang w:val="en-US" w:eastAsia="zh-CN"/>
                    </w:rPr>
                  </w:pPr>
                  <w:r>
                    <w:rPr>
                      <w:rFonts w:hint="eastAsia"/>
                      <w:lang w:val="en-US" w:eastAsia="zh-CN"/>
                    </w:rPr>
                    <w:t>真空充氮包装机</w:t>
                  </w:r>
                </w:p>
              </w:tc>
              <w:tc>
                <w:tcPr>
                  <w:tcW w:w="436" w:type="pct"/>
                  <w:shd w:val="clear" w:color="auto" w:fill="auto"/>
                  <w:vAlign w:val="center"/>
                </w:tcPr>
                <w:p w14:paraId="00711566">
                  <w:pPr>
                    <w:pStyle w:val="106"/>
                    <w:bidi w:val="0"/>
                    <w:rPr>
                      <w:rFonts w:hint="default"/>
                      <w:lang w:val="en-US" w:eastAsia="zh-CN"/>
                    </w:rPr>
                  </w:pPr>
                  <w:r>
                    <w:rPr>
                      <w:rFonts w:hint="eastAsia"/>
                      <w:lang w:val="en-US" w:eastAsia="zh-CN"/>
                    </w:rPr>
                    <w:t>3</w:t>
                  </w:r>
                </w:p>
              </w:tc>
              <w:tc>
                <w:tcPr>
                  <w:tcW w:w="694" w:type="pct"/>
                  <w:vAlign w:val="center"/>
                </w:tcPr>
                <w:p w14:paraId="18218C6B">
                  <w:pPr>
                    <w:pStyle w:val="106"/>
                    <w:bidi w:val="0"/>
                    <w:rPr>
                      <w:rFonts w:hint="default"/>
                      <w:lang w:val="en-US" w:eastAsia="zh-CN"/>
                    </w:rPr>
                  </w:pPr>
                  <w:r>
                    <w:rPr>
                      <w:rFonts w:hint="eastAsia"/>
                      <w:lang w:val="en-US" w:eastAsia="zh-CN"/>
                    </w:rPr>
                    <w:t>80</w:t>
                  </w:r>
                </w:p>
              </w:tc>
              <w:tc>
                <w:tcPr>
                  <w:tcW w:w="1818" w:type="pct"/>
                  <w:vAlign w:val="center"/>
                </w:tcPr>
                <w:p w14:paraId="7C931290">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2CD74407">
                  <w:pPr>
                    <w:pStyle w:val="106"/>
                    <w:bidi w:val="0"/>
                    <w:rPr>
                      <w:rFonts w:hint="default"/>
                      <w:lang w:val="en-US" w:eastAsia="zh-CN"/>
                    </w:rPr>
                  </w:pPr>
                  <w:r>
                    <w:rPr>
                      <w:rFonts w:hint="eastAsia"/>
                      <w:lang w:val="en-US" w:eastAsia="zh-CN"/>
                    </w:rPr>
                    <w:t>80</w:t>
                  </w:r>
                </w:p>
              </w:tc>
            </w:tr>
            <w:tr w14:paraId="1CFD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23383E4B">
                  <w:pPr>
                    <w:pStyle w:val="106"/>
                    <w:bidi w:val="0"/>
                    <w:rPr>
                      <w:rFonts w:hint="default"/>
                      <w:lang w:val="en-US" w:eastAsia="zh-CN"/>
                    </w:rPr>
                  </w:pPr>
                  <w:r>
                    <w:rPr>
                      <w:rFonts w:hint="eastAsia"/>
                      <w:lang w:val="en-US" w:eastAsia="zh-CN"/>
                    </w:rPr>
                    <w:t>18</w:t>
                  </w:r>
                </w:p>
              </w:tc>
              <w:tc>
                <w:tcPr>
                  <w:tcW w:w="1161" w:type="pct"/>
                  <w:shd w:val="clear" w:color="auto" w:fill="auto"/>
                  <w:vAlign w:val="center"/>
                </w:tcPr>
                <w:p w14:paraId="48799F97">
                  <w:pPr>
                    <w:pStyle w:val="106"/>
                    <w:bidi w:val="0"/>
                    <w:rPr>
                      <w:rFonts w:hint="default"/>
                      <w:lang w:val="en-US" w:eastAsia="zh-CN"/>
                    </w:rPr>
                  </w:pPr>
                  <w:r>
                    <w:rPr>
                      <w:rFonts w:hint="eastAsia"/>
                      <w:lang w:val="en-US" w:eastAsia="zh-CN"/>
                    </w:rPr>
                    <w:t>真空封口机</w:t>
                  </w:r>
                </w:p>
              </w:tc>
              <w:tc>
                <w:tcPr>
                  <w:tcW w:w="436" w:type="pct"/>
                  <w:shd w:val="clear" w:color="auto" w:fill="auto"/>
                  <w:vAlign w:val="center"/>
                </w:tcPr>
                <w:p w14:paraId="4FBF5973">
                  <w:pPr>
                    <w:pStyle w:val="106"/>
                    <w:bidi w:val="0"/>
                    <w:rPr>
                      <w:rFonts w:hint="default"/>
                      <w:lang w:val="en-US" w:eastAsia="zh-CN"/>
                    </w:rPr>
                  </w:pPr>
                  <w:r>
                    <w:rPr>
                      <w:rFonts w:hint="eastAsia"/>
                      <w:lang w:val="en-US" w:eastAsia="zh-CN"/>
                    </w:rPr>
                    <w:t>3</w:t>
                  </w:r>
                </w:p>
              </w:tc>
              <w:tc>
                <w:tcPr>
                  <w:tcW w:w="694" w:type="pct"/>
                  <w:vAlign w:val="center"/>
                </w:tcPr>
                <w:p w14:paraId="2E2675AF">
                  <w:pPr>
                    <w:pStyle w:val="106"/>
                    <w:bidi w:val="0"/>
                    <w:rPr>
                      <w:rFonts w:hint="default"/>
                      <w:lang w:val="en-US" w:eastAsia="zh-CN"/>
                    </w:rPr>
                  </w:pPr>
                  <w:r>
                    <w:rPr>
                      <w:rFonts w:hint="eastAsia"/>
                      <w:lang w:val="en-US" w:eastAsia="zh-CN"/>
                    </w:rPr>
                    <w:t>80</w:t>
                  </w:r>
                </w:p>
              </w:tc>
              <w:tc>
                <w:tcPr>
                  <w:tcW w:w="1818" w:type="pct"/>
                  <w:vAlign w:val="center"/>
                </w:tcPr>
                <w:p w14:paraId="437AA265">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0EE96BC5">
                  <w:pPr>
                    <w:pStyle w:val="106"/>
                    <w:bidi w:val="0"/>
                    <w:rPr>
                      <w:rFonts w:hint="default"/>
                      <w:lang w:val="en-US" w:eastAsia="zh-CN"/>
                    </w:rPr>
                  </w:pPr>
                  <w:r>
                    <w:rPr>
                      <w:rFonts w:hint="eastAsia"/>
                      <w:lang w:val="en-US" w:eastAsia="zh-CN"/>
                    </w:rPr>
                    <w:t>80</w:t>
                  </w:r>
                </w:p>
              </w:tc>
            </w:tr>
            <w:tr w14:paraId="0F88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655537FE">
                  <w:pPr>
                    <w:pStyle w:val="106"/>
                    <w:bidi w:val="0"/>
                    <w:rPr>
                      <w:rFonts w:hint="default"/>
                      <w:lang w:val="en-US" w:eastAsia="zh-CN"/>
                    </w:rPr>
                  </w:pPr>
                  <w:r>
                    <w:rPr>
                      <w:rFonts w:hint="eastAsia"/>
                      <w:lang w:val="en-US" w:eastAsia="zh-CN"/>
                    </w:rPr>
                    <w:t>19</w:t>
                  </w:r>
                </w:p>
              </w:tc>
              <w:tc>
                <w:tcPr>
                  <w:tcW w:w="1161" w:type="pct"/>
                  <w:shd w:val="clear" w:color="auto" w:fill="auto"/>
                  <w:vAlign w:val="center"/>
                </w:tcPr>
                <w:p w14:paraId="13E1DC42">
                  <w:pPr>
                    <w:pStyle w:val="106"/>
                    <w:bidi w:val="0"/>
                    <w:rPr>
                      <w:rFonts w:hint="default"/>
                      <w:lang w:val="en-US" w:eastAsia="zh-CN"/>
                    </w:rPr>
                  </w:pPr>
                  <w:r>
                    <w:rPr>
                      <w:rFonts w:hint="eastAsia"/>
                      <w:lang w:val="en-US" w:eastAsia="zh-CN"/>
                    </w:rPr>
                    <w:t>贴标机</w:t>
                  </w:r>
                </w:p>
              </w:tc>
              <w:tc>
                <w:tcPr>
                  <w:tcW w:w="436" w:type="pct"/>
                  <w:shd w:val="clear" w:color="auto" w:fill="auto"/>
                  <w:vAlign w:val="center"/>
                </w:tcPr>
                <w:p w14:paraId="70BA9C77">
                  <w:pPr>
                    <w:pStyle w:val="106"/>
                    <w:bidi w:val="0"/>
                    <w:rPr>
                      <w:rFonts w:hint="default"/>
                      <w:lang w:val="en-US" w:eastAsia="zh-CN"/>
                    </w:rPr>
                  </w:pPr>
                  <w:r>
                    <w:rPr>
                      <w:rFonts w:hint="eastAsia"/>
                      <w:lang w:val="en-US" w:eastAsia="zh-CN"/>
                    </w:rPr>
                    <w:t>3</w:t>
                  </w:r>
                </w:p>
              </w:tc>
              <w:tc>
                <w:tcPr>
                  <w:tcW w:w="694" w:type="pct"/>
                  <w:vAlign w:val="center"/>
                </w:tcPr>
                <w:p w14:paraId="4D05D55E">
                  <w:pPr>
                    <w:pStyle w:val="106"/>
                    <w:bidi w:val="0"/>
                    <w:rPr>
                      <w:rFonts w:hint="default"/>
                      <w:lang w:val="en-US" w:eastAsia="zh-CN"/>
                    </w:rPr>
                  </w:pPr>
                  <w:r>
                    <w:rPr>
                      <w:rFonts w:hint="eastAsia"/>
                      <w:lang w:val="en-US" w:eastAsia="zh-CN"/>
                    </w:rPr>
                    <w:t>80</w:t>
                  </w:r>
                </w:p>
              </w:tc>
              <w:tc>
                <w:tcPr>
                  <w:tcW w:w="1818" w:type="pct"/>
                  <w:vAlign w:val="center"/>
                </w:tcPr>
                <w:p w14:paraId="40FBF558">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0694EC66">
                  <w:pPr>
                    <w:pStyle w:val="106"/>
                    <w:bidi w:val="0"/>
                    <w:rPr>
                      <w:rFonts w:hint="default"/>
                      <w:lang w:val="en-US" w:eastAsia="zh-CN"/>
                    </w:rPr>
                  </w:pPr>
                  <w:r>
                    <w:rPr>
                      <w:rFonts w:hint="eastAsia"/>
                      <w:lang w:val="en-US" w:eastAsia="zh-CN"/>
                    </w:rPr>
                    <w:t>80</w:t>
                  </w:r>
                </w:p>
              </w:tc>
            </w:tr>
            <w:tr w14:paraId="55C5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0595DFD6">
                  <w:pPr>
                    <w:pStyle w:val="106"/>
                    <w:bidi w:val="0"/>
                    <w:rPr>
                      <w:rFonts w:hint="default"/>
                      <w:lang w:val="en-US" w:eastAsia="zh-CN"/>
                    </w:rPr>
                  </w:pPr>
                  <w:r>
                    <w:rPr>
                      <w:rFonts w:hint="eastAsia"/>
                      <w:lang w:val="en-US" w:eastAsia="zh-CN"/>
                    </w:rPr>
                    <w:t>20</w:t>
                  </w:r>
                </w:p>
              </w:tc>
              <w:tc>
                <w:tcPr>
                  <w:tcW w:w="1161" w:type="pct"/>
                  <w:shd w:val="clear" w:color="auto" w:fill="auto"/>
                  <w:vAlign w:val="center"/>
                </w:tcPr>
                <w:p w14:paraId="229EDB0F">
                  <w:pPr>
                    <w:pStyle w:val="106"/>
                    <w:bidi w:val="0"/>
                    <w:rPr>
                      <w:rFonts w:hint="default"/>
                      <w:lang w:val="en-US" w:eastAsia="zh-CN"/>
                    </w:rPr>
                  </w:pPr>
                  <w:r>
                    <w:rPr>
                      <w:rFonts w:hint="eastAsia"/>
                    </w:rPr>
                    <w:t>绞肉机</w:t>
                  </w:r>
                </w:p>
              </w:tc>
              <w:tc>
                <w:tcPr>
                  <w:tcW w:w="436" w:type="pct"/>
                  <w:shd w:val="clear" w:color="auto" w:fill="auto"/>
                  <w:vAlign w:val="center"/>
                </w:tcPr>
                <w:p w14:paraId="2E98737B">
                  <w:pPr>
                    <w:pStyle w:val="106"/>
                    <w:bidi w:val="0"/>
                    <w:rPr>
                      <w:rFonts w:hint="default"/>
                      <w:lang w:val="en-US" w:eastAsia="zh-CN"/>
                    </w:rPr>
                  </w:pPr>
                  <w:r>
                    <w:rPr>
                      <w:rFonts w:hint="eastAsia"/>
                    </w:rPr>
                    <w:t>1</w:t>
                  </w:r>
                </w:p>
              </w:tc>
              <w:tc>
                <w:tcPr>
                  <w:tcW w:w="694" w:type="pct"/>
                  <w:shd w:val="clear" w:color="auto" w:fill="auto"/>
                  <w:vAlign w:val="center"/>
                </w:tcPr>
                <w:p w14:paraId="249F1C30">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7BA8250E">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75FBA639">
                  <w:pPr>
                    <w:pStyle w:val="106"/>
                    <w:bidi w:val="0"/>
                    <w:rPr>
                      <w:rFonts w:hint="default"/>
                      <w:lang w:val="en-US" w:eastAsia="zh-CN"/>
                    </w:rPr>
                  </w:pPr>
                  <w:r>
                    <w:rPr>
                      <w:rFonts w:hint="eastAsia"/>
                      <w:lang w:val="en-US" w:eastAsia="zh-CN"/>
                    </w:rPr>
                    <w:t>70</w:t>
                  </w:r>
                </w:p>
              </w:tc>
            </w:tr>
            <w:tr w14:paraId="1472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28826399">
                  <w:pPr>
                    <w:pStyle w:val="106"/>
                    <w:bidi w:val="0"/>
                    <w:rPr>
                      <w:rFonts w:hint="default"/>
                      <w:lang w:val="en-US" w:eastAsia="zh-CN"/>
                    </w:rPr>
                  </w:pPr>
                  <w:r>
                    <w:rPr>
                      <w:rFonts w:hint="eastAsia"/>
                      <w:lang w:val="en-US" w:eastAsia="zh-CN"/>
                    </w:rPr>
                    <w:t>21</w:t>
                  </w:r>
                </w:p>
              </w:tc>
              <w:tc>
                <w:tcPr>
                  <w:tcW w:w="1161" w:type="pct"/>
                  <w:shd w:val="clear" w:color="auto" w:fill="auto"/>
                  <w:vAlign w:val="center"/>
                </w:tcPr>
                <w:p w14:paraId="05552D52">
                  <w:pPr>
                    <w:pStyle w:val="106"/>
                    <w:bidi w:val="0"/>
                    <w:rPr>
                      <w:rFonts w:hint="default"/>
                      <w:lang w:val="en-US" w:eastAsia="zh-CN"/>
                    </w:rPr>
                  </w:pPr>
                  <w:r>
                    <w:rPr>
                      <w:rFonts w:hint="eastAsia"/>
                    </w:rPr>
                    <w:t>宰拌机</w:t>
                  </w:r>
                </w:p>
              </w:tc>
              <w:tc>
                <w:tcPr>
                  <w:tcW w:w="436" w:type="pct"/>
                  <w:shd w:val="clear" w:color="auto" w:fill="auto"/>
                  <w:vAlign w:val="center"/>
                </w:tcPr>
                <w:p w14:paraId="35BE4654">
                  <w:pPr>
                    <w:pStyle w:val="106"/>
                    <w:bidi w:val="0"/>
                    <w:rPr>
                      <w:rFonts w:hint="default"/>
                      <w:lang w:val="en-US" w:eastAsia="zh-CN"/>
                    </w:rPr>
                  </w:pPr>
                  <w:r>
                    <w:rPr>
                      <w:rFonts w:hint="eastAsia"/>
                    </w:rPr>
                    <w:t>1</w:t>
                  </w:r>
                </w:p>
              </w:tc>
              <w:tc>
                <w:tcPr>
                  <w:tcW w:w="694" w:type="pct"/>
                  <w:shd w:val="clear" w:color="auto" w:fill="auto"/>
                  <w:vAlign w:val="center"/>
                </w:tcPr>
                <w:p w14:paraId="7786BF4F">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1FB2E753">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0BB938D1">
                  <w:pPr>
                    <w:pStyle w:val="106"/>
                    <w:bidi w:val="0"/>
                    <w:rPr>
                      <w:rFonts w:hint="default"/>
                      <w:lang w:val="en-US" w:eastAsia="zh-CN"/>
                    </w:rPr>
                  </w:pPr>
                  <w:r>
                    <w:rPr>
                      <w:rFonts w:hint="eastAsia"/>
                      <w:lang w:val="en-US" w:eastAsia="zh-CN"/>
                    </w:rPr>
                    <w:t>70</w:t>
                  </w:r>
                </w:p>
              </w:tc>
            </w:tr>
            <w:tr w14:paraId="07AE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18DE79EE">
                  <w:pPr>
                    <w:pStyle w:val="106"/>
                    <w:bidi w:val="0"/>
                    <w:rPr>
                      <w:rFonts w:hint="default"/>
                      <w:lang w:val="en-US" w:eastAsia="zh-CN"/>
                    </w:rPr>
                  </w:pPr>
                  <w:r>
                    <w:rPr>
                      <w:rFonts w:hint="eastAsia"/>
                      <w:lang w:val="en-US" w:eastAsia="zh-CN"/>
                    </w:rPr>
                    <w:t>22</w:t>
                  </w:r>
                </w:p>
              </w:tc>
              <w:tc>
                <w:tcPr>
                  <w:tcW w:w="1161" w:type="pct"/>
                  <w:shd w:val="clear" w:color="auto" w:fill="auto"/>
                  <w:vAlign w:val="center"/>
                </w:tcPr>
                <w:p w14:paraId="0D0BA856">
                  <w:pPr>
                    <w:pStyle w:val="106"/>
                    <w:bidi w:val="0"/>
                    <w:rPr>
                      <w:rFonts w:hint="default"/>
                      <w:lang w:val="en-US" w:eastAsia="zh-CN"/>
                    </w:rPr>
                  </w:pPr>
                  <w:r>
                    <w:rPr>
                      <w:rFonts w:hint="eastAsia"/>
                      <w:lang w:val="en-US" w:eastAsia="zh-CN"/>
                    </w:rPr>
                    <w:t>真空</w:t>
                  </w:r>
                  <w:r>
                    <w:rPr>
                      <w:rFonts w:hint="eastAsia"/>
                    </w:rPr>
                    <w:t>拌料机</w:t>
                  </w:r>
                </w:p>
              </w:tc>
              <w:tc>
                <w:tcPr>
                  <w:tcW w:w="436" w:type="pct"/>
                  <w:shd w:val="clear" w:color="auto" w:fill="auto"/>
                  <w:vAlign w:val="center"/>
                </w:tcPr>
                <w:p w14:paraId="06A13260">
                  <w:pPr>
                    <w:pStyle w:val="106"/>
                    <w:bidi w:val="0"/>
                    <w:rPr>
                      <w:rFonts w:hint="default"/>
                      <w:lang w:val="en-US" w:eastAsia="zh-CN"/>
                    </w:rPr>
                  </w:pPr>
                  <w:r>
                    <w:rPr>
                      <w:rFonts w:hint="eastAsia"/>
                    </w:rPr>
                    <w:t>1</w:t>
                  </w:r>
                </w:p>
              </w:tc>
              <w:tc>
                <w:tcPr>
                  <w:tcW w:w="694" w:type="pct"/>
                  <w:shd w:val="clear" w:color="auto" w:fill="auto"/>
                  <w:vAlign w:val="center"/>
                </w:tcPr>
                <w:p w14:paraId="0B90E415">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0CC7AA76">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7BB933BC">
                  <w:pPr>
                    <w:pStyle w:val="106"/>
                    <w:bidi w:val="0"/>
                    <w:rPr>
                      <w:rFonts w:hint="default"/>
                      <w:lang w:val="en-US" w:eastAsia="zh-CN"/>
                    </w:rPr>
                  </w:pPr>
                  <w:r>
                    <w:rPr>
                      <w:rFonts w:hint="eastAsia"/>
                      <w:lang w:val="en-US" w:eastAsia="zh-CN"/>
                    </w:rPr>
                    <w:t>70</w:t>
                  </w:r>
                </w:p>
              </w:tc>
            </w:tr>
            <w:tr w14:paraId="02FC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59C98843">
                  <w:pPr>
                    <w:pStyle w:val="106"/>
                    <w:bidi w:val="0"/>
                    <w:rPr>
                      <w:rFonts w:hint="default"/>
                      <w:lang w:val="en-US" w:eastAsia="zh-CN"/>
                    </w:rPr>
                  </w:pPr>
                  <w:r>
                    <w:rPr>
                      <w:rFonts w:hint="eastAsia"/>
                      <w:lang w:val="en-US" w:eastAsia="zh-CN"/>
                    </w:rPr>
                    <w:t>23</w:t>
                  </w:r>
                </w:p>
              </w:tc>
              <w:tc>
                <w:tcPr>
                  <w:tcW w:w="1161" w:type="pct"/>
                  <w:shd w:val="clear" w:color="auto" w:fill="auto"/>
                  <w:vAlign w:val="center"/>
                </w:tcPr>
                <w:p w14:paraId="709F2CB9">
                  <w:pPr>
                    <w:pStyle w:val="106"/>
                    <w:bidi w:val="0"/>
                    <w:rPr>
                      <w:rFonts w:hint="default"/>
                      <w:lang w:val="en-US" w:eastAsia="zh-CN"/>
                    </w:rPr>
                  </w:pPr>
                  <w:r>
                    <w:rPr>
                      <w:rFonts w:hint="eastAsia"/>
                    </w:rPr>
                    <w:t>磁力洗罐机</w:t>
                  </w:r>
                </w:p>
              </w:tc>
              <w:tc>
                <w:tcPr>
                  <w:tcW w:w="436" w:type="pct"/>
                  <w:shd w:val="clear" w:color="auto" w:fill="auto"/>
                  <w:vAlign w:val="center"/>
                </w:tcPr>
                <w:p w14:paraId="734A6C5C">
                  <w:pPr>
                    <w:pStyle w:val="106"/>
                    <w:bidi w:val="0"/>
                    <w:rPr>
                      <w:rFonts w:hint="default"/>
                      <w:lang w:val="en-US" w:eastAsia="zh-CN"/>
                    </w:rPr>
                  </w:pPr>
                  <w:r>
                    <w:rPr>
                      <w:rFonts w:hint="eastAsia"/>
                    </w:rPr>
                    <w:t>1</w:t>
                  </w:r>
                </w:p>
              </w:tc>
              <w:tc>
                <w:tcPr>
                  <w:tcW w:w="694" w:type="pct"/>
                  <w:shd w:val="clear" w:color="auto" w:fill="auto"/>
                  <w:vAlign w:val="center"/>
                </w:tcPr>
                <w:p w14:paraId="3A14D4B2">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4DDE4088">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5C62CCE6">
                  <w:pPr>
                    <w:pStyle w:val="106"/>
                    <w:bidi w:val="0"/>
                    <w:rPr>
                      <w:rFonts w:hint="default"/>
                      <w:lang w:val="en-US" w:eastAsia="zh-CN"/>
                    </w:rPr>
                  </w:pPr>
                  <w:r>
                    <w:rPr>
                      <w:rFonts w:hint="eastAsia"/>
                      <w:lang w:val="en-US" w:eastAsia="zh-CN"/>
                    </w:rPr>
                    <w:t>70</w:t>
                  </w:r>
                </w:p>
              </w:tc>
            </w:tr>
            <w:tr w14:paraId="5C7E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0D23D79D">
                  <w:pPr>
                    <w:pStyle w:val="106"/>
                    <w:bidi w:val="0"/>
                    <w:rPr>
                      <w:rFonts w:hint="default"/>
                      <w:lang w:val="en-US" w:eastAsia="zh-CN"/>
                    </w:rPr>
                  </w:pPr>
                  <w:r>
                    <w:rPr>
                      <w:rFonts w:hint="eastAsia"/>
                      <w:lang w:val="en-US" w:eastAsia="zh-CN"/>
                    </w:rPr>
                    <w:t>24</w:t>
                  </w:r>
                </w:p>
              </w:tc>
              <w:tc>
                <w:tcPr>
                  <w:tcW w:w="1161" w:type="pct"/>
                  <w:shd w:val="clear" w:color="auto" w:fill="auto"/>
                  <w:vAlign w:val="center"/>
                </w:tcPr>
                <w:p w14:paraId="6B103204">
                  <w:pPr>
                    <w:pStyle w:val="106"/>
                    <w:bidi w:val="0"/>
                    <w:rPr>
                      <w:rFonts w:hint="default"/>
                      <w:lang w:val="en-US" w:eastAsia="zh-CN"/>
                    </w:rPr>
                  </w:pPr>
                  <w:r>
                    <w:rPr>
                      <w:rFonts w:hint="eastAsia"/>
                    </w:rPr>
                    <w:t>沥水吹干机</w:t>
                  </w:r>
                </w:p>
              </w:tc>
              <w:tc>
                <w:tcPr>
                  <w:tcW w:w="436" w:type="pct"/>
                  <w:shd w:val="clear" w:color="auto" w:fill="auto"/>
                  <w:vAlign w:val="center"/>
                </w:tcPr>
                <w:p w14:paraId="0DF5E48E">
                  <w:pPr>
                    <w:pStyle w:val="106"/>
                    <w:bidi w:val="0"/>
                    <w:rPr>
                      <w:rFonts w:hint="default"/>
                      <w:lang w:val="en-US" w:eastAsia="zh-CN"/>
                    </w:rPr>
                  </w:pPr>
                  <w:r>
                    <w:rPr>
                      <w:rFonts w:hint="eastAsia"/>
                    </w:rPr>
                    <w:t>1</w:t>
                  </w:r>
                </w:p>
              </w:tc>
              <w:tc>
                <w:tcPr>
                  <w:tcW w:w="694" w:type="pct"/>
                  <w:shd w:val="clear" w:color="auto" w:fill="auto"/>
                  <w:vAlign w:val="center"/>
                </w:tcPr>
                <w:p w14:paraId="566CDC49">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51D8F4D7">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1E01A076">
                  <w:pPr>
                    <w:pStyle w:val="106"/>
                    <w:bidi w:val="0"/>
                    <w:rPr>
                      <w:rFonts w:hint="default"/>
                      <w:lang w:val="en-US" w:eastAsia="zh-CN"/>
                    </w:rPr>
                  </w:pPr>
                  <w:r>
                    <w:rPr>
                      <w:rFonts w:hint="eastAsia"/>
                      <w:lang w:val="en-US" w:eastAsia="zh-CN"/>
                    </w:rPr>
                    <w:t>80</w:t>
                  </w:r>
                </w:p>
              </w:tc>
            </w:tr>
            <w:tr w14:paraId="509F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171A005E">
                  <w:pPr>
                    <w:pStyle w:val="106"/>
                    <w:bidi w:val="0"/>
                    <w:rPr>
                      <w:rFonts w:hint="default"/>
                      <w:lang w:val="en-US" w:eastAsia="zh-CN"/>
                    </w:rPr>
                  </w:pPr>
                  <w:r>
                    <w:rPr>
                      <w:rFonts w:hint="eastAsia"/>
                      <w:lang w:val="en-US" w:eastAsia="zh-CN"/>
                    </w:rPr>
                    <w:t>25</w:t>
                  </w:r>
                </w:p>
              </w:tc>
              <w:tc>
                <w:tcPr>
                  <w:tcW w:w="1161" w:type="pct"/>
                  <w:shd w:val="clear" w:color="auto" w:fill="auto"/>
                  <w:vAlign w:val="center"/>
                </w:tcPr>
                <w:p w14:paraId="4447E64C">
                  <w:pPr>
                    <w:pStyle w:val="106"/>
                    <w:bidi w:val="0"/>
                    <w:rPr>
                      <w:rFonts w:hint="default"/>
                      <w:lang w:val="en-US" w:eastAsia="zh-CN"/>
                    </w:rPr>
                  </w:pPr>
                  <w:r>
                    <w:rPr>
                      <w:rFonts w:hint="eastAsia"/>
                    </w:rPr>
                    <w:t>提升定量灌装机</w:t>
                  </w:r>
                </w:p>
              </w:tc>
              <w:tc>
                <w:tcPr>
                  <w:tcW w:w="436" w:type="pct"/>
                  <w:shd w:val="clear" w:color="auto" w:fill="auto"/>
                  <w:vAlign w:val="center"/>
                </w:tcPr>
                <w:p w14:paraId="26121329">
                  <w:pPr>
                    <w:pStyle w:val="106"/>
                    <w:bidi w:val="0"/>
                    <w:rPr>
                      <w:rFonts w:hint="default"/>
                      <w:lang w:val="en-US" w:eastAsia="zh-CN"/>
                    </w:rPr>
                  </w:pPr>
                  <w:r>
                    <w:rPr>
                      <w:rFonts w:hint="eastAsia"/>
                    </w:rPr>
                    <w:t>1</w:t>
                  </w:r>
                </w:p>
              </w:tc>
              <w:tc>
                <w:tcPr>
                  <w:tcW w:w="694" w:type="pct"/>
                  <w:shd w:val="clear" w:color="auto" w:fill="auto"/>
                  <w:vAlign w:val="center"/>
                </w:tcPr>
                <w:p w14:paraId="3D043CDC">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65D4B859">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4AEC64D0">
                  <w:pPr>
                    <w:pStyle w:val="106"/>
                    <w:bidi w:val="0"/>
                    <w:rPr>
                      <w:rFonts w:hint="default"/>
                      <w:lang w:val="en-US" w:eastAsia="zh-CN"/>
                    </w:rPr>
                  </w:pPr>
                  <w:r>
                    <w:rPr>
                      <w:rFonts w:hint="eastAsia"/>
                      <w:lang w:val="en-US" w:eastAsia="zh-CN"/>
                    </w:rPr>
                    <w:t>70</w:t>
                  </w:r>
                </w:p>
              </w:tc>
            </w:tr>
            <w:tr w14:paraId="12A2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55CD49D0">
                  <w:pPr>
                    <w:pStyle w:val="106"/>
                    <w:bidi w:val="0"/>
                    <w:rPr>
                      <w:rFonts w:hint="default"/>
                      <w:lang w:val="en-US" w:eastAsia="zh-CN"/>
                    </w:rPr>
                  </w:pPr>
                  <w:r>
                    <w:rPr>
                      <w:rFonts w:hint="eastAsia"/>
                      <w:lang w:val="en-US" w:eastAsia="zh-CN"/>
                    </w:rPr>
                    <w:t>26</w:t>
                  </w:r>
                </w:p>
              </w:tc>
              <w:tc>
                <w:tcPr>
                  <w:tcW w:w="1161" w:type="pct"/>
                  <w:shd w:val="clear" w:color="auto" w:fill="auto"/>
                  <w:vAlign w:val="center"/>
                </w:tcPr>
                <w:p w14:paraId="54E7E003">
                  <w:pPr>
                    <w:pStyle w:val="106"/>
                    <w:bidi w:val="0"/>
                    <w:rPr>
                      <w:rFonts w:hint="default"/>
                      <w:lang w:val="en-US" w:eastAsia="zh-CN"/>
                    </w:rPr>
                  </w:pPr>
                  <w:r>
                    <w:rPr>
                      <w:rFonts w:hint="eastAsia"/>
                    </w:rPr>
                    <w:t>封罐机</w:t>
                  </w:r>
                </w:p>
              </w:tc>
              <w:tc>
                <w:tcPr>
                  <w:tcW w:w="436" w:type="pct"/>
                  <w:shd w:val="clear" w:color="auto" w:fill="auto"/>
                  <w:vAlign w:val="center"/>
                </w:tcPr>
                <w:p w14:paraId="5F04FB02">
                  <w:pPr>
                    <w:pStyle w:val="106"/>
                    <w:bidi w:val="0"/>
                    <w:rPr>
                      <w:rFonts w:hint="default"/>
                      <w:lang w:val="en-US" w:eastAsia="zh-CN"/>
                    </w:rPr>
                  </w:pPr>
                  <w:r>
                    <w:rPr>
                      <w:rFonts w:hint="eastAsia"/>
                    </w:rPr>
                    <w:t>1</w:t>
                  </w:r>
                </w:p>
              </w:tc>
              <w:tc>
                <w:tcPr>
                  <w:tcW w:w="694" w:type="pct"/>
                  <w:shd w:val="clear" w:color="auto" w:fill="auto"/>
                  <w:vAlign w:val="center"/>
                </w:tcPr>
                <w:p w14:paraId="18621593">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67C4C862">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6ED58F0A">
                  <w:pPr>
                    <w:pStyle w:val="106"/>
                    <w:bidi w:val="0"/>
                    <w:rPr>
                      <w:rFonts w:hint="default"/>
                      <w:lang w:val="en-US" w:eastAsia="zh-CN"/>
                    </w:rPr>
                  </w:pPr>
                  <w:r>
                    <w:rPr>
                      <w:rFonts w:hint="eastAsia"/>
                      <w:lang w:val="en-US" w:eastAsia="zh-CN"/>
                    </w:rPr>
                    <w:t>80</w:t>
                  </w:r>
                </w:p>
              </w:tc>
            </w:tr>
            <w:tr w14:paraId="0FE4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2B723CDB">
                  <w:pPr>
                    <w:pStyle w:val="106"/>
                    <w:bidi w:val="0"/>
                    <w:rPr>
                      <w:rFonts w:hint="default"/>
                      <w:lang w:val="en-US" w:eastAsia="zh-CN"/>
                    </w:rPr>
                  </w:pPr>
                  <w:r>
                    <w:rPr>
                      <w:rFonts w:hint="eastAsia"/>
                      <w:lang w:val="en-US" w:eastAsia="zh-CN"/>
                    </w:rPr>
                    <w:t>27</w:t>
                  </w:r>
                </w:p>
              </w:tc>
              <w:tc>
                <w:tcPr>
                  <w:tcW w:w="1161" w:type="pct"/>
                  <w:shd w:val="clear" w:color="auto" w:fill="auto"/>
                  <w:vAlign w:val="center"/>
                </w:tcPr>
                <w:p w14:paraId="05BE8BDC">
                  <w:pPr>
                    <w:pStyle w:val="106"/>
                    <w:bidi w:val="0"/>
                    <w:rPr>
                      <w:rFonts w:hint="default"/>
                      <w:lang w:val="en-US" w:eastAsia="zh-CN"/>
                    </w:rPr>
                  </w:pPr>
                  <w:r>
                    <w:rPr>
                      <w:rFonts w:hint="eastAsia"/>
                    </w:rPr>
                    <w:t>实罐清洗机</w:t>
                  </w:r>
                </w:p>
              </w:tc>
              <w:tc>
                <w:tcPr>
                  <w:tcW w:w="436" w:type="pct"/>
                  <w:shd w:val="clear" w:color="auto" w:fill="auto"/>
                  <w:vAlign w:val="center"/>
                </w:tcPr>
                <w:p w14:paraId="417A3346">
                  <w:pPr>
                    <w:pStyle w:val="106"/>
                    <w:bidi w:val="0"/>
                    <w:rPr>
                      <w:rFonts w:hint="default"/>
                      <w:lang w:val="en-US" w:eastAsia="zh-CN"/>
                    </w:rPr>
                  </w:pPr>
                  <w:r>
                    <w:rPr>
                      <w:rFonts w:hint="eastAsia"/>
                    </w:rPr>
                    <w:t>1</w:t>
                  </w:r>
                </w:p>
              </w:tc>
              <w:tc>
                <w:tcPr>
                  <w:tcW w:w="694" w:type="pct"/>
                  <w:shd w:val="clear" w:color="auto" w:fill="auto"/>
                  <w:vAlign w:val="center"/>
                </w:tcPr>
                <w:p w14:paraId="1D0E8633">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6453ECB5">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29C372D0">
                  <w:pPr>
                    <w:pStyle w:val="106"/>
                    <w:bidi w:val="0"/>
                    <w:rPr>
                      <w:rFonts w:hint="default"/>
                      <w:lang w:val="en-US" w:eastAsia="zh-CN"/>
                    </w:rPr>
                  </w:pPr>
                  <w:r>
                    <w:rPr>
                      <w:rFonts w:hint="eastAsia"/>
                      <w:lang w:val="en-US" w:eastAsia="zh-CN"/>
                    </w:rPr>
                    <w:t>70</w:t>
                  </w:r>
                </w:p>
              </w:tc>
            </w:tr>
            <w:tr w14:paraId="2ED4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3DC7CD75">
                  <w:pPr>
                    <w:pStyle w:val="106"/>
                    <w:bidi w:val="0"/>
                    <w:rPr>
                      <w:rFonts w:hint="default"/>
                      <w:lang w:val="en-US" w:eastAsia="zh-CN"/>
                    </w:rPr>
                  </w:pPr>
                  <w:r>
                    <w:rPr>
                      <w:rFonts w:hint="eastAsia"/>
                      <w:lang w:val="en-US" w:eastAsia="zh-CN"/>
                    </w:rPr>
                    <w:t>28</w:t>
                  </w:r>
                </w:p>
              </w:tc>
              <w:tc>
                <w:tcPr>
                  <w:tcW w:w="1161" w:type="pct"/>
                  <w:shd w:val="clear" w:color="auto" w:fill="auto"/>
                  <w:vAlign w:val="center"/>
                </w:tcPr>
                <w:p w14:paraId="417E197B">
                  <w:pPr>
                    <w:pStyle w:val="106"/>
                    <w:bidi w:val="0"/>
                    <w:rPr>
                      <w:rFonts w:hint="default"/>
                      <w:lang w:val="en-US" w:eastAsia="zh-CN"/>
                    </w:rPr>
                  </w:pPr>
                  <w:r>
                    <w:rPr>
                      <w:rFonts w:hint="eastAsia"/>
                    </w:rPr>
                    <w:t>半自动装卸笼机</w:t>
                  </w:r>
                </w:p>
              </w:tc>
              <w:tc>
                <w:tcPr>
                  <w:tcW w:w="436" w:type="pct"/>
                  <w:shd w:val="clear" w:color="auto" w:fill="auto"/>
                  <w:vAlign w:val="center"/>
                </w:tcPr>
                <w:p w14:paraId="5D9C338E">
                  <w:pPr>
                    <w:pStyle w:val="106"/>
                    <w:bidi w:val="0"/>
                    <w:rPr>
                      <w:rFonts w:hint="default"/>
                      <w:lang w:val="en-US" w:eastAsia="zh-CN"/>
                    </w:rPr>
                  </w:pPr>
                  <w:r>
                    <w:rPr>
                      <w:rFonts w:hint="eastAsia"/>
                    </w:rPr>
                    <w:t>1</w:t>
                  </w:r>
                </w:p>
              </w:tc>
              <w:tc>
                <w:tcPr>
                  <w:tcW w:w="694" w:type="pct"/>
                  <w:shd w:val="clear" w:color="auto" w:fill="auto"/>
                  <w:vAlign w:val="center"/>
                </w:tcPr>
                <w:p w14:paraId="26AD6544">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4C1A0835">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01142F1B">
                  <w:pPr>
                    <w:pStyle w:val="106"/>
                    <w:bidi w:val="0"/>
                    <w:rPr>
                      <w:rFonts w:hint="default"/>
                      <w:lang w:val="en-US" w:eastAsia="zh-CN"/>
                    </w:rPr>
                  </w:pPr>
                  <w:r>
                    <w:rPr>
                      <w:rFonts w:hint="eastAsia"/>
                      <w:lang w:val="en-US" w:eastAsia="zh-CN"/>
                    </w:rPr>
                    <w:t>70</w:t>
                  </w:r>
                </w:p>
              </w:tc>
            </w:tr>
            <w:tr w14:paraId="415F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17784AFF">
                  <w:pPr>
                    <w:pStyle w:val="106"/>
                    <w:bidi w:val="0"/>
                    <w:rPr>
                      <w:rFonts w:hint="default"/>
                      <w:lang w:val="en-US" w:eastAsia="zh-CN"/>
                    </w:rPr>
                  </w:pPr>
                  <w:r>
                    <w:rPr>
                      <w:rFonts w:hint="eastAsia"/>
                      <w:lang w:val="en-US" w:eastAsia="zh-CN"/>
                    </w:rPr>
                    <w:t>29</w:t>
                  </w:r>
                </w:p>
              </w:tc>
              <w:tc>
                <w:tcPr>
                  <w:tcW w:w="1161" w:type="pct"/>
                  <w:shd w:val="clear" w:color="auto" w:fill="auto"/>
                  <w:vAlign w:val="center"/>
                </w:tcPr>
                <w:p w14:paraId="08445D53">
                  <w:pPr>
                    <w:pStyle w:val="106"/>
                    <w:bidi w:val="0"/>
                    <w:rPr>
                      <w:rFonts w:hint="default"/>
                      <w:lang w:val="en-US" w:eastAsia="zh-CN"/>
                    </w:rPr>
                  </w:pPr>
                  <w:r>
                    <w:rPr>
                      <w:rFonts w:hint="eastAsia"/>
                    </w:rPr>
                    <w:t>杀菌锅</w:t>
                  </w:r>
                </w:p>
              </w:tc>
              <w:tc>
                <w:tcPr>
                  <w:tcW w:w="436" w:type="pct"/>
                  <w:shd w:val="clear" w:color="auto" w:fill="auto"/>
                  <w:vAlign w:val="center"/>
                </w:tcPr>
                <w:p w14:paraId="6BB920D8">
                  <w:pPr>
                    <w:pStyle w:val="106"/>
                    <w:bidi w:val="0"/>
                    <w:rPr>
                      <w:rFonts w:hint="default"/>
                      <w:lang w:val="en-US" w:eastAsia="zh-CN"/>
                    </w:rPr>
                  </w:pPr>
                  <w:r>
                    <w:rPr>
                      <w:rFonts w:hint="eastAsia"/>
                      <w:lang w:val="en-US" w:eastAsia="zh-CN"/>
                    </w:rPr>
                    <w:t>3</w:t>
                  </w:r>
                </w:p>
              </w:tc>
              <w:tc>
                <w:tcPr>
                  <w:tcW w:w="694" w:type="pct"/>
                  <w:shd w:val="clear" w:color="auto" w:fill="auto"/>
                  <w:vAlign w:val="center"/>
                </w:tcPr>
                <w:p w14:paraId="4979CAC9">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61AF99D6">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3513685C">
                  <w:pPr>
                    <w:pStyle w:val="106"/>
                    <w:bidi w:val="0"/>
                    <w:rPr>
                      <w:rFonts w:hint="default"/>
                      <w:lang w:val="en-US" w:eastAsia="zh-CN"/>
                    </w:rPr>
                  </w:pPr>
                  <w:r>
                    <w:rPr>
                      <w:rFonts w:hint="eastAsia"/>
                      <w:lang w:val="en-US" w:eastAsia="zh-CN"/>
                    </w:rPr>
                    <w:t>80</w:t>
                  </w:r>
                </w:p>
              </w:tc>
            </w:tr>
            <w:tr w14:paraId="6637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3E5F7E9A">
                  <w:pPr>
                    <w:pStyle w:val="106"/>
                    <w:bidi w:val="0"/>
                    <w:rPr>
                      <w:rFonts w:hint="default"/>
                      <w:lang w:val="en-US" w:eastAsia="zh-CN"/>
                    </w:rPr>
                  </w:pPr>
                  <w:r>
                    <w:rPr>
                      <w:rFonts w:hint="eastAsia"/>
                      <w:lang w:val="en-US" w:eastAsia="zh-CN"/>
                    </w:rPr>
                    <w:t>30</w:t>
                  </w:r>
                </w:p>
              </w:tc>
              <w:tc>
                <w:tcPr>
                  <w:tcW w:w="1161" w:type="pct"/>
                  <w:shd w:val="clear" w:color="auto" w:fill="auto"/>
                  <w:vAlign w:val="center"/>
                </w:tcPr>
                <w:p w14:paraId="34AD32C9">
                  <w:pPr>
                    <w:pStyle w:val="106"/>
                    <w:bidi w:val="0"/>
                    <w:rPr>
                      <w:rFonts w:hint="default"/>
                      <w:lang w:val="en-US" w:eastAsia="zh-CN"/>
                    </w:rPr>
                  </w:pPr>
                  <w:r>
                    <w:rPr>
                      <w:rFonts w:hint="eastAsia"/>
                    </w:rPr>
                    <w:t>吹干机</w:t>
                  </w:r>
                </w:p>
              </w:tc>
              <w:tc>
                <w:tcPr>
                  <w:tcW w:w="436" w:type="pct"/>
                  <w:shd w:val="clear" w:color="auto" w:fill="auto"/>
                  <w:vAlign w:val="center"/>
                </w:tcPr>
                <w:p w14:paraId="5115D263">
                  <w:pPr>
                    <w:pStyle w:val="106"/>
                    <w:bidi w:val="0"/>
                    <w:rPr>
                      <w:rFonts w:hint="default"/>
                      <w:lang w:val="en-US" w:eastAsia="zh-CN"/>
                    </w:rPr>
                  </w:pPr>
                  <w:r>
                    <w:rPr>
                      <w:rFonts w:hint="eastAsia"/>
                    </w:rPr>
                    <w:t>1</w:t>
                  </w:r>
                </w:p>
              </w:tc>
              <w:tc>
                <w:tcPr>
                  <w:tcW w:w="694" w:type="pct"/>
                  <w:shd w:val="clear" w:color="auto" w:fill="auto"/>
                  <w:vAlign w:val="center"/>
                </w:tcPr>
                <w:p w14:paraId="0FBAF336">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7EB47B8E">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1EE0D56B">
                  <w:pPr>
                    <w:pStyle w:val="106"/>
                    <w:bidi w:val="0"/>
                    <w:rPr>
                      <w:rFonts w:hint="default"/>
                      <w:lang w:val="en-US" w:eastAsia="zh-CN"/>
                    </w:rPr>
                  </w:pPr>
                  <w:r>
                    <w:rPr>
                      <w:rFonts w:hint="eastAsia"/>
                      <w:lang w:val="en-US" w:eastAsia="zh-CN"/>
                    </w:rPr>
                    <w:t>80</w:t>
                  </w:r>
                </w:p>
              </w:tc>
            </w:tr>
            <w:tr w14:paraId="6D29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081ADC6D">
                  <w:pPr>
                    <w:pStyle w:val="106"/>
                    <w:bidi w:val="0"/>
                    <w:rPr>
                      <w:rFonts w:hint="default"/>
                      <w:lang w:val="en-US" w:eastAsia="zh-CN"/>
                    </w:rPr>
                  </w:pPr>
                  <w:r>
                    <w:rPr>
                      <w:rFonts w:hint="eastAsia"/>
                      <w:lang w:val="en-US" w:eastAsia="zh-CN"/>
                    </w:rPr>
                    <w:t>31</w:t>
                  </w:r>
                </w:p>
              </w:tc>
              <w:tc>
                <w:tcPr>
                  <w:tcW w:w="1161" w:type="pct"/>
                  <w:shd w:val="clear" w:color="auto" w:fill="auto"/>
                  <w:vAlign w:val="center"/>
                </w:tcPr>
                <w:p w14:paraId="6195C4EC">
                  <w:pPr>
                    <w:pStyle w:val="106"/>
                    <w:bidi w:val="0"/>
                    <w:rPr>
                      <w:rFonts w:hint="default"/>
                      <w:lang w:val="en-US" w:eastAsia="zh-CN"/>
                    </w:rPr>
                  </w:pPr>
                  <w:r>
                    <w:rPr>
                      <w:rFonts w:hint="eastAsia"/>
                    </w:rPr>
                    <w:t>贴标喷码机</w:t>
                  </w:r>
                </w:p>
              </w:tc>
              <w:tc>
                <w:tcPr>
                  <w:tcW w:w="436" w:type="pct"/>
                  <w:shd w:val="clear" w:color="auto" w:fill="auto"/>
                  <w:vAlign w:val="center"/>
                </w:tcPr>
                <w:p w14:paraId="1F572339">
                  <w:pPr>
                    <w:pStyle w:val="106"/>
                    <w:bidi w:val="0"/>
                    <w:rPr>
                      <w:rFonts w:hint="default"/>
                      <w:lang w:val="en-US" w:eastAsia="zh-CN"/>
                    </w:rPr>
                  </w:pPr>
                  <w:r>
                    <w:rPr>
                      <w:rFonts w:hint="eastAsia"/>
                    </w:rPr>
                    <w:t>1</w:t>
                  </w:r>
                </w:p>
              </w:tc>
              <w:tc>
                <w:tcPr>
                  <w:tcW w:w="694" w:type="pct"/>
                  <w:shd w:val="clear" w:color="auto" w:fill="auto"/>
                  <w:vAlign w:val="center"/>
                </w:tcPr>
                <w:p w14:paraId="1D38B205">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30966A0A">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7F70DA5E">
                  <w:pPr>
                    <w:pStyle w:val="106"/>
                    <w:bidi w:val="0"/>
                    <w:rPr>
                      <w:rFonts w:hint="default"/>
                      <w:lang w:val="en-US" w:eastAsia="zh-CN"/>
                    </w:rPr>
                  </w:pPr>
                  <w:r>
                    <w:rPr>
                      <w:rFonts w:hint="eastAsia"/>
                      <w:lang w:val="en-US" w:eastAsia="zh-CN"/>
                    </w:rPr>
                    <w:t>70</w:t>
                  </w:r>
                </w:p>
              </w:tc>
            </w:tr>
            <w:tr w14:paraId="6D25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0BDCED55">
                  <w:pPr>
                    <w:pStyle w:val="106"/>
                    <w:bidi w:val="0"/>
                    <w:rPr>
                      <w:rFonts w:hint="default"/>
                      <w:lang w:val="en-US" w:eastAsia="zh-CN"/>
                    </w:rPr>
                  </w:pPr>
                  <w:r>
                    <w:rPr>
                      <w:rFonts w:hint="eastAsia"/>
                      <w:lang w:val="en-US" w:eastAsia="zh-CN"/>
                    </w:rPr>
                    <w:t>32</w:t>
                  </w:r>
                </w:p>
              </w:tc>
              <w:tc>
                <w:tcPr>
                  <w:tcW w:w="1161" w:type="pct"/>
                  <w:shd w:val="clear" w:color="auto" w:fill="auto"/>
                  <w:vAlign w:val="center"/>
                </w:tcPr>
                <w:p w14:paraId="5D9A3D06">
                  <w:pPr>
                    <w:pStyle w:val="106"/>
                    <w:bidi w:val="0"/>
                    <w:rPr>
                      <w:rFonts w:hint="default"/>
                      <w:lang w:val="en-US" w:eastAsia="zh-CN"/>
                    </w:rPr>
                  </w:pPr>
                  <w:r>
                    <w:rPr>
                      <w:rFonts w:hint="eastAsia"/>
                    </w:rPr>
                    <w:t>装箱机</w:t>
                  </w:r>
                </w:p>
              </w:tc>
              <w:tc>
                <w:tcPr>
                  <w:tcW w:w="436" w:type="pct"/>
                  <w:shd w:val="clear" w:color="auto" w:fill="auto"/>
                  <w:vAlign w:val="center"/>
                </w:tcPr>
                <w:p w14:paraId="2D3A7BDF">
                  <w:pPr>
                    <w:pStyle w:val="106"/>
                    <w:bidi w:val="0"/>
                    <w:rPr>
                      <w:rFonts w:hint="default"/>
                      <w:lang w:val="en-US" w:eastAsia="zh-CN"/>
                    </w:rPr>
                  </w:pPr>
                  <w:r>
                    <w:rPr>
                      <w:rFonts w:hint="eastAsia"/>
                    </w:rPr>
                    <w:t>1</w:t>
                  </w:r>
                </w:p>
              </w:tc>
              <w:tc>
                <w:tcPr>
                  <w:tcW w:w="694" w:type="pct"/>
                  <w:shd w:val="clear" w:color="auto" w:fill="auto"/>
                  <w:vAlign w:val="center"/>
                </w:tcPr>
                <w:p w14:paraId="3E17A058">
                  <w:pPr>
                    <w:pStyle w:val="106"/>
                    <w:bidi w:val="0"/>
                    <w:rPr>
                      <w:rFonts w:hint="default"/>
                      <w:lang w:val="en-US" w:eastAsia="zh-CN"/>
                    </w:rPr>
                  </w:pPr>
                  <w:r>
                    <w:rPr>
                      <w:rFonts w:hint="eastAsia"/>
                      <w:lang w:val="en-US" w:eastAsia="zh-CN"/>
                    </w:rPr>
                    <w:t>75</w:t>
                  </w:r>
                </w:p>
              </w:tc>
              <w:tc>
                <w:tcPr>
                  <w:tcW w:w="1818" w:type="pct"/>
                  <w:shd w:val="clear" w:color="auto" w:fill="auto"/>
                  <w:vAlign w:val="center"/>
                </w:tcPr>
                <w:p w14:paraId="51CF6067">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514C80E4">
                  <w:pPr>
                    <w:pStyle w:val="106"/>
                    <w:bidi w:val="0"/>
                    <w:rPr>
                      <w:rFonts w:hint="default"/>
                      <w:lang w:val="en-US" w:eastAsia="zh-CN"/>
                    </w:rPr>
                  </w:pPr>
                  <w:r>
                    <w:rPr>
                      <w:rFonts w:hint="eastAsia"/>
                      <w:lang w:val="en-US" w:eastAsia="zh-CN"/>
                    </w:rPr>
                    <w:t>75</w:t>
                  </w:r>
                </w:p>
              </w:tc>
            </w:tr>
            <w:tr w14:paraId="2245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117AFEDE">
                  <w:pPr>
                    <w:pStyle w:val="106"/>
                    <w:bidi w:val="0"/>
                    <w:rPr>
                      <w:rFonts w:hint="default"/>
                      <w:lang w:val="en-US" w:eastAsia="zh-CN"/>
                    </w:rPr>
                  </w:pPr>
                  <w:r>
                    <w:rPr>
                      <w:rFonts w:hint="eastAsia"/>
                      <w:lang w:val="en-US" w:eastAsia="zh-CN"/>
                    </w:rPr>
                    <w:t>33</w:t>
                  </w:r>
                </w:p>
              </w:tc>
              <w:tc>
                <w:tcPr>
                  <w:tcW w:w="1161" w:type="pct"/>
                  <w:shd w:val="clear" w:color="auto" w:fill="auto"/>
                  <w:vAlign w:val="center"/>
                </w:tcPr>
                <w:p w14:paraId="37F6804B">
                  <w:pPr>
                    <w:pStyle w:val="106"/>
                    <w:bidi w:val="0"/>
                    <w:rPr>
                      <w:rFonts w:hint="default"/>
                      <w:lang w:val="en-US" w:eastAsia="zh-CN"/>
                    </w:rPr>
                  </w:pPr>
                  <w:r>
                    <w:rPr>
                      <w:rFonts w:hint="eastAsia"/>
                    </w:rPr>
                    <w:t>码垛机</w:t>
                  </w:r>
                </w:p>
              </w:tc>
              <w:tc>
                <w:tcPr>
                  <w:tcW w:w="436" w:type="pct"/>
                  <w:shd w:val="clear" w:color="auto" w:fill="auto"/>
                  <w:vAlign w:val="center"/>
                </w:tcPr>
                <w:p w14:paraId="4119B9A5">
                  <w:pPr>
                    <w:pStyle w:val="106"/>
                    <w:bidi w:val="0"/>
                    <w:rPr>
                      <w:rFonts w:hint="default"/>
                      <w:lang w:val="en-US" w:eastAsia="zh-CN"/>
                    </w:rPr>
                  </w:pPr>
                  <w:r>
                    <w:rPr>
                      <w:rFonts w:hint="eastAsia"/>
                    </w:rPr>
                    <w:t>1</w:t>
                  </w:r>
                </w:p>
              </w:tc>
              <w:tc>
                <w:tcPr>
                  <w:tcW w:w="694" w:type="pct"/>
                  <w:shd w:val="clear" w:color="auto" w:fill="auto"/>
                  <w:vAlign w:val="center"/>
                </w:tcPr>
                <w:p w14:paraId="4C8EEB58">
                  <w:pPr>
                    <w:pStyle w:val="106"/>
                    <w:bidi w:val="0"/>
                    <w:rPr>
                      <w:rFonts w:hint="default"/>
                      <w:lang w:val="en-US" w:eastAsia="zh-CN"/>
                    </w:rPr>
                  </w:pPr>
                  <w:r>
                    <w:rPr>
                      <w:rFonts w:hint="eastAsia"/>
                      <w:lang w:val="en-US" w:eastAsia="zh-CN"/>
                    </w:rPr>
                    <w:t>75</w:t>
                  </w:r>
                </w:p>
              </w:tc>
              <w:tc>
                <w:tcPr>
                  <w:tcW w:w="1818" w:type="pct"/>
                  <w:shd w:val="clear" w:color="auto" w:fill="auto"/>
                  <w:vAlign w:val="center"/>
                </w:tcPr>
                <w:p w14:paraId="6068B41D">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4C823CE4">
                  <w:pPr>
                    <w:pStyle w:val="106"/>
                    <w:bidi w:val="0"/>
                    <w:rPr>
                      <w:rFonts w:hint="default"/>
                      <w:lang w:val="en-US" w:eastAsia="zh-CN"/>
                    </w:rPr>
                  </w:pPr>
                  <w:r>
                    <w:rPr>
                      <w:rFonts w:hint="eastAsia"/>
                      <w:lang w:val="en-US" w:eastAsia="zh-CN"/>
                    </w:rPr>
                    <w:t>75</w:t>
                  </w:r>
                </w:p>
              </w:tc>
            </w:tr>
            <w:tr w14:paraId="6D32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01A7D27C">
                  <w:pPr>
                    <w:pStyle w:val="106"/>
                    <w:bidi w:val="0"/>
                    <w:rPr>
                      <w:rFonts w:hint="default"/>
                      <w:lang w:val="en-US" w:eastAsia="zh-CN"/>
                    </w:rPr>
                  </w:pPr>
                  <w:r>
                    <w:rPr>
                      <w:rFonts w:hint="eastAsia"/>
                      <w:lang w:val="en-US" w:eastAsia="zh-CN"/>
                    </w:rPr>
                    <w:t>34</w:t>
                  </w:r>
                </w:p>
              </w:tc>
              <w:tc>
                <w:tcPr>
                  <w:tcW w:w="1161" w:type="pct"/>
                  <w:shd w:val="clear" w:color="auto" w:fill="auto"/>
                  <w:vAlign w:val="center"/>
                </w:tcPr>
                <w:p w14:paraId="684BFF5D">
                  <w:pPr>
                    <w:pStyle w:val="106"/>
                    <w:bidi w:val="0"/>
                    <w:rPr>
                      <w:rFonts w:hint="default"/>
                      <w:lang w:val="en-US" w:eastAsia="zh-CN"/>
                    </w:rPr>
                  </w:pPr>
                  <w:r>
                    <w:rPr>
                      <w:rFonts w:hint="eastAsia"/>
                    </w:rPr>
                    <w:t>蒸汽发生器</w:t>
                  </w:r>
                </w:p>
              </w:tc>
              <w:tc>
                <w:tcPr>
                  <w:tcW w:w="436" w:type="pct"/>
                  <w:shd w:val="clear" w:color="auto" w:fill="auto"/>
                  <w:vAlign w:val="center"/>
                </w:tcPr>
                <w:p w14:paraId="6F77E17D">
                  <w:pPr>
                    <w:pStyle w:val="106"/>
                    <w:bidi w:val="0"/>
                    <w:rPr>
                      <w:rFonts w:hint="default"/>
                      <w:lang w:val="en-US" w:eastAsia="zh-CN"/>
                    </w:rPr>
                  </w:pPr>
                  <w:r>
                    <w:rPr>
                      <w:rFonts w:hint="eastAsia"/>
                    </w:rPr>
                    <w:t>1</w:t>
                  </w:r>
                </w:p>
              </w:tc>
              <w:tc>
                <w:tcPr>
                  <w:tcW w:w="694" w:type="pct"/>
                  <w:shd w:val="clear" w:color="auto" w:fill="auto"/>
                  <w:vAlign w:val="center"/>
                </w:tcPr>
                <w:p w14:paraId="5BD9D93A">
                  <w:pPr>
                    <w:pStyle w:val="106"/>
                    <w:bidi w:val="0"/>
                    <w:rPr>
                      <w:rFonts w:hint="default"/>
                      <w:lang w:val="en-US" w:eastAsia="zh-CN"/>
                    </w:rPr>
                  </w:pPr>
                  <w:r>
                    <w:rPr>
                      <w:rFonts w:hint="eastAsia"/>
                      <w:lang w:val="en-US" w:eastAsia="zh-CN"/>
                    </w:rPr>
                    <w:t>70</w:t>
                  </w:r>
                </w:p>
              </w:tc>
              <w:tc>
                <w:tcPr>
                  <w:tcW w:w="1818" w:type="pct"/>
                  <w:shd w:val="clear" w:color="auto" w:fill="auto"/>
                  <w:vAlign w:val="center"/>
                </w:tcPr>
                <w:p w14:paraId="5FD4680D">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1077174F">
                  <w:pPr>
                    <w:pStyle w:val="106"/>
                    <w:bidi w:val="0"/>
                    <w:rPr>
                      <w:rFonts w:hint="default"/>
                      <w:lang w:val="en-US" w:eastAsia="zh-CN"/>
                    </w:rPr>
                  </w:pPr>
                  <w:r>
                    <w:rPr>
                      <w:rFonts w:hint="eastAsia"/>
                      <w:lang w:val="en-US" w:eastAsia="zh-CN"/>
                    </w:rPr>
                    <w:t>70</w:t>
                  </w:r>
                </w:p>
              </w:tc>
            </w:tr>
            <w:tr w14:paraId="1EF3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7D4C7EDA">
                  <w:pPr>
                    <w:pStyle w:val="106"/>
                    <w:bidi w:val="0"/>
                    <w:rPr>
                      <w:rFonts w:hint="default"/>
                      <w:lang w:val="en-US" w:eastAsia="zh-CN"/>
                    </w:rPr>
                  </w:pPr>
                  <w:r>
                    <w:rPr>
                      <w:rFonts w:hint="eastAsia"/>
                      <w:lang w:val="en-US" w:eastAsia="zh-CN"/>
                    </w:rPr>
                    <w:t>35</w:t>
                  </w:r>
                </w:p>
              </w:tc>
              <w:tc>
                <w:tcPr>
                  <w:tcW w:w="1161" w:type="pct"/>
                  <w:shd w:val="clear" w:color="auto" w:fill="auto"/>
                  <w:vAlign w:val="center"/>
                </w:tcPr>
                <w:p w14:paraId="372E6684">
                  <w:pPr>
                    <w:pStyle w:val="106"/>
                    <w:bidi w:val="0"/>
                    <w:rPr>
                      <w:rFonts w:hint="default"/>
                      <w:lang w:val="en-US" w:eastAsia="zh-CN"/>
                    </w:rPr>
                  </w:pPr>
                  <w:r>
                    <w:rPr>
                      <w:rFonts w:hint="eastAsia"/>
                    </w:rPr>
                    <w:t>无芯复卷</w:t>
                  </w:r>
                  <w:r>
                    <w:rPr>
                      <w:rFonts w:hint="eastAsia"/>
                      <w:lang w:val="en-US" w:eastAsia="zh-CN"/>
                    </w:rPr>
                    <w:t>机</w:t>
                  </w:r>
                  <w:r>
                    <w:rPr>
                      <w:rFonts w:hint="eastAsia"/>
                    </w:rPr>
                    <w:t>（圆卷）</w:t>
                  </w:r>
                </w:p>
              </w:tc>
              <w:tc>
                <w:tcPr>
                  <w:tcW w:w="436" w:type="pct"/>
                  <w:shd w:val="clear" w:color="auto" w:fill="auto"/>
                  <w:vAlign w:val="center"/>
                </w:tcPr>
                <w:p w14:paraId="7F96242B">
                  <w:pPr>
                    <w:pStyle w:val="106"/>
                    <w:bidi w:val="0"/>
                    <w:rPr>
                      <w:rFonts w:hint="default"/>
                      <w:lang w:val="en-US" w:eastAsia="zh-CN"/>
                    </w:rPr>
                  </w:pPr>
                  <w:r>
                    <w:rPr>
                      <w:rFonts w:hint="eastAsia"/>
                      <w:lang w:val="en-US" w:eastAsia="zh-CN"/>
                    </w:rPr>
                    <w:t>1</w:t>
                  </w:r>
                </w:p>
              </w:tc>
              <w:tc>
                <w:tcPr>
                  <w:tcW w:w="694" w:type="pct"/>
                  <w:shd w:val="clear" w:color="auto" w:fill="auto"/>
                  <w:vAlign w:val="center"/>
                </w:tcPr>
                <w:p w14:paraId="147F4093">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75F2C8D1">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132FB774">
                  <w:pPr>
                    <w:pStyle w:val="106"/>
                    <w:bidi w:val="0"/>
                    <w:rPr>
                      <w:rFonts w:hint="default"/>
                      <w:lang w:val="en-US" w:eastAsia="zh-CN"/>
                    </w:rPr>
                  </w:pPr>
                  <w:r>
                    <w:rPr>
                      <w:rFonts w:hint="eastAsia"/>
                      <w:lang w:val="en-US" w:eastAsia="zh-CN"/>
                    </w:rPr>
                    <w:t>80</w:t>
                  </w:r>
                </w:p>
              </w:tc>
            </w:tr>
            <w:tr w14:paraId="10C6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7161F6B3">
                  <w:pPr>
                    <w:pStyle w:val="106"/>
                    <w:bidi w:val="0"/>
                    <w:rPr>
                      <w:rFonts w:hint="default"/>
                      <w:lang w:val="en-US" w:eastAsia="zh-CN"/>
                    </w:rPr>
                  </w:pPr>
                  <w:r>
                    <w:rPr>
                      <w:rFonts w:hint="eastAsia"/>
                      <w:lang w:val="en-US" w:eastAsia="zh-CN"/>
                    </w:rPr>
                    <w:t>36</w:t>
                  </w:r>
                </w:p>
              </w:tc>
              <w:tc>
                <w:tcPr>
                  <w:tcW w:w="1161" w:type="pct"/>
                  <w:shd w:val="clear" w:color="auto" w:fill="auto"/>
                  <w:vAlign w:val="center"/>
                </w:tcPr>
                <w:p w14:paraId="24A94149">
                  <w:pPr>
                    <w:pStyle w:val="106"/>
                    <w:bidi w:val="0"/>
                    <w:rPr>
                      <w:rFonts w:hint="default"/>
                      <w:lang w:val="en-US" w:eastAsia="zh-CN"/>
                    </w:rPr>
                  </w:pPr>
                  <w:r>
                    <w:rPr>
                      <w:rFonts w:hint="eastAsia"/>
                    </w:rPr>
                    <w:t>无芯复卷</w:t>
                  </w:r>
                  <w:r>
                    <w:rPr>
                      <w:rFonts w:hint="eastAsia"/>
                      <w:lang w:val="en-US" w:eastAsia="zh-CN"/>
                    </w:rPr>
                    <w:t>机</w:t>
                  </w:r>
                  <w:r>
                    <w:rPr>
                      <w:rFonts w:hint="eastAsia"/>
                    </w:rPr>
                    <w:t>（扁卷）</w:t>
                  </w:r>
                </w:p>
              </w:tc>
              <w:tc>
                <w:tcPr>
                  <w:tcW w:w="436" w:type="pct"/>
                  <w:shd w:val="clear" w:color="auto" w:fill="auto"/>
                  <w:vAlign w:val="center"/>
                </w:tcPr>
                <w:p w14:paraId="178F3F6C">
                  <w:pPr>
                    <w:pStyle w:val="106"/>
                    <w:bidi w:val="0"/>
                    <w:rPr>
                      <w:rFonts w:hint="default"/>
                      <w:lang w:val="en-US" w:eastAsia="zh-CN"/>
                    </w:rPr>
                  </w:pPr>
                  <w:r>
                    <w:rPr>
                      <w:rFonts w:hint="eastAsia"/>
                      <w:lang w:val="en-US" w:eastAsia="zh-CN"/>
                    </w:rPr>
                    <w:t>1</w:t>
                  </w:r>
                </w:p>
              </w:tc>
              <w:tc>
                <w:tcPr>
                  <w:tcW w:w="694" w:type="pct"/>
                  <w:shd w:val="clear" w:color="auto" w:fill="auto"/>
                  <w:vAlign w:val="center"/>
                </w:tcPr>
                <w:p w14:paraId="1810539B">
                  <w:pPr>
                    <w:pStyle w:val="106"/>
                    <w:bidi w:val="0"/>
                    <w:rPr>
                      <w:rFonts w:hint="default"/>
                      <w:lang w:val="en-US" w:eastAsia="zh-CN"/>
                    </w:rPr>
                  </w:pPr>
                  <w:r>
                    <w:rPr>
                      <w:rFonts w:hint="eastAsia"/>
                      <w:lang w:val="en-US" w:eastAsia="zh-CN"/>
                    </w:rPr>
                    <w:t>80</w:t>
                  </w:r>
                </w:p>
              </w:tc>
              <w:tc>
                <w:tcPr>
                  <w:tcW w:w="1818" w:type="pct"/>
                  <w:vAlign w:val="center"/>
                </w:tcPr>
                <w:p w14:paraId="308D3D79">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3C0A6510">
                  <w:pPr>
                    <w:pStyle w:val="106"/>
                    <w:bidi w:val="0"/>
                    <w:rPr>
                      <w:rFonts w:hint="default"/>
                      <w:lang w:val="en-US" w:eastAsia="zh-CN"/>
                    </w:rPr>
                  </w:pPr>
                  <w:r>
                    <w:rPr>
                      <w:rFonts w:hint="eastAsia"/>
                      <w:lang w:val="en-US" w:eastAsia="zh-CN"/>
                    </w:rPr>
                    <w:t>80</w:t>
                  </w:r>
                </w:p>
              </w:tc>
            </w:tr>
            <w:tr w14:paraId="473B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0BAB04E8">
                  <w:pPr>
                    <w:pStyle w:val="106"/>
                    <w:bidi w:val="0"/>
                    <w:rPr>
                      <w:rFonts w:hint="default"/>
                      <w:lang w:val="en-US" w:eastAsia="zh-CN"/>
                    </w:rPr>
                  </w:pPr>
                  <w:r>
                    <w:rPr>
                      <w:rFonts w:hint="eastAsia"/>
                      <w:lang w:val="en-US" w:eastAsia="zh-CN"/>
                    </w:rPr>
                    <w:t>37</w:t>
                  </w:r>
                </w:p>
              </w:tc>
              <w:tc>
                <w:tcPr>
                  <w:tcW w:w="1161" w:type="pct"/>
                  <w:shd w:val="clear" w:color="auto" w:fill="auto"/>
                  <w:vAlign w:val="center"/>
                </w:tcPr>
                <w:p w14:paraId="5307AFE4">
                  <w:pPr>
                    <w:pStyle w:val="106"/>
                    <w:bidi w:val="0"/>
                    <w:rPr>
                      <w:rFonts w:hint="eastAsia"/>
                      <w:lang w:val="en-US" w:eastAsia="zh-CN"/>
                    </w:rPr>
                  </w:pPr>
                  <w:r>
                    <w:rPr>
                      <w:rFonts w:hint="eastAsia"/>
                      <w:lang w:val="en-US" w:eastAsia="zh-CN"/>
                    </w:rPr>
                    <w:t>切纸机</w:t>
                  </w:r>
                </w:p>
              </w:tc>
              <w:tc>
                <w:tcPr>
                  <w:tcW w:w="436" w:type="pct"/>
                  <w:shd w:val="clear" w:color="auto" w:fill="auto"/>
                  <w:vAlign w:val="center"/>
                </w:tcPr>
                <w:p w14:paraId="25A32F1C">
                  <w:pPr>
                    <w:pStyle w:val="106"/>
                    <w:bidi w:val="0"/>
                    <w:rPr>
                      <w:rFonts w:hint="default"/>
                      <w:lang w:val="en-US" w:eastAsia="zh-CN"/>
                    </w:rPr>
                  </w:pPr>
                  <w:r>
                    <w:rPr>
                      <w:rFonts w:hint="eastAsia"/>
                      <w:lang w:val="en-US" w:eastAsia="zh-CN"/>
                    </w:rPr>
                    <w:t>1</w:t>
                  </w:r>
                </w:p>
              </w:tc>
              <w:tc>
                <w:tcPr>
                  <w:tcW w:w="694" w:type="pct"/>
                  <w:shd w:val="clear" w:color="auto" w:fill="auto"/>
                  <w:vAlign w:val="center"/>
                </w:tcPr>
                <w:p w14:paraId="3F4A92B4">
                  <w:pPr>
                    <w:pStyle w:val="106"/>
                    <w:bidi w:val="0"/>
                    <w:rPr>
                      <w:rFonts w:hint="default"/>
                      <w:lang w:val="en-US" w:eastAsia="zh-CN"/>
                    </w:rPr>
                  </w:pPr>
                  <w:r>
                    <w:rPr>
                      <w:rFonts w:hint="eastAsia"/>
                      <w:lang w:val="en-US" w:eastAsia="zh-CN"/>
                    </w:rPr>
                    <w:t>85</w:t>
                  </w:r>
                </w:p>
              </w:tc>
              <w:tc>
                <w:tcPr>
                  <w:tcW w:w="1818" w:type="pct"/>
                  <w:shd w:val="clear" w:color="auto" w:fill="auto"/>
                  <w:vAlign w:val="center"/>
                </w:tcPr>
                <w:p w14:paraId="5D4B5EDC">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624F21E9">
                  <w:pPr>
                    <w:pStyle w:val="106"/>
                    <w:bidi w:val="0"/>
                    <w:rPr>
                      <w:rFonts w:hint="eastAsia"/>
                      <w:lang w:val="en-US" w:eastAsia="zh-CN"/>
                    </w:rPr>
                  </w:pPr>
                  <w:r>
                    <w:rPr>
                      <w:rFonts w:hint="eastAsia"/>
                      <w:lang w:val="en-US" w:eastAsia="zh-CN"/>
                    </w:rPr>
                    <w:t>85</w:t>
                  </w:r>
                </w:p>
              </w:tc>
            </w:tr>
            <w:tr w14:paraId="7002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1A06ED43">
                  <w:pPr>
                    <w:pStyle w:val="106"/>
                    <w:bidi w:val="0"/>
                    <w:rPr>
                      <w:rFonts w:hint="default"/>
                      <w:lang w:val="en-US" w:eastAsia="zh-CN"/>
                    </w:rPr>
                  </w:pPr>
                  <w:r>
                    <w:rPr>
                      <w:rFonts w:hint="eastAsia"/>
                      <w:lang w:val="en-US" w:eastAsia="zh-CN"/>
                    </w:rPr>
                    <w:t>38</w:t>
                  </w:r>
                </w:p>
              </w:tc>
              <w:tc>
                <w:tcPr>
                  <w:tcW w:w="1161" w:type="pct"/>
                  <w:shd w:val="clear" w:color="auto" w:fill="auto"/>
                  <w:vAlign w:val="center"/>
                </w:tcPr>
                <w:p w14:paraId="09E878D6">
                  <w:pPr>
                    <w:pStyle w:val="106"/>
                    <w:bidi w:val="0"/>
                    <w:rPr>
                      <w:rFonts w:hint="eastAsia"/>
                      <w:lang w:val="en-US" w:eastAsia="zh-CN"/>
                    </w:rPr>
                  </w:pPr>
                  <w:r>
                    <w:rPr>
                      <w:rFonts w:hint="eastAsia"/>
                      <w:lang w:val="en-US" w:eastAsia="zh-CN"/>
                    </w:rPr>
                    <w:t>包装机</w:t>
                  </w:r>
                </w:p>
              </w:tc>
              <w:tc>
                <w:tcPr>
                  <w:tcW w:w="436" w:type="pct"/>
                  <w:shd w:val="clear" w:color="auto" w:fill="auto"/>
                  <w:vAlign w:val="center"/>
                </w:tcPr>
                <w:p w14:paraId="6CF4D5AB">
                  <w:pPr>
                    <w:pStyle w:val="106"/>
                    <w:bidi w:val="0"/>
                    <w:rPr>
                      <w:rFonts w:hint="default"/>
                      <w:lang w:val="en-US" w:eastAsia="zh-CN"/>
                    </w:rPr>
                  </w:pPr>
                  <w:r>
                    <w:rPr>
                      <w:rFonts w:hint="eastAsia"/>
                      <w:lang w:val="en-US" w:eastAsia="zh-CN"/>
                    </w:rPr>
                    <w:t>1</w:t>
                  </w:r>
                </w:p>
              </w:tc>
              <w:tc>
                <w:tcPr>
                  <w:tcW w:w="694" w:type="pct"/>
                  <w:shd w:val="clear" w:color="auto" w:fill="auto"/>
                  <w:vAlign w:val="center"/>
                </w:tcPr>
                <w:p w14:paraId="6B3FE452">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222E8ED9">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07888196">
                  <w:pPr>
                    <w:pStyle w:val="106"/>
                    <w:bidi w:val="0"/>
                    <w:rPr>
                      <w:rFonts w:hint="eastAsia"/>
                      <w:lang w:val="en-US" w:eastAsia="zh-CN"/>
                    </w:rPr>
                  </w:pPr>
                  <w:r>
                    <w:rPr>
                      <w:rFonts w:hint="eastAsia"/>
                      <w:lang w:val="en-US" w:eastAsia="zh-CN"/>
                    </w:rPr>
                    <w:t>80</w:t>
                  </w:r>
                </w:p>
              </w:tc>
            </w:tr>
            <w:tr w14:paraId="5288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08855DC3">
                  <w:pPr>
                    <w:pStyle w:val="106"/>
                    <w:bidi w:val="0"/>
                    <w:rPr>
                      <w:rFonts w:hint="eastAsia"/>
                      <w:lang w:val="en-US" w:eastAsia="zh-CN"/>
                    </w:rPr>
                  </w:pPr>
                  <w:r>
                    <w:rPr>
                      <w:rFonts w:hint="eastAsia"/>
                      <w:lang w:val="en-US" w:eastAsia="zh-CN"/>
                    </w:rPr>
                    <w:t>39</w:t>
                  </w:r>
                </w:p>
              </w:tc>
              <w:tc>
                <w:tcPr>
                  <w:tcW w:w="1161" w:type="pct"/>
                  <w:shd w:val="clear" w:color="auto" w:fill="auto"/>
                  <w:vAlign w:val="center"/>
                </w:tcPr>
                <w:p w14:paraId="32972FEB">
                  <w:pPr>
                    <w:pStyle w:val="106"/>
                    <w:bidi w:val="0"/>
                    <w:rPr>
                      <w:rFonts w:hint="eastAsia"/>
                      <w:lang w:val="en-US" w:eastAsia="zh-CN"/>
                    </w:rPr>
                  </w:pPr>
                  <w:r>
                    <w:rPr>
                      <w:rFonts w:hint="eastAsia"/>
                      <w:lang w:val="en-US" w:eastAsia="zh-CN"/>
                    </w:rPr>
                    <w:t>激光喷码机</w:t>
                  </w:r>
                </w:p>
              </w:tc>
              <w:tc>
                <w:tcPr>
                  <w:tcW w:w="436" w:type="pct"/>
                  <w:shd w:val="clear" w:color="auto" w:fill="auto"/>
                  <w:vAlign w:val="center"/>
                </w:tcPr>
                <w:p w14:paraId="2949AC2C">
                  <w:pPr>
                    <w:pStyle w:val="106"/>
                    <w:bidi w:val="0"/>
                    <w:rPr>
                      <w:rFonts w:hint="default"/>
                      <w:lang w:val="en-US" w:eastAsia="zh-CN"/>
                    </w:rPr>
                  </w:pPr>
                  <w:r>
                    <w:rPr>
                      <w:rFonts w:hint="eastAsia"/>
                      <w:lang w:val="en-US" w:eastAsia="zh-CN"/>
                    </w:rPr>
                    <w:t>1</w:t>
                  </w:r>
                </w:p>
              </w:tc>
              <w:tc>
                <w:tcPr>
                  <w:tcW w:w="694" w:type="pct"/>
                  <w:shd w:val="clear" w:color="auto" w:fill="auto"/>
                  <w:vAlign w:val="center"/>
                </w:tcPr>
                <w:p w14:paraId="76E7B6B8">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0C78AEFA">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78E29222">
                  <w:pPr>
                    <w:pStyle w:val="106"/>
                    <w:bidi w:val="0"/>
                    <w:rPr>
                      <w:rFonts w:hint="eastAsia"/>
                      <w:lang w:val="en-US" w:eastAsia="zh-CN"/>
                    </w:rPr>
                  </w:pPr>
                  <w:r>
                    <w:rPr>
                      <w:rFonts w:hint="eastAsia"/>
                      <w:lang w:val="en-US" w:eastAsia="zh-CN"/>
                    </w:rPr>
                    <w:t>80</w:t>
                  </w:r>
                </w:p>
              </w:tc>
            </w:tr>
            <w:tr w14:paraId="331F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77D52A8F">
                  <w:pPr>
                    <w:pStyle w:val="106"/>
                    <w:bidi w:val="0"/>
                    <w:rPr>
                      <w:rFonts w:hint="eastAsia"/>
                      <w:lang w:val="en-US" w:eastAsia="zh-CN"/>
                    </w:rPr>
                  </w:pPr>
                  <w:r>
                    <w:rPr>
                      <w:rFonts w:hint="eastAsia"/>
                      <w:lang w:val="en-US" w:eastAsia="zh-CN"/>
                    </w:rPr>
                    <w:t>40</w:t>
                  </w:r>
                </w:p>
              </w:tc>
              <w:tc>
                <w:tcPr>
                  <w:tcW w:w="1161" w:type="pct"/>
                  <w:shd w:val="clear" w:color="auto" w:fill="auto"/>
                  <w:vAlign w:val="center"/>
                </w:tcPr>
                <w:p w14:paraId="11F7C687">
                  <w:pPr>
                    <w:pStyle w:val="106"/>
                    <w:bidi w:val="0"/>
                    <w:rPr>
                      <w:rFonts w:hint="eastAsia"/>
                      <w:lang w:val="en-US" w:eastAsia="zh-CN"/>
                    </w:rPr>
                  </w:pPr>
                  <w:r>
                    <w:rPr>
                      <w:rFonts w:hint="eastAsia"/>
                      <w:lang w:val="en-US" w:eastAsia="zh-CN"/>
                    </w:rPr>
                    <w:t>装箱装袋机</w:t>
                  </w:r>
                </w:p>
              </w:tc>
              <w:tc>
                <w:tcPr>
                  <w:tcW w:w="436" w:type="pct"/>
                  <w:shd w:val="clear" w:color="auto" w:fill="auto"/>
                  <w:vAlign w:val="center"/>
                </w:tcPr>
                <w:p w14:paraId="22E7B82E">
                  <w:pPr>
                    <w:pStyle w:val="106"/>
                    <w:bidi w:val="0"/>
                    <w:rPr>
                      <w:rFonts w:hint="default"/>
                      <w:lang w:val="en-US" w:eastAsia="zh-CN"/>
                    </w:rPr>
                  </w:pPr>
                  <w:r>
                    <w:rPr>
                      <w:rFonts w:hint="eastAsia"/>
                      <w:lang w:val="en-US" w:eastAsia="zh-CN"/>
                    </w:rPr>
                    <w:t>1</w:t>
                  </w:r>
                </w:p>
              </w:tc>
              <w:tc>
                <w:tcPr>
                  <w:tcW w:w="694" w:type="pct"/>
                  <w:shd w:val="clear" w:color="auto" w:fill="auto"/>
                  <w:vAlign w:val="center"/>
                </w:tcPr>
                <w:p w14:paraId="01286081">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6B66E352">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6E0557A7">
                  <w:pPr>
                    <w:pStyle w:val="106"/>
                    <w:bidi w:val="0"/>
                    <w:rPr>
                      <w:rFonts w:hint="eastAsia"/>
                      <w:lang w:val="en-US" w:eastAsia="zh-CN"/>
                    </w:rPr>
                  </w:pPr>
                  <w:r>
                    <w:rPr>
                      <w:rFonts w:hint="eastAsia"/>
                      <w:lang w:val="en-US" w:eastAsia="zh-CN"/>
                    </w:rPr>
                    <w:t>80</w:t>
                  </w:r>
                </w:p>
              </w:tc>
            </w:tr>
            <w:tr w14:paraId="48B2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439E2B6D">
                  <w:pPr>
                    <w:pStyle w:val="106"/>
                    <w:bidi w:val="0"/>
                    <w:rPr>
                      <w:rFonts w:hint="eastAsia"/>
                      <w:lang w:val="en-US" w:eastAsia="zh-CN"/>
                    </w:rPr>
                  </w:pPr>
                  <w:r>
                    <w:rPr>
                      <w:rFonts w:hint="eastAsia"/>
                      <w:lang w:val="en-US" w:eastAsia="zh-CN"/>
                    </w:rPr>
                    <w:t>41</w:t>
                  </w:r>
                </w:p>
              </w:tc>
              <w:tc>
                <w:tcPr>
                  <w:tcW w:w="1161" w:type="pct"/>
                  <w:shd w:val="clear" w:color="auto" w:fill="auto"/>
                  <w:vAlign w:val="center"/>
                </w:tcPr>
                <w:p w14:paraId="400ACA7E">
                  <w:pPr>
                    <w:pStyle w:val="106"/>
                    <w:bidi w:val="0"/>
                    <w:rPr>
                      <w:rFonts w:hint="eastAsia"/>
                      <w:lang w:val="en-US" w:eastAsia="zh-CN"/>
                    </w:rPr>
                  </w:pPr>
                  <w:r>
                    <w:rPr>
                      <w:rFonts w:hint="eastAsia"/>
                    </w:rPr>
                    <w:t>高速盘纸分切复卷机</w:t>
                  </w:r>
                </w:p>
              </w:tc>
              <w:tc>
                <w:tcPr>
                  <w:tcW w:w="436" w:type="pct"/>
                  <w:shd w:val="clear" w:color="auto" w:fill="auto"/>
                  <w:vAlign w:val="center"/>
                </w:tcPr>
                <w:p w14:paraId="44CEF81C">
                  <w:pPr>
                    <w:pStyle w:val="106"/>
                    <w:bidi w:val="0"/>
                    <w:rPr>
                      <w:rFonts w:hint="default"/>
                      <w:lang w:val="en-US" w:eastAsia="zh-CN"/>
                    </w:rPr>
                  </w:pPr>
                  <w:r>
                    <w:rPr>
                      <w:rFonts w:hint="eastAsia"/>
                      <w:lang w:val="en-US" w:eastAsia="zh-CN"/>
                    </w:rPr>
                    <w:t>1</w:t>
                  </w:r>
                </w:p>
              </w:tc>
              <w:tc>
                <w:tcPr>
                  <w:tcW w:w="694" w:type="pct"/>
                  <w:shd w:val="clear" w:color="auto" w:fill="auto"/>
                  <w:vAlign w:val="center"/>
                </w:tcPr>
                <w:p w14:paraId="6B46E0F3">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09BEC745">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4DE28104">
                  <w:pPr>
                    <w:pStyle w:val="106"/>
                    <w:bidi w:val="0"/>
                    <w:rPr>
                      <w:rFonts w:hint="eastAsia"/>
                      <w:lang w:val="en-US" w:eastAsia="zh-CN"/>
                    </w:rPr>
                  </w:pPr>
                  <w:r>
                    <w:rPr>
                      <w:rFonts w:hint="eastAsia"/>
                      <w:lang w:val="en-US" w:eastAsia="zh-CN"/>
                    </w:rPr>
                    <w:t>80</w:t>
                  </w:r>
                </w:p>
              </w:tc>
            </w:tr>
            <w:tr w14:paraId="4438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2A44453E">
                  <w:pPr>
                    <w:pStyle w:val="106"/>
                    <w:bidi w:val="0"/>
                    <w:rPr>
                      <w:rFonts w:hint="eastAsia"/>
                      <w:lang w:val="en-US" w:eastAsia="zh-CN"/>
                    </w:rPr>
                  </w:pPr>
                  <w:r>
                    <w:rPr>
                      <w:rFonts w:hint="eastAsia"/>
                      <w:lang w:val="en-US" w:eastAsia="zh-CN"/>
                    </w:rPr>
                    <w:t>42</w:t>
                  </w:r>
                </w:p>
              </w:tc>
              <w:tc>
                <w:tcPr>
                  <w:tcW w:w="1161" w:type="pct"/>
                  <w:shd w:val="clear" w:color="auto" w:fill="auto"/>
                  <w:vAlign w:val="center"/>
                </w:tcPr>
                <w:p w14:paraId="493EEDD2">
                  <w:pPr>
                    <w:pStyle w:val="106"/>
                    <w:bidi w:val="0"/>
                    <w:rPr>
                      <w:rFonts w:hint="eastAsia"/>
                      <w:lang w:val="en-US" w:eastAsia="zh-CN"/>
                    </w:rPr>
                  </w:pPr>
                  <w:r>
                    <w:rPr>
                      <w:rFonts w:hint="eastAsia"/>
                      <w:lang w:val="en-US" w:eastAsia="zh-CN"/>
                    </w:rPr>
                    <w:t>打纸机</w:t>
                  </w:r>
                </w:p>
              </w:tc>
              <w:tc>
                <w:tcPr>
                  <w:tcW w:w="436" w:type="pct"/>
                  <w:shd w:val="clear" w:color="auto" w:fill="auto"/>
                  <w:vAlign w:val="center"/>
                </w:tcPr>
                <w:p w14:paraId="3377F2F7">
                  <w:pPr>
                    <w:pStyle w:val="106"/>
                    <w:bidi w:val="0"/>
                    <w:rPr>
                      <w:rFonts w:hint="default"/>
                      <w:lang w:val="en-US" w:eastAsia="zh-CN"/>
                    </w:rPr>
                  </w:pPr>
                  <w:r>
                    <w:rPr>
                      <w:rFonts w:hint="eastAsia"/>
                      <w:lang w:val="en-US" w:eastAsia="zh-CN"/>
                    </w:rPr>
                    <w:t>5</w:t>
                  </w:r>
                </w:p>
              </w:tc>
              <w:tc>
                <w:tcPr>
                  <w:tcW w:w="694" w:type="pct"/>
                  <w:shd w:val="clear" w:color="auto" w:fill="auto"/>
                  <w:vAlign w:val="center"/>
                </w:tcPr>
                <w:p w14:paraId="4BD6C686">
                  <w:pPr>
                    <w:pStyle w:val="106"/>
                    <w:bidi w:val="0"/>
                    <w:rPr>
                      <w:rFonts w:hint="default"/>
                      <w:lang w:val="en-US" w:eastAsia="zh-CN"/>
                    </w:rPr>
                  </w:pPr>
                  <w:r>
                    <w:rPr>
                      <w:rFonts w:hint="eastAsia"/>
                      <w:lang w:val="en-US" w:eastAsia="zh-CN"/>
                    </w:rPr>
                    <w:t>85</w:t>
                  </w:r>
                </w:p>
              </w:tc>
              <w:tc>
                <w:tcPr>
                  <w:tcW w:w="1818" w:type="pct"/>
                  <w:shd w:val="clear" w:color="auto" w:fill="auto"/>
                  <w:vAlign w:val="center"/>
                </w:tcPr>
                <w:p w14:paraId="53295167">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0ADC8E8F">
                  <w:pPr>
                    <w:pStyle w:val="106"/>
                    <w:bidi w:val="0"/>
                    <w:rPr>
                      <w:rFonts w:hint="eastAsia"/>
                      <w:lang w:val="en-US" w:eastAsia="zh-CN"/>
                    </w:rPr>
                  </w:pPr>
                  <w:r>
                    <w:rPr>
                      <w:rFonts w:hint="eastAsia"/>
                      <w:lang w:val="en-US" w:eastAsia="zh-CN"/>
                    </w:rPr>
                    <w:t>85</w:t>
                  </w:r>
                </w:p>
              </w:tc>
            </w:tr>
            <w:tr w14:paraId="6A94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6D453861">
                  <w:pPr>
                    <w:pStyle w:val="106"/>
                    <w:bidi w:val="0"/>
                    <w:rPr>
                      <w:rFonts w:hint="eastAsia"/>
                      <w:lang w:val="en-US" w:eastAsia="zh-CN"/>
                    </w:rPr>
                  </w:pPr>
                  <w:r>
                    <w:rPr>
                      <w:rFonts w:hint="eastAsia"/>
                      <w:lang w:val="en-US" w:eastAsia="zh-CN"/>
                    </w:rPr>
                    <w:t>43</w:t>
                  </w:r>
                </w:p>
              </w:tc>
              <w:tc>
                <w:tcPr>
                  <w:tcW w:w="1161" w:type="pct"/>
                  <w:shd w:val="clear" w:color="auto" w:fill="auto"/>
                  <w:vAlign w:val="center"/>
                </w:tcPr>
                <w:p w14:paraId="10C03257">
                  <w:pPr>
                    <w:pStyle w:val="106"/>
                    <w:bidi w:val="0"/>
                    <w:rPr>
                      <w:rFonts w:hint="eastAsia"/>
                      <w:lang w:val="en-US" w:eastAsia="zh-CN"/>
                    </w:rPr>
                  </w:pPr>
                  <w:r>
                    <w:rPr>
                      <w:rFonts w:hint="eastAsia"/>
                      <w:lang w:val="en-US" w:eastAsia="zh-CN"/>
                    </w:rPr>
                    <w:t>切纸机</w:t>
                  </w:r>
                </w:p>
              </w:tc>
              <w:tc>
                <w:tcPr>
                  <w:tcW w:w="436" w:type="pct"/>
                  <w:shd w:val="clear" w:color="auto" w:fill="auto"/>
                  <w:vAlign w:val="center"/>
                </w:tcPr>
                <w:p w14:paraId="2375318A">
                  <w:pPr>
                    <w:pStyle w:val="106"/>
                    <w:bidi w:val="0"/>
                    <w:rPr>
                      <w:rFonts w:hint="default"/>
                      <w:lang w:val="en-US" w:eastAsia="zh-CN"/>
                    </w:rPr>
                  </w:pPr>
                  <w:r>
                    <w:rPr>
                      <w:rFonts w:hint="eastAsia"/>
                      <w:lang w:val="en-US" w:eastAsia="zh-CN"/>
                    </w:rPr>
                    <w:t>5</w:t>
                  </w:r>
                </w:p>
              </w:tc>
              <w:tc>
                <w:tcPr>
                  <w:tcW w:w="694" w:type="pct"/>
                  <w:shd w:val="clear" w:color="auto" w:fill="auto"/>
                  <w:vAlign w:val="center"/>
                </w:tcPr>
                <w:p w14:paraId="77A2DCE3">
                  <w:pPr>
                    <w:pStyle w:val="106"/>
                    <w:bidi w:val="0"/>
                    <w:rPr>
                      <w:rFonts w:hint="default"/>
                      <w:lang w:val="en-US" w:eastAsia="zh-CN"/>
                    </w:rPr>
                  </w:pPr>
                  <w:r>
                    <w:rPr>
                      <w:rFonts w:hint="eastAsia"/>
                      <w:lang w:val="en-US" w:eastAsia="zh-CN"/>
                    </w:rPr>
                    <w:t>85</w:t>
                  </w:r>
                </w:p>
              </w:tc>
              <w:tc>
                <w:tcPr>
                  <w:tcW w:w="1818" w:type="pct"/>
                  <w:shd w:val="clear" w:color="auto" w:fill="auto"/>
                  <w:vAlign w:val="center"/>
                </w:tcPr>
                <w:p w14:paraId="008EBF5D">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48515697">
                  <w:pPr>
                    <w:pStyle w:val="106"/>
                    <w:bidi w:val="0"/>
                    <w:rPr>
                      <w:rFonts w:hint="eastAsia"/>
                      <w:lang w:val="en-US" w:eastAsia="zh-CN"/>
                    </w:rPr>
                  </w:pPr>
                  <w:r>
                    <w:rPr>
                      <w:rFonts w:hint="eastAsia"/>
                      <w:lang w:val="en-US" w:eastAsia="zh-CN"/>
                    </w:rPr>
                    <w:t>85</w:t>
                  </w:r>
                </w:p>
              </w:tc>
            </w:tr>
            <w:tr w14:paraId="6D8A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7BF4AA8E">
                  <w:pPr>
                    <w:pStyle w:val="106"/>
                    <w:bidi w:val="0"/>
                    <w:rPr>
                      <w:rFonts w:hint="eastAsia"/>
                      <w:lang w:val="en-US" w:eastAsia="zh-CN"/>
                    </w:rPr>
                  </w:pPr>
                  <w:r>
                    <w:rPr>
                      <w:rFonts w:hint="eastAsia"/>
                      <w:lang w:val="en-US" w:eastAsia="zh-CN"/>
                    </w:rPr>
                    <w:t>44</w:t>
                  </w:r>
                </w:p>
              </w:tc>
              <w:tc>
                <w:tcPr>
                  <w:tcW w:w="1161" w:type="pct"/>
                  <w:shd w:val="clear" w:color="auto" w:fill="auto"/>
                  <w:vAlign w:val="center"/>
                </w:tcPr>
                <w:p w14:paraId="2B879DF4">
                  <w:pPr>
                    <w:pStyle w:val="106"/>
                    <w:bidi w:val="0"/>
                    <w:rPr>
                      <w:rFonts w:hint="eastAsia"/>
                      <w:lang w:val="en-US" w:eastAsia="zh-CN"/>
                    </w:rPr>
                  </w:pPr>
                  <w:r>
                    <w:rPr>
                      <w:rFonts w:hint="eastAsia"/>
                      <w:lang w:val="en-US" w:eastAsia="zh-CN"/>
                    </w:rPr>
                    <w:t>折叠机</w:t>
                  </w:r>
                </w:p>
              </w:tc>
              <w:tc>
                <w:tcPr>
                  <w:tcW w:w="436" w:type="pct"/>
                  <w:shd w:val="clear" w:color="auto" w:fill="auto"/>
                  <w:vAlign w:val="center"/>
                </w:tcPr>
                <w:p w14:paraId="37821A6F">
                  <w:pPr>
                    <w:pStyle w:val="106"/>
                    <w:bidi w:val="0"/>
                    <w:rPr>
                      <w:rFonts w:hint="default"/>
                      <w:lang w:val="en-US" w:eastAsia="zh-CN"/>
                    </w:rPr>
                  </w:pPr>
                  <w:r>
                    <w:rPr>
                      <w:rFonts w:hint="eastAsia"/>
                      <w:lang w:val="en-US" w:eastAsia="zh-CN"/>
                    </w:rPr>
                    <w:t>5</w:t>
                  </w:r>
                </w:p>
              </w:tc>
              <w:tc>
                <w:tcPr>
                  <w:tcW w:w="694" w:type="pct"/>
                  <w:shd w:val="clear" w:color="auto" w:fill="auto"/>
                  <w:vAlign w:val="center"/>
                </w:tcPr>
                <w:p w14:paraId="7A1EF3B3">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0C6ADF31">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73677694">
                  <w:pPr>
                    <w:pStyle w:val="106"/>
                    <w:bidi w:val="0"/>
                    <w:rPr>
                      <w:rFonts w:hint="eastAsia"/>
                      <w:lang w:val="en-US" w:eastAsia="zh-CN"/>
                    </w:rPr>
                  </w:pPr>
                  <w:r>
                    <w:rPr>
                      <w:rFonts w:hint="eastAsia"/>
                      <w:lang w:val="en-US" w:eastAsia="zh-CN"/>
                    </w:rPr>
                    <w:t>80</w:t>
                  </w:r>
                </w:p>
              </w:tc>
            </w:tr>
            <w:tr w14:paraId="1565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7C0F4049">
                  <w:pPr>
                    <w:pStyle w:val="106"/>
                    <w:bidi w:val="0"/>
                    <w:rPr>
                      <w:rFonts w:hint="eastAsia"/>
                      <w:lang w:val="en-US" w:eastAsia="zh-CN"/>
                    </w:rPr>
                  </w:pPr>
                  <w:r>
                    <w:rPr>
                      <w:rFonts w:hint="eastAsia"/>
                      <w:lang w:val="en-US" w:eastAsia="zh-CN"/>
                    </w:rPr>
                    <w:t>45</w:t>
                  </w:r>
                </w:p>
              </w:tc>
              <w:tc>
                <w:tcPr>
                  <w:tcW w:w="1161" w:type="pct"/>
                  <w:shd w:val="clear" w:color="auto" w:fill="auto"/>
                  <w:vAlign w:val="center"/>
                </w:tcPr>
                <w:p w14:paraId="232BD3A5">
                  <w:pPr>
                    <w:pStyle w:val="106"/>
                    <w:bidi w:val="0"/>
                    <w:rPr>
                      <w:rFonts w:hint="eastAsia"/>
                      <w:lang w:val="en-US" w:eastAsia="zh-CN"/>
                    </w:rPr>
                  </w:pPr>
                  <w:r>
                    <w:rPr>
                      <w:rFonts w:hint="eastAsia"/>
                      <w:lang w:val="en-US" w:eastAsia="zh-CN"/>
                    </w:rPr>
                    <w:t>包装机</w:t>
                  </w:r>
                </w:p>
              </w:tc>
              <w:tc>
                <w:tcPr>
                  <w:tcW w:w="436" w:type="pct"/>
                  <w:shd w:val="clear" w:color="auto" w:fill="auto"/>
                  <w:vAlign w:val="center"/>
                </w:tcPr>
                <w:p w14:paraId="58597669">
                  <w:pPr>
                    <w:pStyle w:val="106"/>
                    <w:bidi w:val="0"/>
                    <w:rPr>
                      <w:rFonts w:hint="default"/>
                      <w:lang w:val="en-US" w:eastAsia="zh-CN"/>
                    </w:rPr>
                  </w:pPr>
                  <w:r>
                    <w:rPr>
                      <w:rFonts w:hint="eastAsia"/>
                      <w:lang w:val="en-US" w:eastAsia="zh-CN"/>
                    </w:rPr>
                    <w:t>5</w:t>
                  </w:r>
                </w:p>
              </w:tc>
              <w:tc>
                <w:tcPr>
                  <w:tcW w:w="694" w:type="pct"/>
                  <w:shd w:val="clear" w:color="auto" w:fill="auto"/>
                  <w:vAlign w:val="center"/>
                </w:tcPr>
                <w:p w14:paraId="0D6CE80C">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4C26E04A">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293E07C1">
                  <w:pPr>
                    <w:pStyle w:val="106"/>
                    <w:bidi w:val="0"/>
                    <w:rPr>
                      <w:rFonts w:hint="eastAsia"/>
                      <w:lang w:val="en-US" w:eastAsia="zh-CN"/>
                    </w:rPr>
                  </w:pPr>
                  <w:r>
                    <w:rPr>
                      <w:rFonts w:hint="eastAsia"/>
                      <w:lang w:val="en-US" w:eastAsia="zh-CN"/>
                    </w:rPr>
                    <w:t>80</w:t>
                  </w:r>
                </w:p>
              </w:tc>
            </w:tr>
            <w:tr w14:paraId="74E3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64F27DAF">
                  <w:pPr>
                    <w:pStyle w:val="106"/>
                    <w:bidi w:val="0"/>
                    <w:rPr>
                      <w:rFonts w:hint="eastAsia"/>
                      <w:lang w:val="en-US" w:eastAsia="zh-CN"/>
                    </w:rPr>
                  </w:pPr>
                  <w:r>
                    <w:rPr>
                      <w:rFonts w:hint="eastAsia"/>
                      <w:lang w:val="en-US" w:eastAsia="zh-CN"/>
                    </w:rPr>
                    <w:t>46</w:t>
                  </w:r>
                </w:p>
              </w:tc>
              <w:tc>
                <w:tcPr>
                  <w:tcW w:w="1161" w:type="pct"/>
                  <w:shd w:val="clear" w:color="auto" w:fill="auto"/>
                  <w:vAlign w:val="center"/>
                </w:tcPr>
                <w:p w14:paraId="48FD0988">
                  <w:pPr>
                    <w:pStyle w:val="106"/>
                    <w:bidi w:val="0"/>
                    <w:rPr>
                      <w:rFonts w:hint="eastAsia"/>
                      <w:lang w:val="en-US" w:eastAsia="zh-CN"/>
                    </w:rPr>
                  </w:pPr>
                  <w:r>
                    <w:rPr>
                      <w:rFonts w:hint="eastAsia"/>
                      <w:lang w:val="en-US" w:eastAsia="zh-CN"/>
                    </w:rPr>
                    <w:t>装箱装袋机</w:t>
                  </w:r>
                </w:p>
              </w:tc>
              <w:tc>
                <w:tcPr>
                  <w:tcW w:w="436" w:type="pct"/>
                  <w:shd w:val="clear" w:color="auto" w:fill="auto"/>
                  <w:vAlign w:val="center"/>
                </w:tcPr>
                <w:p w14:paraId="3C9550E1">
                  <w:pPr>
                    <w:pStyle w:val="106"/>
                    <w:bidi w:val="0"/>
                    <w:rPr>
                      <w:rFonts w:hint="default"/>
                      <w:lang w:val="en-US" w:eastAsia="zh-CN"/>
                    </w:rPr>
                  </w:pPr>
                  <w:r>
                    <w:rPr>
                      <w:rFonts w:hint="eastAsia"/>
                      <w:lang w:val="en-US" w:eastAsia="zh-CN"/>
                    </w:rPr>
                    <w:t>1</w:t>
                  </w:r>
                </w:p>
              </w:tc>
              <w:tc>
                <w:tcPr>
                  <w:tcW w:w="694" w:type="pct"/>
                  <w:shd w:val="clear" w:color="auto" w:fill="auto"/>
                  <w:vAlign w:val="center"/>
                </w:tcPr>
                <w:p w14:paraId="06B7F45C">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45A0F4D3">
                  <w:pPr>
                    <w:pStyle w:val="106"/>
                    <w:bidi w:val="0"/>
                    <w:rPr>
                      <w:rFonts w:hint="default"/>
                      <w:lang w:val="en-US" w:eastAsia="zh-CN"/>
                    </w:rPr>
                  </w:pPr>
                  <w:r>
                    <w:rPr>
                      <w:rFonts w:hint="default"/>
                      <w:lang w:val="en-US" w:eastAsia="zh-CN"/>
                    </w:rPr>
                    <w:t>选用低噪声设备、减震垫</w:t>
                  </w:r>
                </w:p>
              </w:tc>
              <w:tc>
                <w:tcPr>
                  <w:tcW w:w="499" w:type="pct"/>
                  <w:tcBorders>
                    <w:right w:val="nil"/>
                  </w:tcBorders>
                  <w:shd w:val="clear" w:color="auto" w:fill="auto"/>
                  <w:vAlign w:val="center"/>
                </w:tcPr>
                <w:p w14:paraId="434CE545">
                  <w:pPr>
                    <w:pStyle w:val="106"/>
                    <w:bidi w:val="0"/>
                    <w:rPr>
                      <w:rFonts w:hint="eastAsia"/>
                      <w:lang w:val="en-US" w:eastAsia="zh-CN"/>
                    </w:rPr>
                  </w:pPr>
                  <w:r>
                    <w:rPr>
                      <w:rFonts w:hint="eastAsia"/>
                      <w:lang w:val="en-US" w:eastAsia="zh-CN"/>
                    </w:rPr>
                    <w:t>80</w:t>
                  </w:r>
                </w:p>
              </w:tc>
            </w:tr>
            <w:tr w14:paraId="3F45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tcBorders>
                  <w:shd w:val="clear" w:color="auto" w:fill="auto"/>
                  <w:vAlign w:val="center"/>
                </w:tcPr>
                <w:p w14:paraId="0DF1AB87">
                  <w:pPr>
                    <w:pStyle w:val="106"/>
                    <w:bidi w:val="0"/>
                    <w:rPr>
                      <w:rFonts w:hint="eastAsia"/>
                      <w:lang w:val="en-US" w:eastAsia="zh-CN"/>
                    </w:rPr>
                  </w:pPr>
                  <w:r>
                    <w:rPr>
                      <w:rFonts w:hint="eastAsia"/>
                      <w:lang w:val="en-US" w:eastAsia="zh-CN"/>
                    </w:rPr>
                    <w:t>47</w:t>
                  </w:r>
                </w:p>
              </w:tc>
              <w:tc>
                <w:tcPr>
                  <w:tcW w:w="1161" w:type="pct"/>
                  <w:shd w:val="clear" w:color="auto" w:fill="auto"/>
                  <w:vAlign w:val="center"/>
                </w:tcPr>
                <w:p w14:paraId="7992C204">
                  <w:pPr>
                    <w:pStyle w:val="106"/>
                    <w:bidi w:val="0"/>
                    <w:rPr>
                      <w:rFonts w:hint="eastAsia"/>
                      <w:lang w:val="en-US" w:eastAsia="zh-CN"/>
                    </w:rPr>
                  </w:pPr>
                  <w:r>
                    <w:rPr>
                      <w:rFonts w:hint="eastAsia"/>
                      <w:lang w:val="en-US" w:eastAsia="zh-CN"/>
                    </w:rPr>
                    <w:t>空压机</w:t>
                  </w:r>
                </w:p>
              </w:tc>
              <w:tc>
                <w:tcPr>
                  <w:tcW w:w="436" w:type="pct"/>
                  <w:shd w:val="clear" w:color="auto" w:fill="auto"/>
                  <w:vAlign w:val="center"/>
                </w:tcPr>
                <w:p w14:paraId="7F299A93">
                  <w:pPr>
                    <w:pStyle w:val="106"/>
                    <w:bidi w:val="0"/>
                    <w:rPr>
                      <w:rFonts w:hint="default"/>
                      <w:lang w:val="en-US" w:eastAsia="zh-CN"/>
                    </w:rPr>
                  </w:pPr>
                  <w:r>
                    <w:rPr>
                      <w:rFonts w:hint="eastAsia"/>
                      <w:lang w:val="en-US" w:eastAsia="zh-CN"/>
                    </w:rPr>
                    <w:t>2</w:t>
                  </w:r>
                </w:p>
              </w:tc>
              <w:tc>
                <w:tcPr>
                  <w:tcW w:w="694" w:type="pct"/>
                  <w:shd w:val="clear" w:color="auto" w:fill="auto"/>
                  <w:vAlign w:val="center"/>
                </w:tcPr>
                <w:p w14:paraId="65159410">
                  <w:pPr>
                    <w:pStyle w:val="106"/>
                    <w:bidi w:val="0"/>
                    <w:rPr>
                      <w:rFonts w:hint="default"/>
                      <w:lang w:val="en-US" w:eastAsia="zh-CN"/>
                    </w:rPr>
                  </w:pPr>
                  <w:r>
                    <w:rPr>
                      <w:rFonts w:hint="eastAsia"/>
                      <w:lang w:val="en-US" w:eastAsia="zh-CN"/>
                    </w:rPr>
                    <w:t>80</w:t>
                  </w:r>
                </w:p>
              </w:tc>
              <w:tc>
                <w:tcPr>
                  <w:tcW w:w="1818" w:type="pct"/>
                  <w:shd w:val="clear" w:color="auto" w:fill="auto"/>
                  <w:vAlign w:val="center"/>
                </w:tcPr>
                <w:p w14:paraId="1AB16953">
                  <w:pPr>
                    <w:pStyle w:val="106"/>
                    <w:bidi w:val="0"/>
                    <w:rPr>
                      <w:rFonts w:hint="default"/>
                      <w:lang w:val="en-US" w:eastAsia="zh-CN"/>
                    </w:rPr>
                  </w:pPr>
                  <w:r>
                    <w:rPr>
                      <w:rFonts w:hint="default"/>
                      <w:lang w:val="en-US" w:eastAsia="zh-CN"/>
                    </w:rPr>
                    <w:t>选用低噪声设备</w:t>
                  </w:r>
                  <w:r>
                    <w:rPr>
                      <w:rFonts w:hint="eastAsia"/>
                      <w:lang w:val="en-US" w:eastAsia="zh-CN"/>
                    </w:rPr>
                    <w:t>、安装消声器</w:t>
                  </w:r>
                </w:p>
              </w:tc>
              <w:tc>
                <w:tcPr>
                  <w:tcW w:w="499" w:type="pct"/>
                  <w:tcBorders>
                    <w:right w:val="nil"/>
                  </w:tcBorders>
                  <w:shd w:val="clear" w:color="auto" w:fill="auto"/>
                  <w:vAlign w:val="center"/>
                </w:tcPr>
                <w:p w14:paraId="16F54013">
                  <w:pPr>
                    <w:pStyle w:val="106"/>
                    <w:bidi w:val="0"/>
                    <w:rPr>
                      <w:rFonts w:hint="eastAsia"/>
                      <w:lang w:val="en-US" w:eastAsia="zh-CN"/>
                    </w:rPr>
                  </w:pPr>
                  <w:r>
                    <w:rPr>
                      <w:rFonts w:hint="eastAsia"/>
                      <w:lang w:val="en-US" w:eastAsia="zh-CN"/>
                    </w:rPr>
                    <w:t>80</w:t>
                  </w:r>
                </w:p>
              </w:tc>
            </w:tr>
            <w:tr w14:paraId="13CC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tcBorders>
                    <w:left w:val="nil"/>
                    <w:bottom w:val="single" w:color="auto" w:sz="12" w:space="0"/>
                  </w:tcBorders>
                  <w:shd w:val="clear" w:color="auto" w:fill="auto"/>
                  <w:vAlign w:val="center"/>
                </w:tcPr>
                <w:p w14:paraId="226CFE00">
                  <w:pPr>
                    <w:pStyle w:val="106"/>
                    <w:bidi w:val="0"/>
                    <w:rPr>
                      <w:rFonts w:hint="eastAsia"/>
                      <w:lang w:val="en-US" w:eastAsia="zh-CN"/>
                    </w:rPr>
                  </w:pPr>
                  <w:r>
                    <w:rPr>
                      <w:rFonts w:hint="eastAsia"/>
                      <w:lang w:val="en-US" w:eastAsia="zh-CN"/>
                    </w:rPr>
                    <w:t>48</w:t>
                  </w:r>
                </w:p>
              </w:tc>
              <w:tc>
                <w:tcPr>
                  <w:tcW w:w="1161" w:type="pct"/>
                  <w:tcBorders>
                    <w:bottom w:val="single" w:color="auto" w:sz="12" w:space="0"/>
                  </w:tcBorders>
                  <w:shd w:val="clear" w:color="auto" w:fill="auto"/>
                  <w:vAlign w:val="center"/>
                </w:tcPr>
                <w:p w14:paraId="382777E4">
                  <w:pPr>
                    <w:pStyle w:val="106"/>
                    <w:bidi w:val="0"/>
                    <w:rPr>
                      <w:rFonts w:hint="eastAsia"/>
                      <w:lang w:val="en-US" w:eastAsia="zh-CN"/>
                    </w:rPr>
                  </w:pPr>
                  <w:r>
                    <w:rPr>
                      <w:rFonts w:hint="eastAsia"/>
                      <w:lang w:val="en-US" w:eastAsia="zh-CN"/>
                    </w:rPr>
                    <w:t>风机</w:t>
                  </w:r>
                </w:p>
              </w:tc>
              <w:tc>
                <w:tcPr>
                  <w:tcW w:w="436" w:type="pct"/>
                  <w:tcBorders>
                    <w:bottom w:val="single" w:color="auto" w:sz="12" w:space="0"/>
                  </w:tcBorders>
                  <w:shd w:val="clear" w:color="auto" w:fill="auto"/>
                  <w:vAlign w:val="center"/>
                </w:tcPr>
                <w:p w14:paraId="1EC602BA">
                  <w:pPr>
                    <w:pStyle w:val="106"/>
                    <w:bidi w:val="0"/>
                    <w:rPr>
                      <w:rFonts w:hint="default"/>
                      <w:lang w:val="en-US" w:eastAsia="zh-CN"/>
                    </w:rPr>
                  </w:pPr>
                  <w:r>
                    <w:rPr>
                      <w:rFonts w:hint="eastAsia"/>
                      <w:lang w:val="en-US" w:eastAsia="zh-CN"/>
                    </w:rPr>
                    <w:t>1</w:t>
                  </w:r>
                </w:p>
              </w:tc>
              <w:tc>
                <w:tcPr>
                  <w:tcW w:w="694" w:type="pct"/>
                  <w:tcBorders>
                    <w:bottom w:val="single" w:color="auto" w:sz="12" w:space="0"/>
                  </w:tcBorders>
                  <w:shd w:val="clear" w:color="auto" w:fill="auto"/>
                  <w:vAlign w:val="center"/>
                </w:tcPr>
                <w:p w14:paraId="59AB2947">
                  <w:pPr>
                    <w:pStyle w:val="106"/>
                    <w:bidi w:val="0"/>
                    <w:rPr>
                      <w:rFonts w:hint="default"/>
                      <w:lang w:val="en-US" w:eastAsia="zh-CN"/>
                    </w:rPr>
                  </w:pPr>
                  <w:r>
                    <w:rPr>
                      <w:rFonts w:hint="eastAsia"/>
                      <w:lang w:val="en-US" w:eastAsia="zh-CN"/>
                    </w:rPr>
                    <w:t>79.5</w:t>
                  </w:r>
                </w:p>
              </w:tc>
              <w:tc>
                <w:tcPr>
                  <w:tcW w:w="1818" w:type="pct"/>
                  <w:tcBorders>
                    <w:bottom w:val="single" w:color="auto" w:sz="12" w:space="0"/>
                  </w:tcBorders>
                  <w:shd w:val="clear" w:color="auto" w:fill="auto"/>
                  <w:vAlign w:val="center"/>
                </w:tcPr>
                <w:p w14:paraId="421BFCDA">
                  <w:pPr>
                    <w:pStyle w:val="106"/>
                    <w:bidi w:val="0"/>
                    <w:rPr>
                      <w:rFonts w:hint="default"/>
                      <w:lang w:val="en-US" w:eastAsia="zh-CN"/>
                    </w:rPr>
                  </w:pPr>
                  <w:r>
                    <w:rPr>
                      <w:rFonts w:hint="default"/>
                      <w:lang w:val="en-US" w:eastAsia="zh-CN"/>
                    </w:rPr>
                    <w:t>选用低噪声设备、风管安装消声器</w:t>
                  </w:r>
                </w:p>
              </w:tc>
              <w:tc>
                <w:tcPr>
                  <w:tcW w:w="499" w:type="pct"/>
                  <w:tcBorders>
                    <w:bottom w:val="single" w:color="auto" w:sz="12" w:space="0"/>
                    <w:right w:val="nil"/>
                  </w:tcBorders>
                  <w:shd w:val="clear" w:color="auto" w:fill="auto"/>
                  <w:vAlign w:val="center"/>
                </w:tcPr>
                <w:p w14:paraId="1C453912">
                  <w:pPr>
                    <w:pStyle w:val="106"/>
                    <w:bidi w:val="0"/>
                    <w:rPr>
                      <w:rFonts w:hint="eastAsia"/>
                      <w:lang w:val="en-US" w:eastAsia="zh-CN"/>
                    </w:rPr>
                  </w:pPr>
                  <w:r>
                    <w:rPr>
                      <w:rFonts w:hint="eastAsia"/>
                      <w:lang w:val="en-US" w:eastAsia="zh-CN"/>
                    </w:rPr>
                    <w:t>69.5</w:t>
                  </w:r>
                </w:p>
              </w:tc>
            </w:tr>
          </w:tbl>
          <w:p w14:paraId="21866D02">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157" w:beforeLines="50" w:line="360" w:lineRule="auto"/>
              <w:ind w:leftChars="0" w:firstLine="482" w:firstLineChars="20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（3）噪声源强调查清单参数</w:t>
            </w:r>
          </w:p>
          <w:p w14:paraId="0B35B5FB">
            <w:pPr>
              <w:pStyle w:val="113"/>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cs="Times New Roman"/>
                <w:color w:val="auto"/>
                <w:highlight w:val="none"/>
                <w:lang w:val="en-US" w:eastAsia="zh-CN"/>
              </w:rPr>
            </w:pPr>
            <w:r>
              <w:rPr>
                <w:rFonts w:hint="eastAsia" w:cs="Times New Roman"/>
                <w:color w:val="auto"/>
                <w:highlight w:val="none"/>
                <w:lang w:val="en-US" w:eastAsia="zh-CN"/>
              </w:rPr>
              <w:t>根据《环境影响评价技术导则 声环境》（HJ2.4-2021）附录B的公式计算设备噪声的室内边界及室外建筑噪声。</w:t>
            </w:r>
          </w:p>
          <w:p w14:paraId="0756411D">
            <w:pPr>
              <w:pStyle w:val="113"/>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highlight w:val="none"/>
                <w:lang w:val="en-US" w:eastAsia="zh-CN"/>
              </w:rPr>
              <w:t>室内边界声级</w:t>
            </w:r>
            <w:r>
              <w:rPr>
                <w:rFonts w:hint="eastAsia" w:ascii="Times New Roman" w:hAnsi="Times New Roman" w:cs="Times New Roman"/>
                <w:b/>
                <w:bCs/>
                <w:color w:val="auto"/>
                <w:sz w:val="24"/>
                <w:szCs w:val="24"/>
                <w:highlight w:val="none"/>
                <w:lang w:val="en-US" w:eastAsia="zh-CN"/>
              </w:rPr>
              <w:t>计算公式</w:t>
            </w:r>
          </w:p>
          <w:p w14:paraId="3566D180">
            <w:pPr>
              <w:pStyle w:val="113"/>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rPr>
                <w:rFonts w:hint="eastAsia" w:ascii="Times New Roman" w:hAnsi="Times New Roman" w:eastAsia="宋体" w:cs="Times New Roman"/>
                <w:color w:val="auto"/>
                <w:spacing w:val="0"/>
                <w:kern w:val="21"/>
                <w:sz w:val="24"/>
                <w:szCs w:val="24"/>
                <w:highlight w:val="none"/>
                <w:u w:val="none"/>
                <w:lang w:val="en-US" w:eastAsia="zh-CN"/>
              </w:rPr>
            </w:pPr>
            <w:r>
              <w:rPr>
                <w:rFonts w:hint="eastAsia" w:ascii="Times New Roman" w:hAnsi="Times New Roman" w:eastAsia="宋体" w:cs="Times New Roman"/>
                <w:color w:val="auto"/>
                <w:spacing w:val="0"/>
                <w:kern w:val="21"/>
                <w:sz w:val="24"/>
                <w:szCs w:val="24"/>
                <w:highlight w:val="none"/>
                <w:u w:val="none"/>
                <w:lang w:val="en-US" w:eastAsia="zh-CN"/>
              </w:rPr>
              <w:t>计算某一室内声源靠近围护结构处产生的倍频带声压级或</w:t>
            </w:r>
            <w:r>
              <w:rPr>
                <w:rFonts w:hint="default" w:ascii="Times New Roman" w:hAnsi="Times New Roman" w:eastAsia="宋体" w:cs="Times New Roman"/>
                <w:color w:val="auto"/>
                <w:spacing w:val="0"/>
                <w:kern w:val="21"/>
                <w:sz w:val="24"/>
                <w:szCs w:val="24"/>
                <w:highlight w:val="none"/>
                <w:u w:val="none"/>
                <w:lang w:val="en-US" w:eastAsia="zh-CN"/>
              </w:rPr>
              <w:t>A</w:t>
            </w:r>
            <w:r>
              <w:rPr>
                <w:rFonts w:hint="eastAsia" w:ascii="Times New Roman" w:hAnsi="Times New Roman" w:eastAsia="宋体" w:cs="Times New Roman"/>
                <w:color w:val="auto"/>
                <w:spacing w:val="0"/>
                <w:kern w:val="21"/>
                <w:sz w:val="24"/>
                <w:szCs w:val="24"/>
                <w:highlight w:val="none"/>
                <w:u w:val="none"/>
                <w:lang w:val="en-US" w:eastAsia="zh-CN"/>
              </w:rPr>
              <w:t>声级</w:t>
            </w:r>
            <w:r>
              <w:rPr>
                <w:rFonts w:hint="eastAsia" w:ascii="Times New Roman" w:hAnsi="Times New Roman" w:cs="Times New Roman"/>
                <w:color w:val="auto"/>
                <w:spacing w:val="0"/>
                <w:kern w:val="21"/>
                <w:sz w:val="24"/>
                <w:szCs w:val="24"/>
                <w:highlight w:val="none"/>
                <w:u w:val="none"/>
                <w:lang w:val="en-US" w:eastAsia="zh-CN"/>
              </w:rPr>
              <w:t>的公式如下</w:t>
            </w:r>
            <w:r>
              <w:rPr>
                <w:rFonts w:hint="eastAsia" w:ascii="Times New Roman" w:hAnsi="Times New Roman" w:eastAsia="宋体" w:cs="Times New Roman"/>
                <w:color w:val="auto"/>
                <w:spacing w:val="0"/>
                <w:kern w:val="21"/>
                <w:sz w:val="24"/>
                <w:szCs w:val="24"/>
                <w:highlight w:val="none"/>
                <w:u w:val="none"/>
                <w:lang w:val="en-US" w:eastAsia="zh-CN"/>
              </w:rPr>
              <w:t>：</w:t>
            </w:r>
          </w:p>
          <w:p w14:paraId="4009FFAF">
            <w:pPr>
              <w:pStyle w:val="113"/>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cs="Times New Roman"/>
                <w:color w:val="auto"/>
                <w:highlight w:val="none"/>
                <w:lang w:eastAsia="zh-CN"/>
              </w:rPr>
            </w:pPr>
            <w:r>
              <w:rPr>
                <w:color w:val="auto"/>
                <w:highlight w:val="none"/>
              </w:rPr>
              <w:drawing>
                <wp:inline distT="0" distB="0" distL="114300" distR="114300">
                  <wp:extent cx="2105025" cy="546100"/>
                  <wp:effectExtent l="0" t="0" r="9525" b="635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0"/>
                          <a:stretch>
                            <a:fillRect/>
                          </a:stretch>
                        </pic:blipFill>
                        <pic:spPr>
                          <a:xfrm>
                            <a:off x="0" y="0"/>
                            <a:ext cx="2105025" cy="546100"/>
                          </a:xfrm>
                          <a:prstGeom prst="rect">
                            <a:avLst/>
                          </a:prstGeom>
                          <a:noFill/>
                          <a:ln>
                            <a:noFill/>
                          </a:ln>
                        </pic:spPr>
                      </pic:pic>
                    </a:graphicData>
                  </a:graphic>
                </wp:inline>
              </w:drawing>
            </w:r>
          </w:p>
          <w:p w14:paraId="69FF783A">
            <w:pPr>
              <w:pStyle w:val="17"/>
              <w:keepNext w:val="0"/>
              <w:keepLines w:val="0"/>
              <w:pageBreakBefore w:val="0"/>
              <w:kinsoku/>
              <w:wordWrap/>
              <w:overflowPunct/>
              <w:topLinePunct w:val="0"/>
              <w:autoSpaceDE/>
              <w:autoSpaceDN/>
              <w:bidi w:val="0"/>
              <w:adjustRightInd w:val="0"/>
              <w:snapToGrid w:val="0"/>
              <w:spacing w:before="0" w:after="0" w:line="360" w:lineRule="auto"/>
              <w:ind w:left="277"/>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式中：L</w:t>
            </w:r>
            <w:r>
              <w:rPr>
                <w:rFonts w:hint="eastAsia" w:ascii="Times New Roman" w:hAnsi="Times New Roman" w:eastAsia="宋体" w:cs="Times New Roman"/>
                <w:color w:val="auto"/>
                <w:kern w:val="2"/>
                <w:sz w:val="24"/>
                <w:szCs w:val="24"/>
                <w:highlight w:val="none"/>
                <w:vertAlign w:val="subscript"/>
                <w:lang w:val="en-US" w:eastAsia="zh-CN" w:bidi="ar-SA"/>
              </w:rPr>
              <w:t>p1</w:t>
            </w:r>
            <w:r>
              <w:rPr>
                <w:rFonts w:hint="eastAsia" w:ascii="Times New Roman" w:hAnsi="Times New Roman" w:eastAsia="宋体" w:cs="Times New Roman"/>
                <w:color w:val="auto"/>
                <w:kern w:val="2"/>
                <w:sz w:val="24"/>
                <w:szCs w:val="24"/>
                <w:highlight w:val="none"/>
                <w:lang w:val="en-US" w:eastAsia="zh-CN" w:bidi="ar-SA"/>
              </w:rPr>
              <w:t>——靠近开口处（或窗户）室内某倍频带的声压级或A声级，dB；</w:t>
            </w:r>
          </w:p>
          <w:p w14:paraId="149221E9">
            <w:pPr>
              <w:pStyle w:val="17"/>
              <w:keepNext w:val="0"/>
              <w:keepLines w:val="0"/>
              <w:pageBreakBefore w:val="0"/>
              <w:widowControl/>
              <w:kinsoku/>
              <w:wordWrap/>
              <w:overflowPunct/>
              <w:topLinePunct w:val="0"/>
              <w:autoSpaceDE/>
              <w:autoSpaceDN/>
              <w:bidi w:val="0"/>
              <w:adjustRightInd w:val="0"/>
              <w:snapToGrid w:val="0"/>
              <w:spacing w:before="0" w:after="0" w:line="360" w:lineRule="auto"/>
              <w:ind w:right="0" w:firstLine="1440" w:firstLineChars="6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Q——指向性因数；通常对无指向性声源，当声源放在房间中心时，Q=1；当放在一面墙的中心时，Q=2；当放在两面墙夹角处时，Q=4；当放在三面墙夹角处时，Q=8；</w:t>
            </w:r>
          </w:p>
          <w:p w14:paraId="65897C26">
            <w:pPr>
              <w:keepNext w:val="0"/>
              <w:keepLines w:val="0"/>
              <w:pageBreakBefore w:val="0"/>
              <w:widowControl w:val="0"/>
              <w:kinsoku/>
              <w:wordWrap/>
              <w:overflowPunct/>
              <w:topLinePunct w:val="0"/>
              <w:autoSpaceDE/>
              <w:autoSpaceDN/>
              <w:bidi w:val="0"/>
              <w:adjustRightInd w:val="0"/>
              <w:snapToGrid w:val="0"/>
              <w:spacing w:line="360" w:lineRule="auto"/>
              <w:ind w:left="0" w:right="0" w:firstLine="1440" w:firstLineChars="6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R——房间常数；R=Sa/（1-a），S为房间内表面面积，m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；α为平均吸声系数；</w:t>
            </w:r>
          </w:p>
          <w:p w14:paraId="58F480B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440" w:firstLineChars="6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r——</w:t>
            </w:r>
            <w:r>
              <w:rPr>
                <w:rFonts w:hint="eastAsia" w:ascii="Times New Roman" w:hAnsi="Times New Roman" w:eastAsia="宋体" w:cs="Times New Roman"/>
                <w:color w:val="auto"/>
                <w:kern w:val="2"/>
                <w:sz w:val="24"/>
                <w:szCs w:val="24"/>
                <w:highlight w:val="none"/>
                <w:lang w:val="en-US" w:eastAsia="zh-CN" w:bidi="ar-SA"/>
              </w:rPr>
              <w:t>声源到靠近围护结构某点处的距离，</w:t>
            </w:r>
            <w:r>
              <w:rPr>
                <w:rFonts w:hint="default"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lang w:val="en-US" w:eastAsia="zh-CN" w:bidi="ar-SA"/>
              </w:rPr>
              <w:t>。</w:t>
            </w:r>
          </w:p>
          <w:p w14:paraId="369F96A6">
            <w:pPr>
              <w:pStyle w:val="27"/>
              <w:keepNext w:val="0"/>
              <w:keepLines w:val="0"/>
              <w:pageBreakBefore w:val="0"/>
              <w:widowControl/>
              <w:kinsoku/>
              <w:wordWrap/>
              <w:overflowPunct/>
              <w:topLinePunct w:val="0"/>
              <w:autoSpaceDE w:val="0"/>
              <w:autoSpaceDN w:val="0"/>
              <w:bidi w:val="0"/>
              <w:adjustRightInd/>
              <w:snapToGrid w:val="0"/>
              <w:spacing w:before="0" w:after="0" w:line="360" w:lineRule="auto"/>
              <w:ind w:right="0" w:firstLine="1440" w:firstLineChars="6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Lw——点声源声功率级（A计权或倍频带），dB；</w:t>
            </w:r>
          </w:p>
          <w:p w14:paraId="6189B4FA">
            <w:pPr>
              <w:adjustRightInd w:val="0"/>
              <w:snapToGrid w:val="0"/>
              <w:ind w:firstLine="482"/>
              <w:rPr>
                <w:rFonts w:hint="eastAsia"/>
                <w:b/>
                <w:bCs/>
                <w:color w:val="auto"/>
                <w:sz w:val="24"/>
                <w:highlight w:val="none"/>
              </w:rPr>
            </w:pPr>
            <w:r>
              <w:rPr>
                <w:rFonts w:hint="eastAsia" w:cs="Times New Roman"/>
                <w:color w:val="auto"/>
                <w:spacing w:val="0"/>
                <w:kern w:val="21"/>
                <w:sz w:val="24"/>
                <w:szCs w:val="24"/>
                <w:highlight w:val="none"/>
                <w:u w:val="none"/>
                <w:lang w:val="en-US" w:eastAsia="zh-CN"/>
              </w:rPr>
              <w:t>本项目生产车间厂房为彩钢板，参考《环境工程手册 环境噪声控制卷》（2000年）中表4-1常用建筑材料类的吸声系数，本项目彩钢板吸声系数取值0.03；地面为混凝土，其参数取值见下表：</w:t>
            </w:r>
          </w:p>
          <w:p w14:paraId="6A84C0E5">
            <w:pPr>
              <w:pStyle w:val="14"/>
              <w:rPr>
                <w:rFonts w:hint="default" w:eastAsia="宋体"/>
                <w:color w:val="auto"/>
                <w:highlight w:val="none"/>
                <w:lang w:val="en-US" w:eastAsia="zh-CN"/>
              </w:rPr>
            </w:pPr>
            <w:r>
              <w:rPr>
                <w:color w:val="auto"/>
                <w:highlight w:val="none"/>
              </w:rPr>
              <w:t xml:space="preserve">表4- </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15</w:t>
            </w:r>
            <w:r>
              <w:rPr>
                <w:color w:val="auto"/>
                <w:highlight w:val="none"/>
              </w:rPr>
              <w:fldChar w:fldCharType="end"/>
            </w:r>
            <w:r>
              <w:rPr>
                <w:rFonts w:hint="eastAsia"/>
                <w:color w:val="auto"/>
                <w:highlight w:val="none"/>
                <w:lang w:val="en-US" w:eastAsia="zh-CN"/>
              </w:rPr>
              <w:t xml:space="preserve">  本项目噪声计算参数</w:t>
            </w:r>
          </w:p>
          <w:tbl>
            <w:tblPr>
              <w:tblStyle w:val="28"/>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344"/>
              <w:gridCol w:w="1462"/>
              <w:gridCol w:w="1602"/>
              <w:gridCol w:w="1845"/>
              <w:gridCol w:w="1261"/>
            </w:tblGrid>
            <w:tr w14:paraId="68B10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47" w:type="dxa"/>
                  <w:gridSpan w:val="2"/>
                  <w:tcBorders>
                    <w:tl2br w:val="nil"/>
                    <w:tr2bl w:val="nil"/>
                  </w:tcBorders>
                  <w:noWrap/>
                  <w:vAlign w:val="center"/>
                </w:tcPr>
                <w:p w14:paraId="3A5294C4">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b/>
                      <w:bCs w:val="0"/>
                      <w:i w:val="0"/>
                      <w:iCs w:val="0"/>
                      <w:color w:val="auto"/>
                      <w:sz w:val="21"/>
                      <w:szCs w:val="21"/>
                      <w:highlight w:val="none"/>
                      <w:u w:val="none"/>
                    </w:rPr>
                  </w:pPr>
                  <w:r>
                    <w:rPr>
                      <w:rFonts w:hint="default" w:ascii="Times New Roman" w:hAnsi="Times New Roman" w:eastAsia="宋体" w:cs="Times New Roman"/>
                      <w:b/>
                      <w:bCs w:val="0"/>
                      <w:i w:val="0"/>
                      <w:iCs w:val="0"/>
                      <w:color w:val="auto"/>
                      <w:kern w:val="0"/>
                      <w:sz w:val="21"/>
                      <w:szCs w:val="21"/>
                      <w:highlight w:val="none"/>
                      <w:u w:val="none"/>
                      <w:lang w:val="en-US" w:eastAsia="zh-CN" w:bidi="ar"/>
                    </w:rPr>
                    <w:t>a吸声系数</w:t>
                  </w:r>
                </w:p>
              </w:tc>
              <w:tc>
                <w:tcPr>
                  <w:tcW w:w="3060" w:type="dxa"/>
                  <w:gridSpan w:val="2"/>
                  <w:tcBorders>
                    <w:tl2br w:val="nil"/>
                    <w:tr2bl w:val="nil"/>
                  </w:tcBorders>
                  <w:noWrap/>
                  <w:vAlign w:val="center"/>
                </w:tcPr>
                <w:p w14:paraId="1DE7F740">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b/>
                      <w:bCs w:val="0"/>
                      <w:i w:val="0"/>
                      <w:iCs w:val="0"/>
                      <w:color w:val="auto"/>
                      <w:sz w:val="21"/>
                      <w:szCs w:val="21"/>
                      <w:highlight w:val="none"/>
                      <w:u w:val="none"/>
                    </w:rPr>
                  </w:pPr>
                  <w:r>
                    <w:rPr>
                      <w:rFonts w:hint="default" w:ascii="Times New Roman" w:hAnsi="Times New Roman" w:eastAsia="宋体" w:cs="Times New Roman"/>
                      <w:b/>
                      <w:bCs w:val="0"/>
                      <w:i w:val="0"/>
                      <w:iCs w:val="0"/>
                      <w:color w:val="auto"/>
                      <w:kern w:val="0"/>
                      <w:sz w:val="21"/>
                      <w:szCs w:val="21"/>
                      <w:highlight w:val="none"/>
                      <w:u w:val="none"/>
                      <w:lang w:val="en-US" w:eastAsia="zh-CN" w:bidi="ar"/>
                    </w:rPr>
                    <w:t>S房间表面积</w:t>
                  </w:r>
                </w:p>
              </w:tc>
              <w:tc>
                <w:tcPr>
                  <w:tcW w:w="1843" w:type="dxa"/>
                  <w:tcBorders>
                    <w:tl2br w:val="nil"/>
                    <w:tr2bl w:val="nil"/>
                  </w:tcBorders>
                  <w:noWrap/>
                  <w:vAlign w:val="center"/>
                </w:tcPr>
                <w:p w14:paraId="108A4FE7">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eastAsia" w:ascii="Times New Roman" w:hAnsi="Times New Roman" w:eastAsia="宋体" w:cs="Times New Roman"/>
                      <w:b/>
                      <w:bCs w:val="0"/>
                      <w:i w:val="0"/>
                      <w:iCs w:val="0"/>
                      <w:color w:val="auto"/>
                      <w:sz w:val="21"/>
                      <w:szCs w:val="21"/>
                      <w:highlight w:val="none"/>
                      <w:u w:val="none"/>
                      <w:lang w:val="en-US" w:eastAsia="zh-CN"/>
                    </w:rPr>
                  </w:pPr>
                  <w:r>
                    <w:rPr>
                      <w:rFonts w:hint="eastAsia" w:cs="Times New Roman"/>
                      <w:b/>
                      <w:bCs w:val="0"/>
                      <w:i w:val="0"/>
                      <w:iCs w:val="0"/>
                      <w:color w:val="auto"/>
                      <w:sz w:val="21"/>
                      <w:szCs w:val="21"/>
                      <w:highlight w:val="none"/>
                      <w:u w:val="none"/>
                      <w:lang w:val="en-US" w:eastAsia="zh-CN"/>
                    </w:rPr>
                    <w:t>平均吸声系数</w:t>
                  </w:r>
                </w:p>
              </w:tc>
              <w:tc>
                <w:tcPr>
                  <w:tcW w:w="1260" w:type="dxa"/>
                  <w:tcBorders>
                    <w:tl2br w:val="nil"/>
                    <w:tr2bl w:val="nil"/>
                  </w:tcBorders>
                  <w:noWrap/>
                  <w:vAlign w:val="center"/>
                </w:tcPr>
                <w:p w14:paraId="0CE76F02">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b/>
                      <w:bCs w:val="0"/>
                      <w:i w:val="0"/>
                      <w:iCs w:val="0"/>
                      <w:color w:val="auto"/>
                      <w:sz w:val="21"/>
                      <w:szCs w:val="21"/>
                      <w:highlight w:val="none"/>
                      <w:u w:val="none"/>
                    </w:rPr>
                  </w:pPr>
                  <w:r>
                    <w:rPr>
                      <w:rFonts w:hint="default" w:ascii="Times New Roman" w:hAnsi="Times New Roman" w:eastAsia="宋体" w:cs="Times New Roman"/>
                      <w:b/>
                      <w:bCs w:val="0"/>
                      <w:i w:val="0"/>
                      <w:iCs w:val="0"/>
                      <w:color w:val="auto"/>
                      <w:kern w:val="0"/>
                      <w:sz w:val="21"/>
                      <w:szCs w:val="21"/>
                      <w:highlight w:val="none"/>
                      <w:u w:val="none"/>
                      <w:lang w:val="en-US" w:eastAsia="zh-CN" w:bidi="ar"/>
                    </w:rPr>
                    <w:t>房间常数</w:t>
                  </w:r>
                </w:p>
              </w:tc>
            </w:tr>
            <w:tr w14:paraId="79A1C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210" w:type="dxa"/>
                  <w:gridSpan w:val="6"/>
                  <w:tcBorders>
                    <w:tl2br w:val="nil"/>
                    <w:tr2bl w:val="nil"/>
                  </w:tcBorders>
                  <w:noWrap/>
                  <w:vAlign w:val="center"/>
                </w:tcPr>
                <w:p w14:paraId="221B97F1">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一车间</w:t>
                  </w:r>
                </w:p>
              </w:tc>
            </w:tr>
            <w:tr w14:paraId="14092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4" w:type="dxa"/>
                  <w:tcBorders>
                    <w:tl2br w:val="nil"/>
                    <w:tr2bl w:val="nil"/>
                  </w:tcBorders>
                  <w:noWrap/>
                  <w:vAlign w:val="center"/>
                </w:tcPr>
                <w:p w14:paraId="21EB2598">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顶面</w:t>
                  </w:r>
                </w:p>
              </w:tc>
              <w:tc>
                <w:tcPr>
                  <w:tcW w:w="1343" w:type="dxa"/>
                  <w:tcBorders>
                    <w:tl2br w:val="nil"/>
                    <w:tr2bl w:val="nil"/>
                  </w:tcBorders>
                  <w:noWrap/>
                  <w:vAlign w:val="center"/>
                </w:tcPr>
                <w:p w14:paraId="1E14D671">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3</w:t>
                  </w:r>
                </w:p>
              </w:tc>
              <w:tc>
                <w:tcPr>
                  <w:tcW w:w="1460" w:type="dxa"/>
                  <w:tcBorders>
                    <w:tl2br w:val="nil"/>
                    <w:tr2bl w:val="nil"/>
                  </w:tcBorders>
                  <w:noWrap/>
                  <w:vAlign w:val="center"/>
                </w:tcPr>
                <w:p w14:paraId="5779D73E">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顶棚</w:t>
                  </w:r>
                </w:p>
              </w:tc>
              <w:tc>
                <w:tcPr>
                  <w:tcW w:w="1600" w:type="dxa"/>
                  <w:tcBorders>
                    <w:tl2br w:val="nil"/>
                    <w:tr2bl w:val="nil"/>
                  </w:tcBorders>
                  <w:noWrap/>
                  <w:vAlign w:val="center"/>
                </w:tcPr>
                <w:p w14:paraId="0D66F3D7">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8964</w:t>
                  </w:r>
                </w:p>
              </w:tc>
              <w:tc>
                <w:tcPr>
                  <w:tcW w:w="1843" w:type="dxa"/>
                  <w:vMerge w:val="restart"/>
                  <w:tcBorders>
                    <w:tl2br w:val="nil"/>
                    <w:tr2bl w:val="nil"/>
                  </w:tcBorders>
                  <w:noWrap/>
                  <w:vAlign w:val="center"/>
                </w:tcPr>
                <w:p w14:paraId="0B2A3892">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0.046</w:t>
                  </w:r>
                </w:p>
              </w:tc>
              <w:tc>
                <w:tcPr>
                  <w:tcW w:w="1260" w:type="dxa"/>
                  <w:vMerge w:val="restart"/>
                  <w:tcBorders>
                    <w:tl2br w:val="nil"/>
                    <w:tr2bl w:val="nil"/>
                  </w:tcBorders>
                  <w:noWrap/>
                  <w:vAlign w:val="center"/>
                </w:tcPr>
                <w:p w14:paraId="7E07FAD5">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1066.66</w:t>
                  </w:r>
                </w:p>
              </w:tc>
            </w:tr>
            <w:tr w14:paraId="256E0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4" w:type="dxa"/>
                  <w:tcBorders>
                    <w:tl2br w:val="nil"/>
                    <w:tr2bl w:val="nil"/>
                  </w:tcBorders>
                  <w:noWrap/>
                  <w:vAlign w:val="center"/>
                </w:tcPr>
                <w:p w14:paraId="3A62A8A8">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墙面</w:t>
                  </w:r>
                </w:p>
              </w:tc>
              <w:tc>
                <w:tcPr>
                  <w:tcW w:w="1343" w:type="dxa"/>
                  <w:tcBorders>
                    <w:tl2br w:val="nil"/>
                    <w:tr2bl w:val="nil"/>
                  </w:tcBorders>
                  <w:noWrap/>
                  <w:vAlign w:val="center"/>
                </w:tcPr>
                <w:p w14:paraId="6868423D">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0.03</w:t>
                  </w:r>
                </w:p>
              </w:tc>
              <w:tc>
                <w:tcPr>
                  <w:tcW w:w="1460" w:type="dxa"/>
                  <w:tcBorders>
                    <w:tl2br w:val="nil"/>
                    <w:tr2bl w:val="nil"/>
                  </w:tcBorders>
                  <w:noWrap/>
                  <w:vAlign w:val="center"/>
                </w:tcPr>
                <w:p w14:paraId="5FDA5141">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墙面</w:t>
                  </w:r>
                </w:p>
              </w:tc>
              <w:tc>
                <w:tcPr>
                  <w:tcW w:w="1600" w:type="dxa"/>
                  <w:tcBorders>
                    <w:tl2br w:val="nil"/>
                    <w:tr2bl w:val="nil"/>
                  </w:tcBorders>
                  <w:noWrap/>
                  <w:vAlign w:val="center"/>
                </w:tcPr>
                <w:p w14:paraId="04377ACF">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4028</w:t>
                  </w:r>
                </w:p>
              </w:tc>
              <w:tc>
                <w:tcPr>
                  <w:tcW w:w="1843" w:type="dxa"/>
                  <w:vMerge w:val="continue"/>
                  <w:tcBorders>
                    <w:tl2br w:val="nil"/>
                    <w:tr2bl w:val="nil"/>
                  </w:tcBorders>
                  <w:noWrap/>
                  <w:vAlign w:val="center"/>
                </w:tcPr>
                <w:p w14:paraId="0F8D0F66">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260" w:type="dxa"/>
                  <w:vMerge w:val="continue"/>
                  <w:tcBorders>
                    <w:tl2br w:val="nil"/>
                    <w:tr2bl w:val="nil"/>
                  </w:tcBorders>
                  <w:noWrap/>
                  <w:vAlign w:val="center"/>
                </w:tcPr>
                <w:p w14:paraId="78DA6A68">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r>
            <w:tr w14:paraId="7D1E7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4" w:type="dxa"/>
                  <w:tcBorders>
                    <w:tl2br w:val="nil"/>
                    <w:tr2bl w:val="nil"/>
                  </w:tcBorders>
                  <w:noWrap/>
                  <w:vAlign w:val="center"/>
                </w:tcPr>
                <w:p w14:paraId="61807567">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地面</w:t>
                  </w:r>
                </w:p>
              </w:tc>
              <w:tc>
                <w:tcPr>
                  <w:tcW w:w="1343" w:type="dxa"/>
                  <w:tcBorders>
                    <w:tl2br w:val="nil"/>
                    <w:tr2bl w:val="nil"/>
                  </w:tcBorders>
                  <w:noWrap/>
                  <w:vAlign w:val="center"/>
                </w:tcPr>
                <w:p w14:paraId="5E3AEFC3">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1460" w:type="dxa"/>
                  <w:tcBorders>
                    <w:tl2br w:val="nil"/>
                    <w:tr2bl w:val="nil"/>
                  </w:tcBorders>
                  <w:noWrap/>
                  <w:vAlign w:val="center"/>
                </w:tcPr>
                <w:p w14:paraId="147583B0">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地面</w:t>
                  </w:r>
                </w:p>
              </w:tc>
              <w:tc>
                <w:tcPr>
                  <w:tcW w:w="1600" w:type="dxa"/>
                  <w:tcBorders>
                    <w:tl2br w:val="nil"/>
                    <w:tr2bl w:val="nil"/>
                  </w:tcBorders>
                  <w:noWrap/>
                  <w:vAlign w:val="center"/>
                </w:tcPr>
                <w:p w14:paraId="4E8B2E51">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8964</w:t>
                  </w:r>
                </w:p>
              </w:tc>
              <w:tc>
                <w:tcPr>
                  <w:tcW w:w="1843" w:type="dxa"/>
                  <w:vMerge w:val="continue"/>
                  <w:tcBorders>
                    <w:tl2br w:val="nil"/>
                    <w:tr2bl w:val="nil"/>
                  </w:tcBorders>
                  <w:noWrap/>
                  <w:vAlign w:val="center"/>
                </w:tcPr>
                <w:p w14:paraId="73568896">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260" w:type="dxa"/>
                  <w:vMerge w:val="continue"/>
                  <w:tcBorders>
                    <w:tl2br w:val="nil"/>
                    <w:tr2bl w:val="nil"/>
                  </w:tcBorders>
                  <w:noWrap/>
                  <w:vAlign w:val="center"/>
                </w:tcPr>
                <w:p w14:paraId="5AA7491F">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r>
            <w:tr w14:paraId="37D94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210" w:type="dxa"/>
                  <w:gridSpan w:val="6"/>
                  <w:tcBorders>
                    <w:tl2br w:val="nil"/>
                    <w:tr2bl w:val="nil"/>
                  </w:tcBorders>
                  <w:noWrap/>
                  <w:vAlign w:val="center"/>
                </w:tcPr>
                <w:p w14:paraId="5CC00AE6">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二车间</w:t>
                  </w:r>
                </w:p>
              </w:tc>
            </w:tr>
            <w:tr w14:paraId="55AFA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4" w:type="dxa"/>
                  <w:tcBorders>
                    <w:tl2br w:val="nil"/>
                    <w:tr2bl w:val="nil"/>
                  </w:tcBorders>
                  <w:shd w:val="clear" w:color="auto" w:fill="auto"/>
                  <w:noWrap/>
                  <w:vAlign w:val="center"/>
                </w:tcPr>
                <w:p w14:paraId="396F4241">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顶面</w:t>
                  </w:r>
                </w:p>
              </w:tc>
              <w:tc>
                <w:tcPr>
                  <w:tcW w:w="1343" w:type="dxa"/>
                  <w:tcBorders>
                    <w:tl2br w:val="nil"/>
                    <w:tr2bl w:val="nil"/>
                  </w:tcBorders>
                  <w:shd w:val="clear" w:color="auto" w:fill="auto"/>
                  <w:noWrap/>
                  <w:vAlign w:val="center"/>
                </w:tcPr>
                <w:p w14:paraId="0D34D495">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3</w:t>
                  </w:r>
                </w:p>
              </w:tc>
              <w:tc>
                <w:tcPr>
                  <w:tcW w:w="1460" w:type="dxa"/>
                  <w:tcBorders>
                    <w:tl2br w:val="nil"/>
                    <w:tr2bl w:val="nil"/>
                  </w:tcBorders>
                  <w:shd w:val="clear" w:color="auto" w:fill="auto"/>
                  <w:noWrap/>
                  <w:vAlign w:val="center"/>
                </w:tcPr>
                <w:p w14:paraId="50A9719D">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顶棚</w:t>
                  </w:r>
                </w:p>
              </w:tc>
              <w:tc>
                <w:tcPr>
                  <w:tcW w:w="1600" w:type="dxa"/>
                  <w:tcBorders>
                    <w:tl2br w:val="nil"/>
                    <w:tr2bl w:val="nil"/>
                  </w:tcBorders>
                  <w:noWrap/>
                  <w:vAlign w:val="center"/>
                </w:tcPr>
                <w:p w14:paraId="30550336">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6370.56</w:t>
                  </w:r>
                </w:p>
              </w:tc>
              <w:tc>
                <w:tcPr>
                  <w:tcW w:w="1843" w:type="dxa"/>
                  <w:vMerge w:val="restart"/>
                  <w:tcBorders>
                    <w:tl2br w:val="nil"/>
                    <w:tr2bl w:val="nil"/>
                  </w:tcBorders>
                  <w:noWrap/>
                  <w:vAlign w:val="center"/>
                </w:tcPr>
                <w:p w14:paraId="57E86DEE">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0.044</w:t>
                  </w:r>
                </w:p>
              </w:tc>
              <w:tc>
                <w:tcPr>
                  <w:tcW w:w="1260" w:type="dxa"/>
                  <w:vMerge w:val="restart"/>
                  <w:tcBorders>
                    <w:tl2br w:val="nil"/>
                    <w:tr2bl w:val="nil"/>
                  </w:tcBorders>
                  <w:noWrap/>
                  <w:vAlign w:val="center"/>
                </w:tcPr>
                <w:p w14:paraId="79E7D19A">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lang w:val="en-US" w:eastAsia="zh-CN"/>
                    </w:rPr>
                  </w:pPr>
                  <w:r>
                    <w:rPr>
                      <w:rFonts w:hint="eastAsia" w:ascii="Times New Roman" w:hAnsi="Times New Roman" w:eastAsia="宋体" w:cs="Times New Roman"/>
                      <w:i w:val="0"/>
                      <w:iCs w:val="0"/>
                      <w:color w:val="auto"/>
                      <w:sz w:val="21"/>
                      <w:szCs w:val="21"/>
                      <w:highlight w:val="none"/>
                      <w:u w:val="none"/>
                      <w:lang w:val="en-US" w:eastAsia="zh-CN"/>
                    </w:rPr>
                    <w:t>832.93</w:t>
                  </w:r>
                </w:p>
              </w:tc>
            </w:tr>
            <w:tr w14:paraId="1CC99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4" w:type="dxa"/>
                  <w:tcBorders>
                    <w:tl2br w:val="nil"/>
                    <w:tr2bl w:val="nil"/>
                  </w:tcBorders>
                  <w:shd w:val="clear" w:color="auto" w:fill="auto"/>
                  <w:noWrap/>
                  <w:vAlign w:val="center"/>
                </w:tcPr>
                <w:p w14:paraId="53B7ECE4">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墙面</w:t>
                  </w:r>
                </w:p>
              </w:tc>
              <w:tc>
                <w:tcPr>
                  <w:tcW w:w="1343" w:type="dxa"/>
                  <w:tcBorders>
                    <w:tl2br w:val="nil"/>
                    <w:tr2bl w:val="nil"/>
                  </w:tcBorders>
                  <w:shd w:val="clear" w:color="auto" w:fill="auto"/>
                  <w:noWrap/>
                  <w:vAlign w:val="center"/>
                </w:tcPr>
                <w:p w14:paraId="02A0D855">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0.03</w:t>
                  </w:r>
                </w:p>
              </w:tc>
              <w:tc>
                <w:tcPr>
                  <w:tcW w:w="1460" w:type="dxa"/>
                  <w:tcBorders>
                    <w:tl2br w:val="nil"/>
                    <w:tr2bl w:val="nil"/>
                  </w:tcBorders>
                  <w:shd w:val="clear" w:color="auto" w:fill="auto"/>
                  <w:noWrap/>
                  <w:vAlign w:val="center"/>
                </w:tcPr>
                <w:p w14:paraId="53F4710F">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墙面</w:t>
                  </w:r>
                </w:p>
              </w:tc>
              <w:tc>
                <w:tcPr>
                  <w:tcW w:w="1600" w:type="dxa"/>
                  <w:tcBorders>
                    <w:tl2br w:val="nil"/>
                    <w:tr2bl w:val="nil"/>
                  </w:tcBorders>
                  <w:noWrap/>
                  <w:vAlign w:val="center"/>
                </w:tcPr>
                <w:p w14:paraId="57284A5E">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5304</w:t>
                  </w:r>
                </w:p>
              </w:tc>
              <w:tc>
                <w:tcPr>
                  <w:tcW w:w="1843" w:type="dxa"/>
                  <w:vMerge w:val="continue"/>
                  <w:tcBorders>
                    <w:tl2br w:val="nil"/>
                    <w:tr2bl w:val="nil"/>
                  </w:tcBorders>
                  <w:noWrap/>
                  <w:vAlign w:val="center"/>
                </w:tcPr>
                <w:p w14:paraId="0160B5E6">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260" w:type="dxa"/>
                  <w:vMerge w:val="continue"/>
                  <w:tcBorders>
                    <w:tl2br w:val="nil"/>
                    <w:tr2bl w:val="nil"/>
                  </w:tcBorders>
                  <w:noWrap/>
                  <w:vAlign w:val="center"/>
                </w:tcPr>
                <w:p w14:paraId="3A6F7D13">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r>
            <w:tr w14:paraId="4F776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4" w:type="dxa"/>
                  <w:tcBorders>
                    <w:tl2br w:val="nil"/>
                    <w:tr2bl w:val="nil"/>
                  </w:tcBorders>
                  <w:shd w:val="clear" w:color="auto" w:fill="auto"/>
                  <w:noWrap/>
                  <w:vAlign w:val="center"/>
                </w:tcPr>
                <w:p w14:paraId="295CD042">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地面</w:t>
                  </w:r>
                </w:p>
              </w:tc>
              <w:tc>
                <w:tcPr>
                  <w:tcW w:w="1343" w:type="dxa"/>
                  <w:tcBorders>
                    <w:tl2br w:val="nil"/>
                    <w:tr2bl w:val="nil"/>
                  </w:tcBorders>
                  <w:shd w:val="clear" w:color="auto" w:fill="auto"/>
                  <w:noWrap/>
                  <w:vAlign w:val="center"/>
                </w:tcPr>
                <w:p w14:paraId="2F375BC0">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1460" w:type="dxa"/>
                  <w:tcBorders>
                    <w:tl2br w:val="nil"/>
                    <w:tr2bl w:val="nil"/>
                  </w:tcBorders>
                  <w:shd w:val="clear" w:color="auto" w:fill="auto"/>
                  <w:noWrap/>
                  <w:vAlign w:val="center"/>
                </w:tcPr>
                <w:p w14:paraId="429110D4">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地面</w:t>
                  </w:r>
                </w:p>
              </w:tc>
              <w:tc>
                <w:tcPr>
                  <w:tcW w:w="1600" w:type="dxa"/>
                  <w:tcBorders>
                    <w:tl2br w:val="nil"/>
                    <w:tr2bl w:val="nil"/>
                  </w:tcBorders>
                  <w:noWrap/>
                  <w:vAlign w:val="center"/>
                </w:tcPr>
                <w:p w14:paraId="147366C9">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6370.56</w:t>
                  </w:r>
                </w:p>
              </w:tc>
              <w:tc>
                <w:tcPr>
                  <w:tcW w:w="1843" w:type="dxa"/>
                  <w:vMerge w:val="continue"/>
                  <w:tcBorders>
                    <w:tl2br w:val="nil"/>
                    <w:tr2bl w:val="nil"/>
                  </w:tcBorders>
                  <w:noWrap/>
                  <w:vAlign w:val="center"/>
                </w:tcPr>
                <w:p w14:paraId="24CF1E3B">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260" w:type="dxa"/>
                  <w:vMerge w:val="continue"/>
                  <w:tcBorders>
                    <w:tl2br w:val="nil"/>
                    <w:tr2bl w:val="nil"/>
                  </w:tcBorders>
                  <w:noWrap/>
                  <w:vAlign w:val="center"/>
                </w:tcPr>
                <w:p w14:paraId="3DC3DE75">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r>
          </w:tbl>
          <w:p w14:paraId="7CE44B9A">
            <w:pPr>
              <w:pStyle w:val="113"/>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cs="Times New Roman"/>
                <w:color w:val="auto"/>
                <w:spacing w:val="0"/>
                <w:kern w:val="21"/>
                <w:sz w:val="24"/>
                <w:szCs w:val="24"/>
                <w:highlight w:val="none"/>
                <w:u w:val="none"/>
                <w:lang w:val="en-US" w:eastAsia="zh-CN"/>
              </w:rPr>
            </w:pPr>
            <w:r>
              <w:rPr>
                <w:color w:val="auto"/>
                <w:spacing w:val="-3"/>
                <w:w w:val="100"/>
                <w:sz w:val="24"/>
                <w:szCs w:val="24"/>
                <w:highlight w:val="none"/>
              </w:rPr>
              <w:t>声源处于半自由声场，</w:t>
            </w:r>
            <w:r>
              <w:rPr>
                <w:rFonts w:hint="eastAsia" w:cs="Times New Roman"/>
                <w:color w:val="auto"/>
                <w:spacing w:val="0"/>
                <w:kern w:val="21"/>
                <w:sz w:val="24"/>
                <w:szCs w:val="24"/>
                <w:highlight w:val="none"/>
                <w:u w:val="none"/>
                <w:lang w:val="en-US" w:eastAsia="zh-CN"/>
              </w:rPr>
              <w:t>按如下公式计算：</w:t>
            </w:r>
          </w:p>
          <w:p w14:paraId="34EF575F">
            <w:pPr>
              <w:keepNext w:val="0"/>
              <w:keepLines w:val="0"/>
              <w:pageBreakBefore w:val="0"/>
              <w:widowControl w:val="0"/>
              <w:kinsoku/>
              <w:wordWrap/>
              <w:overflowPunct/>
              <w:topLinePunct w:val="0"/>
              <w:autoSpaceDE/>
              <w:autoSpaceDN/>
              <w:bidi w:val="0"/>
              <w:adjustRightInd w:val="0"/>
              <w:snapToGrid w:val="0"/>
              <w:spacing w:before="63" w:beforeLines="20" w:after="63" w:afterLines="20" w:line="360" w:lineRule="auto"/>
              <w:ind w:right="0"/>
              <w:jc w:val="center"/>
              <w:textAlignment w:val="auto"/>
              <w:rPr>
                <w:rFonts w:ascii="Times New Roman" w:hAnsi="Times New Roman"/>
                <w:color w:val="auto"/>
                <w:sz w:val="24"/>
                <w:szCs w:val="24"/>
                <w:highlight w:val="none"/>
              </w:rPr>
            </w:pPr>
            <w:r>
              <w:rPr>
                <w:rFonts w:ascii="Times New Roman" w:hAnsi="Times New Roman"/>
                <w:i/>
                <w:color w:val="auto"/>
                <w:position w:val="2"/>
                <w:sz w:val="24"/>
                <w:szCs w:val="24"/>
                <w:highlight w:val="none"/>
              </w:rPr>
              <w:t>L</w:t>
            </w:r>
            <w:r>
              <w:rPr>
                <w:rFonts w:hint="eastAsia" w:ascii="Times New Roman" w:hAnsi="Times New Roman"/>
                <w:i w:val="0"/>
                <w:iCs/>
                <w:color w:val="auto"/>
                <w:position w:val="-4"/>
                <w:sz w:val="24"/>
                <w:szCs w:val="24"/>
                <w:highlight w:val="none"/>
                <w:vertAlign w:val="subscript"/>
                <w:lang w:val="en-US" w:eastAsia="zh-CN"/>
              </w:rPr>
              <w:t>A</w:t>
            </w:r>
            <w:r>
              <w:rPr>
                <w:rFonts w:ascii="Symbol" w:hAnsi="Symbol"/>
                <w:color w:val="auto"/>
                <w:sz w:val="24"/>
                <w:szCs w:val="24"/>
                <w:highlight w:val="none"/>
              </w:rPr>
              <w:t></w:t>
            </w:r>
            <w:r>
              <w:rPr>
                <w:rFonts w:ascii="Times New Roman" w:hAnsi="Times New Roman"/>
                <w:i/>
                <w:color w:val="auto"/>
                <w:position w:val="2"/>
                <w:sz w:val="24"/>
                <w:szCs w:val="24"/>
                <w:highlight w:val="none"/>
              </w:rPr>
              <w:t>r</w:t>
            </w:r>
            <w:r>
              <w:rPr>
                <w:rFonts w:ascii="Symbol" w:hAnsi="Symbol"/>
                <w:color w:val="auto"/>
                <w:sz w:val="24"/>
                <w:szCs w:val="24"/>
                <w:highlight w:val="none"/>
              </w:rPr>
              <w:t></w:t>
            </w:r>
            <w:r>
              <w:rPr>
                <w:rFonts w:ascii="Symbol" w:hAnsi="Symbol"/>
                <w:color w:val="auto"/>
                <w:position w:val="2"/>
                <w:sz w:val="24"/>
                <w:szCs w:val="24"/>
                <w:highlight w:val="none"/>
              </w:rPr>
              <w:t></w:t>
            </w:r>
            <w:r>
              <w:rPr>
                <w:rFonts w:ascii="Times New Roman" w:hAnsi="Times New Roman"/>
                <w:i/>
                <w:color w:val="auto"/>
                <w:position w:val="2"/>
                <w:sz w:val="24"/>
                <w:szCs w:val="24"/>
                <w:highlight w:val="none"/>
              </w:rPr>
              <w:t>L</w:t>
            </w:r>
            <w:r>
              <w:rPr>
                <w:rFonts w:hint="eastAsia" w:ascii="Times New Roman" w:hAnsi="Times New Roman"/>
                <w:i w:val="0"/>
                <w:iCs/>
                <w:color w:val="auto"/>
                <w:position w:val="-4"/>
                <w:sz w:val="24"/>
                <w:szCs w:val="24"/>
                <w:highlight w:val="none"/>
                <w:vertAlign w:val="subscript"/>
                <w:lang w:val="en-US" w:eastAsia="zh-CN"/>
              </w:rPr>
              <w:t>A</w:t>
            </w:r>
            <w:r>
              <w:rPr>
                <w:rFonts w:ascii="Times New Roman" w:hAnsi="Times New Roman"/>
                <w:i/>
                <w:color w:val="auto"/>
                <w:position w:val="-4"/>
                <w:sz w:val="24"/>
                <w:szCs w:val="24"/>
                <w:highlight w:val="none"/>
              </w:rPr>
              <w:t>w</w:t>
            </w:r>
            <w:r>
              <w:rPr>
                <w:rFonts w:ascii="Symbol" w:hAnsi="Symbol"/>
                <w:color w:val="auto"/>
                <w:position w:val="2"/>
                <w:sz w:val="24"/>
                <w:szCs w:val="24"/>
                <w:highlight w:val="none"/>
              </w:rPr>
              <w:t></w:t>
            </w:r>
            <w:r>
              <w:rPr>
                <w:rFonts w:ascii="Times New Roman" w:hAnsi="Times New Roman"/>
                <w:color w:val="auto"/>
                <w:position w:val="2"/>
                <w:sz w:val="24"/>
                <w:szCs w:val="24"/>
                <w:highlight w:val="none"/>
              </w:rPr>
              <w:t>20lg</w:t>
            </w:r>
            <w:r>
              <w:rPr>
                <w:rFonts w:ascii="Times New Roman" w:hAnsi="Times New Roman"/>
                <w:i/>
                <w:color w:val="auto"/>
                <w:position w:val="2"/>
                <w:sz w:val="24"/>
                <w:szCs w:val="24"/>
                <w:highlight w:val="none"/>
              </w:rPr>
              <w:t>r</w:t>
            </w:r>
            <w:r>
              <w:rPr>
                <w:rFonts w:ascii="Symbol" w:hAnsi="Symbol"/>
                <w:color w:val="auto"/>
                <w:position w:val="2"/>
                <w:sz w:val="24"/>
                <w:szCs w:val="24"/>
                <w:highlight w:val="none"/>
              </w:rPr>
              <w:t></w:t>
            </w:r>
            <w:r>
              <w:rPr>
                <w:rFonts w:ascii="Times New Roman" w:hAnsi="Times New Roman"/>
                <w:color w:val="auto"/>
                <w:position w:val="2"/>
                <w:sz w:val="24"/>
                <w:szCs w:val="24"/>
                <w:highlight w:val="none"/>
              </w:rPr>
              <w:t>8</w:t>
            </w:r>
          </w:p>
          <w:p w14:paraId="530EDAED">
            <w:pPr>
              <w:pStyle w:val="17"/>
              <w:keepNext w:val="0"/>
              <w:keepLines w:val="0"/>
              <w:pageBreakBefore w:val="0"/>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eastAsia="Times New Roman" w:cs="Times New Roman"/>
                <w:i/>
                <w:color w:val="auto"/>
                <w:position w:val="1"/>
                <w:sz w:val="24"/>
                <w:szCs w:val="24"/>
                <w:highlight w:val="none"/>
              </w:rPr>
              <w:t>L</w:t>
            </w:r>
            <w:r>
              <w:rPr>
                <w:rFonts w:hint="default" w:ascii="Times New Roman" w:hAnsi="Times New Roman" w:eastAsia="Times New Roman" w:cs="Times New Roman"/>
                <w:color w:val="auto"/>
                <w:position w:val="1"/>
                <w:sz w:val="24"/>
                <w:szCs w:val="24"/>
                <w:highlight w:val="none"/>
                <w:vertAlign w:val="subscript"/>
              </w:rPr>
              <w:t>A</w:t>
            </w:r>
            <w:r>
              <w:rPr>
                <w:rFonts w:hint="default" w:ascii="Times New Roman" w:hAnsi="Times New Roman" w:eastAsia="Times New Roman" w:cs="Times New Roman"/>
                <w:color w:val="auto"/>
                <w:position w:val="1"/>
                <w:sz w:val="24"/>
                <w:szCs w:val="24"/>
                <w:highlight w:val="none"/>
                <w:vertAlign w:val="baseline"/>
              </w:rPr>
              <w:t>(</w:t>
            </w:r>
            <w:r>
              <w:rPr>
                <w:rFonts w:hint="default" w:ascii="Times New Roman" w:hAnsi="Times New Roman" w:eastAsia="Times New Roman" w:cs="Times New Roman"/>
                <w:i/>
                <w:color w:val="auto"/>
                <w:position w:val="1"/>
                <w:sz w:val="24"/>
                <w:szCs w:val="24"/>
                <w:highlight w:val="none"/>
                <w:vertAlign w:val="baseline"/>
              </w:rPr>
              <w:t>r</w:t>
            </w:r>
            <w:r>
              <w:rPr>
                <w:rFonts w:hint="default" w:ascii="Times New Roman" w:hAnsi="Times New Roman" w:eastAsia="Times New Roman" w:cs="Times New Roman"/>
                <w:color w:val="auto"/>
                <w:position w:val="1"/>
                <w:sz w:val="24"/>
                <w:szCs w:val="24"/>
                <w:highlight w:val="none"/>
                <w:vertAlign w:val="baseline"/>
              </w:rPr>
              <w:t>)——</w:t>
            </w:r>
            <w:r>
              <w:rPr>
                <w:rFonts w:hint="default" w:ascii="Times New Roman" w:hAnsi="Times New Roman" w:cs="Times New Roman"/>
                <w:color w:val="auto"/>
                <w:sz w:val="24"/>
                <w:szCs w:val="24"/>
                <w:highlight w:val="none"/>
                <w:vertAlign w:val="baseline"/>
              </w:rPr>
              <w:t>距声源</w:t>
            </w:r>
            <w:r>
              <w:rPr>
                <w:rFonts w:hint="default" w:ascii="Times New Roman" w:hAnsi="Times New Roman" w:eastAsia="Times New Roman" w:cs="Times New Roman"/>
                <w:i/>
                <w:color w:val="auto"/>
                <w:position w:val="1"/>
                <w:sz w:val="24"/>
                <w:szCs w:val="24"/>
                <w:highlight w:val="none"/>
                <w:vertAlign w:val="baseline"/>
              </w:rPr>
              <w:t>r</w:t>
            </w:r>
            <w:r>
              <w:rPr>
                <w:rFonts w:hint="default" w:ascii="Times New Roman" w:hAnsi="Times New Roman" w:cs="Times New Roman"/>
                <w:color w:val="auto"/>
                <w:sz w:val="24"/>
                <w:szCs w:val="24"/>
                <w:highlight w:val="none"/>
                <w:vertAlign w:val="baseline"/>
              </w:rPr>
              <w:t>处的</w:t>
            </w:r>
            <w:r>
              <w:rPr>
                <w:rFonts w:hint="default" w:ascii="Times New Roman" w:hAnsi="Times New Roman" w:eastAsia="Times New Roman" w:cs="Times New Roman"/>
                <w:color w:val="auto"/>
                <w:position w:val="1"/>
                <w:sz w:val="24"/>
                <w:szCs w:val="24"/>
                <w:highlight w:val="none"/>
                <w:vertAlign w:val="baseline"/>
              </w:rPr>
              <w:t>A</w:t>
            </w:r>
            <w:r>
              <w:rPr>
                <w:rFonts w:hint="default" w:ascii="Times New Roman" w:hAnsi="Times New Roman" w:cs="Times New Roman"/>
                <w:color w:val="auto"/>
                <w:sz w:val="24"/>
                <w:szCs w:val="24"/>
                <w:highlight w:val="none"/>
                <w:vertAlign w:val="baseline"/>
              </w:rPr>
              <w:t>声级，</w:t>
            </w:r>
            <w:r>
              <w:rPr>
                <w:rFonts w:hint="default" w:ascii="Times New Roman" w:hAnsi="Times New Roman" w:eastAsia="Times New Roman" w:cs="Times New Roman"/>
                <w:color w:val="auto"/>
                <w:position w:val="1"/>
                <w:sz w:val="24"/>
                <w:szCs w:val="24"/>
                <w:highlight w:val="none"/>
                <w:vertAlign w:val="baseline"/>
              </w:rPr>
              <w:t>dB(A)</w:t>
            </w:r>
            <w:r>
              <w:rPr>
                <w:rFonts w:hint="default" w:ascii="Times New Roman" w:hAnsi="Times New Roman" w:cs="Times New Roman"/>
                <w:color w:val="auto"/>
                <w:sz w:val="24"/>
                <w:szCs w:val="24"/>
                <w:highlight w:val="none"/>
                <w:vertAlign w:val="baseline"/>
              </w:rPr>
              <w:t>；</w:t>
            </w:r>
          </w:p>
          <w:p w14:paraId="209F3C30">
            <w:pPr>
              <w:pStyle w:val="17"/>
              <w:keepNext w:val="0"/>
              <w:keepLines w:val="0"/>
              <w:pageBreakBefore w:val="0"/>
              <w:kinsoku/>
              <w:wordWrap/>
              <w:overflowPunct/>
              <w:topLinePunct w:val="0"/>
              <w:autoSpaceDE/>
              <w:autoSpaceDN/>
              <w:bidi w:val="0"/>
              <w:adjustRightInd w:val="0"/>
              <w:snapToGrid w:val="0"/>
              <w:spacing w:before="0" w:after="0" w:line="360" w:lineRule="auto"/>
              <w:ind w:left="908"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eastAsia="Times New Roman" w:cs="Times New Roman"/>
                <w:i/>
                <w:color w:val="auto"/>
                <w:position w:val="1"/>
                <w:sz w:val="24"/>
                <w:szCs w:val="24"/>
                <w:highlight w:val="none"/>
              </w:rPr>
              <w:t>L</w:t>
            </w:r>
            <w:r>
              <w:rPr>
                <w:rFonts w:hint="default" w:ascii="Times New Roman" w:hAnsi="Times New Roman" w:eastAsia="Times New Roman" w:cs="Times New Roman"/>
                <w:color w:val="auto"/>
                <w:position w:val="1"/>
                <w:sz w:val="24"/>
                <w:szCs w:val="24"/>
                <w:highlight w:val="none"/>
                <w:vertAlign w:val="subscript"/>
              </w:rPr>
              <w:t>A</w:t>
            </w:r>
            <w:r>
              <w:rPr>
                <w:rFonts w:hint="default" w:ascii="Times New Roman" w:hAnsi="Times New Roman" w:eastAsia="Times New Roman" w:cs="Times New Roman"/>
                <w:i/>
                <w:color w:val="auto"/>
                <w:position w:val="1"/>
                <w:sz w:val="24"/>
                <w:szCs w:val="24"/>
                <w:highlight w:val="none"/>
                <w:vertAlign w:val="subscript"/>
              </w:rPr>
              <w:t>w</w:t>
            </w:r>
            <w:r>
              <w:rPr>
                <w:rFonts w:hint="default" w:ascii="Times New Roman" w:hAnsi="Times New Roman" w:eastAsia="Times New Roman" w:cs="Times New Roman"/>
                <w:color w:val="auto"/>
                <w:position w:val="1"/>
                <w:sz w:val="24"/>
                <w:szCs w:val="24"/>
                <w:highlight w:val="none"/>
                <w:vertAlign w:val="baseline"/>
              </w:rPr>
              <w:t>——</w:t>
            </w:r>
            <w:r>
              <w:rPr>
                <w:rFonts w:hint="default" w:ascii="Times New Roman" w:hAnsi="Times New Roman" w:cs="Times New Roman"/>
                <w:color w:val="auto"/>
                <w:sz w:val="24"/>
                <w:szCs w:val="24"/>
                <w:highlight w:val="none"/>
                <w:vertAlign w:val="baseline"/>
              </w:rPr>
              <w:t>点声源</w:t>
            </w:r>
            <w:r>
              <w:rPr>
                <w:rFonts w:hint="default" w:ascii="Times New Roman" w:hAnsi="Times New Roman" w:eastAsia="Times New Roman" w:cs="Times New Roman"/>
                <w:color w:val="auto"/>
                <w:position w:val="1"/>
                <w:sz w:val="24"/>
                <w:szCs w:val="24"/>
                <w:highlight w:val="none"/>
                <w:vertAlign w:val="baseline"/>
              </w:rPr>
              <w:t>A</w:t>
            </w:r>
            <w:r>
              <w:rPr>
                <w:rFonts w:hint="default" w:ascii="Times New Roman" w:hAnsi="Times New Roman" w:cs="Times New Roman"/>
                <w:color w:val="auto"/>
                <w:sz w:val="24"/>
                <w:szCs w:val="24"/>
                <w:highlight w:val="none"/>
                <w:vertAlign w:val="baseline"/>
              </w:rPr>
              <w:t>计权声功率级，</w:t>
            </w:r>
            <w:r>
              <w:rPr>
                <w:rFonts w:hint="default" w:ascii="Times New Roman" w:hAnsi="Times New Roman" w:eastAsia="Times New Roman" w:cs="Times New Roman"/>
                <w:color w:val="auto"/>
                <w:position w:val="1"/>
                <w:sz w:val="24"/>
                <w:szCs w:val="24"/>
                <w:highlight w:val="none"/>
                <w:vertAlign w:val="baseline"/>
              </w:rPr>
              <w:t>dB</w:t>
            </w:r>
            <w:r>
              <w:rPr>
                <w:rFonts w:hint="default" w:ascii="Times New Roman" w:hAnsi="Times New Roman" w:cs="Times New Roman"/>
                <w:color w:val="auto"/>
                <w:sz w:val="24"/>
                <w:szCs w:val="24"/>
                <w:highlight w:val="none"/>
                <w:vertAlign w:val="baseline"/>
              </w:rPr>
              <w:t>；</w:t>
            </w:r>
          </w:p>
          <w:p w14:paraId="46DEE005">
            <w:pPr>
              <w:pStyle w:val="113"/>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eastAsia="宋体" w:cs="Times New Roman"/>
                <w:color w:val="auto"/>
                <w:spacing w:val="0"/>
                <w:kern w:val="21"/>
                <w:sz w:val="24"/>
                <w:szCs w:val="24"/>
                <w:highlight w:val="none"/>
                <w:u w:val="none"/>
                <w:lang w:val="en-US" w:eastAsia="zh-CN"/>
              </w:rPr>
            </w:pPr>
            <w:r>
              <w:rPr>
                <w:rFonts w:hint="default" w:ascii="Times New Roman" w:hAnsi="Times New Roman" w:eastAsia="宋体" w:cs="Times New Roman"/>
                <w:color w:val="auto"/>
                <w:spacing w:val="0"/>
                <w:kern w:val="21"/>
                <w:sz w:val="24"/>
                <w:szCs w:val="24"/>
                <w:highlight w:val="none"/>
                <w:u w:val="none"/>
                <w:lang w:val="en-US" w:eastAsia="zh-CN"/>
              </w:rPr>
              <w:t>r ——预测点距声源的距离。</w:t>
            </w:r>
            <w:r>
              <w:rPr>
                <w:rFonts w:hint="eastAsia" w:eastAsia="宋体" w:cs="Times New Roman"/>
                <w:color w:val="auto"/>
                <w:spacing w:val="0"/>
                <w:kern w:val="21"/>
                <w:sz w:val="24"/>
                <w:szCs w:val="24"/>
                <w:highlight w:val="none"/>
                <w:u w:val="none"/>
                <w:lang w:val="en-US" w:eastAsia="zh-CN"/>
              </w:rPr>
              <w:t>（对声源取1）</w:t>
            </w:r>
            <w:r>
              <w:rPr>
                <w:rFonts w:hint="eastAsia" w:cs="Times New Roman"/>
                <w:color w:val="auto"/>
                <w:spacing w:val="0"/>
                <w:kern w:val="21"/>
                <w:sz w:val="24"/>
                <w:szCs w:val="24"/>
                <w:highlight w:val="none"/>
                <w:u w:val="none"/>
                <w:lang w:val="en-US" w:eastAsia="zh-CN"/>
              </w:rPr>
              <w:t>。</w:t>
            </w:r>
          </w:p>
          <w:p w14:paraId="3245F355">
            <w:pPr>
              <w:pStyle w:val="113"/>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default" w:ascii="Times New Roman" w:hAnsi="Times New Roman" w:eastAsia="宋体" w:cs="Times New Roman"/>
                <w:b/>
                <w:bCs/>
                <w:color w:val="auto"/>
                <w:spacing w:val="0"/>
                <w:kern w:val="21"/>
                <w:sz w:val="24"/>
                <w:szCs w:val="24"/>
                <w:highlight w:val="none"/>
                <w:u w:val="none"/>
                <w:lang w:val="en-US"/>
              </w:rPr>
            </w:pPr>
            <w:r>
              <w:rPr>
                <w:rFonts w:hint="eastAsia" w:ascii="宋体" w:hAnsi="宋体" w:eastAsia="宋体" w:cs="宋体"/>
                <w:b/>
                <w:bCs/>
                <w:color w:val="auto"/>
                <w:sz w:val="24"/>
                <w:szCs w:val="24"/>
                <w:highlight w:val="none"/>
                <w:lang w:val="en-US" w:eastAsia="zh-CN"/>
              </w:rPr>
              <w:t>②</w:t>
            </w:r>
            <w:r>
              <w:rPr>
                <w:rFonts w:hint="eastAsia" w:ascii="Times New Roman" w:hAnsi="Times New Roman" w:cs="Times New Roman"/>
                <w:b/>
                <w:bCs/>
                <w:color w:val="auto"/>
                <w:sz w:val="24"/>
                <w:szCs w:val="24"/>
                <w:highlight w:val="none"/>
                <w:lang w:val="en-US" w:eastAsia="zh-CN"/>
              </w:rPr>
              <w:t>建筑物</w:t>
            </w:r>
            <w:r>
              <w:rPr>
                <w:rFonts w:hint="eastAsia" w:cs="Times New Roman"/>
                <w:b/>
                <w:bCs/>
                <w:color w:val="auto"/>
                <w:sz w:val="24"/>
                <w:szCs w:val="24"/>
                <w:highlight w:val="none"/>
                <w:lang w:val="en-US" w:eastAsia="zh-CN"/>
              </w:rPr>
              <w:t>隔声量</w:t>
            </w:r>
          </w:p>
          <w:p w14:paraId="3E6F4F51">
            <w:pPr>
              <w:pStyle w:val="113"/>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cs="Times New Roman"/>
                <w:color w:val="auto"/>
                <w:spacing w:val="0"/>
                <w:kern w:val="21"/>
                <w:sz w:val="24"/>
                <w:szCs w:val="24"/>
                <w:highlight w:val="none"/>
                <w:u w:val="none"/>
                <w:lang w:val="en-US" w:eastAsia="zh-CN"/>
              </w:rPr>
            </w:pPr>
            <w:r>
              <w:rPr>
                <w:rFonts w:hint="eastAsia" w:cs="Times New Roman"/>
                <w:color w:val="auto"/>
                <w:spacing w:val="0"/>
                <w:kern w:val="21"/>
                <w:sz w:val="24"/>
                <w:szCs w:val="24"/>
                <w:highlight w:val="none"/>
                <w:u w:val="none"/>
                <w:lang w:val="en-US" w:eastAsia="zh-CN"/>
              </w:rPr>
              <w:t>本项目生产车间厂房为彩钢板</w:t>
            </w:r>
            <w:r>
              <w:rPr>
                <w:rFonts w:hint="eastAsia" w:cs="Times New Roman"/>
                <w:color w:val="auto"/>
                <w:spacing w:val="0"/>
                <w:kern w:val="21"/>
                <w:sz w:val="24"/>
                <w:szCs w:val="24"/>
                <w:highlight w:val="none"/>
                <w:u w:val="none"/>
                <w:lang w:eastAsia="zh-CN"/>
              </w:rPr>
              <w:t>，</w:t>
            </w:r>
            <w:r>
              <w:rPr>
                <w:rFonts w:hint="eastAsia" w:cs="Times New Roman"/>
                <w:color w:val="auto"/>
                <w:spacing w:val="0"/>
                <w:kern w:val="21"/>
                <w:sz w:val="24"/>
                <w:szCs w:val="24"/>
                <w:highlight w:val="none"/>
                <w:u w:val="none"/>
                <w:lang w:val="en-US" w:eastAsia="zh-CN"/>
              </w:rPr>
              <w:t>参考《环境工程手册 环境噪声控制卷》（2000年）中表4-14，厂房大门为钢板门，门缝无措施，厂房四周存在多处窗户。因此，本项目厂</w:t>
            </w:r>
            <w:r>
              <w:rPr>
                <w:rFonts w:hint="eastAsia" w:ascii="Times New Roman" w:hAnsi="Times New Roman" w:eastAsia="宋体" w:cs="Times New Roman"/>
                <w:color w:val="auto"/>
                <w:spacing w:val="0"/>
                <w:kern w:val="21"/>
                <w:sz w:val="24"/>
                <w:szCs w:val="24"/>
                <w:highlight w:val="none"/>
                <w:u w:val="none"/>
                <w:lang w:val="en-US" w:eastAsia="zh-CN"/>
              </w:rPr>
              <w:t>房的隔声量TL</w:t>
            </w:r>
            <w:r>
              <w:rPr>
                <w:rFonts w:hint="eastAsia" w:cs="Times New Roman"/>
                <w:color w:val="auto"/>
                <w:spacing w:val="0"/>
                <w:kern w:val="21"/>
                <w:sz w:val="24"/>
                <w:szCs w:val="24"/>
                <w:highlight w:val="none"/>
                <w:u w:val="none"/>
                <w:lang w:val="en-US" w:eastAsia="zh-CN"/>
              </w:rPr>
              <w:t>取20</w:t>
            </w:r>
            <w:r>
              <w:rPr>
                <w:rFonts w:hint="default" w:ascii="Times New Roman" w:hAnsi="Times New Roman" w:eastAsia="宋体" w:cs="Times New Roman"/>
                <w:color w:val="auto"/>
                <w:spacing w:val="0"/>
                <w:kern w:val="21"/>
                <w:sz w:val="24"/>
                <w:szCs w:val="24"/>
                <w:highlight w:val="none"/>
                <w:u w:val="none"/>
                <w:lang w:val="en-US" w:eastAsia="zh-CN"/>
              </w:rPr>
              <w:t>dB</w:t>
            </w:r>
            <w:r>
              <w:rPr>
                <w:rFonts w:hint="eastAsia" w:cs="Times New Roman"/>
                <w:color w:val="auto"/>
                <w:spacing w:val="0"/>
                <w:kern w:val="21"/>
                <w:sz w:val="24"/>
                <w:szCs w:val="24"/>
                <w:highlight w:val="none"/>
                <w:u w:val="none"/>
                <w:lang w:val="en-US" w:eastAsia="zh-CN"/>
              </w:rPr>
              <w:t>。</w:t>
            </w:r>
          </w:p>
          <w:p w14:paraId="7E39B676">
            <w:pPr>
              <w:pStyle w:val="113"/>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③建筑物外噪声</w:t>
            </w:r>
          </w:p>
          <w:p w14:paraId="62E056B1">
            <w:pPr>
              <w:pStyle w:val="113"/>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cs="Times New Roman"/>
                <w:color w:val="auto"/>
                <w:highlight w:val="none"/>
                <w:lang w:val="en-US" w:eastAsia="zh-CN"/>
              </w:rPr>
            </w:pPr>
            <w:r>
              <w:rPr>
                <w:rFonts w:hint="eastAsia" w:cs="Times New Roman"/>
                <w:color w:val="auto"/>
                <w:highlight w:val="none"/>
                <w:lang w:val="en-US" w:eastAsia="zh-CN"/>
              </w:rPr>
              <w:t>根据《环境影响评价技术导则 声环境》（HJ2.4-2021）附录B.1.3室内声源等效室外声源声功率级计算方法，公式如下：</w:t>
            </w:r>
          </w:p>
          <w:p w14:paraId="6DC6A147">
            <w:pPr>
              <w:pStyle w:val="113"/>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L</w:t>
            </w:r>
            <w:r>
              <w:rPr>
                <w:rFonts w:hint="eastAsia" w:cs="Times New Roman"/>
                <w:color w:val="auto"/>
                <w:highlight w:val="none"/>
                <w:vertAlign w:val="subscript"/>
                <w:lang w:val="en-US" w:eastAsia="zh-CN"/>
              </w:rPr>
              <w:t>p2</w:t>
            </w:r>
            <w:r>
              <w:rPr>
                <w:rFonts w:hint="eastAsia" w:cs="Times New Roman"/>
                <w:color w:val="auto"/>
                <w:highlight w:val="none"/>
                <w:lang w:val="en-US" w:eastAsia="zh-CN"/>
              </w:rPr>
              <w:t>=L</w:t>
            </w:r>
            <w:r>
              <w:rPr>
                <w:rFonts w:hint="eastAsia" w:cs="Times New Roman"/>
                <w:color w:val="auto"/>
                <w:highlight w:val="none"/>
                <w:vertAlign w:val="subscript"/>
                <w:lang w:val="en-US" w:eastAsia="zh-CN"/>
              </w:rPr>
              <w:t>p1</w:t>
            </w:r>
            <w:r>
              <w:rPr>
                <w:rFonts w:hint="eastAsia" w:cs="Times New Roman"/>
                <w:color w:val="auto"/>
                <w:highlight w:val="none"/>
                <w:lang w:val="en-US" w:eastAsia="zh-CN"/>
              </w:rPr>
              <w:t>-（TL+6）</w:t>
            </w:r>
          </w:p>
          <w:p w14:paraId="1494B2CD">
            <w:pPr>
              <w:pStyle w:val="113"/>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rPr>
                <w:color w:val="auto"/>
                <w:highlight w:val="none"/>
                <w:vertAlign w:val="baseline"/>
              </w:rPr>
            </w:pPr>
            <w:r>
              <w:rPr>
                <w:color w:val="auto"/>
                <w:highlight w:val="none"/>
              </w:rPr>
              <w:t>式中：</w:t>
            </w:r>
            <w:r>
              <w:rPr>
                <w:rFonts w:ascii="Times New Roman" w:hAnsi="Times New Roman" w:eastAsia="Times New Roman"/>
                <w:i/>
                <w:color w:val="auto"/>
                <w:position w:val="1"/>
                <w:highlight w:val="none"/>
              </w:rPr>
              <w:t>L</w:t>
            </w:r>
            <w:r>
              <w:rPr>
                <w:rFonts w:ascii="Times New Roman" w:hAnsi="Times New Roman" w:eastAsia="Times New Roman"/>
                <w:i/>
                <w:color w:val="auto"/>
                <w:position w:val="1"/>
                <w:highlight w:val="none"/>
                <w:vertAlign w:val="subscript"/>
              </w:rPr>
              <w:t>p</w:t>
            </w:r>
            <w:r>
              <w:rPr>
                <w:rFonts w:ascii="Times New Roman" w:hAnsi="Times New Roman" w:eastAsia="Times New Roman"/>
                <w:color w:val="auto"/>
                <w:position w:val="1"/>
                <w:highlight w:val="none"/>
                <w:vertAlign w:val="subscript"/>
              </w:rPr>
              <w:t>1</w:t>
            </w:r>
            <w:r>
              <w:rPr>
                <w:rFonts w:ascii="Times New Roman" w:hAnsi="Times New Roman" w:eastAsia="Times New Roman"/>
                <w:color w:val="auto"/>
                <w:position w:val="1"/>
                <w:highlight w:val="none"/>
                <w:vertAlign w:val="baseline"/>
              </w:rPr>
              <w:t>——</w:t>
            </w:r>
            <w:r>
              <w:rPr>
                <w:color w:val="auto"/>
                <w:spacing w:val="-3"/>
                <w:highlight w:val="none"/>
                <w:vertAlign w:val="baseline"/>
              </w:rPr>
              <w:t>靠近开口处</w:t>
            </w:r>
            <w:r>
              <w:rPr>
                <w:color w:val="auto"/>
                <w:highlight w:val="none"/>
                <w:vertAlign w:val="baseline"/>
              </w:rPr>
              <w:t>（</w:t>
            </w:r>
            <w:r>
              <w:rPr>
                <w:color w:val="auto"/>
                <w:spacing w:val="-2"/>
                <w:highlight w:val="none"/>
                <w:vertAlign w:val="baseline"/>
              </w:rPr>
              <w:t>或窗户</w:t>
            </w:r>
            <w:r>
              <w:rPr>
                <w:color w:val="auto"/>
                <w:spacing w:val="-3"/>
                <w:highlight w:val="none"/>
                <w:vertAlign w:val="baseline"/>
              </w:rPr>
              <w:t>）</w:t>
            </w:r>
            <w:r>
              <w:rPr>
                <w:color w:val="auto"/>
                <w:spacing w:val="1"/>
                <w:highlight w:val="none"/>
                <w:vertAlign w:val="baseline"/>
              </w:rPr>
              <w:t>室内某倍频带的声压级或</w:t>
            </w:r>
            <w:r>
              <w:rPr>
                <w:rFonts w:ascii="Times New Roman" w:hAnsi="Times New Roman" w:eastAsia="Times New Roman"/>
                <w:color w:val="auto"/>
                <w:position w:val="1"/>
                <w:highlight w:val="none"/>
                <w:vertAlign w:val="baseline"/>
              </w:rPr>
              <w:t>A</w:t>
            </w:r>
            <w:r>
              <w:rPr>
                <w:color w:val="auto"/>
                <w:spacing w:val="-2"/>
                <w:highlight w:val="none"/>
                <w:vertAlign w:val="baseline"/>
              </w:rPr>
              <w:t>声级，</w:t>
            </w:r>
            <w:r>
              <w:rPr>
                <w:rFonts w:ascii="Times New Roman" w:hAnsi="Times New Roman" w:eastAsia="Times New Roman"/>
                <w:color w:val="auto"/>
                <w:position w:val="1"/>
                <w:highlight w:val="none"/>
                <w:vertAlign w:val="baseline"/>
              </w:rPr>
              <w:t>dB</w:t>
            </w:r>
            <w:r>
              <w:rPr>
                <w:color w:val="auto"/>
                <w:highlight w:val="none"/>
                <w:vertAlign w:val="baseline"/>
              </w:rPr>
              <w:t>；</w:t>
            </w:r>
          </w:p>
          <w:p w14:paraId="659BA8F4">
            <w:pPr>
              <w:pStyle w:val="113"/>
              <w:keepNext w:val="0"/>
              <w:keepLines w:val="0"/>
              <w:pageBreakBefore w:val="0"/>
              <w:widowControl w:val="0"/>
              <w:kinsoku/>
              <w:wordWrap/>
              <w:overflowPunct/>
              <w:topLinePunct w:val="0"/>
              <w:autoSpaceDE/>
              <w:autoSpaceDN/>
              <w:bidi w:val="0"/>
              <w:adjustRightInd/>
              <w:snapToGrid w:val="0"/>
              <w:ind w:left="0" w:leftChars="0" w:firstLine="1200" w:firstLineChars="500"/>
              <w:textAlignment w:val="auto"/>
              <w:rPr>
                <w:color w:val="auto"/>
                <w:highlight w:val="none"/>
                <w:vertAlign w:val="baseline"/>
              </w:rPr>
            </w:pPr>
            <w:r>
              <w:rPr>
                <w:rFonts w:ascii="Times New Roman" w:hAnsi="Times New Roman" w:eastAsia="Times New Roman"/>
                <w:i/>
                <w:color w:val="auto"/>
                <w:position w:val="1"/>
                <w:highlight w:val="none"/>
                <w:vertAlign w:val="baseline"/>
              </w:rPr>
              <w:t>L</w:t>
            </w:r>
            <w:r>
              <w:rPr>
                <w:rFonts w:ascii="Times New Roman" w:hAnsi="Times New Roman" w:eastAsia="Times New Roman"/>
                <w:i/>
                <w:color w:val="auto"/>
                <w:position w:val="1"/>
                <w:highlight w:val="none"/>
                <w:vertAlign w:val="subscript"/>
              </w:rPr>
              <w:t>p</w:t>
            </w:r>
            <w:r>
              <w:rPr>
                <w:rFonts w:ascii="Times New Roman" w:hAnsi="Times New Roman" w:eastAsia="Times New Roman"/>
                <w:color w:val="auto"/>
                <w:position w:val="1"/>
                <w:highlight w:val="none"/>
                <w:vertAlign w:val="subscript"/>
              </w:rPr>
              <w:t>2</w:t>
            </w:r>
            <w:r>
              <w:rPr>
                <w:rFonts w:ascii="Times New Roman" w:hAnsi="Times New Roman" w:eastAsia="Times New Roman"/>
                <w:color w:val="auto"/>
                <w:position w:val="1"/>
                <w:highlight w:val="none"/>
                <w:vertAlign w:val="baseline"/>
              </w:rPr>
              <w:t>——</w:t>
            </w:r>
            <w:r>
              <w:rPr>
                <w:color w:val="auto"/>
                <w:spacing w:val="-3"/>
                <w:highlight w:val="none"/>
                <w:vertAlign w:val="baseline"/>
              </w:rPr>
              <w:t>靠近开口处</w:t>
            </w:r>
            <w:r>
              <w:rPr>
                <w:color w:val="auto"/>
                <w:highlight w:val="none"/>
                <w:vertAlign w:val="baseline"/>
              </w:rPr>
              <w:t>（</w:t>
            </w:r>
            <w:r>
              <w:rPr>
                <w:color w:val="auto"/>
                <w:spacing w:val="-2"/>
                <w:highlight w:val="none"/>
                <w:vertAlign w:val="baseline"/>
              </w:rPr>
              <w:t>或窗户</w:t>
            </w:r>
            <w:r>
              <w:rPr>
                <w:color w:val="auto"/>
                <w:highlight w:val="none"/>
                <w:vertAlign w:val="baseline"/>
              </w:rPr>
              <w:t>）</w:t>
            </w:r>
            <w:r>
              <w:rPr>
                <w:color w:val="auto"/>
                <w:spacing w:val="-7"/>
                <w:highlight w:val="none"/>
                <w:vertAlign w:val="baseline"/>
              </w:rPr>
              <w:t>室外某倍频带的声压级或</w:t>
            </w:r>
            <w:r>
              <w:rPr>
                <w:rFonts w:ascii="Times New Roman" w:hAnsi="Times New Roman" w:eastAsia="Times New Roman"/>
                <w:color w:val="auto"/>
                <w:position w:val="1"/>
                <w:highlight w:val="none"/>
                <w:vertAlign w:val="baseline"/>
              </w:rPr>
              <w:t>A</w:t>
            </w:r>
            <w:r>
              <w:rPr>
                <w:color w:val="auto"/>
                <w:spacing w:val="-2"/>
                <w:highlight w:val="none"/>
                <w:vertAlign w:val="baseline"/>
              </w:rPr>
              <w:t>声级，</w:t>
            </w:r>
            <w:r>
              <w:rPr>
                <w:rFonts w:ascii="Times New Roman" w:hAnsi="Times New Roman" w:eastAsia="Times New Roman"/>
                <w:color w:val="auto"/>
                <w:position w:val="1"/>
                <w:highlight w:val="none"/>
                <w:vertAlign w:val="baseline"/>
              </w:rPr>
              <w:t>dB</w:t>
            </w:r>
            <w:r>
              <w:rPr>
                <w:color w:val="auto"/>
                <w:highlight w:val="none"/>
                <w:vertAlign w:val="baseline"/>
              </w:rPr>
              <w:t>；</w:t>
            </w:r>
          </w:p>
          <w:p w14:paraId="292E90FD">
            <w:pPr>
              <w:pStyle w:val="113"/>
              <w:keepNext w:val="0"/>
              <w:keepLines w:val="0"/>
              <w:pageBreakBefore w:val="0"/>
              <w:widowControl w:val="0"/>
              <w:kinsoku/>
              <w:wordWrap/>
              <w:overflowPunct/>
              <w:topLinePunct w:val="0"/>
              <w:autoSpaceDE/>
              <w:autoSpaceDN/>
              <w:bidi w:val="0"/>
              <w:adjustRightInd/>
              <w:snapToGrid w:val="0"/>
              <w:ind w:left="0" w:leftChars="0" w:firstLine="1200" w:firstLineChars="500"/>
              <w:textAlignment w:val="auto"/>
              <w:rPr>
                <w:rFonts w:hint="eastAsia" w:eastAsia="宋体" w:cs="Times New Roman"/>
                <w:color w:val="auto"/>
                <w:highlight w:val="none"/>
                <w:lang w:val="en-US" w:eastAsia="zh-CN"/>
              </w:rPr>
            </w:pPr>
            <w:r>
              <w:rPr>
                <w:rFonts w:ascii="Times New Roman" w:hAnsi="Times New Roman" w:eastAsia="Times New Roman"/>
                <w:i/>
                <w:color w:val="auto"/>
                <w:position w:val="1"/>
                <w:highlight w:val="none"/>
                <w:vertAlign w:val="baseline"/>
              </w:rPr>
              <w:t>TL</w:t>
            </w:r>
            <w:r>
              <w:rPr>
                <w:rFonts w:ascii="Times New Roman" w:hAnsi="Times New Roman" w:eastAsia="Times New Roman"/>
                <w:color w:val="auto"/>
                <w:position w:val="1"/>
                <w:highlight w:val="none"/>
                <w:vertAlign w:val="baseline"/>
              </w:rPr>
              <w:t>——</w:t>
            </w:r>
            <w:r>
              <w:rPr>
                <w:color w:val="auto"/>
                <w:spacing w:val="-2"/>
                <w:highlight w:val="none"/>
                <w:vertAlign w:val="baseline"/>
              </w:rPr>
              <w:t>隔墙</w:t>
            </w:r>
            <w:r>
              <w:rPr>
                <w:color w:val="auto"/>
                <w:spacing w:val="-3"/>
                <w:highlight w:val="none"/>
                <w:vertAlign w:val="baseline"/>
              </w:rPr>
              <w:t>（</w:t>
            </w:r>
            <w:r>
              <w:rPr>
                <w:color w:val="auto"/>
                <w:spacing w:val="-2"/>
                <w:highlight w:val="none"/>
                <w:vertAlign w:val="baseline"/>
              </w:rPr>
              <w:t>或窗户</w:t>
            </w:r>
            <w:r>
              <w:rPr>
                <w:color w:val="auto"/>
                <w:spacing w:val="-3"/>
                <w:highlight w:val="none"/>
                <w:vertAlign w:val="baseline"/>
              </w:rPr>
              <w:t>）</w:t>
            </w:r>
            <w:r>
              <w:rPr>
                <w:color w:val="auto"/>
                <w:spacing w:val="-14"/>
                <w:highlight w:val="none"/>
                <w:vertAlign w:val="baseline"/>
              </w:rPr>
              <w:t>倍频带或</w:t>
            </w:r>
            <w:r>
              <w:rPr>
                <w:rFonts w:ascii="Times New Roman" w:hAnsi="Times New Roman" w:eastAsia="Times New Roman"/>
                <w:color w:val="auto"/>
                <w:position w:val="1"/>
                <w:highlight w:val="none"/>
                <w:vertAlign w:val="baseline"/>
              </w:rPr>
              <w:t>A</w:t>
            </w:r>
            <w:r>
              <w:rPr>
                <w:color w:val="auto"/>
                <w:spacing w:val="-3"/>
                <w:highlight w:val="none"/>
                <w:vertAlign w:val="baseline"/>
              </w:rPr>
              <w:t>声级的隔声量，</w:t>
            </w:r>
            <w:r>
              <w:rPr>
                <w:rFonts w:ascii="Times New Roman" w:hAnsi="Times New Roman" w:eastAsia="Times New Roman"/>
                <w:color w:val="auto"/>
                <w:position w:val="1"/>
                <w:highlight w:val="none"/>
                <w:vertAlign w:val="baseline"/>
              </w:rPr>
              <w:t>dB</w:t>
            </w:r>
            <w:r>
              <w:rPr>
                <w:color w:val="auto"/>
                <w:highlight w:val="none"/>
                <w:vertAlign w:val="baseline"/>
              </w:rPr>
              <w:t>。</w:t>
            </w:r>
          </w:p>
          <w:p w14:paraId="514257E5">
            <w:pPr>
              <w:adjustRightInd w:val="0"/>
              <w:snapToGrid w:val="0"/>
              <w:ind w:firstLine="482"/>
              <w:rPr>
                <w:rFonts w:hint="eastAsia"/>
                <w:b/>
                <w:bCs/>
                <w:color w:val="auto"/>
                <w:sz w:val="24"/>
                <w:highlight w:val="none"/>
              </w:rPr>
            </w:pPr>
            <w:r>
              <w:rPr>
                <w:rFonts w:hint="eastAsia" w:cs="Times New Roman"/>
                <w:color w:val="auto"/>
                <w:spacing w:val="0"/>
                <w:kern w:val="21"/>
                <w:sz w:val="24"/>
                <w:szCs w:val="24"/>
                <w:highlight w:val="none"/>
                <w:u w:val="none"/>
                <w:lang w:val="en-US" w:eastAsia="zh-CN"/>
              </w:rPr>
              <w:t>根据以上公式计算，本项目噪声源强调查清单见下表：</w:t>
            </w:r>
          </w:p>
          <w:p w14:paraId="7125DE4D">
            <w:pPr>
              <w:bidi w:val="0"/>
              <w:ind w:left="0" w:leftChars="0" w:firstLine="0" w:firstLineChars="0"/>
              <w:rPr>
                <w:rFonts w:hint="eastAsia"/>
                <w:color w:val="auto"/>
                <w:highlight w:val="none"/>
                <w:lang w:val="en-US" w:eastAsia="zh-CN"/>
              </w:rPr>
            </w:pPr>
          </w:p>
          <w:p w14:paraId="14B6D788">
            <w:pPr>
              <w:pStyle w:val="2"/>
              <w:rPr>
                <w:rFonts w:hint="eastAsia"/>
                <w:color w:val="auto"/>
                <w:highlight w:val="none"/>
                <w:lang w:val="en-US" w:eastAsia="zh-CN"/>
              </w:rPr>
            </w:pPr>
          </w:p>
          <w:p w14:paraId="4AF15844">
            <w:pPr>
              <w:pStyle w:val="2"/>
              <w:rPr>
                <w:rFonts w:hint="eastAsia"/>
                <w:color w:val="auto"/>
                <w:highlight w:val="none"/>
                <w:lang w:val="en-US" w:eastAsia="zh-CN"/>
              </w:rPr>
            </w:pPr>
          </w:p>
          <w:p w14:paraId="5CE701A0">
            <w:pPr>
              <w:pStyle w:val="2"/>
              <w:rPr>
                <w:rFonts w:hint="eastAsia"/>
                <w:color w:val="auto"/>
                <w:highlight w:val="none"/>
                <w:lang w:val="en-US" w:eastAsia="zh-CN"/>
              </w:rPr>
            </w:pPr>
          </w:p>
          <w:p w14:paraId="065E3B29">
            <w:pPr>
              <w:pStyle w:val="2"/>
              <w:rPr>
                <w:rFonts w:hint="eastAsia"/>
                <w:color w:val="auto"/>
                <w:highlight w:val="none"/>
                <w:lang w:val="en-US" w:eastAsia="zh-CN"/>
              </w:rPr>
            </w:pPr>
          </w:p>
          <w:p w14:paraId="276812D4">
            <w:pPr>
              <w:pStyle w:val="2"/>
              <w:rPr>
                <w:rFonts w:hint="eastAsia"/>
                <w:color w:val="auto"/>
                <w:highlight w:val="none"/>
                <w:lang w:val="en-US" w:eastAsia="zh-CN"/>
              </w:rPr>
            </w:pPr>
          </w:p>
          <w:p w14:paraId="78A34F3C">
            <w:pPr>
              <w:pStyle w:val="2"/>
              <w:rPr>
                <w:rFonts w:hint="eastAsia"/>
                <w:color w:val="auto"/>
                <w:highlight w:val="none"/>
                <w:lang w:val="en-US" w:eastAsia="zh-CN"/>
              </w:rPr>
            </w:pPr>
          </w:p>
          <w:p w14:paraId="73AF1A43">
            <w:pPr>
              <w:pStyle w:val="2"/>
              <w:rPr>
                <w:rFonts w:hint="eastAsia"/>
                <w:color w:val="auto"/>
                <w:highlight w:val="none"/>
                <w:lang w:val="en-US" w:eastAsia="zh-CN"/>
              </w:rPr>
            </w:pPr>
          </w:p>
          <w:p w14:paraId="3B46FC4B">
            <w:pPr>
              <w:pStyle w:val="2"/>
              <w:rPr>
                <w:rFonts w:hint="eastAsia"/>
                <w:color w:val="auto"/>
                <w:highlight w:val="none"/>
                <w:lang w:val="en-US" w:eastAsia="zh-CN"/>
              </w:rPr>
            </w:pPr>
          </w:p>
          <w:p w14:paraId="1602C42C">
            <w:pPr>
              <w:pStyle w:val="2"/>
              <w:rPr>
                <w:rFonts w:hint="eastAsia"/>
                <w:color w:val="auto"/>
                <w:highlight w:val="none"/>
                <w:lang w:val="en-US" w:eastAsia="zh-CN"/>
              </w:rPr>
            </w:pPr>
          </w:p>
        </w:tc>
      </w:tr>
    </w:tbl>
    <w:p w14:paraId="2F70E5DC">
      <w:pPr>
        <w:pStyle w:val="17"/>
        <w:ind w:firstLine="0" w:firstLineChars="0"/>
        <w:rPr>
          <w:b/>
          <w:color w:val="auto"/>
          <w:sz w:val="28"/>
          <w:szCs w:val="28"/>
          <w:highlight w:val="none"/>
        </w:rPr>
        <w:sectPr>
          <w:pgSz w:w="11905" w:h="16838"/>
          <w:pgMar w:top="1701" w:right="1134" w:bottom="1701" w:left="1134" w:header="851" w:footer="1077" w:gutter="0"/>
          <w:pgBorders>
            <w:top w:val="none" w:sz="0" w:space="0"/>
            <w:left w:val="none" w:sz="0" w:space="0"/>
            <w:bottom w:val="none" w:sz="0" w:space="0"/>
            <w:right w:val="none" w:sz="0" w:space="0"/>
          </w:pgBorders>
          <w:pgNumType w:fmt="decimal"/>
          <w:cols w:space="720" w:num="1"/>
          <w:docGrid w:linePitch="312" w:charSpace="0"/>
        </w:sectPr>
      </w:pPr>
    </w:p>
    <w:p w14:paraId="68D8F32D">
      <w:pPr>
        <w:pStyle w:val="14"/>
        <w:bidi w:val="0"/>
        <w:rPr>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16</w:t>
      </w:r>
      <w:r>
        <w:rPr>
          <w:color w:val="auto"/>
          <w:highlight w:val="none"/>
        </w:rPr>
        <w:fldChar w:fldCharType="end"/>
      </w:r>
      <w:r>
        <w:rPr>
          <w:rFonts w:hint="eastAsia"/>
          <w:color w:val="auto"/>
          <w:highlight w:val="none"/>
          <w:lang w:val="en-US" w:eastAsia="zh-CN"/>
        </w:rPr>
        <w:t xml:space="preserve">  </w:t>
      </w:r>
      <w:r>
        <w:rPr>
          <w:rFonts w:hint="eastAsia"/>
          <w:color w:val="auto"/>
          <w:highlight w:val="none"/>
          <w:lang w:eastAsia="zh-CN"/>
        </w:rPr>
        <w:t>本项目</w:t>
      </w:r>
      <w:r>
        <w:rPr>
          <w:rFonts w:hint="eastAsia"/>
          <w:color w:val="auto"/>
          <w:highlight w:val="none"/>
        </w:rPr>
        <w:t>工业企业噪声源强调查清单（室内声源）</w:t>
      </w:r>
    </w:p>
    <w:tbl>
      <w:tblPr>
        <w:tblStyle w:val="28"/>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397"/>
        <w:gridCol w:w="1388"/>
        <w:gridCol w:w="338"/>
        <w:gridCol w:w="711"/>
        <w:gridCol w:w="396"/>
        <w:gridCol w:w="492"/>
        <w:gridCol w:w="492"/>
        <w:gridCol w:w="492"/>
        <w:gridCol w:w="492"/>
        <w:gridCol w:w="492"/>
        <w:gridCol w:w="492"/>
        <w:gridCol w:w="492"/>
        <w:gridCol w:w="492"/>
        <w:gridCol w:w="492"/>
        <w:gridCol w:w="492"/>
        <w:gridCol w:w="502"/>
        <w:gridCol w:w="451"/>
        <w:gridCol w:w="468"/>
        <w:gridCol w:w="468"/>
        <w:gridCol w:w="468"/>
        <w:gridCol w:w="479"/>
        <w:gridCol w:w="499"/>
        <w:gridCol w:w="499"/>
        <w:gridCol w:w="499"/>
        <w:gridCol w:w="499"/>
        <w:gridCol w:w="731"/>
      </w:tblGrid>
      <w:tr w14:paraId="20D9E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exact"/>
        </w:trPr>
        <w:tc>
          <w:tcPr>
            <w:tcW w:w="158" w:type="pct"/>
            <w:vMerge w:val="restart"/>
            <w:tcBorders>
              <w:tl2br w:val="nil"/>
              <w:tr2bl w:val="nil"/>
            </w:tcBorders>
            <w:vAlign w:val="center"/>
          </w:tcPr>
          <w:p w14:paraId="38B93FB9">
            <w:pPr>
              <w:pStyle w:val="106"/>
              <w:bidi w:val="0"/>
              <w:rPr>
                <w:b/>
                <w:bCs/>
                <w:color w:val="FF0000"/>
                <w:highlight w:val="none"/>
              </w:rPr>
            </w:pPr>
            <w:r>
              <w:rPr>
                <w:b/>
                <w:bCs/>
                <w:color w:val="auto"/>
                <w:highlight w:val="none"/>
              </w:rPr>
              <w:t>序号</w:t>
            </w:r>
          </w:p>
        </w:tc>
        <w:tc>
          <w:tcPr>
            <w:tcW w:w="140" w:type="pct"/>
            <w:vMerge w:val="restart"/>
            <w:tcBorders>
              <w:tl2br w:val="nil"/>
              <w:tr2bl w:val="nil"/>
            </w:tcBorders>
            <w:vAlign w:val="center"/>
          </w:tcPr>
          <w:p w14:paraId="2D731860">
            <w:pPr>
              <w:pStyle w:val="106"/>
              <w:bidi w:val="0"/>
              <w:rPr>
                <w:b/>
                <w:bCs/>
                <w:color w:val="auto"/>
                <w:highlight w:val="none"/>
              </w:rPr>
            </w:pPr>
            <w:r>
              <w:rPr>
                <w:b/>
                <w:bCs/>
                <w:color w:val="auto"/>
                <w:highlight w:val="none"/>
              </w:rPr>
              <w:t>建筑物名称</w:t>
            </w:r>
          </w:p>
        </w:tc>
        <w:tc>
          <w:tcPr>
            <w:tcW w:w="490" w:type="pct"/>
            <w:vMerge w:val="restart"/>
            <w:tcBorders>
              <w:tl2br w:val="nil"/>
              <w:tr2bl w:val="nil"/>
            </w:tcBorders>
            <w:vAlign w:val="center"/>
          </w:tcPr>
          <w:p w14:paraId="2F1402FA">
            <w:pPr>
              <w:pStyle w:val="106"/>
              <w:bidi w:val="0"/>
              <w:rPr>
                <w:b/>
                <w:bCs/>
                <w:color w:val="auto"/>
                <w:highlight w:val="none"/>
              </w:rPr>
            </w:pPr>
            <w:r>
              <w:rPr>
                <w:b/>
                <w:bCs/>
                <w:color w:val="auto"/>
                <w:highlight w:val="none"/>
              </w:rPr>
              <w:t>声源名称</w:t>
            </w:r>
          </w:p>
        </w:tc>
        <w:tc>
          <w:tcPr>
            <w:tcW w:w="119" w:type="pct"/>
            <w:vMerge w:val="restart"/>
            <w:tcBorders>
              <w:tl2br w:val="nil"/>
              <w:tr2bl w:val="nil"/>
            </w:tcBorders>
            <w:vAlign w:val="center"/>
          </w:tcPr>
          <w:p w14:paraId="2EF043B3">
            <w:pPr>
              <w:pStyle w:val="106"/>
              <w:bidi w:val="0"/>
              <w:rPr>
                <w:b/>
                <w:bCs/>
                <w:color w:val="auto"/>
                <w:highlight w:val="none"/>
              </w:rPr>
            </w:pPr>
            <w:r>
              <w:rPr>
                <w:b/>
                <w:bCs/>
                <w:color w:val="auto"/>
                <w:highlight w:val="none"/>
              </w:rPr>
              <w:t>型号</w:t>
            </w:r>
          </w:p>
        </w:tc>
        <w:tc>
          <w:tcPr>
            <w:tcW w:w="251" w:type="pct"/>
            <w:tcBorders>
              <w:tl2br w:val="nil"/>
              <w:tr2bl w:val="nil"/>
            </w:tcBorders>
            <w:vAlign w:val="center"/>
          </w:tcPr>
          <w:p w14:paraId="3A4113BA">
            <w:pPr>
              <w:pStyle w:val="106"/>
              <w:bidi w:val="0"/>
              <w:rPr>
                <w:b/>
                <w:bCs/>
                <w:color w:val="auto"/>
                <w:highlight w:val="none"/>
              </w:rPr>
            </w:pPr>
            <w:r>
              <w:rPr>
                <w:b/>
                <w:bCs/>
                <w:color w:val="auto"/>
                <w:highlight w:val="none"/>
              </w:rPr>
              <w:t>声源源</w:t>
            </w:r>
            <w:r>
              <w:rPr>
                <w:rFonts w:hint="eastAsia"/>
                <w:b/>
                <w:bCs/>
                <w:color w:val="auto"/>
                <w:highlight w:val="none"/>
                <w:lang w:val="en-US" w:eastAsia="zh-CN"/>
              </w:rPr>
              <w:t>强</w:t>
            </w:r>
          </w:p>
        </w:tc>
        <w:tc>
          <w:tcPr>
            <w:tcW w:w="139" w:type="pct"/>
            <w:vMerge w:val="restart"/>
            <w:tcBorders>
              <w:tl2br w:val="nil"/>
              <w:tr2bl w:val="nil"/>
            </w:tcBorders>
            <w:vAlign w:val="center"/>
          </w:tcPr>
          <w:p w14:paraId="330596D5">
            <w:pPr>
              <w:pStyle w:val="106"/>
              <w:bidi w:val="0"/>
              <w:ind w:firstLine="0" w:firstLineChars="0"/>
              <w:rPr>
                <w:b/>
                <w:bCs/>
                <w:color w:val="auto"/>
                <w:highlight w:val="none"/>
              </w:rPr>
            </w:pPr>
            <w:r>
              <w:rPr>
                <w:b/>
                <w:bCs/>
                <w:color w:val="auto"/>
                <w:highlight w:val="none"/>
              </w:rPr>
              <w:t>声源控制措施</w:t>
            </w:r>
          </w:p>
        </w:tc>
        <w:tc>
          <w:tcPr>
            <w:tcW w:w="521" w:type="pct"/>
            <w:gridSpan w:val="3"/>
            <w:tcBorders>
              <w:tl2br w:val="nil"/>
              <w:tr2bl w:val="nil"/>
            </w:tcBorders>
            <w:vAlign w:val="center"/>
          </w:tcPr>
          <w:p w14:paraId="223EFBD6">
            <w:pPr>
              <w:pStyle w:val="106"/>
              <w:bidi w:val="0"/>
              <w:rPr>
                <w:b/>
                <w:bCs/>
                <w:color w:val="auto"/>
                <w:highlight w:val="none"/>
              </w:rPr>
            </w:pPr>
            <w:r>
              <w:rPr>
                <w:b/>
                <w:bCs/>
                <w:color w:val="auto"/>
                <w:highlight w:val="none"/>
              </w:rPr>
              <w:t>空间相对位置/m</w:t>
            </w:r>
          </w:p>
        </w:tc>
        <w:tc>
          <w:tcPr>
            <w:tcW w:w="694" w:type="pct"/>
            <w:gridSpan w:val="4"/>
            <w:tcBorders>
              <w:tl2br w:val="nil"/>
              <w:tr2bl w:val="nil"/>
            </w:tcBorders>
            <w:vAlign w:val="center"/>
          </w:tcPr>
          <w:p w14:paraId="0BB86B56">
            <w:pPr>
              <w:pStyle w:val="106"/>
              <w:bidi w:val="0"/>
              <w:rPr>
                <w:b/>
                <w:bCs/>
                <w:color w:val="auto"/>
                <w:highlight w:val="none"/>
              </w:rPr>
            </w:pPr>
            <w:r>
              <w:rPr>
                <w:b/>
                <w:bCs/>
                <w:color w:val="auto"/>
                <w:highlight w:val="none"/>
              </w:rPr>
              <w:t>距室内边界距离/m</w:t>
            </w:r>
          </w:p>
        </w:tc>
        <w:tc>
          <w:tcPr>
            <w:tcW w:w="698" w:type="pct"/>
            <w:gridSpan w:val="4"/>
            <w:tcBorders>
              <w:tl2br w:val="nil"/>
              <w:tr2bl w:val="nil"/>
            </w:tcBorders>
            <w:vAlign w:val="center"/>
          </w:tcPr>
          <w:p w14:paraId="7225F396">
            <w:pPr>
              <w:pStyle w:val="106"/>
              <w:bidi w:val="0"/>
              <w:rPr>
                <w:b/>
                <w:bCs/>
                <w:color w:val="auto"/>
                <w:highlight w:val="none"/>
              </w:rPr>
            </w:pPr>
            <w:r>
              <w:rPr>
                <w:b/>
                <w:bCs/>
                <w:color w:val="auto"/>
                <w:highlight w:val="none"/>
              </w:rPr>
              <w:t>室内边界声级/dB(A)</w:t>
            </w:r>
          </w:p>
        </w:tc>
        <w:tc>
          <w:tcPr>
            <w:tcW w:w="159" w:type="pct"/>
            <w:vMerge w:val="restart"/>
            <w:tcBorders>
              <w:tl2br w:val="nil"/>
              <w:tr2bl w:val="nil"/>
            </w:tcBorders>
            <w:vAlign w:val="center"/>
          </w:tcPr>
          <w:p w14:paraId="5CD3FC67">
            <w:pPr>
              <w:pStyle w:val="106"/>
              <w:bidi w:val="0"/>
              <w:ind w:firstLine="0" w:firstLineChars="0"/>
              <w:rPr>
                <w:b/>
                <w:bCs/>
                <w:color w:val="auto"/>
                <w:highlight w:val="none"/>
              </w:rPr>
            </w:pPr>
            <w:r>
              <w:rPr>
                <w:b/>
                <w:bCs/>
                <w:color w:val="auto"/>
                <w:highlight w:val="none"/>
              </w:rPr>
              <w:t>运行时段</w:t>
            </w:r>
          </w:p>
        </w:tc>
        <w:tc>
          <w:tcPr>
            <w:tcW w:w="664" w:type="pct"/>
            <w:gridSpan w:val="4"/>
            <w:tcBorders>
              <w:tl2br w:val="nil"/>
              <w:tr2bl w:val="nil"/>
            </w:tcBorders>
            <w:vAlign w:val="center"/>
          </w:tcPr>
          <w:p w14:paraId="73B9EBEB">
            <w:pPr>
              <w:pStyle w:val="106"/>
              <w:bidi w:val="0"/>
              <w:rPr>
                <w:b/>
                <w:bCs/>
                <w:color w:val="auto"/>
                <w:highlight w:val="none"/>
              </w:rPr>
            </w:pPr>
            <w:r>
              <w:rPr>
                <w:b/>
                <w:bCs/>
                <w:color w:val="auto"/>
                <w:highlight w:val="none"/>
              </w:rPr>
              <w:t>建筑物插入损失/dB(A)</w:t>
            </w:r>
          </w:p>
        </w:tc>
        <w:tc>
          <w:tcPr>
            <w:tcW w:w="962" w:type="pct"/>
            <w:gridSpan w:val="5"/>
            <w:tcBorders>
              <w:tl2br w:val="nil"/>
              <w:tr2bl w:val="nil"/>
            </w:tcBorders>
            <w:vAlign w:val="center"/>
          </w:tcPr>
          <w:p w14:paraId="7D44478A">
            <w:pPr>
              <w:pStyle w:val="106"/>
              <w:bidi w:val="0"/>
              <w:rPr>
                <w:b/>
                <w:bCs/>
                <w:color w:val="auto"/>
                <w:highlight w:val="none"/>
              </w:rPr>
            </w:pPr>
            <w:r>
              <w:rPr>
                <w:b/>
                <w:bCs/>
                <w:color w:val="auto"/>
                <w:highlight w:val="none"/>
              </w:rPr>
              <w:t>建筑物外噪声声压级/dB(A)</w:t>
            </w:r>
          </w:p>
        </w:tc>
      </w:tr>
      <w:tr w14:paraId="202FA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vMerge w:val="continue"/>
            <w:tcBorders>
              <w:tl2br w:val="nil"/>
              <w:tr2bl w:val="nil"/>
            </w:tcBorders>
            <w:shd w:val="clear" w:color="auto" w:fill="FFFFFF"/>
            <w:tcMar>
              <w:top w:w="0" w:type="dxa"/>
              <w:left w:w="0" w:type="dxa"/>
              <w:bottom w:w="0" w:type="dxa"/>
              <w:right w:w="0" w:type="dxa"/>
            </w:tcMar>
            <w:vAlign w:val="center"/>
          </w:tcPr>
          <w:p w14:paraId="0C45ECFF">
            <w:pPr>
              <w:pStyle w:val="106"/>
              <w:bidi w:val="0"/>
              <w:rPr>
                <w:b/>
                <w:bCs/>
                <w:color w:val="FF0000"/>
                <w:highlight w:val="none"/>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123A1678">
            <w:pPr>
              <w:pStyle w:val="106"/>
              <w:bidi w:val="0"/>
              <w:rPr>
                <w:b/>
                <w:bCs/>
                <w:color w:val="auto"/>
                <w:highlight w:val="none"/>
              </w:rPr>
            </w:pPr>
          </w:p>
        </w:tc>
        <w:tc>
          <w:tcPr>
            <w:tcW w:w="490" w:type="pct"/>
            <w:vMerge w:val="continue"/>
            <w:tcBorders>
              <w:tl2br w:val="nil"/>
              <w:tr2bl w:val="nil"/>
            </w:tcBorders>
            <w:shd w:val="clear" w:color="auto" w:fill="FFFFFF"/>
            <w:tcMar>
              <w:top w:w="0" w:type="dxa"/>
              <w:left w:w="0" w:type="dxa"/>
              <w:bottom w:w="0" w:type="dxa"/>
              <w:right w:w="0" w:type="dxa"/>
            </w:tcMar>
            <w:vAlign w:val="center"/>
          </w:tcPr>
          <w:p w14:paraId="16B946BC">
            <w:pPr>
              <w:pStyle w:val="106"/>
              <w:bidi w:val="0"/>
              <w:rPr>
                <w:b/>
                <w:bCs/>
                <w:color w:val="auto"/>
                <w:highlight w:val="none"/>
              </w:rPr>
            </w:pPr>
          </w:p>
        </w:tc>
        <w:tc>
          <w:tcPr>
            <w:tcW w:w="119" w:type="pct"/>
            <w:vMerge w:val="continue"/>
            <w:tcBorders>
              <w:tl2br w:val="nil"/>
              <w:tr2bl w:val="nil"/>
            </w:tcBorders>
            <w:shd w:val="clear" w:color="auto" w:fill="FFFFFF"/>
            <w:tcMar>
              <w:top w:w="0" w:type="dxa"/>
              <w:left w:w="0" w:type="dxa"/>
              <w:bottom w:w="0" w:type="dxa"/>
              <w:right w:w="0" w:type="dxa"/>
            </w:tcMar>
            <w:vAlign w:val="center"/>
          </w:tcPr>
          <w:p w14:paraId="55369BAD">
            <w:pPr>
              <w:pStyle w:val="106"/>
              <w:bidi w:val="0"/>
              <w:rPr>
                <w:b/>
                <w:bCs/>
                <w:color w:val="auto"/>
                <w:highlight w:val="none"/>
              </w:rPr>
            </w:pPr>
          </w:p>
        </w:tc>
        <w:tc>
          <w:tcPr>
            <w:tcW w:w="251" w:type="pct"/>
            <w:tcBorders>
              <w:tl2br w:val="nil"/>
              <w:tr2bl w:val="nil"/>
            </w:tcBorders>
            <w:shd w:val="clear" w:color="auto" w:fill="FFFFFF"/>
            <w:tcMar>
              <w:top w:w="0" w:type="dxa"/>
              <w:left w:w="0" w:type="dxa"/>
              <w:bottom w:w="0" w:type="dxa"/>
              <w:right w:w="0" w:type="dxa"/>
            </w:tcMar>
            <w:vAlign w:val="center"/>
          </w:tcPr>
          <w:p w14:paraId="7575BE47">
            <w:pPr>
              <w:pStyle w:val="106"/>
              <w:bidi w:val="0"/>
              <w:rPr>
                <w:b/>
                <w:bCs/>
                <w:color w:val="auto"/>
                <w:highlight w:val="none"/>
              </w:rPr>
            </w:pPr>
            <w:r>
              <w:rPr>
                <w:b/>
                <w:bCs/>
                <w:color w:val="auto"/>
                <w:highlight w:val="none"/>
              </w:rPr>
              <w:t>声</w:t>
            </w:r>
            <w:r>
              <w:rPr>
                <w:rFonts w:hint="eastAsia"/>
                <w:b/>
                <w:bCs/>
                <w:color w:val="auto"/>
                <w:highlight w:val="none"/>
                <w:lang w:val="en-US" w:eastAsia="zh-CN"/>
              </w:rPr>
              <w:t>压</w:t>
            </w:r>
            <w:r>
              <w:rPr>
                <w:b/>
                <w:bCs/>
                <w:color w:val="auto"/>
                <w:highlight w:val="none"/>
              </w:rPr>
              <w:t>级/dB(A)</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4B61965D">
            <w:pPr>
              <w:pStyle w:val="106"/>
              <w:bidi w:val="0"/>
              <w:rPr>
                <w:b/>
                <w:bCs/>
                <w:color w:val="auto"/>
                <w:highlight w:val="none"/>
              </w:rPr>
            </w:pPr>
          </w:p>
        </w:tc>
        <w:tc>
          <w:tcPr>
            <w:tcW w:w="173" w:type="pct"/>
            <w:tcBorders>
              <w:tl2br w:val="nil"/>
              <w:tr2bl w:val="nil"/>
            </w:tcBorders>
            <w:shd w:val="clear" w:color="auto" w:fill="FFFFFF"/>
            <w:tcMar>
              <w:top w:w="0" w:type="dxa"/>
              <w:left w:w="0" w:type="dxa"/>
              <w:bottom w:w="0" w:type="dxa"/>
              <w:right w:w="0" w:type="dxa"/>
            </w:tcMar>
            <w:vAlign w:val="center"/>
          </w:tcPr>
          <w:p w14:paraId="4C6FC116">
            <w:pPr>
              <w:pStyle w:val="106"/>
              <w:bidi w:val="0"/>
              <w:rPr>
                <w:b/>
                <w:bCs/>
                <w:color w:val="auto"/>
                <w:highlight w:val="none"/>
              </w:rPr>
            </w:pPr>
            <w:r>
              <w:rPr>
                <w:b/>
                <w:bCs/>
                <w:color w:val="auto"/>
                <w:highlight w:val="none"/>
              </w:rPr>
              <w:t>X</w:t>
            </w:r>
          </w:p>
        </w:tc>
        <w:tc>
          <w:tcPr>
            <w:tcW w:w="173" w:type="pct"/>
            <w:tcBorders>
              <w:tl2br w:val="nil"/>
              <w:tr2bl w:val="nil"/>
            </w:tcBorders>
            <w:shd w:val="clear" w:color="auto" w:fill="FFFFFF"/>
            <w:tcMar>
              <w:top w:w="0" w:type="dxa"/>
              <w:left w:w="0" w:type="dxa"/>
              <w:bottom w:w="0" w:type="dxa"/>
              <w:right w:w="0" w:type="dxa"/>
            </w:tcMar>
            <w:vAlign w:val="center"/>
          </w:tcPr>
          <w:p w14:paraId="3CDF507A">
            <w:pPr>
              <w:pStyle w:val="106"/>
              <w:bidi w:val="0"/>
              <w:rPr>
                <w:b/>
                <w:bCs/>
                <w:color w:val="auto"/>
                <w:highlight w:val="none"/>
              </w:rPr>
            </w:pPr>
            <w:r>
              <w:rPr>
                <w:b/>
                <w:bCs/>
                <w:color w:val="auto"/>
                <w:highlight w:val="none"/>
              </w:rPr>
              <w:t>Y</w:t>
            </w:r>
          </w:p>
        </w:tc>
        <w:tc>
          <w:tcPr>
            <w:tcW w:w="173" w:type="pct"/>
            <w:tcBorders>
              <w:tl2br w:val="nil"/>
              <w:tr2bl w:val="nil"/>
            </w:tcBorders>
            <w:shd w:val="clear" w:color="auto" w:fill="FFFFFF"/>
            <w:tcMar>
              <w:top w:w="0" w:type="dxa"/>
              <w:left w:w="0" w:type="dxa"/>
              <w:bottom w:w="0" w:type="dxa"/>
              <w:right w:w="0" w:type="dxa"/>
            </w:tcMar>
            <w:vAlign w:val="center"/>
          </w:tcPr>
          <w:p w14:paraId="7429A49C">
            <w:pPr>
              <w:pStyle w:val="106"/>
              <w:bidi w:val="0"/>
              <w:rPr>
                <w:b/>
                <w:bCs/>
                <w:color w:val="auto"/>
                <w:highlight w:val="none"/>
              </w:rPr>
            </w:pPr>
            <w:r>
              <w:rPr>
                <w:b/>
                <w:bCs/>
                <w:color w:val="auto"/>
                <w:highlight w:val="none"/>
              </w:rPr>
              <w:t>Z</w:t>
            </w:r>
          </w:p>
        </w:tc>
        <w:tc>
          <w:tcPr>
            <w:tcW w:w="173" w:type="pct"/>
            <w:tcBorders>
              <w:tl2br w:val="nil"/>
              <w:tr2bl w:val="nil"/>
            </w:tcBorders>
            <w:shd w:val="clear" w:color="auto" w:fill="FFFFFF"/>
            <w:tcMar>
              <w:top w:w="0" w:type="dxa"/>
              <w:left w:w="0" w:type="dxa"/>
              <w:bottom w:w="0" w:type="dxa"/>
              <w:right w:w="0" w:type="dxa"/>
            </w:tcMar>
            <w:vAlign w:val="center"/>
          </w:tcPr>
          <w:p w14:paraId="21DBD3EC">
            <w:pPr>
              <w:pStyle w:val="106"/>
              <w:bidi w:val="0"/>
              <w:rPr>
                <w:b/>
                <w:bCs/>
                <w:color w:val="auto"/>
                <w:highlight w:val="none"/>
              </w:rPr>
            </w:pPr>
            <w:r>
              <w:rPr>
                <w:rFonts w:hint="eastAsia"/>
                <w:b/>
                <w:bCs/>
                <w:color w:val="auto"/>
                <w:highlight w:val="none"/>
              </w:rPr>
              <w:t>东</w:t>
            </w:r>
          </w:p>
        </w:tc>
        <w:tc>
          <w:tcPr>
            <w:tcW w:w="173" w:type="pct"/>
            <w:tcBorders>
              <w:tl2br w:val="nil"/>
              <w:tr2bl w:val="nil"/>
            </w:tcBorders>
            <w:shd w:val="clear" w:color="auto" w:fill="FFFFFF"/>
            <w:tcMar>
              <w:top w:w="0" w:type="dxa"/>
              <w:left w:w="0" w:type="dxa"/>
              <w:bottom w:w="0" w:type="dxa"/>
              <w:right w:w="0" w:type="dxa"/>
            </w:tcMar>
            <w:vAlign w:val="center"/>
          </w:tcPr>
          <w:p w14:paraId="387312E3">
            <w:pPr>
              <w:pStyle w:val="106"/>
              <w:bidi w:val="0"/>
              <w:rPr>
                <w:b/>
                <w:bCs/>
                <w:color w:val="auto"/>
                <w:highlight w:val="none"/>
              </w:rPr>
            </w:pPr>
            <w:r>
              <w:rPr>
                <w:rFonts w:hint="eastAsia"/>
                <w:b/>
                <w:bCs/>
                <w:color w:val="auto"/>
                <w:highlight w:val="none"/>
              </w:rPr>
              <w:t>南</w:t>
            </w:r>
          </w:p>
        </w:tc>
        <w:tc>
          <w:tcPr>
            <w:tcW w:w="173" w:type="pct"/>
            <w:tcBorders>
              <w:tl2br w:val="nil"/>
              <w:tr2bl w:val="nil"/>
            </w:tcBorders>
            <w:shd w:val="clear" w:color="auto" w:fill="FFFFFF"/>
            <w:tcMar>
              <w:top w:w="0" w:type="dxa"/>
              <w:left w:w="0" w:type="dxa"/>
              <w:bottom w:w="0" w:type="dxa"/>
              <w:right w:w="0" w:type="dxa"/>
            </w:tcMar>
            <w:vAlign w:val="center"/>
          </w:tcPr>
          <w:p w14:paraId="6BBE77E0">
            <w:pPr>
              <w:pStyle w:val="106"/>
              <w:bidi w:val="0"/>
              <w:rPr>
                <w:b/>
                <w:bCs/>
                <w:color w:val="auto"/>
                <w:highlight w:val="none"/>
              </w:rPr>
            </w:pPr>
            <w:r>
              <w:rPr>
                <w:rFonts w:hint="eastAsia"/>
                <w:b/>
                <w:bCs/>
                <w:color w:val="auto"/>
                <w:highlight w:val="none"/>
              </w:rPr>
              <w:t>西</w:t>
            </w:r>
          </w:p>
        </w:tc>
        <w:tc>
          <w:tcPr>
            <w:tcW w:w="173" w:type="pct"/>
            <w:tcBorders>
              <w:tl2br w:val="nil"/>
              <w:tr2bl w:val="nil"/>
            </w:tcBorders>
            <w:shd w:val="clear" w:color="auto" w:fill="FFFFFF"/>
            <w:tcMar>
              <w:top w:w="0" w:type="dxa"/>
              <w:left w:w="0" w:type="dxa"/>
              <w:bottom w:w="0" w:type="dxa"/>
              <w:right w:w="0" w:type="dxa"/>
            </w:tcMar>
            <w:vAlign w:val="center"/>
          </w:tcPr>
          <w:p w14:paraId="42EF169B">
            <w:pPr>
              <w:pStyle w:val="106"/>
              <w:bidi w:val="0"/>
              <w:rPr>
                <w:b/>
                <w:bCs/>
                <w:color w:val="auto"/>
                <w:highlight w:val="none"/>
              </w:rPr>
            </w:pPr>
            <w:r>
              <w:rPr>
                <w:rFonts w:hint="eastAsia"/>
                <w:b/>
                <w:bCs/>
                <w:color w:val="auto"/>
                <w:highlight w:val="none"/>
              </w:rPr>
              <w:t>北</w:t>
            </w:r>
          </w:p>
        </w:tc>
        <w:tc>
          <w:tcPr>
            <w:tcW w:w="173" w:type="pct"/>
            <w:tcBorders>
              <w:tl2br w:val="nil"/>
              <w:tr2bl w:val="nil"/>
            </w:tcBorders>
            <w:shd w:val="clear" w:color="auto" w:fill="FFFFFF"/>
            <w:tcMar>
              <w:top w:w="0" w:type="dxa"/>
              <w:left w:w="0" w:type="dxa"/>
              <w:bottom w:w="0" w:type="dxa"/>
              <w:right w:w="0" w:type="dxa"/>
            </w:tcMar>
            <w:vAlign w:val="center"/>
          </w:tcPr>
          <w:p w14:paraId="15787518">
            <w:pPr>
              <w:pStyle w:val="106"/>
              <w:bidi w:val="0"/>
              <w:rPr>
                <w:b/>
                <w:bCs/>
                <w:color w:val="auto"/>
                <w:highlight w:val="none"/>
              </w:rPr>
            </w:pPr>
            <w:r>
              <w:rPr>
                <w:rFonts w:hint="eastAsia"/>
                <w:b/>
                <w:bCs/>
                <w:color w:val="auto"/>
                <w:highlight w:val="none"/>
              </w:rPr>
              <w:t>东</w:t>
            </w:r>
          </w:p>
        </w:tc>
        <w:tc>
          <w:tcPr>
            <w:tcW w:w="173" w:type="pct"/>
            <w:tcBorders>
              <w:tl2br w:val="nil"/>
              <w:tr2bl w:val="nil"/>
            </w:tcBorders>
            <w:shd w:val="clear" w:color="auto" w:fill="FFFFFF"/>
            <w:tcMar>
              <w:top w:w="0" w:type="dxa"/>
              <w:left w:w="0" w:type="dxa"/>
              <w:bottom w:w="0" w:type="dxa"/>
              <w:right w:w="0" w:type="dxa"/>
            </w:tcMar>
            <w:vAlign w:val="center"/>
          </w:tcPr>
          <w:p w14:paraId="79661C63">
            <w:pPr>
              <w:pStyle w:val="106"/>
              <w:bidi w:val="0"/>
              <w:rPr>
                <w:b/>
                <w:bCs/>
                <w:color w:val="auto"/>
                <w:highlight w:val="none"/>
              </w:rPr>
            </w:pPr>
            <w:r>
              <w:rPr>
                <w:rFonts w:hint="eastAsia"/>
                <w:b/>
                <w:bCs/>
                <w:color w:val="auto"/>
                <w:highlight w:val="none"/>
              </w:rPr>
              <w:t>南</w:t>
            </w:r>
          </w:p>
        </w:tc>
        <w:tc>
          <w:tcPr>
            <w:tcW w:w="173" w:type="pct"/>
            <w:tcBorders>
              <w:tl2br w:val="nil"/>
              <w:tr2bl w:val="nil"/>
            </w:tcBorders>
            <w:shd w:val="clear" w:color="auto" w:fill="FFFFFF"/>
            <w:tcMar>
              <w:top w:w="0" w:type="dxa"/>
              <w:left w:w="0" w:type="dxa"/>
              <w:bottom w:w="0" w:type="dxa"/>
              <w:right w:w="0" w:type="dxa"/>
            </w:tcMar>
            <w:vAlign w:val="center"/>
          </w:tcPr>
          <w:p w14:paraId="79444D34">
            <w:pPr>
              <w:pStyle w:val="106"/>
              <w:bidi w:val="0"/>
              <w:rPr>
                <w:b/>
                <w:bCs/>
                <w:color w:val="auto"/>
                <w:highlight w:val="none"/>
              </w:rPr>
            </w:pPr>
            <w:r>
              <w:rPr>
                <w:rFonts w:hint="eastAsia"/>
                <w:b/>
                <w:bCs/>
                <w:color w:val="auto"/>
                <w:highlight w:val="none"/>
              </w:rPr>
              <w:t>西</w:t>
            </w:r>
          </w:p>
        </w:tc>
        <w:tc>
          <w:tcPr>
            <w:tcW w:w="177" w:type="pct"/>
            <w:tcBorders>
              <w:tl2br w:val="nil"/>
              <w:tr2bl w:val="nil"/>
            </w:tcBorders>
            <w:shd w:val="clear" w:color="auto" w:fill="FFFFFF"/>
            <w:tcMar>
              <w:top w:w="0" w:type="dxa"/>
              <w:left w:w="0" w:type="dxa"/>
              <w:bottom w:w="0" w:type="dxa"/>
              <w:right w:w="0" w:type="dxa"/>
            </w:tcMar>
            <w:vAlign w:val="center"/>
          </w:tcPr>
          <w:p w14:paraId="22361F31">
            <w:pPr>
              <w:pStyle w:val="106"/>
              <w:bidi w:val="0"/>
              <w:rPr>
                <w:b/>
                <w:bCs/>
                <w:color w:val="auto"/>
                <w:highlight w:val="none"/>
              </w:rPr>
            </w:pPr>
            <w:r>
              <w:rPr>
                <w:rFonts w:hint="eastAsia"/>
                <w:b/>
                <w:bCs/>
                <w:color w:val="auto"/>
                <w:highlight w:val="none"/>
              </w:rPr>
              <w:t>北</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6AEC9304">
            <w:pPr>
              <w:pStyle w:val="106"/>
              <w:bidi w:val="0"/>
              <w:rPr>
                <w:b/>
                <w:bCs/>
                <w:color w:val="auto"/>
                <w:highlight w:val="none"/>
              </w:rPr>
            </w:pPr>
          </w:p>
        </w:tc>
        <w:tc>
          <w:tcPr>
            <w:tcW w:w="165" w:type="pct"/>
            <w:tcBorders>
              <w:tl2br w:val="nil"/>
              <w:tr2bl w:val="nil"/>
            </w:tcBorders>
            <w:shd w:val="clear" w:color="auto" w:fill="FFFFFF"/>
            <w:tcMar>
              <w:top w:w="0" w:type="dxa"/>
              <w:left w:w="0" w:type="dxa"/>
              <w:bottom w:w="0" w:type="dxa"/>
              <w:right w:w="0" w:type="dxa"/>
            </w:tcMar>
            <w:vAlign w:val="center"/>
          </w:tcPr>
          <w:p w14:paraId="3FFE8831">
            <w:pPr>
              <w:pStyle w:val="106"/>
              <w:bidi w:val="0"/>
              <w:rPr>
                <w:b/>
                <w:bCs/>
                <w:color w:val="auto"/>
                <w:highlight w:val="none"/>
              </w:rPr>
            </w:pPr>
            <w:r>
              <w:rPr>
                <w:rFonts w:hint="eastAsia"/>
                <w:b/>
                <w:bCs/>
                <w:color w:val="auto"/>
                <w:highlight w:val="none"/>
              </w:rPr>
              <w:t>东</w:t>
            </w:r>
          </w:p>
        </w:tc>
        <w:tc>
          <w:tcPr>
            <w:tcW w:w="165" w:type="pct"/>
            <w:tcBorders>
              <w:tl2br w:val="nil"/>
              <w:tr2bl w:val="nil"/>
            </w:tcBorders>
            <w:shd w:val="clear" w:color="auto" w:fill="FFFFFF"/>
            <w:tcMar>
              <w:top w:w="0" w:type="dxa"/>
              <w:left w:w="0" w:type="dxa"/>
              <w:bottom w:w="0" w:type="dxa"/>
              <w:right w:w="0" w:type="dxa"/>
            </w:tcMar>
            <w:vAlign w:val="center"/>
          </w:tcPr>
          <w:p w14:paraId="1ECD965C">
            <w:pPr>
              <w:pStyle w:val="106"/>
              <w:bidi w:val="0"/>
              <w:rPr>
                <w:b/>
                <w:bCs/>
                <w:color w:val="auto"/>
                <w:highlight w:val="none"/>
              </w:rPr>
            </w:pPr>
            <w:r>
              <w:rPr>
                <w:rFonts w:hint="eastAsia"/>
                <w:b/>
                <w:bCs/>
                <w:color w:val="auto"/>
                <w:highlight w:val="none"/>
              </w:rPr>
              <w:t>南</w:t>
            </w:r>
          </w:p>
        </w:tc>
        <w:tc>
          <w:tcPr>
            <w:tcW w:w="165" w:type="pct"/>
            <w:tcBorders>
              <w:tl2br w:val="nil"/>
              <w:tr2bl w:val="nil"/>
            </w:tcBorders>
            <w:shd w:val="clear" w:color="auto" w:fill="FFFFFF"/>
            <w:tcMar>
              <w:top w:w="0" w:type="dxa"/>
              <w:left w:w="0" w:type="dxa"/>
              <w:bottom w:w="0" w:type="dxa"/>
              <w:right w:w="0" w:type="dxa"/>
            </w:tcMar>
            <w:vAlign w:val="center"/>
          </w:tcPr>
          <w:p w14:paraId="4DD2BB4A">
            <w:pPr>
              <w:pStyle w:val="106"/>
              <w:bidi w:val="0"/>
              <w:rPr>
                <w:b/>
                <w:bCs/>
                <w:color w:val="auto"/>
                <w:highlight w:val="none"/>
              </w:rPr>
            </w:pPr>
            <w:r>
              <w:rPr>
                <w:rFonts w:hint="eastAsia"/>
                <w:b/>
                <w:bCs/>
                <w:color w:val="auto"/>
                <w:highlight w:val="none"/>
              </w:rPr>
              <w:t>西</w:t>
            </w:r>
          </w:p>
        </w:tc>
        <w:tc>
          <w:tcPr>
            <w:tcW w:w="169" w:type="pct"/>
            <w:tcBorders>
              <w:tl2br w:val="nil"/>
              <w:tr2bl w:val="nil"/>
            </w:tcBorders>
            <w:shd w:val="clear" w:color="auto" w:fill="FFFFFF"/>
            <w:tcMar>
              <w:top w:w="0" w:type="dxa"/>
              <w:left w:w="0" w:type="dxa"/>
              <w:bottom w:w="0" w:type="dxa"/>
              <w:right w:w="0" w:type="dxa"/>
            </w:tcMar>
            <w:vAlign w:val="center"/>
          </w:tcPr>
          <w:p w14:paraId="6A9E137B">
            <w:pPr>
              <w:pStyle w:val="106"/>
              <w:bidi w:val="0"/>
              <w:rPr>
                <w:b/>
                <w:bCs/>
                <w:color w:val="auto"/>
                <w:highlight w:val="none"/>
              </w:rPr>
            </w:pPr>
            <w:r>
              <w:rPr>
                <w:rFonts w:hint="eastAsia"/>
                <w:b/>
                <w:bCs/>
                <w:color w:val="auto"/>
                <w:highlight w:val="none"/>
              </w:rPr>
              <w:t>北</w:t>
            </w:r>
          </w:p>
        </w:tc>
        <w:tc>
          <w:tcPr>
            <w:tcW w:w="176" w:type="pct"/>
            <w:tcBorders>
              <w:tl2br w:val="nil"/>
              <w:tr2bl w:val="nil"/>
            </w:tcBorders>
            <w:shd w:val="clear" w:color="auto" w:fill="FFFFFF"/>
            <w:tcMar>
              <w:top w:w="0" w:type="dxa"/>
              <w:left w:w="0" w:type="dxa"/>
              <w:bottom w:w="0" w:type="dxa"/>
              <w:right w:w="0" w:type="dxa"/>
            </w:tcMar>
            <w:vAlign w:val="center"/>
          </w:tcPr>
          <w:p w14:paraId="7C98A892">
            <w:pPr>
              <w:pStyle w:val="106"/>
              <w:bidi w:val="0"/>
              <w:rPr>
                <w:b/>
                <w:bCs/>
                <w:color w:val="auto"/>
                <w:highlight w:val="none"/>
              </w:rPr>
            </w:pPr>
            <w:r>
              <w:rPr>
                <w:rFonts w:hint="eastAsia"/>
                <w:b/>
                <w:bCs/>
                <w:color w:val="auto"/>
                <w:highlight w:val="none"/>
              </w:rPr>
              <w:t>东</w:t>
            </w:r>
          </w:p>
        </w:tc>
        <w:tc>
          <w:tcPr>
            <w:tcW w:w="176" w:type="pct"/>
            <w:tcBorders>
              <w:tl2br w:val="nil"/>
              <w:tr2bl w:val="nil"/>
            </w:tcBorders>
            <w:shd w:val="clear" w:color="auto" w:fill="FFFFFF"/>
            <w:tcMar>
              <w:top w:w="0" w:type="dxa"/>
              <w:left w:w="0" w:type="dxa"/>
              <w:bottom w:w="0" w:type="dxa"/>
              <w:right w:w="0" w:type="dxa"/>
            </w:tcMar>
            <w:vAlign w:val="center"/>
          </w:tcPr>
          <w:p w14:paraId="7E0772AC">
            <w:pPr>
              <w:pStyle w:val="106"/>
              <w:bidi w:val="0"/>
              <w:rPr>
                <w:b/>
                <w:bCs/>
                <w:color w:val="auto"/>
                <w:highlight w:val="none"/>
              </w:rPr>
            </w:pPr>
            <w:r>
              <w:rPr>
                <w:rFonts w:hint="eastAsia"/>
                <w:b/>
                <w:bCs/>
                <w:color w:val="auto"/>
                <w:highlight w:val="none"/>
              </w:rPr>
              <w:t>南</w:t>
            </w:r>
          </w:p>
        </w:tc>
        <w:tc>
          <w:tcPr>
            <w:tcW w:w="176" w:type="pct"/>
            <w:tcBorders>
              <w:tl2br w:val="nil"/>
              <w:tr2bl w:val="nil"/>
            </w:tcBorders>
            <w:shd w:val="clear" w:color="auto" w:fill="FFFFFF"/>
            <w:tcMar>
              <w:top w:w="0" w:type="dxa"/>
              <w:left w:w="0" w:type="dxa"/>
              <w:bottom w:w="0" w:type="dxa"/>
              <w:right w:w="0" w:type="dxa"/>
            </w:tcMar>
            <w:vAlign w:val="center"/>
          </w:tcPr>
          <w:p w14:paraId="5B8554C4">
            <w:pPr>
              <w:pStyle w:val="106"/>
              <w:bidi w:val="0"/>
              <w:rPr>
                <w:b/>
                <w:bCs/>
                <w:color w:val="auto"/>
                <w:highlight w:val="none"/>
              </w:rPr>
            </w:pPr>
            <w:r>
              <w:rPr>
                <w:rFonts w:hint="eastAsia"/>
                <w:b/>
                <w:bCs/>
                <w:color w:val="auto"/>
                <w:highlight w:val="none"/>
              </w:rPr>
              <w:t>西</w:t>
            </w:r>
          </w:p>
        </w:tc>
        <w:tc>
          <w:tcPr>
            <w:tcW w:w="176" w:type="pct"/>
            <w:tcBorders>
              <w:tl2br w:val="nil"/>
              <w:tr2bl w:val="nil"/>
            </w:tcBorders>
            <w:shd w:val="clear" w:color="auto" w:fill="FFFFFF"/>
            <w:tcMar>
              <w:top w:w="0" w:type="dxa"/>
              <w:left w:w="0" w:type="dxa"/>
              <w:bottom w:w="0" w:type="dxa"/>
              <w:right w:w="0" w:type="dxa"/>
            </w:tcMar>
            <w:vAlign w:val="center"/>
          </w:tcPr>
          <w:p w14:paraId="51F084BF">
            <w:pPr>
              <w:pStyle w:val="106"/>
              <w:bidi w:val="0"/>
              <w:rPr>
                <w:b/>
                <w:bCs/>
                <w:color w:val="auto"/>
                <w:highlight w:val="none"/>
              </w:rPr>
            </w:pPr>
            <w:r>
              <w:rPr>
                <w:rFonts w:hint="eastAsia"/>
                <w:b/>
                <w:bCs/>
                <w:color w:val="auto"/>
                <w:highlight w:val="none"/>
              </w:rPr>
              <w:t>北</w:t>
            </w:r>
          </w:p>
        </w:tc>
        <w:tc>
          <w:tcPr>
            <w:tcW w:w="258" w:type="pct"/>
            <w:tcBorders>
              <w:tl2br w:val="nil"/>
              <w:tr2bl w:val="nil"/>
            </w:tcBorders>
            <w:shd w:val="clear" w:color="auto" w:fill="FFFFFF"/>
            <w:tcMar>
              <w:top w:w="0" w:type="dxa"/>
              <w:left w:w="0" w:type="dxa"/>
              <w:bottom w:w="0" w:type="dxa"/>
              <w:right w:w="0" w:type="dxa"/>
            </w:tcMar>
            <w:vAlign w:val="center"/>
          </w:tcPr>
          <w:p w14:paraId="30B44517">
            <w:pPr>
              <w:pStyle w:val="106"/>
              <w:bidi w:val="0"/>
              <w:rPr>
                <w:b/>
                <w:bCs/>
                <w:color w:val="auto"/>
                <w:highlight w:val="none"/>
              </w:rPr>
            </w:pPr>
            <w:r>
              <w:rPr>
                <w:b/>
                <w:bCs/>
                <w:color w:val="auto"/>
                <w:highlight w:val="none"/>
              </w:rPr>
              <w:t>建筑物外距离</w:t>
            </w:r>
          </w:p>
        </w:tc>
      </w:tr>
      <w:tr w14:paraId="1ADE1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786CB37E">
            <w:pPr>
              <w:pStyle w:val="106"/>
              <w:numPr>
                <w:ilvl w:val="0"/>
                <w:numId w:val="12"/>
              </w:numPr>
              <w:bidi w:val="0"/>
              <w:ind w:left="0" w:leftChars="0" w:firstLine="0" w:firstLineChars="0"/>
            </w:pPr>
          </w:p>
        </w:tc>
        <w:tc>
          <w:tcPr>
            <w:tcW w:w="140" w:type="pct"/>
            <w:vMerge w:val="restart"/>
            <w:tcBorders>
              <w:tl2br w:val="nil"/>
              <w:tr2bl w:val="nil"/>
            </w:tcBorders>
            <w:shd w:val="clear" w:color="auto" w:fill="FFFFFF"/>
            <w:tcMar>
              <w:top w:w="0" w:type="dxa"/>
              <w:left w:w="0" w:type="dxa"/>
              <w:bottom w:w="0" w:type="dxa"/>
              <w:right w:w="0" w:type="dxa"/>
            </w:tcMar>
            <w:vAlign w:val="center"/>
          </w:tcPr>
          <w:p w14:paraId="76F1B246">
            <w:pPr>
              <w:pStyle w:val="106"/>
              <w:bidi w:val="0"/>
              <w:rPr>
                <w:rFonts w:hint="default"/>
                <w:lang w:val="en-US" w:eastAsia="zh-CN"/>
              </w:rPr>
            </w:pPr>
            <w:r>
              <w:rPr>
                <w:rFonts w:hint="eastAsia"/>
                <w:lang w:val="en-US" w:eastAsia="zh-CN"/>
              </w:rPr>
              <w:t>二车间</w:t>
            </w:r>
          </w:p>
        </w:tc>
        <w:tc>
          <w:tcPr>
            <w:tcW w:w="490" w:type="pct"/>
            <w:tcBorders>
              <w:tl2br w:val="nil"/>
              <w:tr2bl w:val="nil"/>
            </w:tcBorders>
            <w:shd w:val="clear" w:color="auto" w:fill="auto"/>
            <w:tcMar>
              <w:top w:w="0" w:type="dxa"/>
              <w:left w:w="0" w:type="dxa"/>
              <w:bottom w:w="0" w:type="dxa"/>
              <w:right w:w="0" w:type="dxa"/>
            </w:tcMar>
            <w:vAlign w:val="center"/>
          </w:tcPr>
          <w:p w14:paraId="3C8ADE50">
            <w:pPr>
              <w:pStyle w:val="106"/>
              <w:bidi w:val="0"/>
              <w:rPr>
                <w:rFonts w:hint="default"/>
                <w:lang w:val="en-US" w:eastAsia="zh-CN"/>
              </w:rPr>
            </w:pPr>
            <w:r>
              <w:rPr>
                <w:rFonts w:hint="eastAsia"/>
                <w:lang w:val="en-US" w:eastAsia="zh-CN"/>
              </w:rPr>
              <w:t>气泡清洗机1</w:t>
            </w:r>
          </w:p>
        </w:tc>
        <w:tc>
          <w:tcPr>
            <w:tcW w:w="119" w:type="pct"/>
            <w:tcBorders>
              <w:tl2br w:val="nil"/>
              <w:tr2bl w:val="nil"/>
            </w:tcBorders>
            <w:shd w:val="clear" w:color="auto" w:fill="FFFFFF"/>
            <w:tcMar>
              <w:top w:w="0" w:type="dxa"/>
              <w:left w:w="0" w:type="dxa"/>
              <w:bottom w:w="0" w:type="dxa"/>
              <w:right w:w="0" w:type="dxa"/>
            </w:tcMar>
            <w:vAlign w:val="center"/>
          </w:tcPr>
          <w:p w14:paraId="7223A388">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525D0831">
            <w:pPr>
              <w:pStyle w:val="106"/>
              <w:bidi w:val="0"/>
              <w:rPr>
                <w:rFonts w:hint="default"/>
                <w:lang w:val="en-US" w:eastAsia="zh-CN"/>
              </w:rPr>
            </w:pPr>
            <w:r>
              <w:rPr>
                <w:rFonts w:hint="eastAsia"/>
                <w:lang w:val="en-US" w:eastAsia="zh-CN"/>
              </w:rPr>
              <w:t>70</w:t>
            </w:r>
          </w:p>
        </w:tc>
        <w:tc>
          <w:tcPr>
            <w:tcW w:w="139" w:type="pct"/>
            <w:vMerge w:val="restart"/>
            <w:tcBorders>
              <w:tl2br w:val="nil"/>
              <w:tr2bl w:val="nil"/>
            </w:tcBorders>
            <w:shd w:val="clear" w:color="auto" w:fill="FFFFFF"/>
            <w:tcMar>
              <w:top w:w="0" w:type="dxa"/>
              <w:left w:w="0" w:type="dxa"/>
              <w:bottom w:w="0" w:type="dxa"/>
              <w:right w:w="0" w:type="dxa"/>
            </w:tcMar>
            <w:vAlign w:val="center"/>
          </w:tcPr>
          <w:p w14:paraId="0B290773">
            <w:pPr>
              <w:pStyle w:val="106"/>
              <w:bidi w:val="0"/>
            </w:pPr>
            <w:r>
              <w:rPr>
                <w:rFonts w:hint="eastAsia"/>
              </w:rPr>
              <w:t>选用低噪声设备，位于车间内，采取隔声、减振措施。</w:t>
            </w:r>
          </w:p>
        </w:tc>
        <w:tc>
          <w:tcPr>
            <w:tcW w:w="173" w:type="pct"/>
            <w:tcBorders>
              <w:tl2br w:val="nil"/>
              <w:tr2bl w:val="nil"/>
            </w:tcBorders>
            <w:shd w:val="clear" w:color="auto" w:fill="FFFFFF"/>
            <w:tcMar>
              <w:top w:w="0" w:type="dxa"/>
              <w:left w:w="0" w:type="dxa"/>
              <w:bottom w:w="0" w:type="dxa"/>
              <w:right w:w="0" w:type="dxa"/>
            </w:tcMar>
            <w:vAlign w:val="center"/>
          </w:tcPr>
          <w:p w14:paraId="7683E587">
            <w:pPr>
              <w:pStyle w:val="106"/>
              <w:bidi w:val="0"/>
              <w:rPr>
                <w:rFonts w:hint="default"/>
                <w:lang w:val="en-US" w:eastAsia="zh-CN"/>
              </w:rPr>
            </w:pPr>
            <w:r>
              <w:rPr>
                <w:rFonts w:hint="eastAsia"/>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22D2EC4B">
            <w:pPr>
              <w:pStyle w:val="106"/>
              <w:bidi w:val="0"/>
              <w:rPr>
                <w:rFonts w:hint="default"/>
                <w:lang w:val="en-US" w:eastAsia="zh-CN"/>
              </w:rPr>
            </w:pPr>
            <w:r>
              <w:rPr>
                <w:rFonts w:hint="eastAsia"/>
                <w:lang w:val="en-US" w:eastAsia="zh-CN"/>
              </w:rPr>
              <w:t>-15</w:t>
            </w:r>
          </w:p>
        </w:tc>
        <w:tc>
          <w:tcPr>
            <w:tcW w:w="173" w:type="pct"/>
            <w:tcBorders>
              <w:tl2br w:val="nil"/>
              <w:tr2bl w:val="nil"/>
            </w:tcBorders>
            <w:shd w:val="clear" w:color="auto" w:fill="FFFFFF"/>
            <w:tcMar>
              <w:top w:w="0" w:type="dxa"/>
              <w:left w:w="0" w:type="dxa"/>
              <w:bottom w:w="0" w:type="dxa"/>
              <w:right w:w="0" w:type="dxa"/>
            </w:tcMar>
            <w:vAlign w:val="center"/>
          </w:tcPr>
          <w:p w14:paraId="67455AC1">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7BF7A269">
            <w:pPr>
              <w:pStyle w:val="106"/>
              <w:bidi w:val="0"/>
              <w:jc w:val="center"/>
              <w:rPr>
                <w:rFonts w:hint="default"/>
                <w:lang w:val="en-US" w:eastAsia="zh-CN"/>
              </w:rPr>
            </w:pPr>
            <w:r>
              <w:rPr>
                <w:rFonts w:hint="default"/>
                <w:lang w:val="en-US" w:eastAsia="zh-CN"/>
              </w:rPr>
              <w:t>103</w:t>
            </w:r>
          </w:p>
        </w:tc>
        <w:tc>
          <w:tcPr>
            <w:tcW w:w="173" w:type="pct"/>
            <w:tcBorders>
              <w:tl2br w:val="nil"/>
              <w:tr2bl w:val="nil"/>
            </w:tcBorders>
            <w:shd w:val="clear" w:color="auto" w:fill="FFFFFF"/>
            <w:tcMar>
              <w:top w:w="0" w:type="dxa"/>
              <w:left w:w="0" w:type="dxa"/>
              <w:bottom w:w="0" w:type="dxa"/>
              <w:right w:w="0" w:type="dxa"/>
            </w:tcMar>
            <w:vAlign w:val="center"/>
          </w:tcPr>
          <w:p w14:paraId="2A91DE85">
            <w:pPr>
              <w:pStyle w:val="106"/>
              <w:bidi w:val="0"/>
              <w:jc w:val="center"/>
              <w:rPr>
                <w:rFonts w:hint="default"/>
                <w:lang w:val="en-US" w:eastAsia="zh-CN"/>
              </w:rPr>
            </w:pPr>
            <w:r>
              <w:rPr>
                <w:rFonts w:hint="default"/>
                <w:lang w:val="en-US" w:eastAsia="zh-CN"/>
              </w:rPr>
              <w:t>45</w:t>
            </w:r>
          </w:p>
        </w:tc>
        <w:tc>
          <w:tcPr>
            <w:tcW w:w="173" w:type="pct"/>
            <w:tcBorders>
              <w:tl2br w:val="nil"/>
              <w:tr2bl w:val="nil"/>
            </w:tcBorders>
            <w:shd w:val="clear" w:color="auto" w:fill="FFFFFF"/>
            <w:tcMar>
              <w:top w:w="0" w:type="dxa"/>
              <w:left w:w="0" w:type="dxa"/>
              <w:bottom w:w="0" w:type="dxa"/>
              <w:right w:w="0" w:type="dxa"/>
            </w:tcMar>
            <w:vAlign w:val="center"/>
          </w:tcPr>
          <w:p w14:paraId="0010FACC">
            <w:pPr>
              <w:pStyle w:val="106"/>
              <w:bidi w:val="0"/>
              <w:jc w:val="center"/>
              <w:rPr>
                <w:rFonts w:hint="default"/>
                <w:lang w:val="en-US" w:eastAsia="zh-CN"/>
              </w:rPr>
            </w:pPr>
            <w:r>
              <w:rPr>
                <w:rFonts w:hint="default"/>
                <w:lang w:val="en-US" w:eastAsia="zh-CN"/>
              </w:rPr>
              <w:t>23</w:t>
            </w:r>
          </w:p>
        </w:tc>
        <w:tc>
          <w:tcPr>
            <w:tcW w:w="173" w:type="pct"/>
            <w:tcBorders>
              <w:tl2br w:val="nil"/>
              <w:tr2bl w:val="nil"/>
            </w:tcBorders>
            <w:shd w:val="clear" w:color="auto" w:fill="FFFFFF"/>
            <w:tcMar>
              <w:top w:w="0" w:type="dxa"/>
              <w:left w:w="0" w:type="dxa"/>
              <w:bottom w:w="0" w:type="dxa"/>
              <w:right w:w="0" w:type="dxa"/>
            </w:tcMar>
            <w:vAlign w:val="center"/>
          </w:tcPr>
          <w:p w14:paraId="34522DB6">
            <w:pPr>
              <w:pStyle w:val="106"/>
              <w:bidi w:val="0"/>
              <w:jc w:val="center"/>
              <w:rPr>
                <w:rFonts w:hint="default"/>
                <w:lang w:val="en-US" w:eastAsia="zh-CN"/>
              </w:rPr>
            </w:pPr>
            <w:r>
              <w:rPr>
                <w:rFonts w:hint="default"/>
                <w:lang w:val="en-US" w:eastAsia="zh-CN"/>
              </w:rPr>
              <w:t>5</w:t>
            </w:r>
          </w:p>
        </w:tc>
        <w:tc>
          <w:tcPr>
            <w:tcW w:w="173" w:type="pct"/>
            <w:tcBorders>
              <w:tl2br w:val="nil"/>
              <w:tr2bl w:val="nil"/>
            </w:tcBorders>
            <w:shd w:val="clear" w:color="auto" w:fill="FFFFFF"/>
            <w:tcMar>
              <w:top w:w="0" w:type="dxa"/>
              <w:left w:w="0" w:type="dxa"/>
              <w:bottom w:w="0" w:type="dxa"/>
              <w:right w:w="0" w:type="dxa"/>
            </w:tcMar>
            <w:vAlign w:val="center"/>
          </w:tcPr>
          <w:p w14:paraId="19342543">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3F4A30B4">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4511331F">
            <w:pPr>
              <w:pStyle w:val="106"/>
              <w:bidi w:val="0"/>
              <w:jc w:val="center"/>
              <w:rPr>
                <w:rFonts w:hint="default"/>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20F75E31">
            <w:pPr>
              <w:pStyle w:val="106"/>
              <w:bidi w:val="0"/>
              <w:jc w:val="center"/>
              <w:rPr>
                <w:rFonts w:hint="default"/>
                <w:lang w:val="en-US" w:eastAsia="zh-CN"/>
              </w:rPr>
            </w:pPr>
            <w:r>
              <w:rPr>
                <w:rFonts w:hint="eastAsia"/>
                <w:lang w:val="en-US" w:eastAsia="zh-CN"/>
              </w:rPr>
              <w:t>45.7</w:t>
            </w:r>
          </w:p>
        </w:tc>
        <w:tc>
          <w:tcPr>
            <w:tcW w:w="159" w:type="pct"/>
            <w:vMerge w:val="restart"/>
            <w:tcBorders>
              <w:tl2br w:val="nil"/>
              <w:tr2bl w:val="nil"/>
            </w:tcBorders>
            <w:shd w:val="clear" w:color="auto" w:fill="FFFFFF"/>
            <w:tcMar>
              <w:top w:w="0" w:type="dxa"/>
              <w:left w:w="0" w:type="dxa"/>
              <w:bottom w:w="0" w:type="dxa"/>
              <w:right w:w="0" w:type="dxa"/>
            </w:tcMar>
            <w:vAlign w:val="center"/>
          </w:tcPr>
          <w:p w14:paraId="3F736D03">
            <w:pPr>
              <w:pStyle w:val="106"/>
              <w:bidi w:val="0"/>
              <w:rPr>
                <w:rFonts w:hint="default"/>
                <w:lang w:val="en-US" w:eastAsia="zh-CN"/>
              </w:rPr>
            </w:pPr>
            <w:r>
              <w:rPr>
                <w:rFonts w:hint="eastAsia"/>
                <w:lang w:val="en-US" w:eastAsia="zh-CN"/>
              </w:rPr>
              <w:t>9：:0-18:00</w:t>
            </w:r>
          </w:p>
        </w:tc>
        <w:tc>
          <w:tcPr>
            <w:tcW w:w="165" w:type="pct"/>
            <w:tcBorders>
              <w:tl2br w:val="nil"/>
              <w:tr2bl w:val="nil"/>
            </w:tcBorders>
            <w:shd w:val="clear" w:color="auto" w:fill="FFFFFF"/>
            <w:tcMar>
              <w:top w:w="0" w:type="dxa"/>
              <w:left w:w="0" w:type="dxa"/>
              <w:bottom w:w="0" w:type="dxa"/>
              <w:right w:w="0" w:type="dxa"/>
            </w:tcMar>
            <w:vAlign w:val="center"/>
          </w:tcPr>
          <w:p w14:paraId="531B21A5">
            <w:pPr>
              <w:pStyle w:val="106"/>
              <w:bidi w:val="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DACAE51">
            <w:pPr>
              <w:pStyle w:val="106"/>
              <w:bidi w:val="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739EA5C">
            <w:pPr>
              <w:pStyle w:val="106"/>
              <w:bidi w:val="0"/>
              <w:rPr>
                <w:rFonts w:hint="default"/>
                <w:b/>
                <w:bCs/>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3F2C114A">
            <w:pPr>
              <w:pStyle w:val="106"/>
              <w:bidi w:val="0"/>
              <w:rPr>
                <w:rFonts w:hint="default"/>
                <w:b/>
                <w:bCs/>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7E22AE62">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4B4912FC">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44877E29">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0611E765">
            <w:pPr>
              <w:pStyle w:val="106"/>
              <w:bidi w:val="0"/>
              <w:jc w:val="center"/>
              <w:rPr>
                <w:rFonts w:hint="default"/>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203D6423">
            <w:pPr>
              <w:pStyle w:val="106"/>
              <w:bidi w:val="0"/>
              <w:rPr>
                <w:rFonts w:hint="default"/>
                <w:lang w:val="en-US" w:eastAsia="zh-CN"/>
              </w:rPr>
            </w:pPr>
            <w:r>
              <w:t>1</w:t>
            </w:r>
          </w:p>
        </w:tc>
      </w:tr>
      <w:tr w14:paraId="1EA6E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67D836D2">
            <w:pPr>
              <w:pStyle w:val="106"/>
              <w:numPr>
                <w:ilvl w:val="0"/>
                <w:numId w:val="12"/>
              </w:numPr>
              <w:bidi w:val="0"/>
              <w:ind w:left="0" w:leftChars="0" w:firstLine="0" w:firstLineChars="0"/>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4E1266B1">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7D1DB455">
            <w:pPr>
              <w:pStyle w:val="106"/>
              <w:bidi w:val="0"/>
              <w:rPr>
                <w:rFonts w:hint="default"/>
                <w:lang w:val="en-US" w:eastAsia="zh-CN"/>
              </w:rPr>
            </w:pPr>
            <w:r>
              <w:rPr>
                <w:rFonts w:hint="eastAsia"/>
                <w:lang w:val="en-US" w:eastAsia="zh-CN"/>
              </w:rPr>
              <w:t>气泡清洗机2</w:t>
            </w:r>
          </w:p>
        </w:tc>
        <w:tc>
          <w:tcPr>
            <w:tcW w:w="119" w:type="pct"/>
            <w:tcBorders>
              <w:tl2br w:val="nil"/>
              <w:tr2bl w:val="nil"/>
            </w:tcBorders>
            <w:shd w:val="clear" w:color="auto" w:fill="FFFFFF"/>
            <w:tcMar>
              <w:top w:w="0" w:type="dxa"/>
              <w:left w:w="0" w:type="dxa"/>
              <w:bottom w:w="0" w:type="dxa"/>
              <w:right w:w="0" w:type="dxa"/>
            </w:tcMar>
            <w:vAlign w:val="center"/>
          </w:tcPr>
          <w:p w14:paraId="35F47C5F">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33AC3F6A">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57EEB782">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17553CBC">
            <w:pPr>
              <w:pStyle w:val="106"/>
              <w:bidi w:val="0"/>
              <w:rPr>
                <w:rFonts w:hint="default"/>
                <w:lang w:val="en-US" w:eastAsia="zh-CN"/>
              </w:rPr>
            </w:pPr>
            <w:r>
              <w:rPr>
                <w:rFonts w:hint="eastAsia"/>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475B2113">
            <w:pPr>
              <w:pStyle w:val="106"/>
              <w:bidi w:val="0"/>
              <w:rPr>
                <w:rFonts w:hint="default"/>
                <w:lang w:val="en-US" w:eastAsia="zh-CN"/>
              </w:rPr>
            </w:pPr>
            <w:r>
              <w:rPr>
                <w:rFonts w:hint="eastAsia"/>
                <w:lang w:val="en-US" w:eastAsia="zh-CN"/>
              </w:rPr>
              <w:t>-18</w:t>
            </w:r>
          </w:p>
        </w:tc>
        <w:tc>
          <w:tcPr>
            <w:tcW w:w="173" w:type="pct"/>
            <w:tcBorders>
              <w:tl2br w:val="nil"/>
              <w:tr2bl w:val="nil"/>
            </w:tcBorders>
            <w:shd w:val="clear" w:color="auto" w:fill="FFFFFF"/>
            <w:tcMar>
              <w:top w:w="0" w:type="dxa"/>
              <w:left w:w="0" w:type="dxa"/>
              <w:bottom w:w="0" w:type="dxa"/>
              <w:right w:w="0" w:type="dxa"/>
            </w:tcMar>
            <w:vAlign w:val="center"/>
          </w:tcPr>
          <w:p w14:paraId="52DAA5A2">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12C74D4F">
            <w:pPr>
              <w:pStyle w:val="106"/>
              <w:bidi w:val="0"/>
              <w:jc w:val="center"/>
              <w:rPr>
                <w:rFonts w:hint="eastAsia"/>
                <w:lang w:val="en-US" w:eastAsia="zh-CN"/>
              </w:rPr>
            </w:pPr>
            <w:r>
              <w:rPr>
                <w:rFonts w:hint="default"/>
                <w:lang w:val="en-US" w:eastAsia="zh-CN"/>
              </w:rPr>
              <w:t>103</w:t>
            </w:r>
          </w:p>
        </w:tc>
        <w:tc>
          <w:tcPr>
            <w:tcW w:w="173" w:type="pct"/>
            <w:tcBorders>
              <w:tl2br w:val="nil"/>
              <w:tr2bl w:val="nil"/>
            </w:tcBorders>
            <w:shd w:val="clear" w:color="auto" w:fill="FFFFFF"/>
            <w:tcMar>
              <w:top w:w="0" w:type="dxa"/>
              <w:left w:w="0" w:type="dxa"/>
              <w:bottom w:w="0" w:type="dxa"/>
              <w:right w:w="0" w:type="dxa"/>
            </w:tcMar>
            <w:vAlign w:val="center"/>
          </w:tcPr>
          <w:p w14:paraId="2364FD35">
            <w:pPr>
              <w:pStyle w:val="106"/>
              <w:bidi w:val="0"/>
              <w:jc w:val="center"/>
              <w:rPr>
                <w:rFonts w:hint="eastAsia"/>
                <w:lang w:val="en-US" w:eastAsia="zh-CN"/>
              </w:rPr>
            </w:pPr>
            <w:r>
              <w:rPr>
                <w:rFonts w:hint="default"/>
                <w:lang w:val="en-US" w:eastAsia="zh-CN"/>
              </w:rPr>
              <w:t>42</w:t>
            </w:r>
          </w:p>
        </w:tc>
        <w:tc>
          <w:tcPr>
            <w:tcW w:w="173" w:type="pct"/>
            <w:tcBorders>
              <w:tl2br w:val="nil"/>
              <w:tr2bl w:val="nil"/>
            </w:tcBorders>
            <w:shd w:val="clear" w:color="auto" w:fill="FFFFFF"/>
            <w:tcMar>
              <w:top w:w="0" w:type="dxa"/>
              <w:left w:w="0" w:type="dxa"/>
              <w:bottom w:w="0" w:type="dxa"/>
              <w:right w:w="0" w:type="dxa"/>
            </w:tcMar>
            <w:vAlign w:val="center"/>
          </w:tcPr>
          <w:p w14:paraId="421C80F0">
            <w:pPr>
              <w:pStyle w:val="106"/>
              <w:bidi w:val="0"/>
              <w:jc w:val="center"/>
              <w:rPr>
                <w:rFonts w:hint="eastAsia"/>
                <w:lang w:val="en-US" w:eastAsia="zh-CN"/>
              </w:rPr>
            </w:pPr>
            <w:r>
              <w:rPr>
                <w:rFonts w:hint="default"/>
                <w:lang w:val="en-US" w:eastAsia="zh-CN"/>
              </w:rPr>
              <w:t>23</w:t>
            </w:r>
          </w:p>
        </w:tc>
        <w:tc>
          <w:tcPr>
            <w:tcW w:w="173" w:type="pct"/>
            <w:tcBorders>
              <w:tl2br w:val="nil"/>
              <w:tr2bl w:val="nil"/>
            </w:tcBorders>
            <w:shd w:val="clear" w:color="auto" w:fill="FFFFFF"/>
            <w:tcMar>
              <w:top w:w="0" w:type="dxa"/>
              <w:left w:w="0" w:type="dxa"/>
              <w:bottom w:w="0" w:type="dxa"/>
              <w:right w:w="0" w:type="dxa"/>
            </w:tcMar>
            <w:vAlign w:val="center"/>
          </w:tcPr>
          <w:p w14:paraId="721D5A26">
            <w:pPr>
              <w:pStyle w:val="106"/>
              <w:bidi w:val="0"/>
              <w:jc w:val="center"/>
              <w:rPr>
                <w:rFonts w:hint="eastAsia"/>
                <w:lang w:val="en-US" w:eastAsia="zh-CN"/>
              </w:rPr>
            </w:pPr>
            <w:r>
              <w:rPr>
                <w:rFonts w:hint="default"/>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4A1117FC">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7790F370">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1B7E3772">
            <w:pPr>
              <w:pStyle w:val="106"/>
              <w:bidi w:val="0"/>
              <w:jc w:val="center"/>
              <w:rPr>
                <w:rFonts w:hint="eastAsia"/>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085CD2D2">
            <w:pPr>
              <w:pStyle w:val="106"/>
              <w:bidi w:val="0"/>
              <w:jc w:val="center"/>
              <w:rPr>
                <w:rFonts w:hint="eastAsia"/>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653957F0">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9FE4B7B">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3A9DA4B">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021E5C7">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3C0B80EF">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435BC4AF">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1CD2EF84">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33B66996">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32353750">
            <w:pPr>
              <w:pStyle w:val="106"/>
              <w:bidi w:val="0"/>
              <w:jc w:val="center"/>
              <w:rPr>
                <w:rFonts w:hint="eastAsia"/>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51406498">
            <w:pPr>
              <w:pStyle w:val="106"/>
              <w:bidi w:val="0"/>
            </w:pPr>
            <w:r>
              <w:t>1</w:t>
            </w:r>
          </w:p>
        </w:tc>
      </w:tr>
      <w:tr w14:paraId="5DCEC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11121765">
            <w:pPr>
              <w:pStyle w:val="106"/>
              <w:numPr>
                <w:ilvl w:val="0"/>
                <w:numId w:val="12"/>
              </w:numPr>
              <w:bidi w:val="0"/>
              <w:ind w:left="0" w:leftChars="0" w:firstLine="0" w:firstLineChars="0"/>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21AAF32F">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6513A4E4">
            <w:pPr>
              <w:pStyle w:val="106"/>
              <w:bidi w:val="0"/>
              <w:rPr>
                <w:rFonts w:hint="eastAsia"/>
                <w:lang w:val="en-US" w:eastAsia="zh-CN"/>
              </w:rPr>
            </w:pPr>
            <w:r>
              <w:rPr>
                <w:rFonts w:hint="eastAsia"/>
                <w:lang w:val="en-US" w:eastAsia="zh-CN"/>
              </w:rPr>
              <w:t>气泡清洗机3</w:t>
            </w:r>
          </w:p>
        </w:tc>
        <w:tc>
          <w:tcPr>
            <w:tcW w:w="119" w:type="pct"/>
            <w:tcBorders>
              <w:tl2br w:val="nil"/>
              <w:tr2bl w:val="nil"/>
            </w:tcBorders>
            <w:shd w:val="clear" w:color="auto" w:fill="FFFFFF"/>
            <w:tcMar>
              <w:top w:w="0" w:type="dxa"/>
              <w:left w:w="0" w:type="dxa"/>
              <w:bottom w:w="0" w:type="dxa"/>
              <w:right w:w="0" w:type="dxa"/>
            </w:tcMar>
            <w:vAlign w:val="center"/>
          </w:tcPr>
          <w:p w14:paraId="25323136">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51B6F270">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7847B4FF">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676C5C29">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5A8778C9">
            <w:pPr>
              <w:pStyle w:val="106"/>
              <w:bidi w:val="0"/>
              <w:rPr>
                <w:rFonts w:hint="default"/>
                <w:lang w:val="en-US" w:eastAsia="zh-CN"/>
              </w:rPr>
            </w:pPr>
            <w:r>
              <w:rPr>
                <w:rFonts w:hint="eastAsia"/>
                <w:lang w:val="en-US" w:eastAsia="zh-CN"/>
              </w:rPr>
              <w:t>-21</w:t>
            </w:r>
          </w:p>
        </w:tc>
        <w:tc>
          <w:tcPr>
            <w:tcW w:w="173" w:type="pct"/>
            <w:tcBorders>
              <w:tl2br w:val="nil"/>
              <w:tr2bl w:val="nil"/>
            </w:tcBorders>
            <w:shd w:val="clear" w:color="auto" w:fill="FFFFFF"/>
            <w:tcMar>
              <w:top w:w="0" w:type="dxa"/>
              <w:left w:w="0" w:type="dxa"/>
              <w:bottom w:w="0" w:type="dxa"/>
              <w:right w:w="0" w:type="dxa"/>
            </w:tcMar>
            <w:vAlign w:val="center"/>
          </w:tcPr>
          <w:p w14:paraId="5F5C524D">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3CF6AE2D">
            <w:pPr>
              <w:pStyle w:val="106"/>
              <w:bidi w:val="0"/>
              <w:jc w:val="center"/>
              <w:rPr>
                <w:rFonts w:hint="eastAsia"/>
                <w:lang w:val="en-US" w:eastAsia="zh-CN"/>
              </w:rPr>
            </w:pPr>
            <w:r>
              <w:rPr>
                <w:rFonts w:hint="default"/>
                <w:lang w:val="en-US" w:eastAsia="zh-CN"/>
              </w:rPr>
              <w:t>103</w:t>
            </w:r>
          </w:p>
        </w:tc>
        <w:tc>
          <w:tcPr>
            <w:tcW w:w="173" w:type="pct"/>
            <w:tcBorders>
              <w:tl2br w:val="nil"/>
              <w:tr2bl w:val="nil"/>
            </w:tcBorders>
            <w:shd w:val="clear" w:color="auto" w:fill="FFFFFF"/>
            <w:tcMar>
              <w:top w:w="0" w:type="dxa"/>
              <w:left w:w="0" w:type="dxa"/>
              <w:bottom w:w="0" w:type="dxa"/>
              <w:right w:w="0" w:type="dxa"/>
            </w:tcMar>
            <w:vAlign w:val="center"/>
          </w:tcPr>
          <w:p w14:paraId="31E021BC">
            <w:pPr>
              <w:pStyle w:val="106"/>
              <w:bidi w:val="0"/>
              <w:jc w:val="center"/>
              <w:rPr>
                <w:rFonts w:hint="eastAsia"/>
                <w:lang w:val="en-US" w:eastAsia="zh-CN"/>
              </w:rPr>
            </w:pPr>
            <w:r>
              <w:rPr>
                <w:rFonts w:hint="default"/>
                <w:lang w:val="en-US" w:eastAsia="zh-CN"/>
              </w:rPr>
              <w:t>39</w:t>
            </w:r>
          </w:p>
        </w:tc>
        <w:tc>
          <w:tcPr>
            <w:tcW w:w="173" w:type="pct"/>
            <w:tcBorders>
              <w:tl2br w:val="nil"/>
              <w:tr2bl w:val="nil"/>
            </w:tcBorders>
            <w:shd w:val="clear" w:color="auto" w:fill="FFFFFF"/>
            <w:tcMar>
              <w:top w:w="0" w:type="dxa"/>
              <w:left w:w="0" w:type="dxa"/>
              <w:bottom w:w="0" w:type="dxa"/>
              <w:right w:w="0" w:type="dxa"/>
            </w:tcMar>
            <w:vAlign w:val="center"/>
          </w:tcPr>
          <w:p w14:paraId="0461CD30">
            <w:pPr>
              <w:pStyle w:val="106"/>
              <w:bidi w:val="0"/>
              <w:jc w:val="center"/>
              <w:rPr>
                <w:rFonts w:hint="eastAsia"/>
                <w:lang w:val="en-US" w:eastAsia="zh-CN"/>
              </w:rPr>
            </w:pPr>
            <w:r>
              <w:rPr>
                <w:rFonts w:hint="default"/>
                <w:lang w:val="en-US" w:eastAsia="zh-CN"/>
              </w:rPr>
              <w:t>23</w:t>
            </w:r>
          </w:p>
        </w:tc>
        <w:tc>
          <w:tcPr>
            <w:tcW w:w="173" w:type="pct"/>
            <w:tcBorders>
              <w:tl2br w:val="nil"/>
              <w:tr2bl w:val="nil"/>
            </w:tcBorders>
            <w:shd w:val="clear" w:color="auto" w:fill="FFFFFF"/>
            <w:tcMar>
              <w:top w:w="0" w:type="dxa"/>
              <w:left w:w="0" w:type="dxa"/>
              <w:bottom w:w="0" w:type="dxa"/>
              <w:right w:w="0" w:type="dxa"/>
            </w:tcMar>
            <w:vAlign w:val="center"/>
          </w:tcPr>
          <w:p w14:paraId="5F95966D">
            <w:pPr>
              <w:pStyle w:val="106"/>
              <w:bidi w:val="0"/>
              <w:jc w:val="center"/>
              <w:rPr>
                <w:rFonts w:hint="eastAsia"/>
                <w:lang w:val="en-US" w:eastAsia="zh-CN"/>
              </w:rPr>
            </w:pPr>
            <w:r>
              <w:rPr>
                <w:rFonts w:hint="default"/>
                <w:lang w:val="en-US" w:eastAsia="zh-CN"/>
              </w:rPr>
              <w:t>11</w:t>
            </w:r>
          </w:p>
        </w:tc>
        <w:tc>
          <w:tcPr>
            <w:tcW w:w="173" w:type="pct"/>
            <w:tcBorders>
              <w:tl2br w:val="nil"/>
              <w:tr2bl w:val="nil"/>
            </w:tcBorders>
            <w:shd w:val="clear" w:color="auto" w:fill="FFFFFF"/>
            <w:tcMar>
              <w:top w:w="0" w:type="dxa"/>
              <w:left w:w="0" w:type="dxa"/>
              <w:bottom w:w="0" w:type="dxa"/>
              <w:right w:w="0" w:type="dxa"/>
            </w:tcMar>
            <w:vAlign w:val="center"/>
          </w:tcPr>
          <w:p w14:paraId="32287F8E">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689AF200">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4B1E13C0">
            <w:pPr>
              <w:pStyle w:val="106"/>
              <w:bidi w:val="0"/>
              <w:jc w:val="center"/>
              <w:rPr>
                <w:rFonts w:hint="eastAsia"/>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2E5C5269">
            <w:pPr>
              <w:pStyle w:val="106"/>
              <w:bidi w:val="0"/>
              <w:jc w:val="center"/>
              <w:rPr>
                <w:rFonts w:hint="eastAsia"/>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6C25A0F8">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2CAAB9F9">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B079AD8">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DCC71E0">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69F2452F">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4E27F747">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62405FE8">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5130E61C">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7662CA4B">
            <w:pPr>
              <w:pStyle w:val="106"/>
              <w:bidi w:val="0"/>
              <w:jc w:val="center"/>
              <w:rPr>
                <w:rFonts w:hint="eastAsia"/>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7030C7CF">
            <w:pPr>
              <w:pStyle w:val="106"/>
              <w:bidi w:val="0"/>
            </w:pPr>
            <w:r>
              <w:t>1</w:t>
            </w:r>
          </w:p>
        </w:tc>
      </w:tr>
      <w:tr w14:paraId="5C26A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1754AB59">
            <w:pPr>
              <w:pStyle w:val="106"/>
              <w:numPr>
                <w:ilvl w:val="0"/>
                <w:numId w:val="12"/>
              </w:numPr>
              <w:bidi w:val="0"/>
              <w:ind w:left="0" w:leftChars="0" w:firstLine="0" w:firstLineChars="0"/>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1F886278">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2AA6A8EC">
            <w:pPr>
              <w:pStyle w:val="106"/>
              <w:bidi w:val="0"/>
              <w:rPr>
                <w:rFonts w:hint="default"/>
                <w:lang w:val="en-US" w:eastAsia="zh-CN"/>
              </w:rPr>
            </w:pPr>
            <w:r>
              <w:rPr>
                <w:rFonts w:hint="eastAsia"/>
                <w:lang w:val="en-US" w:eastAsia="zh-CN"/>
              </w:rPr>
              <w:t>气泡清洗机4</w:t>
            </w:r>
          </w:p>
        </w:tc>
        <w:tc>
          <w:tcPr>
            <w:tcW w:w="119" w:type="pct"/>
            <w:tcBorders>
              <w:tl2br w:val="nil"/>
              <w:tr2bl w:val="nil"/>
            </w:tcBorders>
            <w:shd w:val="clear" w:color="auto" w:fill="FFFFFF"/>
            <w:tcMar>
              <w:top w:w="0" w:type="dxa"/>
              <w:left w:w="0" w:type="dxa"/>
              <w:bottom w:w="0" w:type="dxa"/>
              <w:right w:w="0" w:type="dxa"/>
            </w:tcMar>
            <w:vAlign w:val="center"/>
          </w:tcPr>
          <w:p w14:paraId="1B9F6D33">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7D3B08E4">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1068FBE4">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19CA667C">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5DDF68CA">
            <w:pPr>
              <w:pStyle w:val="106"/>
              <w:bidi w:val="0"/>
              <w:rPr>
                <w:rFonts w:hint="default"/>
                <w:lang w:val="en-US" w:eastAsia="zh-CN"/>
              </w:rPr>
            </w:pPr>
            <w:r>
              <w:rPr>
                <w:rFonts w:hint="eastAsia"/>
                <w:lang w:val="en-US" w:eastAsia="zh-CN"/>
              </w:rPr>
              <w:t>-24</w:t>
            </w:r>
          </w:p>
        </w:tc>
        <w:tc>
          <w:tcPr>
            <w:tcW w:w="173" w:type="pct"/>
            <w:tcBorders>
              <w:tl2br w:val="nil"/>
              <w:tr2bl w:val="nil"/>
            </w:tcBorders>
            <w:shd w:val="clear" w:color="auto" w:fill="FFFFFF"/>
            <w:tcMar>
              <w:top w:w="0" w:type="dxa"/>
              <w:left w:w="0" w:type="dxa"/>
              <w:bottom w:w="0" w:type="dxa"/>
              <w:right w:w="0" w:type="dxa"/>
            </w:tcMar>
            <w:vAlign w:val="center"/>
          </w:tcPr>
          <w:p w14:paraId="2F37E75B">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3CFA6EF1">
            <w:pPr>
              <w:pStyle w:val="106"/>
              <w:bidi w:val="0"/>
              <w:jc w:val="center"/>
              <w:rPr>
                <w:rFonts w:hint="eastAsia"/>
                <w:lang w:val="en-US" w:eastAsia="zh-CN"/>
              </w:rPr>
            </w:pPr>
            <w:r>
              <w:rPr>
                <w:rFonts w:hint="default"/>
                <w:lang w:val="en-US" w:eastAsia="zh-CN"/>
              </w:rPr>
              <w:t>103</w:t>
            </w:r>
          </w:p>
        </w:tc>
        <w:tc>
          <w:tcPr>
            <w:tcW w:w="173" w:type="pct"/>
            <w:tcBorders>
              <w:tl2br w:val="nil"/>
              <w:tr2bl w:val="nil"/>
            </w:tcBorders>
            <w:shd w:val="clear" w:color="auto" w:fill="FFFFFF"/>
            <w:tcMar>
              <w:top w:w="0" w:type="dxa"/>
              <w:left w:w="0" w:type="dxa"/>
              <w:bottom w:w="0" w:type="dxa"/>
              <w:right w:w="0" w:type="dxa"/>
            </w:tcMar>
            <w:vAlign w:val="center"/>
          </w:tcPr>
          <w:p w14:paraId="21B13BF7">
            <w:pPr>
              <w:pStyle w:val="106"/>
              <w:bidi w:val="0"/>
              <w:jc w:val="center"/>
              <w:rPr>
                <w:rFonts w:hint="eastAsia"/>
                <w:lang w:val="en-US" w:eastAsia="zh-CN"/>
              </w:rPr>
            </w:pPr>
            <w:r>
              <w:rPr>
                <w:rFonts w:hint="default"/>
                <w:lang w:val="en-US" w:eastAsia="zh-CN"/>
              </w:rPr>
              <w:t>36</w:t>
            </w:r>
          </w:p>
        </w:tc>
        <w:tc>
          <w:tcPr>
            <w:tcW w:w="173" w:type="pct"/>
            <w:tcBorders>
              <w:tl2br w:val="nil"/>
              <w:tr2bl w:val="nil"/>
            </w:tcBorders>
            <w:shd w:val="clear" w:color="auto" w:fill="FFFFFF"/>
            <w:tcMar>
              <w:top w:w="0" w:type="dxa"/>
              <w:left w:w="0" w:type="dxa"/>
              <w:bottom w:w="0" w:type="dxa"/>
              <w:right w:w="0" w:type="dxa"/>
            </w:tcMar>
            <w:vAlign w:val="center"/>
          </w:tcPr>
          <w:p w14:paraId="1B41FDE1">
            <w:pPr>
              <w:pStyle w:val="106"/>
              <w:bidi w:val="0"/>
              <w:jc w:val="center"/>
              <w:rPr>
                <w:rFonts w:hint="eastAsia"/>
                <w:lang w:val="en-US" w:eastAsia="zh-CN"/>
              </w:rPr>
            </w:pPr>
            <w:r>
              <w:rPr>
                <w:rFonts w:hint="default"/>
                <w:lang w:val="en-US" w:eastAsia="zh-CN"/>
              </w:rPr>
              <w:t>23</w:t>
            </w:r>
          </w:p>
        </w:tc>
        <w:tc>
          <w:tcPr>
            <w:tcW w:w="173" w:type="pct"/>
            <w:tcBorders>
              <w:tl2br w:val="nil"/>
              <w:tr2bl w:val="nil"/>
            </w:tcBorders>
            <w:shd w:val="clear" w:color="auto" w:fill="FFFFFF"/>
            <w:tcMar>
              <w:top w:w="0" w:type="dxa"/>
              <w:left w:w="0" w:type="dxa"/>
              <w:bottom w:w="0" w:type="dxa"/>
              <w:right w:w="0" w:type="dxa"/>
            </w:tcMar>
            <w:vAlign w:val="center"/>
          </w:tcPr>
          <w:p w14:paraId="0F1F931E">
            <w:pPr>
              <w:pStyle w:val="106"/>
              <w:bidi w:val="0"/>
              <w:jc w:val="center"/>
              <w:rPr>
                <w:rFonts w:hint="eastAsia"/>
                <w:lang w:val="en-US" w:eastAsia="zh-CN"/>
              </w:rPr>
            </w:pPr>
            <w:r>
              <w:rPr>
                <w:rFonts w:hint="default"/>
                <w:lang w:val="en-US" w:eastAsia="zh-CN"/>
              </w:rPr>
              <w:t>14</w:t>
            </w:r>
          </w:p>
        </w:tc>
        <w:tc>
          <w:tcPr>
            <w:tcW w:w="173" w:type="pct"/>
            <w:tcBorders>
              <w:tl2br w:val="nil"/>
              <w:tr2bl w:val="nil"/>
            </w:tcBorders>
            <w:shd w:val="clear" w:color="auto" w:fill="FFFFFF"/>
            <w:tcMar>
              <w:top w:w="0" w:type="dxa"/>
              <w:left w:w="0" w:type="dxa"/>
              <w:bottom w:w="0" w:type="dxa"/>
              <w:right w:w="0" w:type="dxa"/>
            </w:tcMar>
            <w:vAlign w:val="center"/>
          </w:tcPr>
          <w:p w14:paraId="57C1F03A">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3B12F2B4">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4A374065">
            <w:pPr>
              <w:pStyle w:val="106"/>
              <w:bidi w:val="0"/>
              <w:jc w:val="center"/>
              <w:rPr>
                <w:rFonts w:hint="eastAsia"/>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204986D5">
            <w:pPr>
              <w:pStyle w:val="106"/>
              <w:bidi w:val="0"/>
              <w:jc w:val="center"/>
              <w:rPr>
                <w:rFonts w:hint="eastAsia"/>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76B9F77B">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4A645F70">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A58BCE8">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FFF175E">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04A22EBC">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2FA6DBC9">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609C4B0F">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54D4F84A">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40CDD90A">
            <w:pPr>
              <w:pStyle w:val="106"/>
              <w:bidi w:val="0"/>
              <w:jc w:val="center"/>
              <w:rPr>
                <w:rFonts w:hint="eastAsia"/>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296181C9">
            <w:pPr>
              <w:pStyle w:val="106"/>
              <w:bidi w:val="0"/>
            </w:pPr>
            <w:r>
              <w:t>1</w:t>
            </w:r>
          </w:p>
        </w:tc>
      </w:tr>
      <w:tr w14:paraId="389CF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0D069D51">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3BBE9F9C">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2B38D586">
            <w:pPr>
              <w:pStyle w:val="106"/>
              <w:bidi w:val="0"/>
              <w:rPr>
                <w:rFonts w:hint="default"/>
                <w:lang w:val="en-US" w:eastAsia="zh-CN"/>
              </w:rPr>
            </w:pPr>
            <w:r>
              <w:rPr>
                <w:rFonts w:hint="eastAsia"/>
                <w:lang w:val="en-US" w:eastAsia="zh-CN"/>
              </w:rPr>
              <w:t>高压喷淋机1</w:t>
            </w:r>
          </w:p>
        </w:tc>
        <w:tc>
          <w:tcPr>
            <w:tcW w:w="119" w:type="pct"/>
            <w:tcBorders>
              <w:tl2br w:val="nil"/>
              <w:tr2bl w:val="nil"/>
            </w:tcBorders>
            <w:shd w:val="clear" w:color="auto" w:fill="FFFFFF"/>
            <w:tcMar>
              <w:top w:w="0" w:type="dxa"/>
              <w:left w:w="0" w:type="dxa"/>
              <w:bottom w:w="0" w:type="dxa"/>
              <w:right w:w="0" w:type="dxa"/>
            </w:tcMar>
            <w:vAlign w:val="center"/>
          </w:tcPr>
          <w:p w14:paraId="59993054">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0F49C129">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71404102">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5EFAB7CE">
            <w:pPr>
              <w:pStyle w:val="106"/>
              <w:bidi w:val="0"/>
              <w:rPr>
                <w:rFonts w:hint="default"/>
                <w:lang w:val="en-US" w:eastAsia="zh-CN"/>
              </w:rPr>
            </w:pPr>
            <w:r>
              <w:rPr>
                <w:rFonts w:hint="eastAsia"/>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1373356A">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-15</w:t>
            </w:r>
          </w:p>
        </w:tc>
        <w:tc>
          <w:tcPr>
            <w:tcW w:w="173" w:type="pct"/>
            <w:tcBorders>
              <w:tl2br w:val="nil"/>
              <w:tr2bl w:val="nil"/>
            </w:tcBorders>
            <w:shd w:val="clear" w:color="auto" w:fill="FFFFFF"/>
            <w:tcMar>
              <w:top w:w="0" w:type="dxa"/>
              <w:left w:w="0" w:type="dxa"/>
              <w:bottom w:w="0" w:type="dxa"/>
              <w:right w:w="0" w:type="dxa"/>
            </w:tcMar>
            <w:vAlign w:val="center"/>
          </w:tcPr>
          <w:p w14:paraId="37F3A71E">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16B6C5CF">
            <w:pPr>
              <w:pStyle w:val="106"/>
              <w:bidi w:val="0"/>
              <w:jc w:val="center"/>
            </w:pPr>
            <w:r>
              <w:rPr>
                <w:rFonts w:hint="default"/>
                <w:lang w:val="en-US" w:eastAsia="zh-CN"/>
              </w:rPr>
              <w:t>100</w:t>
            </w:r>
          </w:p>
        </w:tc>
        <w:tc>
          <w:tcPr>
            <w:tcW w:w="173" w:type="pct"/>
            <w:tcBorders>
              <w:tl2br w:val="nil"/>
              <w:tr2bl w:val="nil"/>
            </w:tcBorders>
            <w:shd w:val="clear" w:color="auto" w:fill="FFFFFF"/>
            <w:tcMar>
              <w:top w:w="0" w:type="dxa"/>
              <w:left w:w="0" w:type="dxa"/>
              <w:bottom w:w="0" w:type="dxa"/>
              <w:right w:w="0" w:type="dxa"/>
            </w:tcMar>
            <w:vAlign w:val="center"/>
          </w:tcPr>
          <w:p w14:paraId="638AB9D3">
            <w:pPr>
              <w:pStyle w:val="106"/>
              <w:bidi w:val="0"/>
              <w:jc w:val="center"/>
            </w:pPr>
            <w:r>
              <w:rPr>
                <w:rFonts w:hint="default"/>
                <w:lang w:val="en-US" w:eastAsia="zh-CN"/>
              </w:rPr>
              <w:t>45</w:t>
            </w:r>
          </w:p>
        </w:tc>
        <w:tc>
          <w:tcPr>
            <w:tcW w:w="173" w:type="pct"/>
            <w:tcBorders>
              <w:tl2br w:val="nil"/>
              <w:tr2bl w:val="nil"/>
            </w:tcBorders>
            <w:shd w:val="clear" w:color="auto" w:fill="FFFFFF"/>
            <w:tcMar>
              <w:top w:w="0" w:type="dxa"/>
              <w:left w:w="0" w:type="dxa"/>
              <w:bottom w:w="0" w:type="dxa"/>
              <w:right w:w="0" w:type="dxa"/>
            </w:tcMar>
            <w:vAlign w:val="center"/>
          </w:tcPr>
          <w:p w14:paraId="2F10C84D">
            <w:pPr>
              <w:pStyle w:val="106"/>
              <w:bidi w:val="0"/>
              <w:jc w:val="center"/>
            </w:pPr>
            <w:r>
              <w:rPr>
                <w:rFonts w:hint="default"/>
                <w:lang w:val="en-US" w:eastAsia="zh-CN"/>
              </w:rPr>
              <w:t>26</w:t>
            </w:r>
          </w:p>
        </w:tc>
        <w:tc>
          <w:tcPr>
            <w:tcW w:w="173" w:type="pct"/>
            <w:tcBorders>
              <w:tl2br w:val="nil"/>
              <w:tr2bl w:val="nil"/>
            </w:tcBorders>
            <w:shd w:val="clear" w:color="auto" w:fill="FFFFFF"/>
            <w:tcMar>
              <w:top w:w="0" w:type="dxa"/>
              <w:left w:w="0" w:type="dxa"/>
              <w:bottom w:w="0" w:type="dxa"/>
              <w:right w:w="0" w:type="dxa"/>
            </w:tcMar>
            <w:vAlign w:val="center"/>
          </w:tcPr>
          <w:p w14:paraId="5ADD8893">
            <w:pPr>
              <w:pStyle w:val="106"/>
              <w:bidi w:val="0"/>
              <w:jc w:val="center"/>
            </w:pPr>
            <w:r>
              <w:rPr>
                <w:rFonts w:hint="default"/>
                <w:lang w:val="en-US" w:eastAsia="zh-CN"/>
              </w:rPr>
              <w:t>5</w:t>
            </w:r>
          </w:p>
        </w:tc>
        <w:tc>
          <w:tcPr>
            <w:tcW w:w="173" w:type="pct"/>
            <w:tcBorders>
              <w:tl2br w:val="nil"/>
              <w:tr2bl w:val="nil"/>
            </w:tcBorders>
            <w:shd w:val="clear" w:color="auto" w:fill="FFFFFF"/>
            <w:tcMar>
              <w:top w:w="0" w:type="dxa"/>
              <w:left w:w="0" w:type="dxa"/>
              <w:bottom w:w="0" w:type="dxa"/>
              <w:right w:w="0" w:type="dxa"/>
            </w:tcMar>
            <w:vAlign w:val="center"/>
          </w:tcPr>
          <w:p w14:paraId="2730ABA8">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0A11741E">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06F95AF9">
            <w:pPr>
              <w:pStyle w:val="106"/>
              <w:bidi w:val="0"/>
              <w:jc w:val="center"/>
              <w:rPr>
                <w:rFonts w:hint="default"/>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799C889A">
            <w:pPr>
              <w:pStyle w:val="106"/>
              <w:bidi w:val="0"/>
              <w:jc w:val="center"/>
              <w:rPr>
                <w:rFonts w:hint="default"/>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6F770890">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0A36401F">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B09184A">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0FA1B1D1">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0F71E3C8">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6D920FFB">
            <w:pPr>
              <w:pStyle w:val="106"/>
              <w:bidi w:val="0"/>
              <w:jc w:val="cente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4C1EB85D">
            <w:pPr>
              <w:pStyle w:val="106"/>
              <w:bidi w:val="0"/>
              <w:jc w:val="center"/>
              <w:rPr>
                <w:rFonts w:hint="default"/>
                <w:lang w:val="en-US"/>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23C3DE01">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5EF87041">
            <w:pPr>
              <w:pStyle w:val="106"/>
              <w:bidi w:val="0"/>
              <w:jc w:val="cente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1BDA0CD3">
            <w:pPr>
              <w:pStyle w:val="106"/>
              <w:bidi w:val="0"/>
            </w:pPr>
            <w:r>
              <w:t>1</w:t>
            </w:r>
          </w:p>
        </w:tc>
      </w:tr>
      <w:tr w14:paraId="56E4E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7E60F1DE">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302F80FF">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707485F7">
            <w:pPr>
              <w:pStyle w:val="106"/>
              <w:bidi w:val="0"/>
              <w:rPr>
                <w:rFonts w:hint="default"/>
                <w:lang w:val="en-US" w:eastAsia="zh-CN"/>
              </w:rPr>
            </w:pPr>
            <w:r>
              <w:rPr>
                <w:rFonts w:hint="eastAsia"/>
                <w:lang w:val="en-US" w:eastAsia="zh-CN"/>
              </w:rPr>
              <w:t>高压喷淋机2</w:t>
            </w:r>
          </w:p>
        </w:tc>
        <w:tc>
          <w:tcPr>
            <w:tcW w:w="119" w:type="pct"/>
            <w:tcBorders>
              <w:tl2br w:val="nil"/>
              <w:tr2bl w:val="nil"/>
            </w:tcBorders>
            <w:shd w:val="clear" w:color="auto" w:fill="FFFFFF"/>
            <w:tcMar>
              <w:top w:w="0" w:type="dxa"/>
              <w:left w:w="0" w:type="dxa"/>
              <w:bottom w:w="0" w:type="dxa"/>
              <w:right w:w="0" w:type="dxa"/>
            </w:tcMar>
            <w:vAlign w:val="center"/>
          </w:tcPr>
          <w:p w14:paraId="356D7406">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0003266B">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779F3BEC">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59484A2B">
            <w:pPr>
              <w:pStyle w:val="106"/>
              <w:bidi w:val="0"/>
              <w:rPr>
                <w:rFonts w:hint="default"/>
                <w:lang w:val="en-US" w:eastAsia="zh-CN"/>
              </w:rPr>
            </w:pPr>
            <w:r>
              <w:rPr>
                <w:rFonts w:hint="eastAsia"/>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424019DF">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-18</w:t>
            </w:r>
          </w:p>
        </w:tc>
        <w:tc>
          <w:tcPr>
            <w:tcW w:w="173" w:type="pct"/>
            <w:tcBorders>
              <w:tl2br w:val="nil"/>
              <w:tr2bl w:val="nil"/>
            </w:tcBorders>
            <w:shd w:val="clear" w:color="auto" w:fill="FFFFFF"/>
            <w:tcMar>
              <w:top w:w="0" w:type="dxa"/>
              <w:left w:w="0" w:type="dxa"/>
              <w:bottom w:w="0" w:type="dxa"/>
              <w:right w:w="0" w:type="dxa"/>
            </w:tcMar>
            <w:vAlign w:val="center"/>
          </w:tcPr>
          <w:p w14:paraId="5F432F28">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32D059FF">
            <w:pPr>
              <w:pStyle w:val="106"/>
              <w:bidi w:val="0"/>
              <w:jc w:val="center"/>
              <w:rPr>
                <w:rFonts w:hint="eastAsia"/>
                <w:lang w:val="en-US" w:eastAsia="zh-CN"/>
              </w:rPr>
            </w:pPr>
            <w:r>
              <w:rPr>
                <w:rFonts w:hint="default"/>
                <w:lang w:val="en-US" w:eastAsia="zh-CN"/>
              </w:rPr>
              <w:t>100</w:t>
            </w:r>
          </w:p>
        </w:tc>
        <w:tc>
          <w:tcPr>
            <w:tcW w:w="173" w:type="pct"/>
            <w:tcBorders>
              <w:tl2br w:val="nil"/>
              <w:tr2bl w:val="nil"/>
            </w:tcBorders>
            <w:shd w:val="clear" w:color="auto" w:fill="FFFFFF"/>
            <w:tcMar>
              <w:top w:w="0" w:type="dxa"/>
              <w:left w:w="0" w:type="dxa"/>
              <w:bottom w:w="0" w:type="dxa"/>
              <w:right w:w="0" w:type="dxa"/>
            </w:tcMar>
            <w:vAlign w:val="center"/>
          </w:tcPr>
          <w:p w14:paraId="6E7AF89C">
            <w:pPr>
              <w:pStyle w:val="106"/>
              <w:bidi w:val="0"/>
              <w:jc w:val="center"/>
              <w:rPr>
                <w:rFonts w:hint="eastAsia"/>
                <w:lang w:val="en-US" w:eastAsia="zh-CN"/>
              </w:rPr>
            </w:pPr>
            <w:r>
              <w:rPr>
                <w:rFonts w:hint="default"/>
                <w:lang w:val="en-US" w:eastAsia="zh-CN"/>
              </w:rPr>
              <w:t>42</w:t>
            </w:r>
          </w:p>
        </w:tc>
        <w:tc>
          <w:tcPr>
            <w:tcW w:w="173" w:type="pct"/>
            <w:tcBorders>
              <w:tl2br w:val="nil"/>
              <w:tr2bl w:val="nil"/>
            </w:tcBorders>
            <w:shd w:val="clear" w:color="auto" w:fill="FFFFFF"/>
            <w:tcMar>
              <w:top w:w="0" w:type="dxa"/>
              <w:left w:w="0" w:type="dxa"/>
              <w:bottom w:w="0" w:type="dxa"/>
              <w:right w:w="0" w:type="dxa"/>
            </w:tcMar>
            <w:vAlign w:val="center"/>
          </w:tcPr>
          <w:p w14:paraId="0011B012">
            <w:pPr>
              <w:pStyle w:val="106"/>
              <w:bidi w:val="0"/>
              <w:jc w:val="center"/>
              <w:rPr>
                <w:rFonts w:hint="eastAsia"/>
                <w:lang w:val="en-US" w:eastAsia="zh-CN"/>
              </w:rPr>
            </w:pPr>
            <w:r>
              <w:rPr>
                <w:rFonts w:hint="default"/>
                <w:lang w:val="en-US" w:eastAsia="zh-CN"/>
              </w:rPr>
              <w:t>26</w:t>
            </w:r>
          </w:p>
        </w:tc>
        <w:tc>
          <w:tcPr>
            <w:tcW w:w="173" w:type="pct"/>
            <w:tcBorders>
              <w:tl2br w:val="nil"/>
              <w:tr2bl w:val="nil"/>
            </w:tcBorders>
            <w:shd w:val="clear" w:color="auto" w:fill="FFFFFF"/>
            <w:tcMar>
              <w:top w:w="0" w:type="dxa"/>
              <w:left w:w="0" w:type="dxa"/>
              <w:bottom w:w="0" w:type="dxa"/>
              <w:right w:w="0" w:type="dxa"/>
            </w:tcMar>
            <w:vAlign w:val="center"/>
          </w:tcPr>
          <w:p w14:paraId="76590EED">
            <w:pPr>
              <w:pStyle w:val="106"/>
              <w:bidi w:val="0"/>
              <w:jc w:val="center"/>
              <w:rPr>
                <w:rFonts w:hint="eastAsia"/>
                <w:lang w:val="en-US" w:eastAsia="zh-CN"/>
              </w:rPr>
            </w:pPr>
            <w:r>
              <w:rPr>
                <w:rFonts w:hint="default"/>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12BA142B">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1468A74B">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437A7549">
            <w:pPr>
              <w:pStyle w:val="106"/>
              <w:bidi w:val="0"/>
              <w:jc w:val="center"/>
              <w:rPr>
                <w:rFonts w:hint="eastAsia"/>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7CCF4465">
            <w:pPr>
              <w:pStyle w:val="106"/>
              <w:bidi w:val="0"/>
              <w:jc w:val="center"/>
              <w:rPr>
                <w:rFonts w:hint="eastAsia"/>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3CA3A03">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C1BF0BA">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612A751">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4B6B9AC">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7DDA8349">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5857D019">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07621D17">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7D303DF3">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5D5E3D8E">
            <w:pPr>
              <w:pStyle w:val="106"/>
              <w:bidi w:val="0"/>
              <w:jc w:val="center"/>
              <w:rPr>
                <w:rFonts w:hint="eastAsia"/>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7D07049A">
            <w:pPr>
              <w:pStyle w:val="106"/>
              <w:bidi w:val="0"/>
            </w:pPr>
            <w:r>
              <w:t>1</w:t>
            </w:r>
          </w:p>
        </w:tc>
      </w:tr>
      <w:tr w14:paraId="2C5B5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02C0BF32">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6D82B54A">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33C3B5B">
            <w:pPr>
              <w:pStyle w:val="106"/>
              <w:bidi w:val="0"/>
              <w:rPr>
                <w:rFonts w:hint="default"/>
                <w:lang w:val="en-US" w:eastAsia="zh-CN"/>
              </w:rPr>
            </w:pPr>
            <w:r>
              <w:rPr>
                <w:rFonts w:hint="eastAsia"/>
                <w:lang w:val="en-US" w:eastAsia="zh-CN"/>
              </w:rPr>
              <w:t>高压喷淋机3</w:t>
            </w:r>
          </w:p>
        </w:tc>
        <w:tc>
          <w:tcPr>
            <w:tcW w:w="119" w:type="pct"/>
            <w:tcBorders>
              <w:tl2br w:val="nil"/>
              <w:tr2bl w:val="nil"/>
            </w:tcBorders>
            <w:shd w:val="clear" w:color="auto" w:fill="FFFFFF"/>
            <w:tcMar>
              <w:top w:w="0" w:type="dxa"/>
              <w:left w:w="0" w:type="dxa"/>
              <w:bottom w:w="0" w:type="dxa"/>
              <w:right w:w="0" w:type="dxa"/>
            </w:tcMar>
            <w:vAlign w:val="center"/>
          </w:tcPr>
          <w:p w14:paraId="1C4CFE2A">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9D94DFD">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03302797">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078AAA9D">
            <w:pPr>
              <w:pStyle w:val="106"/>
              <w:bidi w:val="0"/>
              <w:rPr>
                <w:rFonts w:hint="default"/>
                <w:lang w:val="en-US" w:eastAsia="zh-CN"/>
              </w:rPr>
            </w:pPr>
            <w:r>
              <w:rPr>
                <w:rFonts w:hint="eastAsia"/>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60D88D8D">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-21</w:t>
            </w:r>
          </w:p>
        </w:tc>
        <w:tc>
          <w:tcPr>
            <w:tcW w:w="173" w:type="pct"/>
            <w:tcBorders>
              <w:tl2br w:val="nil"/>
              <w:tr2bl w:val="nil"/>
            </w:tcBorders>
            <w:shd w:val="clear" w:color="auto" w:fill="FFFFFF"/>
            <w:tcMar>
              <w:top w:w="0" w:type="dxa"/>
              <w:left w:w="0" w:type="dxa"/>
              <w:bottom w:w="0" w:type="dxa"/>
              <w:right w:w="0" w:type="dxa"/>
            </w:tcMar>
            <w:vAlign w:val="center"/>
          </w:tcPr>
          <w:p w14:paraId="4547299D">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3703FC1F">
            <w:pPr>
              <w:pStyle w:val="106"/>
              <w:bidi w:val="0"/>
              <w:jc w:val="center"/>
              <w:rPr>
                <w:rFonts w:hint="eastAsia"/>
                <w:lang w:val="en-US" w:eastAsia="zh-CN"/>
              </w:rPr>
            </w:pPr>
            <w:r>
              <w:rPr>
                <w:rFonts w:hint="default"/>
                <w:lang w:val="en-US" w:eastAsia="zh-CN"/>
              </w:rPr>
              <w:t>100</w:t>
            </w:r>
          </w:p>
        </w:tc>
        <w:tc>
          <w:tcPr>
            <w:tcW w:w="173" w:type="pct"/>
            <w:tcBorders>
              <w:tl2br w:val="nil"/>
              <w:tr2bl w:val="nil"/>
            </w:tcBorders>
            <w:shd w:val="clear" w:color="auto" w:fill="FFFFFF"/>
            <w:tcMar>
              <w:top w:w="0" w:type="dxa"/>
              <w:left w:w="0" w:type="dxa"/>
              <w:bottom w:w="0" w:type="dxa"/>
              <w:right w:w="0" w:type="dxa"/>
            </w:tcMar>
            <w:vAlign w:val="center"/>
          </w:tcPr>
          <w:p w14:paraId="7A3EB4E0">
            <w:pPr>
              <w:pStyle w:val="106"/>
              <w:bidi w:val="0"/>
              <w:jc w:val="center"/>
              <w:rPr>
                <w:rFonts w:hint="eastAsia"/>
                <w:lang w:val="en-US" w:eastAsia="zh-CN"/>
              </w:rPr>
            </w:pPr>
            <w:r>
              <w:rPr>
                <w:rFonts w:hint="default"/>
                <w:lang w:val="en-US" w:eastAsia="zh-CN"/>
              </w:rPr>
              <w:t>39</w:t>
            </w:r>
          </w:p>
        </w:tc>
        <w:tc>
          <w:tcPr>
            <w:tcW w:w="173" w:type="pct"/>
            <w:tcBorders>
              <w:tl2br w:val="nil"/>
              <w:tr2bl w:val="nil"/>
            </w:tcBorders>
            <w:shd w:val="clear" w:color="auto" w:fill="FFFFFF"/>
            <w:tcMar>
              <w:top w:w="0" w:type="dxa"/>
              <w:left w:w="0" w:type="dxa"/>
              <w:bottom w:w="0" w:type="dxa"/>
              <w:right w:w="0" w:type="dxa"/>
            </w:tcMar>
            <w:vAlign w:val="center"/>
          </w:tcPr>
          <w:p w14:paraId="62A55AB4">
            <w:pPr>
              <w:pStyle w:val="106"/>
              <w:bidi w:val="0"/>
              <w:jc w:val="center"/>
              <w:rPr>
                <w:rFonts w:hint="eastAsia"/>
                <w:lang w:val="en-US" w:eastAsia="zh-CN"/>
              </w:rPr>
            </w:pPr>
            <w:r>
              <w:rPr>
                <w:rFonts w:hint="default"/>
                <w:lang w:val="en-US" w:eastAsia="zh-CN"/>
              </w:rPr>
              <w:t>26</w:t>
            </w:r>
          </w:p>
        </w:tc>
        <w:tc>
          <w:tcPr>
            <w:tcW w:w="173" w:type="pct"/>
            <w:tcBorders>
              <w:tl2br w:val="nil"/>
              <w:tr2bl w:val="nil"/>
            </w:tcBorders>
            <w:shd w:val="clear" w:color="auto" w:fill="FFFFFF"/>
            <w:tcMar>
              <w:top w:w="0" w:type="dxa"/>
              <w:left w:w="0" w:type="dxa"/>
              <w:bottom w:w="0" w:type="dxa"/>
              <w:right w:w="0" w:type="dxa"/>
            </w:tcMar>
            <w:vAlign w:val="center"/>
          </w:tcPr>
          <w:p w14:paraId="4E15E7D4">
            <w:pPr>
              <w:pStyle w:val="106"/>
              <w:bidi w:val="0"/>
              <w:jc w:val="center"/>
              <w:rPr>
                <w:rFonts w:hint="eastAsia"/>
                <w:lang w:val="en-US" w:eastAsia="zh-CN"/>
              </w:rPr>
            </w:pPr>
            <w:r>
              <w:rPr>
                <w:rFonts w:hint="default"/>
                <w:lang w:val="en-US" w:eastAsia="zh-CN"/>
              </w:rPr>
              <w:t>11</w:t>
            </w:r>
          </w:p>
        </w:tc>
        <w:tc>
          <w:tcPr>
            <w:tcW w:w="173" w:type="pct"/>
            <w:tcBorders>
              <w:tl2br w:val="nil"/>
              <w:tr2bl w:val="nil"/>
            </w:tcBorders>
            <w:shd w:val="clear" w:color="auto" w:fill="FFFFFF"/>
            <w:tcMar>
              <w:top w:w="0" w:type="dxa"/>
              <w:left w:w="0" w:type="dxa"/>
              <w:bottom w:w="0" w:type="dxa"/>
              <w:right w:w="0" w:type="dxa"/>
            </w:tcMar>
            <w:vAlign w:val="center"/>
          </w:tcPr>
          <w:p w14:paraId="06F5C5B8">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3B30D10F">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3B647880">
            <w:pPr>
              <w:pStyle w:val="106"/>
              <w:bidi w:val="0"/>
              <w:jc w:val="center"/>
              <w:rPr>
                <w:rFonts w:hint="eastAsia"/>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4DED0FD2">
            <w:pPr>
              <w:pStyle w:val="106"/>
              <w:bidi w:val="0"/>
              <w:jc w:val="center"/>
              <w:rPr>
                <w:rFonts w:hint="eastAsia"/>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72B5C6D0">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4EC3BFEC">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6A20919">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89AEE86">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3C323890">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30171B91">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1DA4FF1F">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704011FA">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211DCE54">
            <w:pPr>
              <w:pStyle w:val="106"/>
              <w:bidi w:val="0"/>
              <w:jc w:val="center"/>
              <w:rPr>
                <w:rFonts w:hint="eastAsia"/>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5E3CC822">
            <w:pPr>
              <w:pStyle w:val="106"/>
              <w:bidi w:val="0"/>
            </w:pPr>
            <w:r>
              <w:t>1</w:t>
            </w:r>
          </w:p>
        </w:tc>
      </w:tr>
      <w:tr w14:paraId="10310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22E2C21B">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7E119870">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E7DC478">
            <w:pPr>
              <w:pStyle w:val="106"/>
              <w:bidi w:val="0"/>
              <w:rPr>
                <w:rFonts w:hint="default"/>
                <w:lang w:val="en-US" w:eastAsia="zh-CN"/>
              </w:rPr>
            </w:pPr>
            <w:r>
              <w:rPr>
                <w:rFonts w:hint="eastAsia"/>
                <w:lang w:val="en-US" w:eastAsia="zh-CN"/>
              </w:rPr>
              <w:t>高压喷淋机4</w:t>
            </w:r>
          </w:p>
        </w:tc>
        <w:tc>
          <w:tcPr>
            <w:tcW w:w="119" w:type="pct"/>
            <w:tcBorders>
              <w:tl2br w:val="nil"/>
              <w:tr2bl w:val="nil"/>
            </w:tcBorders>
            <w:shd w:val="clear" w:color="auto" w:fill="FFFFFF"/>
            <w:tcMar>
              <w:top w:w="0" w:type="dxa"/>
              <w:left w:w="0" w:type="dxa"/>
              <w:bottom w:w="0" w:type="dxa"/>
              <w:right w:w="0" w:type="dxa"/>
            </w:tcMar>
            <w:vAlign w:val="center"/>
          </w:tcPr>
          <w:p w14:paraId="532A5F4F">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127E164D">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1214F976">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3297259A">
            <w:pPr>
              <w:pStyle w:val="106"/>
              <w:bidi w:val="0"/>
              <w:rPr>
                <w:rFonts w:hint="default"/>
                <w:lang w:val="en-US" w:eastAsia="zh-CN"/>
              </w:rPr>
            </w:pPr>
            <w:r>
              <w:rPr>
                <w:rFonts w:hint="eastAsia"/>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2DD3A8B2">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-24</w:t>
            </w:r>
          </w:p>
        </w:tc>
        <w:tc>
          <w:tcPr>
            <w:tcW w:w="173" w:type="pct"/>
            <w:tcBorders>
              <w:tl2br w:val="nil"/>
              <w:tr2bl w:val="nil"/>
            </w:tcBorders>
            <w:shd w:val="clear" w:color="auto" w:fill="FFFFFF"/>
            <w:tcMar>
              <w:top w:w="0" w:type="dxa"/>
              <w:left w:w="0" w:type="dxa"/>
              <w:bottom w:w="0" w:type="dxa"/>
              <w:right w:w="0" w:type="dxa"/>
            </w:tcMar>
            <w:vAlign w:val="center"/>
          </w:tcPr>
          <w:p w14:paraId="3D56A59C">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02EC7F50">
            <w:pPr>
              <w:pStyle w:val="106"/>
              <w:bidi w:val="0"/>
              <w:jc w:val="center"/>
              <w:rPr>
                <w:rFonts w:hint="eastAsia"/>
                <w:lang w:val="en-US" w:eastAsia="zh-CN"/>
              </w:rPr>
            </w:pPr>
            <w:r>
              <w:rPr>
                <w:rFonts w:hint="default"/>
                <w:lang w:val="en-US" w:eastAsia="zh-CN"/>
              </w:rPr>
              <w:t>100</w:t>
            </w:r>
          </w:p>
        </w:tc>
        <w:tc>
          <w:tcPr>
            <w:tcW w:w="173" w:type="pct"/>
            <w:tcBorders>
              <w:tl2br w:val="nil"/>
              <w:tr2bl w:val="nil"/>
            </w:tcBorders>
            <w:shd w:val="clear" w:color="auto" w:fill="FFFFFF"/>
            <w:tcMar>
              <w:top w:w="0" w:type="dxa"/>
              <w:left w:w="0" w:type="dxa"/>
              <w:bottom w:w="0" w:type="dxa"/>
              <w:right w:w="0" w:type="dxa"/>
            </w:tcMar>
            <w:vAlign w:val="center"/>
          </w:tcPr>
          <w:p w14:paraId="715DDD72">
            <w:pPr>
              <w:pStyle w:val="106"/>
              <w:bidi w:val="0"/>
              <w:jc w:val="center"/>
              <w:rPr>
                <w:rFonts w:hint="eastAsia"/>
                <w:lang w:val="en-US" w:eastAsia="zh-CN"/>
              </w:rPr>
            </w:pPr>
            <w:r>
              <w:rPr>
                <w:rFonts w:hint="default"/>
                <w:lang w:val="en-US" w:eastAsia="zh-CN"/>
              </w:rPr>
              <w:t>36</w:t>
            </w:r>
          </w:p>
        </w:tc>
        <w:tc>
          <w:tcPr>
            <w:tcW w:w="173" w:type="pct"/>
            <w:tcBorders>
              <w:tl2br w:val="nil"/>
              <w:tr2bl w:val="nil"/>
            </w:tcBorders>
            <w:shd w:val="clear" w:color="auto" w:fill="FFFFFF"/>
            <w:tcMar>
              <w:top w:w="0" w:type="dxa"/>
              <w:left w:w="0" w:type="dxa"/>
              <w:bottom w:w="0" w:type="dxa"/>
              <w:right w:w="0" w:type="dxa"/>
            </w:tcMar>
            <w:vAlign w:val="center"/>
          </w:tcPr>
          <w:p w14:paraId="370D2B51">
            <w:pPr>
              <w:pStyle w:val="106"/>
              <w:bidi w:val="0"/>
              <w:jc w:val="center"/>
              <w:rPr>
                <w:rFonts w:hint="eastAsia"/>
                <w:lang w:val="en-US" w:eastAsia="zh-CN"/>
              </w:rPr>
            </w:pPr>
            <w:r>
              <w:rPr>
                <w:rFonts w:hint="default"/>
                <w:lang w:val="en-US" w:eastAsia="zh-CN"/>
              </w:rPr>
              <w:t>26</w:t>
            </w:r>
          </w:p>
        </w:tc>
        <w:tc>
          <w:tcPr>
            <w:tcW w:w="173" w:type="pct"/>
            <w:tcBorders>
              <w:tl2br w:val="nil"/>
              <w:tr2bl w:val="nil"/>
            </w:tcBorders>
            <w:shd w:val="clear" w:color="auto" w:fill="FFFFFF"/>
            <w:tcMar>
              <w:top w:w="0" w:type="dxa"/>
              <w:left w:w="0" w:type="dxa"/>
              <w:bottom w:w="0" w:type="dxa"/>
              <w:right w:w="0" w:type="dxa"/>
            </w:tcMar>
            <w:vAlign w:val="center"/>
          </w:tcPr>
          <w:p w14:paraId="0215906E">
            <w:pPr>
              <w:pStyle w:val="106"/>
              <w:bidi w:val="0"/>
              <w:jc w:val="center"/>
              <w:rPr>
                <w:rFonts w:hint="eastAsia"/>
                <w:lang w:val="en-US" w:eastAsia="zh-CN"/>
              </w:rPr>
            </w:pPr>
            <w:r>
              <w:rPr>
                <w:rFonts w:hint="default"/>
                <w:lang w:val="en-US" w:eastAsia="zh-CN"/>
              </w:rPr>
              <w:t>14</w:t>
            </w:r>
          </w:p>
        </w:tc>
        <w:tc>
          <w:tcPr>
            <w:tcW w:w="173" w:type="pct"/>
            <w:tcBorders>
              <w:tl2br w:val="nil"/>
              <w:tr2bl w:val="nil"/>
            </w:tcBorders>
            <w:shd w:val="clear" w:color="auto" w:fill="FFFFFF"/>
            <w:tcMar>
              <w:top w:w="0" w:type="dxa"/>
              <w:left w:w="0" w:type="dxa"/>
              <w:bottom w:w="0" w:type="dxa"/>
              <w:right w:w="0" w:type="dxa"/>
            </w:tcMar>
            <w:vAlign w:val="center"/>
          </w:tcPr>
          <w:p w14:paraId="4C86E8BF">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536921A5">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048F503F">
            <w:pPr>
              <w:pStyle w:val="106"/>
              <w:bidi w:val="0"/>
              <w:jc w:val="center"/>
              <w:rPr>
                <w:rFonts w:hint="eastAsia"/>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7A2E9679">
            <w:pPr>
              <w:pStyle w:val="106"/>
              <w:bidi w:val="0"/>
              <w:jc w:val="center"/>
              <w:rPr>
                <w:rFonts w:hint="eastAsia"/>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3D2623E5">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193B9F4C">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562FB77">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0D4A545">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3D0A9467">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09C122C6">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2E7924E2">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2762B570">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27B8E309">
            <w:pPr>
              <w:pStyle w:val="106"/>
              <w:bidi w:val="0"/>
              <w:jc w:val="center"/>
              <w:rPr>
                <w:rFonts w:hint="eastAsia"/>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0AB7225C">
            <w:pPr>
              <w:pStyle w:val="106"/>
              <w:bidi w:val="0"/>
            </w:pPr>
            <w:r>
              <w:t>1</w:t>
            </w:r>
          </w:p>
        </w:tc>
      </w:tr>
      <w:tr w14:paraId="7B739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7C349CB3">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5B32E3F5">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161D3BBE">
            <w:pPr>
              <w:pStyle w:val="106"/>
              <w:bidi w:val="0"/>
              <w:rPr>
                <w:rFonts w:hint="eastAsia"/>
                <w:lang w:val="en-US" w:eastAsia="zh-CN"/>
              </w:rPr>
            </w:pPr>
            <w:r>
              <w:rPr>
                <w:rFonts w:hint="eastAsia"/>
                <w:lang w:val="en-US" w:eastAsia="zh-CN"/>
              </w:rPr>
              <w:t>分选机</w:t>
            </w:r>
          </w:p>
        </w:tc>
        <w:tc>
          <w:tcPr>
            <w:tcW w:w="119" w:type="pct"/>
            <w:tcBorders>
              <w:tl2br w:val="nil"/>
              <w:tr2bl w:val="nil"/>
            </w:tcBorders>
            <w:shd w:val="clear" w:color="auto" w:fill="FFFFFF"/>
            <w:tcMar>
              <w:top w:w="0" w:type="dxa"/>
              <w:left w:w="0" w:type="dxa"/>
              <w:bottom w:w="0" w:type="dxa"/>
              <w:right w:w="0" w:type="dxa"/>
            </w:tcMar>
            <w:vAlign w:val="center"/>
          </w:tcPr>
          <w:p w14:paraId="2754BDB3">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61B75916">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2E9881D1">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3F38F0EA">
            <w:pPr>
              <w:pStyle w:val="106"/>
              <w:bidi w:val="0"/>
              <w:rPr>
                <w:rFonts w:hint="default"/>
                <w:lang w:val="en-US" w:eastAsia="zh-CN"/>
              </w:rPr>
            </w:pPr>
            <w:r>
              <w:rPr>
                <w:rFonts w:hint="eastAsia"/>
                <w:lang w:val="en-US" w:eastAsia="zh-CN"/>
              </w:rPr>
              <w:t>-45</w:t>
            </w:r>
          </w:p>
        </w:tc>
        <w:tc>
          <w:tcPr>
            <w:tcW w:w="173" w:type="pct"/>
            <w:tcBorders>
              <w:tl2br w:val="nil"/>
              <w:tr2bl w:val="nil"/>
            </w:tcBorders>
            <w:shd w:val="clear" w:color="auto" w:fill="FFFFFF"/>
            <w:tcMar>
              <w:top w:w="0" w:type="dxa"/>
              <w:left w:w="0" w:type="dxa"/>
              <w:bottom w:w="0" w:type="dxa"/>
              <w:right w:w="0" w:type="dxa"/>
            </w:tcMar>
            <w:vAlign w:val="center"/>
          </w:tcPr>
          <w:p w14:paraId="1367C867">
            <w:pPr>
              <w:pStyle w:val="106"/>
              <w:bidi w:val="0"/>
              <w:rPr>
                <w:rFonts w:hint="default"/>
                <w:lang w:val="en-US" w:eastAsia="zh-CN"/>
              </w:rPr>
            </w:pPr>
            <w:r>
              <w:rPr>
                <w:rFonts w:hint="eastAsia"/>
                <w:lang w:val="en-US" w:eastAsia="zh-CN"/>
              </w:rPr>
              <w:t>-24</w:t>
            </w:r>
          </w:p>
        </w:tc>
        <w:tc>
          <w:tcPr>
            <w:tcW w:w="173" w:type="pct"/>
            <w:tcBorders>
              <w:tl2br w:val="nil"/>
              <w:tr2bl w:val="nil"/>
            </w:tcBorders>
            <w:shd w:val="clear" w:color="auto" w:fill="FFFFFF"/>
            <w:tcMar>
              <w:top w:w="0" w:type="dxa"/>
              <w:left w:w="0" w:type="dxa"/>
              <w:bottom w:w="0" w:type="dxa"/>
              <w:right w:w="0" w:type="dxa"/>
            </w:tcMar>
            <w:vAlign w:val="center"/>
          </w:tcPr>
          <w:p w14:paraId="22C308F5">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148F0E01">
            <w:pPr>
              <w:pStyle w:val="106"/>
              <w:bidi w:val="0"/>
              <w:jc w:val="center"/>
            </w:pPr>
            <w:r>
              <w:rPr>
                <w:rFonts w:hint="default"/>
                <w:lang w:val="en-US" w:eastAsia="zh-CN"/>
              </w:rPr>
              <w:t>108</w:t>
            </w:r>
          </w:p>
        </w:tc>
        <w:tc>
          <w:tcPr>
            <w:tcW w:w="173" w:type="pct"/>
            <w:tcBorders>
              <w:tl2br w:val="nil"/>
              <w:tr2bl w:val="nil"/>
            </w:tcBorders>
            <w:shd w:val="clear" w:color="auto" w:fill="FFFFFF"/>
            <w:tcMar>
              <w:top w:w="0" w:type="dxa"/>
              <w:left w:w="0" w:type="dxa"/>
              <w:bottom w:w="0" w:type="dxa"/>
              <w:right w:w="0" w:type="dxa"/>
            </w:tcMar>
            <w:vAlign w:val="center"/>
          </w:tcPr>
          <w:p w14:paraId="6CAE3BAD">
            <w:pPr>
              <w:pStyle w:val="106"/>
              <w:bidi w:val="0"/>
              <w:jc w:val="center"/>
            </w:pPr>
            <w:r>
              <w:rPr>
                <w:rFonts w:hint="default"/>
                <w:lang w:val="en-US" w:eastAsia="zh-CN"/>
              </w:rPr>
              <w:t>36</w:t>
            </w:r>
          </w:p>
        </w:tc>
        <w:tc>
          <w:tcPr>
            <w:tcW w:w="173" w:type="pct"/>
            <w:tcBorders>
              <w:tl2br w:val="nil"/>
              <w:tr2bl w:val="nil"/>
            </w:tcBorders>
            <w:shd w:val="clear" w:color="auto" w:fill="FFFFFF"/>
            <w:tcMar>
              <w:top w:w="0" w:type="dxa"/>
              <w:left w:w="0" w:type="dxa"/>
              <w:bottom w:w="0" w:type="dxa"/>
              <w:right w:w="0" w:type="dxa"/>
            </w:tcMar>
            <w:vAlign w:val="center"/>
          </w:tcPr>
          <w:p w14:paraId="46088E52">
            <w:pPr>
              <w:pStyle w:val="106"/>
              <w:bidi w:val="0"/>
              <w:jc w:val="center"/>
            </w:pPr>
            <w:r>
              <w:rPr>
                <w:rFonts w:hint="default"/>
                <w:lang w:val="en-US" w:eastAsia="zh-CN"/>
              </w:rPr>
              <w:t>18</w:t>
            </w:r>
          </w:p>
        </w:tc>
        <w:tc>
          <w:tcPr>
            <w:tcW w:w="173" w:type="pct"/>
            <w:tcBorders>
              <w:tl2br w:val="nil"/>
              <w:tr2bl w:val="nil"/>
            </w:tcBorders>
            <w:shd w:val="clear" w:color="auto" w:fill="FFFFFF"/>
            <w:tcMar>
              <w:top w:w="0" w:type="dxa"/>
              <w:left w:w="0" w:type="dxa"/>
              <w:bottom w:w="0" w:type="dxa"/>
              <w:right w:w="0" w:type="dxa"/>
            </w:tcMar>
            <w:vAlign w:val="center"/>
          </w:tcPr>
          <w:p w14:paraId="49F080E0">
            <w:pPr>
              <w:pStyle w:val="106"/>
              <w:bidi w:val="0"/>
              <w:jc w:val="center"/>
            </w:pPr>
            <w:r>
              <w:rPr>
                <w:rFonts w:hint="default"/>
                <w:lang w:val="en-US" w:eastAsia="zh-CN"/>
              </w:rPr>
              <w:t>14</w:t>
            </w:r>
          </w:p>
        </w:tc>
        <w:tc>
          <w:tcPr>
            <w:tcW w:w="173" w:type="pct"/>
            <w:tcBorders>
              <w:tl2br w:val="nil"/>
              <w:tr2bl w:val="nil"/>
            </w:tcBorders>
            <w:shd w:val="clear" w:color="auto" w:fill="FFFFFF"/>
            <w:tcMar>
              <w:top w:w="0" w:type="dxa"/>
              <w:left w:w="0" w:type="dxa"/>
              <w:bottom w:w="0" w:type="dxa"/>
              <w:right w:w="0" w:type="dxa"/>
            </w:tcMar>
            <w:vAlign w:val="center"/>
          </w:tcPr>
          <w:p w14:paraId="48B64349">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1499E275">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7AC8D968">
            <w:pPr>
              <w:pStyle w:val="106"/>
              <w:bidi w:val="0"/>
              <w:jc w:val="center"/>
              <w:rPr>
                <w:rFonts w:hint="default"/>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51C79553">
            <w:pPr>
              <w:pStyle w:val="106"/>
              <w:bidi w:val="0"/>
              <w:jc w:val="center"/>
              <w:rPr>
                <w:rFonts w:hint="default"/>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8BA1089">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B00B647">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CAA81D5">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93ABAC8">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74C0A624">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6988D825">
            <w:pPr>
              <w:pStyle w:val="106"/>
              <w:bidi w:val="0"/>
              <w:jc w:val="cente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3285A207">
            <w:pPr>
              <w:pStyle w:val="106"/>
              <w:bidi w:val="0"/>
              <w:jc w:val="cente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470886AE">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601CA5D9">
            <w:pPr>
              <w:pStyle w:val="106"/>
              <w:bidi w:val="0"/>
              <w:jc w:val="cente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78384345">
            <w:pPr>
              <w:pStyle w:val="106"/>
              <w:bidi w:val="0"/>
            </w:pPr>
            <w:r>
              <w:t>1</w:t>
            </w:r>
          </w:p>
        </w:tc>
      </w:tr>
      <w:tr w14:paraId="6B9A5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6EF550C3">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6494795E">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05B8EB89">
            <w:pPr>
              <w:pStyle w:val="106"/>
              <w:bidi w:val="0"/>
              <w:rPr>
                <w:rFonts w:hint="default"/>
                <w:lang w:val="en-US" w:eastAsia="zh-CN"/>
              </w:rPr>
            </w:pPr>
            <w:r>
              <w:rPr>
                <w:rFonts w:hint="eastAsia"/>
                <w:lang w:val="en-US" w:eastAsia="zh-CN"/>
              </w:rPr>
              <w:t>去皮/去核机1</w:t>
            </w:r>
          </w:p>
        </w:tc>
        <w:tc>
          <w:tcPr>
            <w:tcW w:w="119" w:type="pct"/>
            <w:tcBorders>
              <w:tl2br w:val="nil"/>
              <w:tr2bl w:val="nil"/>
            </w:tcBorders>
            <w:shd w:val="clear" w:color="auto" w:fill="FFFFFF"/>
            <w:tcMar>
              <w:top w:w="0" w:type="dxa"/>
              <w:left w:w="0" w:type="dxa"/>
              <w:bottom w:w="0" w:type="dxa"/>
              <w:right w:w="0" w:type="dxa"/>
            </w:tcMar>
            <w:vAlign w:val="center"/>
          </w:tcPr>
          <w:p w14:paraId="55737554">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34FFCB8B">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04BF89E4">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53FF904D">
            <w:pPr>
              <w:pStyle w:val="106"/>
              <w:bidi w:val="0"/>
              <w:rPr>
                <w:rFonts w:hint="default"/>
                <w:lang w:val="en-US" w:eastAsia="zh-CN"/>
              </w:rPr>
            </w:pPr>
            <w:r>
              <w:rPr>
                <w:rFonts w:hint="eastAsia"/>
                <w:lang w:val="en-US" w:eastAsia="zh-CN"/>
              </w:rPr>
              <w:t>-48</w:t>
            </w:r>
          </w:p>
        </w:tc>
        <w:tc>
          <w:tcPr>
            <w:tcW w:w="173" w:type="pct"/>
            <w:tcBorders>
              <w:tl2br w:val="nil"/>
              <w:tr2bl w:val="nil"/>
            </w:tcBorders>
            <w:shd w:val="clear" w:color="auto" w:fill="FFFFFF"/>
            <w:tcMar>
              <w:top w:w="0" w:type="dxa"/>
              <w:left w:w="0" w:type="dxa"/>
              <w:bottom w:w="0" w:type="dxa"/>
              <w:right w:w="0" w:type="dxa"/>
            </w:tcMar>
            <w:vAlign w:val="center"/>
          </w:tcPr>
          <w:p w14:paraId="12B7FA53">
            <w:pPr>
              <w:pStyle w:val="106"/>
              <w:bidi w:val="0"/>
              <w:rPr>
                <w:rFonts w:hint="default"/>
                <w:lang w:val="en-US" w:eastAsia="zh-CN"/>
              </w:rPr>
            </w:pPr>
            <w:r>
              <w:rPr>
                <w:rFonts w:hint="eastAsia"/>
                <w:lang w:val="en-US" w:eastAsia="zh-CN"/>
              </w:rPr>
              <w:t>-24</w:t>
            </w:r>
          </w:p>
        </w:tc>
        <w:tc>
          <w:tcPr>
            <w:tcW w:w="173" w:type="pct"/>
            <w:tcBorders>
              <w:tl2br w:val="nil"/>
              <w:tr2bl w:val="nil"/>
            </w:tcBorders>
            <w:shd w:val="clear" w:color="auto" w:fill="FFFFFF"/>
            <w:tcMar>
              <w:top w:w="0" w:type="dxa"/>
              <w:left w:w="0" w:type="dxa"/>
              <w:bottom w:w="0" w:type="dxa"/>
              <w:right w:w="0" w:type="dxa"/>
            </w:tcMar>
            <w:vAlign w:val="center"/>
          </w:tcPr>
          <w:p w14:paraId="3E7853A2">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7D2A834B">
            <w:pPr>
              <w:pStyle w:val="106"/>
              <w:bidi w:val="0"/>
              <w:jc w:val="center"/>
            </w:pPr>
            <w:r>
              <w:rPr>
                <w:rFonts w:hint="default"/>
                <w:lang w:val="en-US" w:eastAsia="zh-CN"/>
              </w:rPr>
              <w:t>111</w:t>
            </w:r>
          </w:p>
        </w:tc>
        <w:tc>
          <w:tcPr>
            <w:tcW w:w="173" w:type="pct"/>
            <w:tcBorders>
              <w:tl2br w:val="nil"/>
              <w:tr2bl w:val="nil"/>
            </w:tcBorders>
            <w:shd w:val="clear" w:color="auto" w:fill="FFFFFF"/>
            <w:tcMar>
              <w:top w:w="0" w:type="dxa"/>
              <w:left w:w="0" w:type="dxa"/>
              <w:bottom w:w="0" w:type="dxa"/>
              <w:right w:w="0" w:type="dxa"/>
            </w:tcMar>
            <w:vAlign w:val="center"/>
          </w:tcPr>
          <w:p w14:paraId="28FB0FD6">
            <w:pPr>
              <w:pStyle w:val="106"/>
              <w:bidi w:val="0"/>
              <w:jc w:val="center"/>
              <w:rPr>
                <w:rFonts w:hint="default"/>
                <w:lang w:val="en-US"/>
              </w:rPr>
            </w:pPr>
            <w:r>
              <w:rPr>
                <w:rFonts w:hint="default"/>
                <w:lang w:val="en-US" w:eastAsia="zh-CN"/>
              </w:rPr>
              <w:t>36</w:t>
            </w:r>
          </w:p>
        </w:tc>
        <w:tc>
          <w:tcPr>
            <w:tcW w:w="173" w:type="pct"/>
            <w:tcBorders>
              <w:tl2br w:val="nil"/>
              <w:tr2bl w:val="nil"/>
            </w:tcBorders>
            <w:shd w:val="clear" w:color="auto" w:fill="FFFFFF"/>
            <w:tcMar>
              <w:top w:w="0" w:type="dxa"/>
              <w:left w:w="0" w:type="dxa"/>
              <w:bottom w:w="0" w:type="dxa"/>
              <w:right w:w="0" w:type="dxa"/>
            </w:tcMar>
            <w:vAlign w:val="center"/>
          </w:tcPr>
          <w:p w14:paraId="23212A36">
            <w:pPr>
              <w:pStyle w:val="106"/>
              <w:bidi w:val="0"/>
              <w:jc w:val="center"/>
            </w:pPr>
            <w:r>
              <w:rPr>
                <w:rFonts w:hint="default"/>
                <w:lang w:val="en-US" w:eastAsia="zh-CN"/>
              </w:rPr>
              <w:t>15</w:t>
            </w:r>
          </w:p>
        </w:tc>
        <w:tc>
          <w:tcPr>
            <w:tcW w:w="173" w:type="pct"/>
            <w:tcBorders>
              <w:tl2br w:val="nil"/>
              <w:tr2bl w:val="nil"/>
            </w:tcBorders>
            <w:shd w:val="clear" w:color="auto" w:fill="FFFFFF"/>
            <w:tcMar>
              <w:top w:w="0" w:type="dxa"/>
              <w:left w:w="0" w:type="dxa"/>
              <w:bottom w:w="0" w:type="dxa"/>
              <w:right w:w="0" w:type="dxa"/>
            </w:tcMar>
            <w:vAlign w:val="center"/>
          </w:tcPr>
          <w:p w14:paraId="257EC921">
            <w:pPr>
              <w:pStyle w:val="106"/>
              <w:bidi w:val="0"/>
              <w:jc w:val="center"/>
              <w:rPr>
                <w:rFonts w:hint="default"/>
                <w:lang w:val="en-US"/>
              </w:rPr>
            </w:pPr>
            <w:r>
              <w:rPr>
                <w:rFonts w:hint="default"/>
                <w:lang w:val="en-US" w:eastAsia="zh-CN"/>
              </w:rPr>
              <w:t>14</w:t>
            </w:r>
          </w:p>
        </w:tc>
        <w:tc>
          <w:tcPr>
            <w:tcW w:w="173" w:type="pct"/>
            <w:tcBorders>
              <w:tl2br w:val="nil"/>
              <w:tr2bl w:val="nil"/>
            </w:tcBorders>
            <w:shd w:val="clear" w:color="auto" w:fill="FFFFFF"/>
            <w:tcMar>
              <w:top w:w="0" w:type="dxa"/>
              <w:left w:w="0" w:type="dxa"/>
              <w:bottom w:w="0" w:type="dxa"/>
              <w:right w:w="0" w:type="dxa"/>
            </w:tcMar>
            <w:vAlign w:val="center"/>
          </w:tcPr>
          <w:p w14:paraId="41B7A391">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04F369FD">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4BAE51CF">
            <w:pPr>
              <w:pStyle w:val="106"/>
              <w:bidi w:val="0"/>
              <w:jc w:val="center"/>
              <w:rPr>
                <w:rFonts w:hint="default"/>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4CD50B12">
            <w:pPr>
              <w:pStyle w:val="106"/>
              <w:bidi w:val="0"/>
              <w:jc w:val="center"/>
              <w:rPr>
                <w:rFonts w:hint="default"/>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35D239B8">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0CEA2B1">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0834C77">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7D66A65">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1EBC0B5B">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01D078AA">
            <w:pPr>
              <w:pStyle w:val="106"/>
              <w:bidi w:val="0"/>
              <w:jc w:val="cente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5D47CAD5">
            <w:pPr>
              <w:pStyle w:val="106"/>
              <w:bidi w:val="0"/>
              <w:jc w:val="cente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23D6D5BF">
            <w:pPr>
              <w:pStyle w:val="106"/>
              <w:bidi w:val="0"/>
              <w:jc w:val="cente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1449976F">
            <w:pPr>
              <w:pStyle w:val="106"/>
              <w:bidi w:val="0"/>
              <w:jc w:val="cente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6CDC8F00">
            <w:pPr>
              <w:pStyle w:val="106"/>
              <w:bidi w:val="0"/>
            </w:pPr>
            <w:r>
              <w:t>1</w:t>
            </w:r>
          </w:p>
        </w:tc>
      </w:tr>
      <w:tr w14:paraId="007E8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1935A5A3">
            <w:pPr>
              <w:pStyle w:val="106"/>
              <w:numPr>
                <w:ilvl w:val="0"/>
                <w:numId w:val="12"/>
              </w:numPr>
              <w:bidi w:val="0"/>
              <w:ind w:left="0" w:leftChars="0" w:firstLine="0" w:firstLineChars="0"/>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6574D32A">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48EAF801">
            <w:pPr>
              <w:pStyle w:val="106"/>
              <w:bidi w:val="0"/>
              <w:rPr>
                <w:rFonts w:hint="default"/>
                <w:lang w:val="en-US" w:eastAsia="zh-CN"/>
              </w:rPr>
            </w:pPr>
            <w:r>
              <w:rPr>
                <w:rFonts w:hint="eastAsia"/>
                <w:lang w:val="en-US" w:eastAsia="zh-CN"/>
              </w:rPr>
              <w:t>去皮/去核机2</w:t>
            </w:r>
          </w:p>
        </w:tc>
        <w:tc>
          <w:tcPr>
            <w:tcW w:w="119" w:type="pct"/>
            <w:tcBorders>
              <w:tl2br w:val="nil"/>
              <w:tr2bl w:val="nil"/>
            </w:tcBorders>
            <w:shd w:val="clear" w:color="auto" w:fill="FFFFFF"/>
            <w:tcMar>
              <w:top w:w="0" w:type="dxa"/>
              <w:left w:w="0" w:type="dxa"/>
              <w:bottom w:w="0" w:type="dxa"/>
              <w:right w:w="0" w:type="dxa"/>
            </w:tcMar>
            <w:vAlign w:val="center"/>
          </w:tcPr>
          <w:p w14:paraId="2A79105E">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7B269D4C">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7F202478">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3584574C">
            <w:pPr>
              <w:pStyle w:val="106"/>
              <w:bidi w:val="0"/>
              <w:rPr>
                <w:rFonts w:hint="default"/>
                <w:lang w:val="en-US" w:eastAsia="zh-CN"/>
              </w:rPr>
            </w:pPr>
            <w:r>
              <w:rPr>
                <w:rFonts w:hint="eastAsia"/>
                <w:lang w:val="en-US" w:eastAsia="zh-CN"/>
              </w:rPr>
              <w:t>-51</w:t>
            </w:r>
          </w:p>
        </w:tc>
        <w:tc>
          <w:tcPr>
            <w:tcW w:w="173" w:type="pct"/>
            <w:tcBorders>
              <w:tl2br w:val="nil"/>
              <w:tr2bl w:val="nil"/>
            </w:tcBorders>
            <w:shd w:val="clear" w:color="auto" w:fill="FFFFFF"/>
            <w:tcMar>
              <w:top w:w="0" w:type="dxa"/>
              <w:left w:w="0" w:type="dxa"/>
              <w:bottom w:w="0" w:type="dxa"/>
              <w:right w:w="0" w:type="dxa"/>
            </w:tcMar>
            <w:vAlign w:val="center"/>
          </w:tcPr>
          <w:p w14:paraId="68454658">
            <w:pPr>
              <w:pStyle w:val="106"/>
              <w:bidi w:val="0"/>
              <w:rPr>
                <w:rFonts w:hint="default"/>
                <w:lang w:val="en-US" w:eastAsia="zh-CN"/>
              </w:rPr>
            </w:pPr>
            <w:r>
              <w:rPr>
                <w:rFonts w:hint="eastAsia"/>
                <w:lang w:val="en-US" w:eastAsia="zh-CN"/>
              </w:rPr>
              <w:t>-24</w:t>
            </w:r>
          </w:p>
        </w:tc>
        <w:tc>
          <w:tcPr>
            <w:tcW w:w="173" w:type="pct"/>
            <w:tcBorders>
              <w:tl2br w:val="nil"/>
              <w:tr2bl w:val="nil"/>
            </w:tcBorders>
            <w:shd w:val="clear" w:color="auto" w:fill="FFFFFF"/>
            <w:tcMar>
              <w:top w:w="0" w:type="dxa"/>
              <w:left w:w="0" w:type="dxa"/>
              <w:bottom w:w="0" w:type="dxa"/>
              <w:right w:w="0" w:type="dxa"/>
            </w:tcMar>
            <w:vAlign w:val="center"/>
          </w:tcPr>
          <w:p w14:paraId="0A45666E">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058C866A">
            <w:pPr>
              <w:pStyle w:val="106"/>
              <w:bidi w:val="0"/>
              <w:jc w:val="center"/>
              <w:rPr>
                <w:rFonts w:hint="eastAsia"/>
                <w:lang w:val="en-US" w:eastAsia="zh-CN"/>
              </w:rPr>
            </w:pPr>
            <w:r>
              <w:rPr>
                <w:rFonts w:hint="default"/>
                <w:lang w:val="en-US" w:eastAsia="zh-CN"/>
              </w:rPr>
              <w:t>114</w:t>
            </w:r>
          </w:p>
        </w:tc>
        <w:tc>
          <w:tcPr>
            <w:tcW w:w="173" w:type="pct"/>
            <w:tcBorders>
              <w:tl2br w:val="nil"/>
              <w:tr2bl w:val="nil"/>
            </w:tcBorders>
            <w:shd w:val="clear" w:color="auto" w:fill="FFFFFF"/>
            <w:tcMar>
              <w:top w:w="0" w:type="dxa"/>
              <w:left w:w="0" w:type="dxa"/>
              <w:bottom w:w="0" w:type="dxa"/>
              <w:right w:w="0" w:type="dxa"/>
            </w:tcMar>
            <w:vAlign w:val="center"/>
          </w:tcPr>
          <w:p w14:paraId="38EB8C02">
            <w:pPr>
              <w:pStyle w:val="106"/>
              <w:bidi w:val="0"/>
              <w:jc w:val="center"/>
              <w:rPr>
                <w:rFonts w:hint="eastAsia"/>
                <w:lang w:val="en-US" w:eastAsia="zh-CN"/>
              </w:rPr>
            </w:pPr>
            <w:r>
              <w:rPr>
                <w:rFonts w:hint="default"/>
                <w:lang w:val="en-US" w:eastAsia="zh-CN"/>
              </w:rPr>
              <w:t>36</w:t>
            </w:r>
          </w:p>
        </w:tc>
        <w:tc>
          <w:tcPr>
            <w:tcW w:w="173" w:type="pct"/>
            <w:tcBorders>
              <w:tl2br w:val="nil"/>
              <w:tr2bl w:val="nil"/>
            </w:tcBorders>
            <w:shd w:val="clear" w:color="auto" w:fill="FFFFFF"/>
            <w:tcMar>
              <w:top w:w="0" w:type="dxa"/>
              <w:left w:w="0" w:type="dxa"/>
              <w:bottom w:w="0" w:type="dxa"/>
              <w:right w:w="0" w:type="dxa"/>
            </w:tcMar>
            <w:vAlign w:val="center"/>
          </w:tcPr>
          <w:p w14:paraId="7F64BF32">
            <w:pPr>
              <w:pStyle w:val="106"/>
              <w:bidi w:val="0"/>
              <w:jc w:val="center"/>
              <w:rPr>
                <w:rFonts w:hint="eastAsia"/>
                <w:lang w:val="en-US" w:eastAsia="zh-CN"/>
              </w:rPr>
            </w:pPr>
            <w:r>
              <w:rPr>
                <w:rFonts w:hint="default"/>
                <w:lang w:val="en-US" w:eastAsia="zh-CN"/>
              </w:rPr>
              <w:t>12</w:t>
            </w:r>
          </w:p>
        </w:tc>
        <w:tc>
          <w:tcPr>
            <w:tcW w:w="173" w:type="pct"/>
            <w:tcBorders>
              <w:tl2br w:val="nil"/>
              <w:tr2bl w:val="nil"/>
            </w:tcBorders>
            <w:shd w:val="clear" w:color="auto" w:fill="FFFFFF"/>
            <w:tcMar>
              <w:top w:w="0" w:type="dxa"/>
              <w:left w:w="0" w:type="dxa"/>
              <w:bottom w:w="0" w:type="dxa"/>
              <w:right w:w="0" w:type="dxa"/>
            </w:tcMar>
            <w:vAlign w:val="center"/>
          </w:tcPr>
          <w:p w14:paraId="56412A64">
            <w:pPr>
              <w:pStyle w:val="106"/>
              <w:bidi w:val="0"/>
              <w:jc w:val="center"/>
              <w:rPr>
                <w:rFonts w:hint="eastAsia"/>
                <w:lang w:val="en-US" w:eastAsia="zh-CN"/>
              </w:rPr>
            </w:pPr>
            <w:r>
              <w:rPr>
                <w:rFonts w:hint="default"/>
                <w:lang w:val="en-US" w:eastAsia="zh-CN"/>
              </w:rPr>
              <w:t>14</w:t>
            </w:r>
          </w:p>
        </w:tc>
        <w:tc>
          <w:tcPr>
            <w:tcW w:w="173" w:type="pct"/>
            <w:tcBorders>
              <w:tl2br w:val="nil"/>
              <w:tr2bl w:val="nil"/>
            </w:tcBorders>
            <w:shd w:val="clear" w:color="auto" w:fill="FFFFFF"/>
            <w:tcMar>
              <w:top w:w="0" w:type="dxa"/>
              <w:left w:w="0" w:type="dxa"/>
              <w:bottom w:w="0" w:type="dxa"/>
              <w:right w:w="0" w:type="dxa"/>
            </w:tcMar>
            <w:vAlign w:val="center"/>
          </w:tcPr>
          <w:p w14:paraId="65A09572">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798B2036">
            <w:pPr>
              <w:pStyle w:val="106"/>
              <w:bidi w:val="0"/>
              <w:jc w:val="center"/>
              <w:rPr>
                <w:rFonts w:hint="eastAsia"/>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32EAB448">
            <w:pPr>
              <w:pStyle w:val="106"/>
              <w:bidi w:val="0"/>
              <w:jc w:val="center"/>
              <w:rPr>
                <w:rFonts w:hint="eastAsia"/>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30A877BE">
            <w:pPr>
              <w:pStyle w:val="106"/>
              <w:bidi w:val="0"/>
              <w:jc w:val="center"/>
              <w:rPr>
                <w:rFonts w:hint="eastAsia"/>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18A818F7">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1708B6BC">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2FBF7E5">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C50596B">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30855C7B">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1EDFA998">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0E2B4518">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5C303ED5">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497F209A">
            <w:pPr>
              <w:pStyle w:val="106"/>
              <w:bidi w:val="0"/>
              <w:jc w:val="center"/>
              <w:rPr>
                <w:rFonts w:hint="eastAsia"/>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0C1B4410">
            <w:pPr>
              <w:pStyle w:val="106"/>
              <w:bidi w:val="0"/>
            </w:pPr>
            <w:r>
              <w:t>1</w:t>
            </w:r>
          </w:p>
        </w:tc>
      </w:tr>
      <w:tr w14:paraId="127B2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14AF6F4C">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58152CA6">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1D2AA1B3">
            <w:pPr>
              <w:pStyle w:val="106"/>
              <w:bidi w:val="0"/>
              <w:rPr>
                <w:rFonts w:hint="default"/>
                <w:lang w:val="en-US" w:eastAsia="zh-CN"/>
              </w:rPr>
            </w:pPr>
            <w:r>
              <w:rPr>
                <w:rFonts w:hint="eastAsia"/>
                <w:lang w:val="en-US" w:eastAsia="zh-CN"/>
              </w:rPr>
              <w:t>多功能切菜机1</w:t>
            </w:r>
          </w:p>
        </w:tc>
        <w:tc>
          <w:tcPr>
            <w:tcW w:w="119" w:type="pct"/>
            <w:tcBorders>
              <w:tl2br w:val="nil"/>
              <w:tr2bl w:val="nil"/>
            </w:tcBorders>
            <w:shd w:val="clear" w:color="auto" w:fill="FFFFFF"/>
            <w:tcMar>
              <w:top w:w="0" w:type="dxa"/>
              <w:left w:w="0" w:type="dxa"/>
              <w:bottom w:w="0" w:type="dxa"/>
              <w:right w:w="0" w:type="dxa"/>
            </w:tcMar>
            <w:vAlign w:val="center"/>
          </w:tcPr>
          <w:p w14:paraId="5FE1F804">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39C5A25">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3F00CE00">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0A144E00">
            <w:pPr>
              <w:pStyle w:val="106"/>
              <w:bidi w:val="0"/>
              <w:rPr>
                <w:rFonts w:hint="default"/>
                <w:lang w:val="en-US" w:eastAsia="zh-CN"/>
              </w:rPr>
            </w:pPr>
            <w:r>
              <w:rPr>
                <w:rFonts w:hint="eastAsia"/>
                <w:lang w:val="en-US" w:eastAsia="zh-CN"/>
              </w:rPr>
              <w:t>-54</w:t>
            </w:r>
          </w:p>
        </w:tc>
        <w:tc>
          <w:tcPr>
            <w:tcW w:w="173" w:type="pct"/>
            <w:tcBorders>
              <w:tl2br w:val="nil"/>
              <w:tr2bl w:val="nil"/>
            </w:tcBorders>
            <w:shd w:val="clear" w:color="auto" w:fill="FFFFFF"/>
            <w:tcMar>
              <w:top w:w="0" w:type="dxa"/>
              <w:left w:w="0" w:type="dxa"/>
              <w:bottom w:w="0" w:type="dxa"/>
              <w:right w:w="0" w:type="dxa"/>
            </w:tcMar>
            <w:vAlign w:val="center"/>
          </w:tcPr>
          <w:p w14:paraId="5E67ECFB">
            <w:pPr>
              <w:pStyle w:val="106"/>
              <w:bidi w:val="0"/>
              <w:rPr>
                <w:rFonts w:hint="default"/>
                <w:lang w:val="en-US" w:eastAsia="zh-CN"/>
              </w:rPr>
            </w:pPr>
            <w:r>
              <w:rPr>
                <w:rFonts w:hint="eastAsia"/>
                <w:lang w:val="en-US" w:eastAsia="zh-CN"/>
              </w:rPr>
              <w:t>-24</w:t>
            </w:r>
          </w:p>
        </w:tc>
        <w:tc>
          <w:tcPr>
            <w:tcW w:w="173" w:type="pct"/>
            <w:tcBorders>
              <w:tl2br w:val="nil"/>
              <w:tr2bl w:val="nil"/>
            </w:tcBorders>
            <w:shd w:val="clear" w:color="auto" w:fill="FFFFFF"/>
            <w:tcMar>
              <w:top w:w="0" w:type="dxa"/>
              <w:left w:w="0" w:type="dxa"/>
              <w:bottom w:w="0" w:type="dxa"/>
              <w:right w:w="0" w:type="dxa"/>
            </w:tcMar>
            <w:vAlign w:val="center"/>
          </w:tcPr>
          <w:p w14:paraId="7B365DF6">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0926E202">
            <w:pPr>
              <w:pStyle w:val="106"/>
              <w:bidi w:val="0"/>
              <w:jc w:val="center"/>
            </w:pPr>
            <w:r>
              <w:rPr>
                <w:rFonts w:hint="default"/>
                <w:lang w:val="en-US" w:eastAsia="zh-CN"/>
              </w:rPr>
              <w:t>117</w:t>
            </w:r>
          </w:p>
        </w:tc>
        <w:tc>
          <w:tcPr>
            <w:tcW w:w="173" w:type="pct"/>
            <w:tcBorders>
              <w:tl2br w:val="nil"/>
              <w:tr2bl w:val="nil"/>
            </w:tcBorders>
            <w:shd w:val="clear" w:color="auto" w:fill="FFFFFF"/>
            <w:tcMar>
              <w:top w:w="0" w:type="dxa"/>
              <w:left w:w="0" w:type="dxa"/>
              <w:bottom w:w="0" w:type="dxa"/>
              <w:right w:w="0" w:type="dxa"/>
            </w:tcMar>
            <w:vAlign w:val="center"/>
          </w:tcPr>
          <w:p w14:paraId="2772F09D">
            <w:pPr>
              <w:pStyle w:val="106"/>
              <w:bidi w:val="0"/>
              <w:jc w:val="center"/>
            </w:pPr>
            <w:r>
              <w:rPr>
                <w:rFonts w:hint="default"/>
                <w:lang w:val="en-US" w:eastAsia="zh-CN"/>
              </w:rPr>
              <w:t>36</w:t>
            </w:r>
          </w:p>
        </w:tc>
        <w:tc>
          <w:tcPr>
            <w:tcW w:w="173" w:type="pct"/>
            <w:tcBorders>
              <w:tl2br w:val="nil"/>
              <w:tr2bl w:val="nil"/>
            </w:tcBorders>
            <w:shd w:val="clear" w:color="auto" w:fill="FFFFFF"/>
            <w:tcMar>
              <w:top w:w="0" w:type="dxa"/>
              <w:left w:w="0" w:type="dxa"/>
              <w:bottom w:w="0" w:type="dxa"/>
              <w:right w:w="0" w:type="dxa"/>
            </w:tcMar>
            <w:vAlign w:val="center"/>
          </w:tcPr>
          <w:p w14:paraId="76094D0F">
            <w:pPr>
              <w:pStyle w:val="106"/>
              <w:bidi w:val="0"/>
              <w:jc w:val="center"/>
            </w:pPr>
            <w:r>
              <w:rPr>
                <w:rFonts w:hint="default"/>
                <w:lang w:val="en-US" w:eastAsia="zh-CN"/>
              </w:rPr>
              <w:t>9</w:t>
            </w:r>
          </w:p>
        </w:tc>
        <w:tc>
          <w:tcPr>
            <w:tcW w:w="173" w:type="pct"/>
            <w:tcBorders>
              <w:tl2br w:val="nil"/>
              <w:tr2bl w:val="nil"/>
            </w:tcBorders>
            <w:shd w:val="clear" w:color="auto" w:fill="FFFFFF"/>
            <w:tcMar>
              <w:top w:w="0" w:type="dxa"/>
              <w:left w:w="0" w:type="dxa"/>
              <w:bottom w:w="0" w:type="dxa"/>
              <w:right w:w="0" w:type="dxa"/>
            </w:tcMar>
            <w:vAlign w:val="center"/>
          </w:tcPr>
          <w:p w14:paraId="61FC74E1">
            <w:pPr>
              <w:pStyle w:val="106"/>
              <w:bidi w:val="0"/>
              <w:jc w:val="center"/>
            </w:pPr>
            <w:r>
              <w:rPr>
                <w:rFonts w:hint="default"/>
                <w:lang w:val="en-US" w:eastAsia="zh-CN"/>
              </w:rPr>
              <w:t>14</w:t>
            </w:r>
          </w:p>
        </w:tc>
        <w:tc>
          <w:tcPr>
            <w:tcW w:w="173" w:type="pct"/>
            <w:tcBorders>
              <w:tl2br w:val="nil"/>
              <w:tr2bl w:val="nil"/>
            </w:tcBorders>
            <w:shd w:val="clear" w:color="auto" w:fill="FFFFFF"/>
            <w:tcMar>
              <w:top w:w="0" w:type="dxa"/>
              <w:left w:w="0" w:type="dxa"/>
              <w:bottom w:w="0" w:type="dxa"/>
              <w:right w:w="0" w:type="dxa"/>
            </w:tcMar>
            <w:vAlign w:val="center"/>
          </w:tcPr>
          <w:p w14:paraId="1F7F200E">
            <w:pPr>
              <w:pStyle w:val="106"/>
              <w:bidi w:val="0"/>
              <w:jc w:val="center"/>
              <w:rPr>
                <w:rFonts w:hint="default"/>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56F675E3">
            <w:pPr>
              <w:pStyle w:val="106"/>
              <w:bidi w:val="0"/>
              <w:jc w:val="center"/>
              <w:rPr>
                <w:rFonts w:hint="default"/>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0408C45C">
            <w:pPr>
              <w:pStyle w:val="106"/>
              <w:bidi w:val="0"/>
              <w:jc w:val="center"/>
              <w:rPr>
                <w:rFonts w:hint="default"/>
                <w:lang w:val="en-US" w:eastAsia="zh-CN"/>
              </w:rPr>
            </w:pPr>
            <w:r>
              <w:rPr>
                <w:rFonts w:hint="eastAsia"/>
                <w:lang w:val="en-US" w:eastAsia="zh-CN"/>
              </w:rPr>
              <w:t>55.7</w:t>
            </w:r>
          </w:p>
        </w:tc>
        <w:tc>
          <w:tcPr>
            <w:tcW w:w="177" w:type="pct"/>
            <w:tcBorders>
              <w:tl2br w:val="nil"/>
              <w:tr2bl w:val="nil"/>
            </w:tcBorders>
            <w:shd w:val="clear" w:color="auto" w:fill="FFFFFF"/>
            <w:tcMar>
              <w:top w:w="0" w:type="dxa"/>
              <w:left w:w="0" w:type="dxa"/>
              <w:bottom w:w="0" w:type="dxa"/>
              <w:right w:w="0" w:type="dxa"/>
            </w:tcMar>
            <w:vAlign w:val="center"/>
          </w:tcPr>
          <w:p w14:paraId="6D1CC482">
            <w:pPr>
              <w:pStyle w:val="106"/>
              <w:bidi w:val="0"/>
              <w:jc w:val="center"/>
              <w:rPr>
                <w:rFonts w:hint="default"/>
                <w:lang w:val="en-US" w:eastAsia="zh-CN"/>
              </w:rPr>
            </w:pPr>
            <w:r>
              <w:rPr>
                <w:rFonts w:hint="eastAsia"/>
                <w:lang w:val="en-US" w:eastAsia="zh-CN"/>
              </w:rPr>
              <w:t>55.7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673C5B35">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13B18EA6">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927BD08">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0000225E">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4EC84BE8">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49818BC2">
            <w:pPr>
              <w:pStyle w:val="106"/>
              <w:bidi w:val="0"/>
              <w:jc w:val="cente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36161230">
            <w:pPr>
              <w:pStyle w:val="106"/>
              <w:bidi w:val="0"/>
              <w:jc w:val="cente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7A7A08CD">
            <w:pPr>
              <w:pStyle w:val="106"/>
              <w:bidi w:val="0"/>
              <w:jc w:val="cente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5AFCA978">
            <w:pPr>
              <w:pStyle w:val="106"/>
              <w:bidi w:val="0"/>
              <w:jc w:val="center"/>
            </w:pPr>
            <w:r>
              <w:rPr>
                <w:rFonts w:hint="eastAsia"/>
                <w:lang w:val="en-US" w:eastAsia="zh-CN"/>
              </w:rPr>
              <w:t>29.7</w:t>
            </w:r>
          </w:p>
        </w:tc>
        <w:tc>
          <w:tcPr>
            <w:tcW w:w="258" w:type="pct"/>
            <w:tcBorders>
              <w:tl2br w:val="nil"/>
              <w:tr2bl w:val="nil"/>
            </w:tcBorders>
            <w:shd w:val="clear" w:color="auto" w:fill="FFFFFF"/>
            <w:tcMar>
              <w:top w:w="0" w:type="dxa"/>
              <w:left w:w="0" w:type="dxa"/>
              <w:bottom w:w="0" w:type="dxa"/>
              <w:right w:w="0" w:type="dxa"/>
            </w:tcMar>
            <w:vAlign w:val="center"/>
          </w:tcPr>
          <w:p w14:paraId="72954A42">
            <w:pPr>
              <w:pStyle w:val="106"/>
              <w:bidi w:val="0"/>
            </w:pPr>
            <w:r>
              <w:t>1</w:t>
            </w:r>
          </w:p>
        </w:tc>
      </w:tr>
      <w:tr w14:paraId="2C93A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425B4059">
            <w:pPr>
              <w:pStyle w:val="106"/>
              <w:numPr>
                <w:ilvl w:val="0"/>
                <w:numId w:val="12"/>
              </w:numPr>
              <w:bidi w:val="0"/>
              <w:ind w:left="0" w:leftChars="0" w:firstLine="0" w:firstLineChars="0"/>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35247214">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469917EC">
            <w:pPr>
              <w:pStyle w:val="106"/>
              <w:bidi w:val="0"/>
              <w:rPr>
                <w:rFonts w:hint="default"/>
                <w:lang w:val="en-US" w:eastAsia="zh-CN"/>
              </w:rPr>
            </w:pPr>
            <w:r>
              <w:rPr>
                <w:rFonts w:hint="eastAsia"/>
                <w:lang w:val="en-US" w:eastAsia="zh-CN"/>
              </w:rPr>
              <w:t>多功能切菜机2</w:t>
            </w:r>
          </w:p>
        </w:tc>
        <w:tc>
          <w:tcPr>
            <w:tcW w:w="119" w:type="pct"/>
            <w:tcBorders>
              <w:tl2br w:val="nil"/>
              <w:tr2bl w:val="nil"/>
            </w:tcBorders>
            <w:shd w:val="clear" w:color="auto" w:fill="FFFFFF"/>
            <w:tcMar>
              <w:top w:w="0" w:type="dxa"/>
              <w:left w:w="0" w:type="dxa"/>
              <w:bottom w:w="0" w:type="dxa"/>
              <w:right w:w="0" w:type="dxa"/>
            </w:tcMar>
            <w:vAlign w:val="center"/>
          </w:tcPr>
          <w:p w14:paraId="712FF30D">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15AB98A0">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750F2B7A">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6D02D05F">
            <w:pPr>
              <w:pStyle w:val="106"/>
              <w:bidi w:val="0"/>
              <w:rPr>
                <w:rFonts w:hint="default"/>
                <w:lang w:val="en-US" w:eastAsia="zh-CN"/>
              </w:rPr>
            </w:pPr>
            <w:r>
              <w:rPr>
                <w:rFonts w:hint="eastAsia"/>
                <w:lang w:val="en-US" w:eastAsia="zh-CN"/>
              </w:rPr>
              <w:t>-54</w:t>
            </w:r>
          </w:p>
        </w:tc>
        <w:tc>
          <w:tcPr>
            <w:tcW w:w="173" w:type="pct"/>
            <w:tcBorders>
              <w:tl2br w:val="nil"/>
              <w:tr2bl w:val="nil"/>
            </w:tcBorders>
            <w:shd w:val="clear" w:color="auto" w:fill="FFFFFF"/>
            <w:tcMar>
              <w:top w:w="0" w:type="dxa"/>
              <w:left w:w="0" w:type="dxa"/>
              <w:bottom w:w="0" w:type="dxa"/>
              <w:right w:w="0" w:type="dxa"/>
            </w:tcMar>
            <w:vAlign w:val="center"/>
          </w:tcPr>
          <w:p w14:paraId="2178C12C">
            <w:pPr>
              <w:pStyle w:val="106"/>
              <w:bidi w:val="0"/>
              <w:rPr>
                <w:rFonts w:hint="default"/>
                <w:lang w:val="en-US" w:eastAsia="zh-CN"/>
              </w:rPr>
            </w:pPr>
            <w:r>
              <w:rPr>
                <w:rFonts w:hint="eastAsia"/>
                <w:lang w:val="en-US" w:eastAsia="zh-CN"/>
              </w:rPr>
              <w:t>-27</w:t>
            </w:r>
          </w:p>
        </w:tc>
        <w:tc>
          <w:tcPr>
            <w:tcW w:w="173" w:type="pct"/>
            <w:tcBorders>
              <w:tl2br w:val="nil"/>
              <w:tr2bl w:val="nil"/>
            </w:tcBorders>
            <w:shd w:val="clear" w:color="auto" w:fill="FFFFFF"/>
            <w:tcMar>
              <w:top w:w="0" w:type="dxa"/>
              <w:left w:w="0" w:type="dxa"/>
              <w:bottom w:w="0" w:type="dxa"/>
              <w:right w:w="0" w:type="dxa"/>
            </w:tcMar>
            <w:vAlign w:val="center"/>
          </w:tcPr>
          <w:p w14:paraId="12ACAE3D">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24E0E79D">
            <w:pPr>
              <w:pStyle w:val="106"/>
              <w:bidi w:val="0"/>
              <w:jc w:val="center"/>
              <w:rPr>
                <w:rFonts w:hint="eastAsia"/>
                <w:lang w:val="en-US" w:eastAsia="zh-CN"/>
              </w:rPr>
            </w:pPr>
            <w:r>
              <w:rPr>
                <w:rFonts w:hint="default"/>
                <w:lang w:val="en-US" w:eastAsia="zh-CN"/>
              </w:rPr>
              <w:t>117</w:t>
            </w:r>
          </w:p>
        </w:tc>
        <w:tc>
          <w:tcPr>
            <w:tcW w:w="173" w:type="pct"/>
            <w:tcBorders>
              <w:tl2br w:val="nil"/>
              <w:tr2bl w:val="nil"/>
            </w:tcBorders>
            <w:shd w:val="clear" w:color="auto" w:fill="FFFFFF"/>
            <w:tcMar>
              <w:top w:w="0" w:type="dxa"/>
              <w:left w:w="0" w:type="dxa"/>
              <w:bottom w:w="0" w:type="dxa"/>
              <w:right w:w="0" w:type="dxa"/>
            </w:tcMar>
            <w:vAlign w:val="center"/>
          </w:tcPr>
          <w:p w14:paraId="299B62A5">
            <w:pPr>
              <w:pStyle w:val="106"/>
              <w:bidi w:val="0"/>
              <w:jc w:val="center"/>
              <w:rPr>
                <w:rFonts w:hint="eastAsia"/>
                <w:lang w:val="en-US" w:eastAsia="zh-CN"/>
              </w:rPr>
            </w:pPr>
            <w:r>
              <w:rPr>
                <w:rFonts w:hint="default"/>
                <w:lang w:val="en-US" w:eastAsia="zh-CN"/>
              </w:rPr>
              <w:t>33</w:t>
            </w:r>
          </w:p>
        </w:tc>
        <w:tc>
          <w:tcPr>
            <w:tcW w:w="173" w:type="pct"/>
            <w:tcBorders>
              <w:tl2br w:val="nil"/>
              <w:tr2bl w:val="nil"/>
            </w:tcBorders>
            <w:shd w:val="clear" w:color="auto" w:fill="FFFFFF"/>
            <w:tcMar>
              <w:top w:w="0" w:type="dxa"/>
              <w:left w:w="0" w:type="dxa"/>
              <w:bottom w:w="0" w:type="dxa"/>
              <w:right w:w="0" w:type="dxa"/>
            </w:tcMar>
            <w:vAlign w:val="center"/>
          </w:tcPr>
          <w:p w14:paraId="78F13120">
            <w:pPr>
              <w:pStyle w:val="106"/>
              <w:bidi w:val="0"/>
              <w:jc w:val="center"/>
              <w:rPr>
                <w:rFonts w:hint="eastAsia"/>
                <w:lang w:val="en-US" w:eastAsia="zh-CN"/>
              </w:rPr>
            </w:pPr>
            <w:r>
              <w:rPr>
                <w:rFonts w:hint="default"/>
                <w:lang w:val="en-US" w:eastAsia="zh-CN"/>
              </w:rPr>
              <w:t>9</w:t>
            </w:r>
          </w:p>
        </w:tc>
        <w:tc>
          <w:tcPr>
            <w:tcW w:w="173" w:type="pct"/>
            <w:tcBorders>
              <w:tl2br w:val="nil"/>
              <w:tr2bl w:val="nil"/>
            </w:tcBorders>
            <w:shd w:val="clear" w:color="auto" w:fill="FFFFFF"/>
            <w:tcMar>
              <w:top w:w="0" w:type="dxa"/>
              <w:left w:w="0" w:type="dxa"/>
              <w:bottom w:w="0" w:type="dxa"/>
              <w:right w:w="0" w:type="dxa"/>
            </w:tcMar>
            <w:vAlign w:val="center"/>
          </w:tcPr>
          <w:p w14:paraId="75154CED">
            <w:pPr>
              <w:pStyle w:val="106"/>
              <w:bidi w:val="0"/>
              <w:jc w:val="center"/>
              <w:rPr>
                <w:rFonts w:hint="eastAsia"/>
                <w:lang w:val="en-US" w:eastAsia="zh-CN"/>
              </w:rPr>
            </w:pPr>
            <w:r>
              <w:rPr>
                <w:rFonts w:hint="default"/>
                <w:lang w:val="en-US" w:eastAsia="zh-CN"/>
              </w:rPr>
              <w:t>17</w:t>
            </w:r>
          </w:p>
        </w:tc>
        <w:tc>
          <w:tcPr>
            <w:tcW w:w="173" w:type="pct"/>
            <w:tcBorders>
              <w:tl2br w:val="nil"/>
              <w:tr2bl w:val="nil"/>
            </w:tcBorders>
            <w:shd w:val="clear" w:color="auto" w:fill="FFFFFF"/>
            <w:tcMar>
              <w:top w:w="0" w:type="dxa"/>
              <w:left w:w="0" w:type="dxa"/>
              <w:bottom w:w="0" w:type="dxa"/>
              <w:right w:w="0" w:type="dxa"/>
            </w:tcMar>
            <w:vAlign w:val="center"/>
          </w:tcPr>
          <w:p w14:paraId="39931683">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00A6FA71">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3285DD0A">
            <w:pPr>
              <w:pStyle w:val="106"/>
              <w:bidi w:val="0"/>
              <w:jc w:val="center"/>
              <w:rPr>
                <w:rFonts w:hint="eastAsia"/>
                <w:lang w:val="en-US" w:eastAsia="zh-CN"/>
              </w:rPr>
            </w:pPr>
            <w:r>
              <w:rPr>
                <w:rFonts w:hint="eastAsia"/>
                <w:lang w:val="en-US" w:eastAsia="zh-CN"/>
              </w:rPr>
              <w:t>55.7</w:t>
            </w:r>
          </w:p>
        </w:tc>
        <w:tc>
          <w:tcPr>
            <w:tcW w:w="177" w:type="pct"/>
            <w:tcBorders>
              <w:tl2br w:val="nil"/>
              <w:tr2bl w:val="nil"/>
            </w:tcBorders>
            <w:shd w:val="clear" w:color="auto" w:fill="FFFFFF"/>
            <w:tcMar>
              <w:top w:w="0" w:type="dxa"/>
              <w:left w:w="0" w:type="dxa"/>
              <w:bottom w:w="0" w:type="dxa"/>
              <w:right w:w="0" w:type="dxa"/>
            </w:tcMar>
            <w:vAlign w:val="center"/>
          </w:tcPr>
          <w:p w14:paraId="236B5524">
            <w:pPr>
              <w:pStyle w:val="106"/>
              <w:bidi w:val="0"/>
              <w:jc w:val="center"/>
              <w:rPr>
                <w:rFonts w:hint="eastAsia"/>
                <w:lang w:val="en-US" w:eastAsia="zh-CN"/>
              </w:rPr>
            </w:pPr>
            <w:r>
              <w:rPr>
                <w:rFonts w:hint="eastAsia"/>
                <w:lang w:val="en-US" w:eastAsia="zh-CN"/>
              </w:rPr>
              <w:t>55.7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B4D2E4C">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40EB6D37">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0F85FAB5">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396C197">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71EFFF32">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68B4C87D">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7BC585D8">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36415D62">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3AF63369">
            <w:pPr>
              <w:pStyle w:val="106"/>
              <w:bidi w:val="0"/>
              <w:jc w:val="center"/>
              <w:rPr>
                <w:rFonts w:hint="eastAsia"/>
                <w:lang w:val="en-US" w:eastAsia="zh-CN"/>
              </w:rPr>
            </w:pPr>
            <w:r>
              <w:rPr>
                <w:rFonts w:hint="eastAsia"/>
                <w:lang w:val="en-US" w:eastAsia="zh-CN"/>
              </w:rPr>
              <w:t>29.7</w:t>
            </w:r>
          </w:p>
        </w:tc>
        <w:tc>
          <w:tcPr>
            <w:tcW w:w="258" w:type="pct"/>
            <w:tcBorders>
              <w:tl2br w:val="nil"/>
              <w:tr2bl w:val="nil"/>
            </w:tcBorders>
            <w:shd w:val="clear" w:color="auto" w:fill="FFFFFF"/>
            <w:tcMar>
              <w:top w:w="0" w:type="dxa"/>
              <w:left w:w="0" w:type="dxa"/>
              <w:bottom w:w="0" w:type="dxa"/>
              <w:right w:w="0" w:type="dxa"/>
            </w:tcMar>
            <w:vAlign w:val="center"/>
          </w:tcPr>
          <w:p w14:paraId="7A8790E4">
            <w:pPr>
              <w:pStyle w:val="106"/>
              <w:bidi w:val="0"/>
            </w:pPr>
            <w:r>
              <w:t>1</w:t>
            </w:r>
          </w:p>
        </w:tc>
      </w:tr>
      <w:tr w14:paraId="6CBCC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1A1BAA0C">
            <w:pPr>
              <w:pStyle w:val="106"/>
              <w:numPr>
                <w:ilvl w:val="0"/>
                <w:numId w:val="12"/>
              </w:numPr>
              <w:bidi w:val="0"/>
              <w:ind w:left="0" w:leftChars="0" w:firstLine="0" w:firstLineChars="0"/>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758E112B">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62FB5D20">
            <w:pPr>
              <w:pStyle w:val="106"/>
              <w:bidi w:val="0"/>
              <w:rPr>
                <w:rFonts w:hint="default"/>
                <w:lang w:val="en-US" w:eastAsia="zh-CN"/>
              </w:rPr>
            </w:pPr>
            <w:r>
              <w:rPr>
                <w:rFonts w:hint="eastAsia"/>
                <w:lang w:val="en-US" w:eastAsia="zh-CN"/>
              </w:rPr>
              <w:t>多功能切菜机3</w:t>
            </w:r>
          </w:p>
        </w:tc>
        <w:tc>
          <w:tcPr>
            <w:tcW w:w="119" w:type="pct"/>
            <w:tcBorders>
              <w:tl2br w:val="nil"/>
              <w:tr2bl w:val="nil"/>
            </w:tcBorders>
            <w:shd w:val="clear" w:color="auto" w:fill="FFFFFF"/>
            <w:tcMar>
              <w:top w:w="0" w:type="dxa"/>
              <w:left w:w="0" w:type="dxa"/>
              <w:bottom w:w="0" w:type="dxa"/>
              <w:right w:w="0" w:type="dxa"/>
            </w:tcMar>
            <w:vAlign w:val="center"/>
          </w:tcPr>
          <w:p w14:paraId="6A2BAB93">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2415990C">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4DA4DF8B">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1F954887">
            <w:pPr>
              <w:pStyle w:val="106"/>
              <w:bidi w:val="0"/>
              <w:rPr>
                <w:rFonts w:hint="default"/>
                <w:lang w:val="en-US" w:eastAsia="zh-CN"/>
              </w:rPr>
            </w:pPr>
            <w:r>
              <w:rPr>
                <w:rFonts w:hint="eastAsia"/>
                <w:lang w:val="en-US" w:eastAsia="zh-CN"/>
              </w:rPr>
              <w:t>-54</w:t>
            </w:r>
          </w:p>
        </w:tc>
        <w:tc>
          <w:tcPr>
            <w:tcW w:w="173" w:type="pct"/>
            <w:tcBorders>
              <w:tl2br w:val="nil"/>
              <w:tr2bl w:val="nil"/>
            </w:tcBorders>
            <w:shd w:val="clear" w:color="auto" w:fill="FFFFFF"/>
            <w:tcMar>
              <w:top w:w="0" w:type="dxa"/>
              <w:left w:w="0" w:type="dxa"/>
              <w:bottom w:w="0" w:type="dxa"/>
              <w:right w:w="0" w:type="dxa"/>
            </w:tcMar>
            <w:vAlign w:val="center"/>
          </w:tcPr>
          <w:p w14:paraId="40BFBD73">
            <w:pPr>
              <w:pStyle w:val="106"/>
              <w:bidi w:val="0"/>
              <w:rPr>
                <w:rFonts w:hint="default"/>
                <w:lang w:val="en-US" w:eastAsia="zh-CN"/>
              </w:rPr>
            </w:pPr>
            <w:r>
              <w:rPr>
                <w:rFonts w:hint="eastAsia"/>
                <w:lang w:val="en-US" w:eastAsia="zh-CN"/>
              </w:rPr>
              <w:t>-30</w:t>
            </w:r>
          </w:p>
        </w:tc>
        <w:tc>
          <w:tcPr>
            <w:tcW w:w="173" w:type="pct"/>
            <w:tcBorders>
              <w:tl2br w:val="nil"/>
              <w:tr2bl w:val="nil"/>
            </w:tcBorders>
            <w:shd w:val="clear" w:color="auto" w:fill="FFFFFF"/>
            <w:tcMar>
              <w:top w:w="0" w:type="dxa"/>
              <w:left w:w="0" w:type="dxa"/>
              <w:bottom w:w="0" w:type="dxa"/>
              <w:right w:w="0" w:type="dxa"/>
            </w:tcMar>
            <w:vAlign w:val="center"/>
          </w:tcPr>
          <w:p w14:paraId="103DA262">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0181EF77">
            <w:pPr>
              <w:pStyle w:val="106"/>
              <w:bidi w:val="0"/>
              <w:jc w:val="center"/>
              <w:rPr>
                <w:rFonts w:hint="eastAsia"/>
                <w:lang w:val="en-US" w:eastAsia="zh-CN"/>
              </w:rPr>
            </w:pPr>
            <w:r>
              <w:rPr>
                <w:rFonts w:hint="default"/>
                <w:lang w:val="en-US" w:eastAsia="zh-CN"/>
              </w:rPr>
              <w:t>117</w:t>
            </w:r>
          </w:p>
        </w:tc>
        <w:tc>
          <w:tcPr>
            <w:tcW w:w="173" w:type="pct"/>
            <w:tcBorders>
              <w:tl2br w:val="nil"/>
              <w:tr2bl w:val="nil"/>
            </w:tcBorders>
            <w:shd w:val="clear" w:color="auto" w:fill="FFFFFF"/>
            <w:tcMar>
              <w:top w:w="0" w:type="dxa"/>
              <w:left w:w="0" w:type="dxa"/>
              <w:bottom w:w="0" w:type="dxa"/>
              <w:right w:w="0" w:type="dxa"/>
            </w:tcMar>
            <w:vAlign w:val="center"/>
          </w:tcPr>
          <w:p w14:paraId="2F364889">
            <w:pPr>
              <w:pStyle w:val="106"/>
              <w:bidi w:val="0"/>
              <w:jc w:val="center"/>
              <w:rPr>
                <w:rFonts w:hint="eastAsia"/>
                <w:lang w:val="en-US" w:eastAsia="zh-CN"/>
              </w:rPr>
            </w:pPr>
            <w:r>
              <w:rPr>
                <w:rFonts w:hint="default"/>
                <w:lang w:val="en-US" w:eastAsia="zh-CN"/>
              </w:rPr>
              <w:t>30</w:t>
            </w:r>
          </w:p>
        </w:tc>
        <w:tc>
          <w:tcPr>
            <w:tcW w:w="173" w:type="pct"/>
            <w:tcBorders>
              <w:tl2br w:val="nil"/>
              <w:tr2bl w:val="nil"/>
            </w:tcBorders>
            <w:shd w:val="clear" w:color="auto" w:fill="FFFFFF"/>
            <w:tcMar>
              <w:top w:w="0" w:type="dxa"/>
              <w:left w:w="0" w:type="dxa"/>
              <w:bottom w:w="0" w:type="dxa"/>
              <w:right w:w="0" w:type="dxa"/>
            </w:tcMar>
            <w:vAlign w:val="center"/>
          </w:tcPr>
          <w:p w14:paraId="444C6B64">
            <w:pPr>
              <w:pStyle w:val="106"/>
              <w:bidi w:val="0"/>
              <w:jc w:val="center"/>
              <w:rPr>
                <w:rFonts w:hint="eastAsia"/>
                <w:lang w:val="en-US" w:eastAsia="zh-CN"/>
              </w:rPr>
            </w:pPr>
            <w:r>
              <w:rPr>
                <w:rFonts w:hint="default"/>
                <w:lang w:val="en-US" w:eastAsia="zh-CN"/>
              </w:rPr>
              <w:t>9</w:t>
            </w:r>
          </w:p>
        </w:tc>
        <w:tc>
          <w:tcPr>
            <w:tcW w:w="173" w:type="pct"/>
            <w:tcBorders>
              <w:tl2br w:val="nil"/>
              <w:tr2bl w:val="nil"/>
            </w:tcBorders>
            <w:shd w:val="clear" w:color="auto" w:fill="FFFFFF"/>
            <w:tcMar>
              <w:top w:w="0" w:type="dxa"/>
              <w:left w:w="0" w:type="dxa"/>
              <w:bottom w:w="0" w:type="dxa"/>
              <w:right w:w="0" w:type="dxa"/>
            </w:tcMar>
            <w:vAlign w:val="center"/>
          </w:tcPr>
          <w:p w14:paraId="78B12878">
            <w:pPr>
              <w:pStyle w:val="106"/>
              <w:bidi w:val="0"/>
              <w:jc w:val="center"/>
              <w:rPr>
                <w:rFonts w:hint="eastAsia"/>
                <w:lang w:val="en-US" w:eastAsia="zh-CN"/>
              </w:rPr>
            </w:pPr>
            <w:r>
              <w:rPr>
                <w:rFonts w:hint="default"/>
                <w:lang w:val="en-US" w:eastAsia="zh-CN"/>
              </w:rPr>
              <w:t>20</w:t>
            </w:r>
          </w:p>
        </w:tc>
        <w:tc>
          <w:tcPr>
            <w:tcW w:w="173" w:type="pct"/>
            <w:tcBorders>
              <w:tl2br w:val="nil"/>
              <w:tr2bl w:val="nil"/>
            </w:tcBorders>
            <w:shd w:val="clear" w:color="auto" w:fill="FFFFFF"/>
            <w:tcMar>
              <w:top w:w="0" w:type="dxa"/>
              <w:left w:w="0" w:type="dxa"/>
              <w:bottom w:w="0" w:type="dxa"/>
              <w:right w:w="0" w:type="dxa"/>
            </w:tcMar>
            <w:vAlign w:val="center"/>
          </w:tcPr>
          <w:p w14:paraId="13271F52">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7A56EAE9">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26BAE52E">
            <w:pPr>
              <w:pStyle w:val="106"/>
              <w:bidi w:val="0"/>
              <w:jc w:val="center"/>
              <w:rPr>
                <w:rFonts w:hint="eastAsia"/>
                <w:lang w:val="en-US" w:eastAsia="zh-CN"/>
              </w:rPr>
            </w:pPr>
            <w:r>
              <w:rPr>
                <w:rFonts w:hint="eastAsia"/>
                <w:lang w:val="en-US" w:eastAsia="zh-CN"/>
              </w:rPr>
              <w:t>55.7</w:t>
            </w:r>
          </w:p>
        </w:tc>
        <w:tc>
          <w:tcPr>
            <w:tcW w:w="177" w:type="pct"/>
            <w:tcBorders>
              <w:tl2br w:val="nil"/>
              <w:tr2bl w:val="nil"/>
            </w:tcBorders>
            <w:shd w:val="clear" w:color="auto" w:fill="FFFFFF"/>
            <w:tcMar>
              <w:top w:w="0" w:type="dxa"/>
              <w:left w:w="0" w:type="dxa"/>
              <w:bottom w:w="0" w:type="dxa"/>
              <w:right w:w="0" w:type="dxa"/>
            </w:tcMar>
            <w:vAlign w:val="center"/>
          </w:tcPr>
          <w:p w14:paraId="0128033B">
            <w:pPr>
              <w:pStyle w:val="106"/>
              <w:bidi w:val="0"/>
              <w:jc w:val="center"/>
              <w:rPr>
                <w:rFonts w:hint="eastAsia"/>
                <w:lang w:val="en-US" w:eastAsia="zh-CN"/>
              </w:rPr>
            </w:pPr>
            <w:r>
              <w:rPr>
                <w:rFonts w:hint="eastAsia"/>
                <w:lang w:val="en-US" w:eastAsia="zh-CN"/>
              </w:rPr>
              <w:t>55.7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17B1B97B">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77BDB1ED">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63EE31A">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80D80BA">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12E47CAB">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5A491B99">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7A38904F">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54C945FA">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3D45A9DE">
            <w:pPr>
              <w:pStyle w:val="106"/>
              <w:bidi w:val="0"/>
              <w:jc w:val="center"/>
              <w:rPr>
                <w:rFonts w:hint="eastAsia"/>
                <w:lang w:val="en-US" w:eastAsia="zh-CN"/>
              </w:rPr>
            </w:pPr>
            <w:r>
              <w:rPr>
                <w:rFonts w:hint="eastAsia"/>
                <w:lang w:val="en-US" w:eastAsia="zh-CN"/>
              </w:rPr>
              <w:t>29.7</w:t>
            </w:r>
          </w:p>
        </w:tc>
        <w:tc>
          <w:tcPr>
            <w:tcW w:w="258" w:type="pct"/>
            <w:tcBorders>
              <w:tl2br w:val="nil"/>
              <w:tr2bl w:val="nil"/>
            </w:tcBorders>
            <w:shd w:val="clear" w:color="auto" w:fill="FFFFFF"/>
            <w:tcMar>
              <w:top w:w="0" w:type="dxa"/>
              <w:left w:w="0" w:type="dxa"/>
              <w:bottom w:w="0" w:type="dxa"/>
              <w:right w:w="0" w:type="dxa"/>
            </w:tcMar>
            <w:vAlign w:val="center"/>
          </w:tcPr>
          <w:p w14:paraId="62116FA9">
            <w:pPr>
              <w:pStyle w:val="106"/>
              <w:bidi w:val="0"/>
            </w:pPr>
            <w:r>
              <w:t>1</w:t>
            </w:r>
          </w:p>
        </w:tc>
      </w:tr>
      <w:tr w14:paraId="645EE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491BD304">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438E4F77">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1F73AA07">
            <w:pPr>
              <w:pStyle w:val="106"/>
              <w:bidi w:val="0"/>
              <w:rPr>
                <w:rFonts w:hint="default"/>
                <w:lang w:val="en-US" w:eastAsia="zh-CN"/>
              </w:rPr>
            </w:pPr>
            <w:r>
              <w:rPr>
                <w:rFonts w:hint="eastAsia"/>
                <w:lang w:val="en-US" w:eastAsia="zh-CN"/>
              </w:rPr>
              <w:t>切片机1</w:t>
            </w:r>
          </w:p>
        </w:tc>
        <w:tc>
          <w:tcPr>
            <w:tcW w:w="119" w:type="pct"/>
            <w:tcBorders>
              <w:tl2br w:val="nil"/>
              <w:tr2bl w:val="nil"/>
            </w:tcBorders>
            <w:shd w:val="clear" w:color="auto" w:fill="FFFFFF"/>
            <w:tcMar>
              <w:top w:w="0" w:type="dxa"/>
              <w:left w:w="0" w:type="dxa"/>
              <w:bottom w:w="0" w:type="dxa"/>
              <w:right w:w="0" w:type="dxa"/>
            </w:tcMar>
            <w:vAlign w:val="center"/>
          </w:tcPr>
          <w:p w14:paraId="3DA01651">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3A890F03">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3B69C5A8">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66D835E0">
            <w:pPr>
              <w:pStyle w:val="106"/>
              <w:bidi w:val="0"/>
              <w:rPr>
                <w:rFonts w:hint="default"/>
                <w:lang w:val="en-US" w:eastAsia="zh-CN"/>
              </w:rPr>
            </w:pPr>
            <w:r>
              <w:rPr>
                <w:rFonts w:hint="eastAsia"/>
                <w:lang w:val="en-US" w:eastAsia="zh-CN"/>
              </w:rPr>
              <w:t>-54</w:t>
            </w:r>
          </w:p>
        </w:tc>
        <w:tc>
          <w:tcPr>
            <w:tcW w:w="173" w:type="pct"/>
            <w:tcBorders>
              <w:tl2br w:val="nil"/>
              <w:tr2bl w:val="nil"/>
            </w:tcBorders>
            <w:shd w:val="clear" w:color="auto" w:fill="FFFFFF"/>
            <w:tcMar>
              <w:top w:w="0" w:type="dxa"/>
              <w:left w:w="0" w:type="dxa"/>
              <w:bottom w:w="0" w:type="dxa"/>
              <w:right w:w="0" w:type="dxa"/>
            </w:tcMar>
            <w:vAlign w:val="center"/>
          </w:tcPr>
          <w:p w14:paraId="544ED30A">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15131F10">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5739CD2B">
            <w:pPr>
              <w:pStyle w:val="106"/>
              <w:bidi w:val="0"/>
              <w:jc w:val="center"/>
            </w:pPr>
            <w:r>
              <w:rPr>
                <w:rFonts w:hint="default"/>
                <w:lang w:val="en-US" w:eastAsia="zh-CN"/>
              </w:rPr>
              <w:t>117</w:t>
            </w:r>
          </w:p>
        </w:tc>
        <w:tc>
          <w:tcPr>
            <w:tcW w:w="173" w:type="pct"/>
            <w:tcBorders>
              <w:tl2br w:val="nil"/>
              <w:tr2bl w:val="nil"/>
            </w:tcBorders>
            <w:shd w:val="clear" w:color="auto" w:fill="FFFFFF"/>
            <w:tcMar>
              <w:top w:w="0" w:type="dxa"/>
              <w:left w:w="0" w:type="dxa"/>
              <w:bottom w:w="0" w:type="dxa"/>
              <w:right w:w="0" w:type="dxa"/>
            </w:tcMar>
            <w:vAlign w:val="center"/>
          </w:tcPr>
          <w:p w14:paraId="67381A46">
            <w:pPr>
              <w:pStyle w:val="106"/>
              <w:bidi w:val="0"/>
              <w:jc w:val="cente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16B45FF3">
            <w:pPr>
              <w:pStyle w:val="106"/>
              <w:bidi w:val="0"/>
              <w:jc w:val="center"/>
            </w:pPr>
            <w:r>
              <w:rPr>
                <w:rFonts w:hint="default"/>
                <w:lang w:val="en-US" w:eastAsia="zh-CN"/>
              </w:rPr>
              <w:t>9</w:t>
            </w:r>
          </w:p>
        </w:tc>
        <w:tc>
          <w:tcPr>
            <w:tcW w:w="173" w:type="pct"/>
            <w:tcBorders>
              <w:tl2br w:val="nil"/>
              <w:tr2bl w:val="nil"/>
            </w:tcBorders>
            <w:shd w:val="clear" w:color="auto" w:fill="FFFFFF"/>
            <w:tcMar>
              <w:top w:w="0" w:type="dxa"/>
              <w:left w:w="0" w:type="dxa"/>
              <w:bottom w:w="0" w:type="dxa"/>
              <w:right w:w="0" w:type="dxa"/>
            </w:tcMar>
            <w:vAlign w:val="center"/>
          </w:tcPr>
          <w:p w14:paraId="0C4C8716">
            <w:pPr>
              <w:pStyle w:val="106"/>
              <w:bidi w:val="0"/>
              <w:jc w:val="cente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2F982568">
            <w:pPr>
              <w:pStyle w:val="106"/>
              <w:bidi w:val="0"/>
              <w:jc w:val="center"/>
              <w:rPr>
                <w:rFonts w:hint="default"/>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1FD2AF12">
            <w:pPr>
              <w:pStyle w:val="106"/>
              <w:bidi w:val="0"/>
              <w:jc w:val="center"/>
              <w:rPr>
                <w:rFonts w:hint="default"/>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0BC916C3">
            <w:pPr>
              <w:pStyle w:val="106"/>
              <w:bidi w:val="0"/>
              <w:jc w:val="center"/>
              <w:rPr>
                <w:rFonts w:hint="default"/>
                <w:lang w:val="en-US" w:eastAsia="zh-CN"/>
              </w:rPr>
            </w:pPr>
            <w:r>
              <w:rPr>
                <w:rFonts w:hint="eastAsia"/>
                <w:lang w:val="en-US" w:eastAsia="zh-CN"/>
              </w:rPr>
              <w:t>55.7</w:t>
            </w:r>
          </w:p>
        </w:tc>
        <w:tc>
          <w:tcPr>
            <w:tcW w:w="177" w:type="pct"/>
            <w:tcBorders>
              <w:tl2br w:val="nil"/>
              <w:tr2bl w:val="nil"/>
            </w:tcBorders>
            <w:shd w:val="clear" w:color="auto" w:fill="FFFFFF"/>
            <w:tcMar>
              <w:top w:w="0" w:type="dxa"/>
              <w:left w:w="0" w:type="dxa"/>
              <w:bottom w:w="0" w:type="dxa"/>
              <w:right w:w="0" w:type="dxa"/>
            </w:tcMar>
            <w:vAlign w:val="center"/>
          </w:tcPr>
          <w:p w14:paraId="034CC52F">
            <w:pPr>
              <w:pStyle w:val="106"/>
              <w:bidi w:val="0"/>
              <w:jc w:val="center"/>
              <w:rPr>
                <w:rFonts w:hint="default"/>
                <w:lang w:val="en-US" w:eastAsia="zh-CN"/>
              </w:rPr>
            </w:pPr>
            <w:r>
              <w:rPr>
                <w:rFonts w:hint="eastAsia"/>
                <w:lang w:val="en-US" w:eastAsia="zh-CN"/>
              </w:rPr>
              <w:t>55.7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00379327">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FDAD358">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15F3DAB">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7324CD7">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74ABA867">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2FCFAE3C">
            <w:pPr>
              <w:pStyle w:val="106"/>
              <w:bidi w:val="0"/>
              <w:jc w:val="cente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155AA583">
            <w:pPr>
              <w:pStyle w:val="106"/>
              <w:bidi w:val="0"/>
              <w:jc w:val="cente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238F2F9D">
            <w:pPr>
              <w:pStyle w:val="106"/>
              <w:bidi w:val="0"/>
              <w:jc w:val="cente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3B36748C">
            <w:pPr>
              <w:pStyle w:val="106"/>
              <w:bidi w:val="0"/>
              <w:jc w:val="center"/>
            </w:pPr>
            <w:r>
              <w:rPr>
                <w:rFonts w:hint="eastAsia"/>
                <w:lang w:val="en-US" w:eastAsia="zh-CN"/>
              </w:rPr>
              <w:t>29.7</w:t>
            </w:r>
          </w:p>
        </w:tc>
        <w:tc>
          <w:tcPr>
            <w:tcW w:w="258" w:type="pct"/>
            <w:tcBorders>
              <w:tl2br w:val="nil"/>
              <w:tr2bl w:val="nil"/>
            </w:tcBorders>
            <w:shd w:val="clear" w:color="auto" w:fill="FFFFFF"/>
            <w:tcMar>
              <w:top w:w="0" w:type="dxa"/>
              <w:left w:w="0" w:type="dxa"/>
              <w:bottom w:w="0" w:type="dxa"/>
              <w:right w:w="0" w:type="dxa"/>
            </w:tcMar>
            <w:vAlign w:val="center"/>
          </w:tcPr>
          <w:p w14:paraId="684F6D80">
            <w:pPr>
              <w:pStyle w:val="106"/>
              <w:bidi w:val="0"/>
            </w:pPr>
            <w:r>
              <w:t>1</w:t>
            </w:r>
          </w:p>
        </w:tc>
      </w:tr>
      <w:tr w14:paraId="4F104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7099DDEA">
            <w:pPr>
              <w:pStyle w:val="106"/>
              <w:numPr>
                <w:ilvl w:val="0"/>
                <w:numId w:val="12"/>
              </w:numPr>
              <w:bidi w:val="0"/>
              <w:ind w:left="0" w:leftChars="0" w:firstLine="0" w:firstLineChars="0"/>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46EDB44F">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46D67DC4">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切片机2</w:t>
            </w:r>
          </w:p>
        </w:tc>
        <w:tc>
          <w:tcPr>
            <w:tcW w:w="119" w:type="pct"/>
            <w:tcBorders>
              <w:tl2br w:val="nil"/>
              <w:tr2bl w:val="nil"/>
            </w:tcBorders>
            <w:shd w:val="clear" w:color="auto" w:fill="FFFFFF"/>
            <w:tcMar>
              <w:top w:w="0" w:type="dxa"/>
              <w:left w:w="0" w:type="dxa"/>
              <w:bottom w:w="0" w:type="dxa"/>
              <w:right w:w="0" w:type="dxa"/>
            </w:tcMar>
            <w:vAlign w:val="center"/>
          </w:tcPr>
          <w:p w14:paraId="12A8A9EA">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634B161">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1782CC78">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0668BD22">
            <w:pPr>
              <w:pStyle w:val="106"/>
              <w:bidi w:val="0"/>
              <w:rPr>
                <w:rFonts w:hint="default"/>
                <w:lang w:val="en-US" w:eastAsia="zh-CN"/>
              </w:rPr>
            </w:pPr>
            <w:r>
              <w:rPr>
                <w:rFonts w:hint="eastAsia"/>
                <w:lang w:val="en-US" w:eastAsia="zh-CN"/>
              </w:rPr>
              <w:t>-51</w:t>
            </w:r>
          </w:p>
        </w:tc>
        <w:tc>
          <w:tcPr>
            <w:tcW w:w="173" w:type="pct"/>
            <w:tcBorders>
              <w:tl2br w:val="nil"/>
              <w:tr2bl w:val="nil"/>
            </w:tcBorders>
            <w:shd w:val="clear" w:color="auto" w:fill="FFFFFF"/>
            <w:tcMar>
              <w:top w:w="0" w:type="dxa"/>
              <w:left w:w="0" w:type="dxa"/>
              <w:bottom w:w="0" w:type="dxa"/>
              <w:right w:w="0" w:type="dxa"/>
            </w:tcMar>
            <w:vAlign w:val="center"/>
          </w:tcPr>
          <w:p w14:paraId="347E5FA2">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4F8B2DA8">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54946642">
            <w:pPr>
              <w:pStyle w:val="106"/>
              <w:bidi w:val="0"/>
              <w:jc w:val="center"/>
              <w:rPr>
                <w:rFonts w:hint="eastAsia"/>
                <w:lang w:val="en-US" w:eastAsia="zh-CN"/>
              </w:rPr>
            </w:pPr>
            <w:r>
              <w:rPr>
                <w:rFonts w:hint="default"/>
                <w:lang w:val="en-US" w:eastAsia="zh-CN"/>
              </w:rPr>
              <w:t>114</w:t>
            </w:r>
          </w:p>
        </w:tc>
        <w:tc>
          <w:tcPr>
            <w:tcW w:w="173" w:type="pct"/>
            <w:tcBorders>
              <w:tl2br w:val="nil"/>
              <w:tr2bl w:val="nil"/>
            </w:tcBorders>
            <w:shd w:val="clear" w:color="auto" w:fill="FFFFFF"/>
            <w:tcMar>
              <w:top w:w="0" w:type="dxa"/>
              <w:left w:w="0" w:type="dxa"/>
              <w:bottom w:w="0" w:type="dxa"/>
              <w:right w:w="0" w:type="dxa"/>
            </w:tcMar>
            <w:vAlign w:val="center"/>
          </w:tcPr>
          <w:p w14:paraId="3F6A2D80">
            <w:pPr>
              <w:pStyle w:val="106"/>
              <w:bidi w:val="0"/>
              <w:jc w:val="center"/>
              <w:rPr>
                <w:rFonts w:hint="eastAsia"/>
                <w:lang w:val="en-US" w:eastAsia="zh-CN"/>
              </w:rP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054F2844">
            <w:pPr>
              <w:pStyle w:val="106"/>
              <w:bidi w:val="0"/>
              <w:jc w:val="center"/>
              <w:rPr>
                <w:rFonts w:hint="eastAsia"/>
                <w:lang w:val="en-US" w:eastAsia="zh-CN"/>
              </w:rPr>
            </w:pPr>
            <w:r>
              <w:rPr>
                <w:rFonts w:hint="default"/>
                <w:lang w:val="en-US" w:eastAsia="zh-CN"/>
              </w:rPr>
              <w:t>12</w:t>
            </w:r>
          </w:p>
        </w:tc>
        <w:tc>
          <w:tcPr>
            <w:tcW w:w="173" w:type="pct"/>
            <w:tcBorders>
              <w:tl2br w:val="nil"/>
              <w:tr2bl w:val="nil"/>
            </w:tcBorders>
            <w:shd w:val="clear" w:color="auto" w:fill="FFFFFF"/>
            <w:tcMar>
              <w:top w:w="0" w:type="dxa"/>
              <w:left w:w="0" w:type="dxa"/>
              <w:bottom w:w="0" w:type="dxa"/>
              <w:right w:w="0" w:type="dxa"/>
            </w:tcMar>
            <w:vAlign w:val="center"/>
          </w:tcPr>
          <w:p w14:paraId="19E17483">
            <w:pPr>
              <w:pStyle w:val="106"/>
              <w:bidi w:val="0"/>
              <w:jc w:val="center"/>
              <w:rPr>
                <w:rFonts w:hint="eastAsia"/>
                <w:lang w:val="en-US" w:eastAsia="zh-CN"/>
              </w:rP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44465A15">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079FB7BB">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142ABC3C">
            <w:pPr>
              <w:pStyle w:val="106"/>
              <w:bidi w:val="0"/>
              <w:jc w:val="center"/>
              <w:rPr>
                <w:rFonts w:hint="eastAsia"/>
                <w:lang w:val="en-US" w:eastAsia="zh-CN"/>
              </w:rPr>
            </w:pPr>
            <w:r>
              <w:rPr>
                <w:rFonts w:hint="eastAsia"/>
                <w:lang w:val="en-US" w:eastAsia="zh-CN"/>
              </w:rPr>
              <w:t>55.7</w:t>
            </w:r>
          </w:p>
        </w:tc>
        <w:tc>
          <w:tcPr>
            <w:tcW w:w="177" w:type="pct"/>
            <w:tcBorders>
              <w:tl2br w:val="nil"/>
              <w:tr2bl w:val="nil"/>
            </w:tcBorders>
            <w:shd w:val="clear" w:color="auto" w:fill="FFFFFF"/>
            <w:tcMar>
              <w:top w:w="0" w:type="dxa"/>
              <w:left w:w="0" w:type="dxa"/>
              <w:bottom w:w="0" w:type="dxa"/>
              <w:right w:w="0" w:type="dxa"/>
            </w:tcMar>
            <w:vAlign w:val="center"/>
          </w:tcPr>
          <w:p w14:paraId="22F75C3B">
            <w:pPr>
              <w:pStyle w:val="106"/>
              <w:bidi w:val="0"/>
              <w:jc w:val="center"/>
              <w:rPr>
                <w:rFonts w:hint="eastAsia"/>
                <w:lang w:val="en-US" w:eastAsia="zh-CN"/>
              </w:rPr>
            </w:pPr>
            <w:r>
              <w:rPr>
                <w:rFonts w:hint="eastAsia"/>
                <w:lang w:val="en-US" w:eastAsia="zh-CN"/>
              </w:rPr>
              <w:t>55.7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2BC6A10C">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6436C89C">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89DB721">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171E766">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5D60E2D7">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46ECD7C4">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2676BD00">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6170CCF0">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29F26E03">
            <w:pPr>
              <w:pStyle w:val="106"/>
              <w:bidi w:val="0"/>
              <w:jc w:val="center"/>
              <w:rPr>
                <w:rFonts w:hint="eastAsia"/>
                <w:lang w:val="en-US" w:eastAsia="zh-CN"/>
              </w:rPr>
            </w:pPr>
            <w:r>
              <w:rPr>
                <w:rFonts w:hint="eastAsia"/>
                <w:lang w:val="en-US" w:eastAsia="zh-CN"/>
              </w:rPr>
              <w:t>29.7</w:t>
            </w:r>
          </w:p>
        </w:tc>
        <w:tc>
          <w:tcPr>
            <w:tcW w:w="258" w:type="pct"/>
            <w:tcBorders>
              <w:tl2br w:val="nil"/>
              <w:tr2bl w:val="nil"/>
            </w:tcBorders>
            <w:shd w:val="clear" w:color="auto" w:fill="FFFFFF"/>
            <w:tcMar>
              <w:top w:w="0" w:type="dxa"/>
              <w:left w:w="0" w:type="dxa"/>
              <w:bottom w:w="0" w:type="dxa"/>
              <w:right w:w="0" w:type="dxa"/>
            </w:tcMar>
            <w:vAlign w:val="center"/>
          </w:tcPr>
          <w:p w14:paraId="04C7E7B8">
            <w:pPr>
              <w:pStyle w:val="106"/>
              <w:bidi w:val="0"/>
            </w:pPr>
            <w:r>
              <w:t>1</w:t>
            </w:r>
          </w:p>
        </w:tc>
      </w:tr>
      <w:tr w14:paraId="02031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272F1E15">
            <w:pPr>
              <w:pStyle w:val="106"/>
              <w:numPr>
                <w:ilvl w:val="0"/>
                <w:numId w:val="12"/>
              </w:numPr>
              <w:bidi w:val="0"/>
              <w:ind w:left="0" w:leftChars="0" w:firstLine="0" w:firstLineChars="0"/>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32505E3D">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5400ACFE">
            <w:pPr>
              <w:pStyle w:val="106"/>
              <w:bidi w:val="0"/>
              <w:rPr>
                <w:rFonts w:hint="default"/>
                <w:lang w:val="en-US" w:eastAsia="zh-CN"/>
              </w:rPr>
            </w:pPr>
            <w:r>
              <w:rPr>
                <w:rFonts w:hint="eastAsia"/>
                <w:lang w:val="en-US" w:eastAsia="zh-CN"/>
              </w:rPr>
              <w:t>切片机3</w:t>
            </w:r>
          </w:p>
        </w:tc>
        <w:tc>
          <w:tcPr>
            <w:tcW w:w="119" w:type="pct"/>
            <w:tcBorders>
              <w:tl2br w:val="nil"/>
              <w:tr2bl w:val="nil"/>
            </w:tcBorders>
            <w:shd w:val="clear" w:color="auto" w:fill="FFFFFF"/>
            <w:tcMar>
              <w:top w:w="0" w:type="dxa"/>
              <w:left w:w="0" w:type="dxa"/>
              <w:bottom w:w="0" w:type="dxa"/>
              <w:right w:w="0" w:type="dxa"/>
            </w:tcMar>
            <w:vAlign w:val="center"/>
          </w:tcPr>
          <w:p w14:paraId="095276AD">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557E56B7">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18FE9845">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1B673DDE">
            <w:pPr>
              <w:pStyle w:val="106"/>
              <w:bidi w:val="0"/>
              <w:rPr>
                <w:rFonts w:hint="default"/>
                <w:lang w:val="en-US" w:eastAsia="zh-CN"/>
              </w:rPr>
            </w:pPr>
            <w:r>
              <w:rPr>
                <w:rFonts w:hint="eastAsia"/>
                <w:lang w:val="en-US" w:eastAsia="zh-CN"/>
              </w:rPr>
              <w:t>-48</w:t>
            </w:r>
          </w:p>
        </w:tc>
        <w:tc>
          <w:tcPr>
            <w:tcW w:w="173" w:type="pct"/>
            <w:tcBorders>
              <w:tl2br w:val="nil"/>
              <w:tr2bl w:val="nil"/>
            </w:tcBorders>
            <w:shd w:val="clear" w:color="auto" w:fill="FFFFFF"/>
            <w:tcMar>
              <w:top w:w="0" w:type="dxa"/>
              <w:left w:w="0" w:type="dxa"/>
              <w:bottom w:w="0" w:type="dxa"/>
              <w:right w:w="0" w:type="dxa"/>
            </w:tcMar>
            <w:vAlign w:val="center"/>
          </w:tcPr>
          <w:p w14:paraId="537B95EC">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7C2B51C2">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27A68D49">
            <w:pPr>
              <w:pStyle w:val="106"/>
              <w:bidi w:val="0"/>
              <w:jc w:val="center"/>
              <w:rPr>
                <w:rFonts w:hint="eastAsia"/>
                <w:lang w:val="en-US" w:eastAsia="zh-CN"/>
              </w:rPr>
            </w:pPr>
            <w:r>
              <w:rPr>
                <w:rFonts w:hint="default"/>
                <w:lang w:val="en-US" w:eastAsia="zh-CN"/>
              </w:rPr>
              <w:t>111</w:t>
            </w:r>
          </w:p>
        </w:tc>
        <w:tc>
          <w:tcPr>
            <w:tcW w:w="173" w:type="pct"/>
            <w:tcBorders>
              <w:tl2br w:val="nil"/>
              <w:tr2bl w:val="nil"/>
            </w:tcBorders>
            <w:shd w:val="clear" w:color="auto" w:fill="FFFFFF"/>
            <w:tcMar>
              <w:top w:w="0" w:type="dxa"/>
              <w:left w:w="0" w:type="dxa"/>
              <w:bottom w:w="0" w:type="dxa"/>
              <w:right w:w="0" w:type="dxa"/>
            </w:tcMar>
            <w:vAlign w:val="center"/>
          </w:tcPr>
          <w:p w14:paraId="727F8888">
            <w:pPr>
              <w:pStyle w:val="106"/>
              <w:bidi w:val="0"/>
              <w:jc w:val="center"/>
              <w:rPr>
                <w:rFonts w:hint="eastAsia"/>
                <w:lang w:val="en-US" w:eastAsia="zh-CN"/>
              </w:rP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34AA6B22">
            <w:pPr>
              <w:pStyle w:val="106"/>
              <w:bidi w:val="0"/>
              <w:jc w:val="center"/>
              <w:rPr>
                <w:rFonts w:hint="eastAsia"/>
                <w:lang w:val="en-US" w:eastAsia="zh-CN"/>
              </w:rPr>
            </w:pPr>
            <w:r>
              <w:rPr>
                <w:rFonts w:hint="default"/>
                <w:lang w:val="en-US" w:eastAsia="zh-CN"/>
              </w:rPr>
              <w:t>15</w:t>
            </w:r>
          </w:p>
        </w:tc>
        <w:tc>
          <w:tcPr>
            <w:tcW w:w="173" w:type="pct"/>
            <w:tcBorders>
              <w:tl2br w:val="nil"/>
              <w:tr2bl w:val="nil"/>
            </w:tcBorders>
            <w:shd w:val="clear" w:color="auto" w:fill="FFFFFF"/>
            <w:tcMar>
              <w:top w:w="0" w:type="dxa"/>
              <w:left w:w="0" w:type="dxa"/>
              <w:bottom w:w="0" w:type="dxa"/>
              <w:right w:w="0" w:type="dxa"/>
            </w:tcMar>
            <w:vAlign w:val="center"/>
          </w:tcPr>
          <w:p w14:paraId="6856FA05">
            <w:pPr>
              <w:pStyle w:val="106"/>
              <w:bidi w:val="0"/>
              <w:jc w:val="center"/>
              <w:rPr>
                <w:rFonts w:hint="eastAsia"/>
                <w:lang w:val="en-US" w:eastAsia="zh-CN"/>
              </w:rP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46350099">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3A0717A9">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1A8C2487">
            <w:pPr>
              <w:pStyle w:val="106"/>
              <w:bidi w:val="0"/>
              <w:jc w:val="center"/>
              <w:rPr>
                <w:rFonts w:hint="eastAsia"/>
                <w:lang w:val="en-US" w:eastAsia="zh-CN"/>
              </w:rPr>
            </w:pPr>
            <w:r>
              <w:rPr>
                <w:rFonts w:hint="eastAsia"/>
                <w:lang w:val="en-US" w:eastAsia="zh-CN"/>
              </w:rPr>
              <w:t>55.7</w:t>
            </w:r>
          </w:p>
        </w:tc>
        <w:tc>
          <w:tcPr>
            <w:tcW w:w="177" w:type="pct"/>
            <w:tcBorders>
              <w:tl2br w:val="nil"/>
              <w:tr2bl w:val="nil"/>
            </w:tcBorders>
            <w:shd w:val="clear" w:color="auto" w:fill="FFFFFF"/>
            <w:tcMar>
              <w:top w:w="0" w:type="dxa"/>
              <w:left w:w="0" w:type="dxa"/>
              <w:bottom w:w="0" w:type="dxa"/>
              <w:right w:w="0" w:type="dxa"/>
            </w:tcMar>
            <w:vAlign w:val="center"/>
          </w:tcPr>
          <w:p w14:paraId="0CAFACD1">
            <w:pPr>
              <w:pStyle w:val="106"/>
              <w:bidi w:val="0"/>
              <w:jc w:val="center"/>
              <w:rPr>
                <w:rFonts w:hint="eastAsia"/>
                <w:lang w:val="en-US" w:eastAsia="zh-CN"/>
              </w:rPr>
            </w:pPr>
            <w:r>
              <w:rPr>
                <w:rFonts w:hint="eastAsia"/>
                <w:lang w:val="en-US" w:eastAsia="zh-CN"/>
              </w:rPr>
              <w:t>55.7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2267BFE6">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5AD3E90">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2E49EC0">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7785006">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2ECEE17A">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5F56AF7A">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497637D7">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6F10FC82">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64E748ED">
            <w:pPr>
              <w:pStyle w:val="106"/>
              <w:bidi w:val="0"/>
              <w:jc w:val="center"/>
              <w:rPr>
                <w:rFonts w:hint="eastAsia"/>
                <w:lang w:val="en-US" w:eastAsia="zh-CN"/>
              </w:rPr>
            </w:pPr>
            <w:r>
              <w:rPr>
                <w:rFonts w:hint="eastAsia"/>
                <w:lang w:val="en-US" w:eastAsia="zh-CN"/>
              </w:rPr>
              <w:t>29.7</w:t>
            </w:r>
          </w:p>
        </w:tc>
        <w:tc>
          <w:tcPr>
            <w:tcW w:w="258" w:type="pct"/>
            <w:tcBorders>
              <w:tl2br w:val="nil"/>
              <w:tr2bl w:val="nil"/>
            </w:tcBorders>
            <w:shd w:val="clear" w:color="auto" w:fill="FFFFFF"/>
            <w:tcMar>
              <w:top w:w="0" w:type="dxa"/>
              <w:left w:w="0" w:type="dxa"/>
              <w:bottom w:w="0" w:type="dxa"/>
              <w:right w:w="0" w:type="dxa"/>
            </w:tcMar>
            <w:vAlign w:val="center"/>
          </w:tcPr>
          <w:p w14:paraId="49689580">
            <w:pPr>
              <w:pStyle w:val="106"/>
              <w:bidi w:val="0"/>
            </w:pPr>
            <w:r>
              <w:t>1</w:t>
            </w:r>
          </w:p>
        </w:tc>
      </w:tr>
      <w:tr w14:paraId="52D00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5FD04984">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52B3E1C3">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5243B33B">
            <w:pPr>
              <w:pStyle w:val="106"/>
              <w:bidi w:val="0"/>
              <w:rPr>
                <w:rFonts w:hint="default"/>
                <w:lang w:val="en-US" w:eastAsia="zh-CN"/>
              </w:rPr>
            </w:pPr>
            <w:r>
              <w:rPr>
                <w:rFonts w:hint="eastAsia"/>
                <w:lang w:val="en-US" w:eastAsia="zh-CN"/>
              </w:rPr>
              <w:t>切丁机1</w:t>
            </w:r>
          </w:p>
        </w:tc>
        <w:tc>
          <w:tcPr>
            <w:tcW w:w="119" w:type="pct"/>
            <w:tcBorders>
              <w:tl2br w:val="nil"/>
              <w:tr2bl w:val="nil"/>
            </w:tcBorders>
            <w:shd w:val="clear" w:color="auto" w:fill="FFFFFF"/>
            <w:tcMar>
              <w:top w:w="0" w:type="dxa"/>
              <w:left w:w="0" w:type="dxa"/>
              <w:bottom w:w="0" w:type="dxa"/>
              <w:right w:w="0" w:type="dxa"/>
            </w:tcMar>
            <w:vAlign w:val="center"/>
          </w:tcPr>
          <w:p w14:paraId="1495E5B6">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05D1C16A">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1C0E4329">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03FEF2E4">
            <w:pPr>
              <w:pStyle w:val="106"/>
              <w:bidi w:val="0"/>
              <w:rPr>
                <w:rFonts w:hint="default"/>
                <w:lang w:val="en-US" w:eastAsia="zh-CN"/>
              </w:rPr>
            </w:pPr>
            <w:r>
              <w:rPr>
                <w:rFonts w:hint="eastAsia"/>
                <w:lang w:val="en-US" w:eastAsia="zh-CN"/>
              </w:rPr>
              <w:t>-45</w:t>
            </w:r>
          </w:p>
        </w:tc>
        <w:tc>
          <w:tcPr>
            <w:tcW w:w="173" w:type="pct"/>
            <w:tcBorders>
              <w:tl2br w:val="nil"/>
              <w:tr2bl w:val="nil"/>
            </w:tcBorders>
            <w:shd w:val="clear" w:color="auto" w:fill="FFFFFF"/>
            <w:tcMar>
              <w:top w:w="0" w:type="dxa"/>
              <w:left w:w="0" w:type="dxa"/>
              <w:bottom w:w="0" w:type="dxa"/>
              <w:right w:w="0" w:type="dxa"/>
            </w:tcMar>
            <w:vAlign w:val="center"/>
          </w:tcPr>
          <w:p w14:paraId="14467E72">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28B0930F">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5E921285">
            <w:pPr>
              <w:pStyle w:val="106"/>
              <w:bidi w:val="0"/>
              <w:jc w:val="center"/>
            </w:pPr>
            <w:r>
              <w:rPr>
                <w:rFonts w:hint="default"/>
                <w:lang w:val="en-US" w:eastAsia="zh-CN"/>
              </w:rPr>
              <w:t>108</w:t>
            </w:r>
          </w:p>
        </w:tc>
        <w:tc>
          <w:tcPr>
            <w:tcW w:w="173" w:type="pct"/>
            <w:tcBorders>
              <w:tl2br w:val="nil"/>
              <w:tr2bl w:val="nil"/>
            </w:tcBorders>
            <w:shd w:val="clear" w:color="auto" w:fill="FFFFFF"/>
            <w:tcMar>
              <w:top w:w="0" w:type="dxa"/>
              <w:left w:w="0" w:type="dxa"/>
              <w:bottom w:w="0" w:type="dxa"/>
              <w:right w:w="0" w:type="dxa"/>
            </w:tcMar>
            <w:vAlign w:val="center"/>
          </w:tcPr>
          <w:p w14:paraId="5DEE65FD">
            <w:pPr>
              <w:pStyle w:val="106"/>
              <w:bidi w:val="0"/>
              <w:jc w:val="cente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4784F7E7">
            <w:pPr>
              <w:pStyle w:val="106"/>
              <w:bidi w:val="0"/>
              <w:jc w:val="center"/>
            </w:pPr>
            <w:r>
              <w:rPr>
                <w:rFonts w:hint="default"/>
                <w:lang w:val="en-US" w:eastAsia="zh-CN"/>
              </w:rPr>
              <w:t>18</w:t>
            </w:r>
          </w:p>
        </w:tc>
        <w:tc>
          <w:tcPr>
            <w:tcW w:w="173" w:type="pct"/>
            <w:tcBorders>
              <w:tl2br w:val="nil"/>
              <w:tr2bl w:val="nil"/>
            </w:tcBorders>
            <w:shd w:val="clear" w:color="auto" w:fill="FFFFFF"/>
            <w:tcMar>
              <w:top w:w="0" w:type="dxa"/>
              <w:left w:w="0" w:type="dxa"/>
              <w:bottom w:w="0" w:type="dxa"/>
              <w:right w:w="0" w:type="dxa"/>
            </w:tcMar>
            <w:vAlign w:val="center"/>
          </w:tcPr>
          <w:p w14:paraId="1FF1759D">
            <w:pPr>
              <w:pStyle w:val="106"/>
              <w:bidi w:val="0"/>
              <w:jc w:val="cente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7091312A">
            <w:pPr>
              <w:pStyle w:val="106"/>
              <w:bidi w:val="0"/>
              <w:jc w:val="center"/>
              <w:rPr>
                <w:rFonts w:hint="default"/>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37E4C000">
            <w:pPr>
              <w:pStyle w:val="106"/>
              <w:bidi w:val="0"/>
              <w:jc w:val="center"/>
              <w:rPr>
                <w:rFonts w:hint="default"/>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0F0FDD62">
            <w:pPr>
              <w:pStyle w:val="106"/>
              <w:bidi w:val="0"/>
              <w:jc w:val="center"/>
              <w:rPr>
                <w:rFonts w:hint="default"/>
                <w:lang w:val="en-US" w:eastAsia="zh-CN"/>
              </w:rPr>
            </w:pPr>
            <w:r>
              <w:rPr>
                <w:rFonts w:hint="eastAsia"/>
                <w:lang w:val="en-US" w:eastAsia="zh-CN"/>
              </w:rPr>
              <w:t>55.7</w:t>
            </w:r>
          </w:p>
        </w:tc>
        <w:tc>
          <w:tcPr>
            <w:tcW w:w="177" w:type="pct"/>
            <w:tcBorders>
              <w:tl2br w:val="nil"/>
              <w:tr2bl w:val="nil"/>
            </w:tcBorders>
            <w:shd w:val="clear" w:color="auto" w:fill="FFFFFF"/>
            <w:tcMar>
              <w:top w:w="0" w:type="dxa"/>
              <w:left w:w="0" w:type="dxa"/>
              <w:bottom w:w="0" w:type="dxa"/>
              <w:right w:w="0" w:type="dxa"/>
            </w:tcMar>
            <w:vAlign w:val="center"/>
          </w:tcPr>
          <w:p w14:paraId="328D0383">
            <w:pPr>
              <w:pStyle w:val="106"/>
              <w:bidi w:val="0"/>
              <w:jc w:val="center"/>
              <w:rPr>
                <w:rFonts w:hint="default"/>
                <w:lang w:val="en-US" w:eastAsia="zh-CN"/>
              </w:rPr>
            </w:pPr>
            <w:r>
              <w:rPr>
                <w:rFonts w:hint="eastAsia"/>
                <w:lang w:val="en-US" w:eastAsia="zh-CN"/>
              </w:rPr>
              <w:t>55.7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05D3D04C">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0BC86B89">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4027621D">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709327C">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75556539">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2AC25EBD">
            <w:pPr>
              <w:pStyle w:val="106"/>
              <w:bidi w:val="0"/>
              <w:jc w:val="cente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562A6B7E">
            <w:pPr>
              <w:pStyle w:val="106"/>
              <w:bidi w:val="0"/>
              <w:jc w:val="cente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4EB55038">
            <w:pPr>
              <w:pStyle w:val="106"/>
              <w:bidi w:val="0"/>
              <w:jc w:val="cente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299AFF40">
            <w:pPr>
              <w:pStyle w:val="106"/>
              <w:bidi w:val="0"/>
              <w:jc w:val="center"/>
            </w:pPr>
            <w:r>
              <w:rPr>
                <w:rFonts w:hint="eastAsia"/>
                <w:lang w:val="en-US" w:eastAsia="zh-CN"/>
              </w:rPr>
              <w:t>29.7</w:t>
            </w:r>
          </w:p>
        </w:tc>
        <w:tc>
          <w:tcPr>
            <w:tcW w:w="258" w:type="pct"/>
            <w:tcBorders>
              <w:tl2br w:val="nil"/>
              <w:tr2bl w:val="nil"/>
            </w:tcBorders>
            <w:shd w:val="clear" w:color="auto" w:fill="FFFFFF"/>
            <w:tcMar>
              <w:top w:w="0" w:type="dxa"/>
              <w:left w:w="0" w:type="dxa"/>
              <w:bottom w:w="0" w:type="dxa"/>
              <w:right w:w="0" w:type="dxa"/>
            </w:tcMar>
            <w:vAlign w:val="center"/>
          </w:tcPr>
          <w:p w14:paraId="36BB6CCB">
            <w:pPr>
              <w:pStyle w:val="106"/>
              <w:bidi w:val="0"/>
            </w:pPr>
            <w:r>
              <w:t>1</w:t>
            </w:r>
          </w:p>
        </w:tc>
      </w:tr>
      <w:tr w14:paraId="5E9E2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1CA5524C">
            <w:pPr>
              <w:pStyle w:val="106"/>
              <w:numPr>
                <w:ilvl w:val="0"/>
                <w:numId w:val="12"/>
              </w:numPr>
              <w:bidi w:val="0"/>
              <w:ind w:left="0" w:leftChars="0" w:firstLine="0" w:firstLineChars="0"/>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7A587EF9">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00680373">
            <w:pPr>
              <w:pStyle w:val="106"/>
              <w:bidi w:val="0"/>
              <w:rPr>
                <w:rFonts w:hint="default"/>
                <w:lang w:val="en-US" w:eastAsia="zh-CN"/>
              </w:rPr>
            </w:pPr>
            <w:r>
              <w:rPr>
                <w:rFonts w:hint="eastAsia"/>
                <w:lang w:val="en-US" w:eastAsia="zh-CN"/>
              </w:rPr>
              <w:t>切丁机2</w:t>
            </w:r>
          </w:p>
        </w:tc>
        <w:tc>
          <w:tcPr>
            <w:tcW w:w="119" w:type="pct"/>
            <w:tcBorders>
              <w:tl2br w:val="nil"/>
              <w:tr2bl w:val="nil"/>
            </w:tcBorders>
            <w:shd w:val="clear" w:color="auto" w:fill="FFFFFF"/>
            <w:tcMar>
              <w:top w:w="0" w:type="dxa"/>
              <w:left w:w="0" w:type="dxa"/>
              <w:bottom w:w="0" w:type="dxa"/>
              <w:right w:w="0" w:type="dxa"/>
            </w:tcMar>
            <w:vAlign w:val="center"/>
          </w:tcPr>
          <w:p w14:paraId="33ABA0D7">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5D83258A">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4061485C">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491BDC71">
            <w:pPr>
              <w:pStyle w:val="106"/>
              <w:bidi w:val="0"/>
              <w:rPr>
                <w:rFonts w:hint="default"/>
                <w:lang w:val="en-US" w:eastAsia="zh-CN"/>
              </w:rPr>
            </w:pPr>
            <w:r>
              <w:rPr>
                <w:rFonts w:hint="eastAsia"/>
                <w:lang w:val="en-US" w:eastAsia="zh-CN"/>
              </w:rPr>
              <w:t>-42</w:t>
            </w:r>
          </w:p>
        </w:tc>
        <w:tc>
          <w:tcPr>
            <w:tcW w:w="173" w:type="pct"/>
            <w:tcBorders>
              <w:tl2br w:val="nil"/>
              <w:tr2bl w:val="nil"/>
            </w:tcBorders>
            <w:shd w:val="clear" w:color="auto" w:fill="FFFFFF"/>
            <w:tcMar>
              <w:top w:w="0" w:type="dxa"/>
              <w:left w:w="0" w:type="dxa"/>
              <w:bottom w:w="0" w:type="dxa"/>
              <w:right w:w="0" w:type="dxa"/>
            </w:tcMar>
            <w:vAlign w:val="center"/>
          </w:tcPr>
          <w:p w14:paraId="0BBA1BF0">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19C828D4">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7268BC9B">
            <w:pPr>
              <w:pStyle w:val="106"/>
              <w:bidi w:val="0"/>
              <w:jc w:val="center"/>
              <w:rPr>
                <w:rFonts w:hint="eastAsia"/>
                <w:lang w:val="en-US" w:eastAsia="zh-CN"/>
              </w:rPr>
            </w:pPr>
            <w:r>
              <w:rPr>
                <w:rFonts w:hint="default"/>
                <w:lang w:val="en-US" w:eastAsia="zh-CN"/>
              </w:rPr>
              <w:t>105</w:t>
            </w:r>
          </w:p>
        </w:tc>
        <w:tc>
          <w:tcPr>
            <w:tcW w:w="173" w:type="pct"/>
            <w:tcBorders>
              <w:tl2br w:val="nil"/>
              <w:tr2bl w:val="nil"/>
            </w:tcBorders>
            <w:shd w:val="clear" w:color="auto" w:fill="FFFFFF"/>
            <w:tcMar>
              <w:top w:w="0" w:type="dxa"/>
              <w:left w:w="0" w:type="dxa"/>
              <w:bottom w:w="0" w:type="dxa"/>
              <w:right w:w="0" w:type="dxa"/>
            </w:tcMar>
            <w:vAlign w:val="center"/>
          </w:tcPr>
          <w:p w14:paraId="2BAE801C">
            <w:pPr>
              <w:pStyle w:val="106"/>
              <w:bidi w:val="0"/>
              <w:jc w:val="center"/>
              <w:rPr>
                <w:rFonts w:hint="eastAsia"/>
                <w:lang w:val="en-US" w:eastAsia="zh-CN"/>
              </w:rP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472324F0">
            <w:pPr>
              <w:pStyle w:val="106"/>
              <w:bidi w:val="0"/>
              <w:jc w:val="center"/>
              <w:rPr>
                <w:rFonts w:hint="eastAsia"/>
                <w:lang w:val="en-US" w:eastAsia="zh-CN"/>
              </w:rPr>
            </w:pPr>
            <w:r>
              <w:rPr>
                <w:rFonts w:hint="default"/>
                <w:lang w:val="en-US" w:eastAsia="zh-CN"/>
              </w:rPr>
              <w:t>21</w:t>
            </w:r>
          </w:p>
        </w:tc>
        <w:tc>
          <w:tcPr>
            <w:tcW w:w="173" w:type="pct"/>
            <w:tcBorders>
              <w:tl2br w:val="nil"/>
              <w:tr2bl w:val="nil"/>
            </w:tcBorders>
            <w:shd w:val="clear" w:color="auto" w:fill="FFFFFF"/>
            <w:tcMar>
              <w:top w:w="0" w:type="dxa"/>
              <w:left w:w="0" w:type="dxa"/>
              <w:bottom w:w="0" w:type="dxa"/>
              <w:right w:w="0" w:type="dxa"/>
            </w:tcMar>
            <w:vAlign w:val="center"/>
          </w:tcPr>
          <w:p w14:paraId="5F36136A">
            <w:pPr>
              <w:pStyle w:val="106"/>
              <w:bidi w:val="0"/>
              <w:jc w:val="center"/>
              <w:rPr>
                <w:rFonts w:hint="eastAsia"/>
                <w:lang w:val="en-US" w:eastAsia="zh-CN"/>
              </w:rP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78919401">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16A00F70">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53363DDC">
            <w:pPr>
              <w:pStyle w:val="106"/>
              <w:bidi w:val="0"/>
              <w:jc w:val="center"/>
              <w:rPr>
                <w:rFonts w:hint="eastAsia"/>
                <w:lang w:val="en-US" w:eastAsia="zh-CN"/>
              </w:rPr>
            </w:pPr>
            <w:r>
              <w:rPr>
                <w:rFonts w:hint="eastAsia"/>
                <w:lang w:val="en-US" w:eastAsia="zh-CN"/>
              </w:rPr>
              <w:t>55.7</w:t>
            </w:r>
          </w:p>
        </w:tc>
        <w:tc>
          <w:tcPr>
            <w:tcW w:w="177" w:type="pct"/>
            <w:tcBorders>
              <w:tl2br w:val="nil"/>
              <w:tr2bl w:val="nil"/>
            </w:tcBorders>
            <w:shd w:val="clear" w:color="auto" w:fill="FFFFFF"/>
            <w:tcMar>
              <w:top w:w="0" w:type="dxa"/>
              <w:left w:w="0" w:type="dxa"/>
              <w:bottom w:w="0" w:type="dxa"/>
              <w:right w:w="0" w:type="dxa"/>
            </w:tcMar>
            <w:vAlign w:val="center"/>
          </w:tcPr>
          <w:p w14:paraId="4FE03E21">
            <w:pPr>
              <w:pStyle w:val="106"/>
              <w:bidi w:val="0"/>
              <w:jc w:val="center"/>
              <w:rPr>
                <w:rFonts w:hint="eastAsia"/>
                <w:lang w:val="en-US" w:eastAsia="zh-CN"/>
              </w:rPr>
            </w:pPr>
            <w:r>
              <w:rPr>
                <w:rFonts w:hint="eastAsia"/>
                <w:lang w:val="en-US" w:eastAsia="zh-CN"/>
              </w:rPr>
              <w:t>55.7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786E809D">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0A95181">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49723C3">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4B40BAD8">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1CA1BFBB">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15F49270">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44109F8F">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3FFF04D2">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649AB5FA">
            <w:pPr>
              <w:pStyle w:val="106"/>
              <w:bidi w:val="0"/>
              <w:jc w:val="center"/>
              <w:rPr>
                <w:rFonts w:hint="eastAsia"/>
                <w:lang w:val="en-US" w:eastAsia="zh-CN"/>
              </w:rPr>
            </w:pPr>
            <w:r>
              <w:rPr>
                <w:rFonts w:hint="eastAsia"/>
                <w:lang w:val="en-US" w:eastAsia="zh-CN"/>
              </w:rPr>
              <w:t>29.7</w:t>
            </w:r>
          </w:p>
        </w:tc>
        <w:tc>
          <w:tcPr>
            <w:tcW w:w="258" w:type="pct"/>
            <w:tcBorders>
              <w:tl2br w:val="nil"/>
              <w:tr2bl w:val="nil"/>
            </w:tcBorders>
            <w:shd w:val="clear" w:color="auto" w:fill="FFFFFF"/>
            <w:tcMar>
              <w:top w:w="0" w:type="dxa"/>
              <w:left w:w="0" w:type="dxa"/>
              <w:bottom w:w="0" w:type="dxa"/>
              <w:right w:w="0" w:type="dxa"/>
            </w:tcMar>
            <w:vAlign w:val="center"/>
          </w:tcPr>
          <w:p w14:paraId="3F8B030A">
            <w:pPr>
              <w:pStyle w:val="106"/>
              <w:bidi w:val="0"/>
            </w:pPr>
            <w:r>
              <w:t>1</w:t>
            </w:r>
          </w:p>
        </w:tc>
      </w:tr>
      <w:tr w14:paraId="5A832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20EFE65D">
            <w:pPr>
              <w:pStyle w:val="106"/>
              <w:numPr>
                <w:ilvl w:val="0"/>
                <w:numId w:val="12"/>
              </w:numPr>
              <w:bidi w:val="0"/>
              <w:ind w:left="0" w:leftChars="0" w:firstLine="0" w:firstLineChars="0"/>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5DF9F54A">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50455961">
            <w:pPr>
              <w:pStyle w:val="106"/>
              <w:bidi w:val="0"/>
              <w:rPr>
                <w:rFonts w:hint="default"/>
                <w:lang w:val="en-US" w:eastAsia="zh-CN"/>
              </w:rPr>
            </w:pPr>
            <w:r>
              <w:rPr>
                <w:rFonts w:hint="eastAsia"/>
                <w:lang w:val="en-US" w:eastAsia="zh-CN"/>
              </w:rPr>
              <w:t>切丁机3</w:t>
            </w:r>
          </w:p>
        </w:tc>
        <w:tc>
          <w:tcPr>
            <w:tcW w:w="119" w:type="pct"/>
            <w:tcBorders>
              <w:tl2br w:val="nil"/>
              <w:tr2bl w:val="nil"/>
            </w:tcBorders>
            <w:shd w:val="clear" w:color="auto" w:fill="FFFFFF"/>
            <w:tcMar>
              <w:top w:w="0" w:type="dxa"/>
              <w:left w:w="0" w:type="dxa"/>
              <w:bottom w:w="0" w:type="dxa"/>
              <w:right w:w="0" w:type="dxa"/>
            </w:tcMar>
            <w:vAlign w:val="center"/>
          </w:tcPr>
          <w:p w14:paraId="56BAB75A">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23021539">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16592CB1">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48356295">
            <w:pPr>
              <w:pStyle w:val="106"/>
              <w:bidi w:val="0"/>
              <w:rPr>
                <w:rFonts w:hint="default"/>
                <w:lang w:val="en-US" w:eastAsia="zh-CN"/>
              </w:rPr>
            </w:pPr>
            <w:r>
              <w:rPr>
                <w:rFonts w:hint="eastAsia"/>
                <w:lang w:val="en-US" w:eastAsia="zh-CN"/>
              </w:rPr>
              <w:t>-39</w:t>
            </w:r>
          </w:p>
        </w:tc>
        <w:tc>
          <w:tcPr>
            <w:tcW w:w="173" w:type="pct"/>
            <w:tcBorders>
              <w:tl2br w:val="nil"/>
              <w:tr2bl w:val="nil"/>
            </w:tcBorders>
            <w:shd w:val="clear" w:color="auto" w:fill="FFFFFF"/>
            <w:tcMar>
              <w:top w:w="0" w:type="dxa"/>
              <w:left w:w="0" w:type="dxa"/>
              <w:bottom w:w="0" w:type="dxa"/>
              <w:right w:w="0" w:type="dxa"/>
            </w:tcMar>
            <w:vAlign w:val="center"/>
          </w:tcPr>
          <w:p w14:paraId="4C6C8CDC">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5738AAB7">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5F9263E3">
            <w:pPr>
              <w:pStyle w:val="106"/>
              <w:bidi w:val="0"/>
              <w:jc w:val="center"/>
              <w:rPr>
                <w:rFonts w:hint="eastAsia"/>
                <w:lang w:val="en-US" w:eastAsia="zh-CN"/>
              </w:rPr>
            </w:pPr>
            <w:r>
              <w:rPr>
                <w:rFonts w:hint="default"/>
                <w:lang w:val="en-US" w:eastAsia="zh-CN"/>
              </w:rPr>
              <w:t>102</w:t>
            </w:r>
          </w:p>
        </w:tc>
        <w:tc>
          <w:tcPr>
            <w:tcW w:w="173" w:type="pct"/>
            <w:tcBorders>
              <w:tl2br w:val="nil"/>
              <w:tr2bl w:val="nil"/>
            </w:tcBorders>
            <w:shd w:val="clear" w:color="auto" w:fill="FFFFFF"/>
            <w:tcMar>
              <w:top w:w="0" w:type="dxa"/>
              <w:left w:w="0" w:type="dxa"/>
              <w:bottom w:w="0" w:type="dxa"/>
              <w:right w:w="0" w:type="dxa"/>
            </w:tcMar>
            <w:vAlign w:val="center"/>
          </w:tcPr>
          <w:p w14:paraId="2E43975A">
            <w:pPr>
              <w:pStyle w:val="106"/>
              <w:bidi w:val="0"/>
              <w:jc w:val="center"/>
              <w:rPr>
                <w:rFonts w:hint="eastAsia"/>
                <w:lang w:val="en-US" w:eastAsia="zh-CN"/>
              </w:rP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3043F09A">
            <w:pPr>
              <w:pStyle w:val="106"/>
              <w:bidi w:val="0"/>
              <w:jc w:val="center"/>
              <w:rPr>
                <w:rFonts w:hint="eastAsia"/>
                <w:lang w:val="en-US" w:eastAsia="zh-CN"/>
              </w:rPr>
            </w:pPr>
            <w:r>
              <w:rPr>
                <w:rFonts w:hint="default"/>
                <w:lang w:val="en-US" w:eastAsia="zh-CN"/>
              </w:rPr>
              <w:t>24</w:t>
            </w:r>
          </w:p>
        </w:tc>
        <w:tc>
          <w:tcPr>
            <w:tcW w:w="173" w:type="pct"/>
            <w:tcBorders>
              <w:tl2br w:val="nil"/>
              <w:tr2bl w:val="nil"/>
            </w:tcBorders>
            <w:shd w:val="clear" w:color="auto" w:fill="FFFFFF"/>
            <w:tcMar>
              <w:top w:w="0" w:type="dxa"/>
              <w:left w:w="0" w:type="dxa"/>
              <w:bottom w:w="0" w:type="dxa"/>
              <w:right w:w="0" w:type="dxa"/>
            </w:tcMar>
            <w:vAlign w:val="center"/>
          </w:tcPr>
          <w:p w14:paraId="6784B19A">
            <w:pPr>
              <w:pStyle w:val="106"/>
              <w:bidi w:val="0"/>
              <w:jc w:val="center"/>
              <w:rPr>
                <w:rFonts w:hint="eastAsia"/>
                <w:lang w:val="en-US" w:eastAsia="zh-CN"/>
              </w:rP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615ECA12">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2D3935B4">
            <w:pPr>
              <w:pStyle w:val="106"/>
              <w:bidi w:val="0"/>
              <w:jc w:val="center"/>
              <w:rPr>
                <w:rFonts w:hint="eastAsia"/>
                <w:lang w:val="en-US" w:eastAsia="zh-CN"/>
              </w:rPr>
            </w:pPr>
            <w:r>
              <w:rPr>
                <w:rFonts w:hint="eastAsia"/>
                <w:lang w:val="en-US" w:eastAsia="zh-CN"/>
              </w:rPr>
              <w:t>55.7</w:t>
            </w:r>
          </w:p>
        </w:tc>
        <w:tc>
          <w:tcPr>
            <w:tcW w:w="173" w:type="pct"/>
            <w:tcBorders>
              <w:tl2br w:val="nil"/>
              <w:tr2bl w:val="nil"/>
            </w:tcBorders>
            <w:shd w:val="clear" w:color="auto" w:fill="FFFFFF"/>
            <w:tcMar>
              <w:top w:w="0" w:type="dxa"/>
              <w:left w:w="0" w:type="dxa"/>
              <w:bottom w:w="0" w:type="dxa"/>
              <w:right w:w="0" w:type="dxa"/>
            </w:tcMar>
            <w:vAlign w:val="center"/>
          </w:tcPr>
          <w:p w14:paraId="05875E84">
            <w:pPr>
              <w:pStyle w:val="106"/>
              <w:bidi w:val="0"/>
              <w:jc w:val="center"/>
              <w:rPr>
                <w:rFonts w:hint="eastAsia"/>
                <w:lang w:val="en-US" w:eastAsia="zh-CN"/>
              </w:rPr>
            </w:pPr>
            <w:r>
              <w:rPr>
                <w:rFonts w:hint="eastAsia"/>
                <w:lang w:val="en-US" w:eastAsia="zh-CN"/>
              </w:rPr>
              <w:t>55.7</w:t>
            </w:r>
          </w:p>
        </w:tc>
        <w:tc>
          <w:tcPr>
            <w:tcW w:w="177" w:type="pct"/>
            <w:tcBorders>
              <w:tl2br w:val="nil"/>
              <w:tr2bl w:val="nil"/>
            </w:tcBorders>
            <w:shd w:val="clear" w:color="auto" w:fill="FFFFFF"/>
            <w:tcMar>
              <w:top w:w="0" w:type="dxa"/>
              <w:left w:w="0" w:type="dxa"/>
              <w:bottom w:w="0" w:type="dxa"/>
              <w:right w:w="0" w:type="dxa"/>
            </w:tcMar>
            <w:vAlign w:val="center"/>
          </w:tcPr>
          <w:p w14:paraId="7C33D79F">
            <w:pPr>
              <w:pStyle w:val="106"/>
              <w:bidi w:val="0"/>
              <w:jc w:val="center"/>
              <w:rPr>
                <w:rFonts w:hint="eastAsia"/>
                <w:lang w:val="en-US" w:eastAsia="zh-CN"/>
              </w:rPr>
            </w:pPr>
            <w:r>
              <w:rPr>
                <w:rFonts w:hint="eastAsia"/>
                <w:lang w:val="en-US" w:eastAsia="zh-CN"/>
              </w:rPr>
              <w:t>55.7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129D1C4">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76D3346A">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09F6657">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4E8A910">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53E0D38F">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622A38A7">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0EDC7ADC">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5BE0BB4F">
            <w:pPr>
              <w:pStyle w:val="106"/>
              <w:bidi w:val="0"/>
              <w:jc w:val="center"/>
              <w:rPr>
                <w:rFonts w:hint="eastAsia"/>
                <w:lang w:val="en-US" w:eastAsia="zh-CN"/>
              </w:rPr>
            </w:pPr>
            <w:r>
              <w:rPr>
                <w:rFonts w:hint="eastAsia"/>
                <w:lang w:val="en-US" w:eastAsia="zh-CN"/>
              </w:rPr>
              <w:t>29.7</w:t>
            </w:r>
          </w:p>
        </w:tc>
        <w:tc>
          <w:tcPr>
            <w:tcW w:w="176" w:type="pct"/>
            <w:tcBorders>
              <w:tl2br w:val="nil"/>
              <w:tr2bl w:val="nil"/>
            </w:tcBorders>
            <w:shd w:val="clear" w:color="auto" w:fill="FFFFFF"/>
            <w:tcMar>
              <w:top w:w="0" w:type="dxa"/>
              <w:left w:w="0" w:type="dxa"/>
              <w:bottom w:w="0" w:type="dxa"/>
              <w:right w:w="0" w:type="dxa"/>
            </w:tcMar>
            <w:vAlign w:val="center"/>
          </w:tcPr>
          <w:p w14:paraId="3DC35A87">
            <w:pPr>
              <w:pStyle w:val="106"/>
              <w:bidi w:val="0"/>
              <w:jc w:val="center"/>
              <w:rPr>
                <w:rFonts w:hint="eastAsia"/>
                <w:lang w:val="en-US" w:eastAsia="zh-CN"/>
              </w:rPr>
            </w:pPr>
            <w:r>
              <w:rPr>
                <w:rFonts w:hint="eastAsia"/>
                <w:lang w:val="en-US" w:eastAsia="zh-CN"/>
              </w:rPr>
              <w:t>29.7</w:t>
            </w:r>
          </w:p>
        </w:tc>
        <w:tc>
          <w:tcPr>
            <w:tcW w:w="258" w:type="pct"/>
            <w:tcBorders>
              <w:tl2br w:val="nil"/>
              <w:tr2bl w:val="nil"/>
            </w:tcBorders>
            <w:shd w:val="clear" w:color="auto" w:fill="FFFFFF"/>
            <w:tcMar>
              <w:top w:w="0" w:type="dxa"/>
              <w:left w:w="0" w:type="dxa"/>
              <w:bottom w:w="0" w:type="dxa"/>
              <w:right w:w="0" w:type="dxa"/>
            </w:tcMar>
            <w:vAlign w:val="center"/>
          </w:tcPr>
          <w:p w14:paraId="44DB2D81">
            <w:pPr>
              <w:pStyle w:val="106"/>
              <w:bidi w:val="0"/>
            </w:pPr>
            <w:r>
              <w:t>1</w:t>
            </w:r>
          </w:p>
        </w:tc>
      </w:tr>
      <w:tr w14:paraId="412D5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1EE22782">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52B6A3DE">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4D7D7B45">
            <w:pPr>
              <w:pStyle w:val="106"/>
              <w:bidi w:val="0"/>
              <w:rPr>
                <w:rFonts w:hint="eastAsia"/>
                <w:lang w:val="en-US" w:eastAsia="zh-CN"/>
              </w:rPr>
            </w:pPr>
            <w:r>
              <w:rPr>
                <w:rFonts w:hint="eastAsia"/>
                <w:lang w:val="en-US" w:eastAsia="zh-CN"/>
              </w:rPr>
              <w:t>蒸汽发生器</w:t>
            </w:r>
          </w:p>
        </w:tc>
        <w:tc>
          <w:tcPr>
            <w:tcW w:w="119" w:type="pct"/>
            <w:tcBorders>
              <w:tl2br w:val="nil"/>
              <w:tr2bl w:val="nil"/>
            </w:tcBorders>
            <w:shd w:val="clear" w:color="auto" w:fill="FFFFFF"/>
            <w:tcMar>
              <w:top w:w="0" w:type="dxa"/>
              <w:left w:w="0" w:type="dxa"/>
              <w:bottom w:w="0" w:type="dxa"/>
              <w:right w:w="0" w:type="dxa"/>
            </w:tcMar>
            <w:vAlign w:val="center"/>
          </w:tcPr>
          <w:p w14:paraId="08D8967B">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7F6DBC32">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6C921E61">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20BE039A">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1855D266">
            <w:pPr>
              <w:pStyle w:val="106"/>
              <w:bidi w:val="0"/>
              <w:rPr>
                <w:rFonts w:hint="default"/>
                <w:lang w:val="en-US" w:eastAsia="zh-CN"/>
              </w:rPr>
            </w:pPr>
            <w:r>
              <w:rPr>
                <w:rFonts w:hint="eastAsia"/>
                <w:lang w:val="en-US" w:eastAsia="zh-CN"/>
              </w:rPr>
              <w:t>-12</w:t>
            </w:r>
          </w:p>
        </w:tc>
        <w:tc>
          <w:tcPr>
            <w:tcW w:w="173" w:type="pct"/>
            <w:tcBorders>
              <w:tl2br w:val="nil"/>
              <w:tr2bl w:val="nil"/>
            </w:tcBorders>
            <w:shd w:val="clear" w:color="auto" w:fill="FFFFFF"/>
            <w:tcMar>
              <w:top w:w="0" w:type="dxa"/>
              <w:left w:w="0" w:type="dxa"/>
              <w:bottom w:w="0" w:type="dxa"/>
              <w:right w:w="0" w:type="dxa"/>
            </w:tcMar>
            <w:vAlign w:val="center"/>
          </w:tcPr>
          <w:p w14:paraId="7AD11470">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3FD95A94">
            <w:pPr>
              <w:pStyle w:val="106"/>
              <w:bidi w:val="0"/>
              <w:jc w:val="center"/>
            </w:pPr>
            <w:r>
              <w:rPr>
                <w:rFonts w:hint="default"/>
                <w:lang w:val="en-US" w:eastAsia="zh-CN"/>
              </w:rPr>
              <w:t>88</w:t>
            </w:r>
          </w:p>
        </w:tc>
        <w:tc>
          <w:tcPr>
            <w:tcW w:w="173" w:type="pct"/>
            <w:tcBorders>
              <w:tl2br w:val="nil"/>
              <w:tr2bl w:val="nil"/>
            </w:tcBorders>
            <w:shd w:val="clear" w:color="auto" w:fill="FFFFFF"/>
            <w:tcMar>
              <w:top w:w="0" w:type="dxa"/>
              <w:left w:w="0" w:type="dxa"/>
              <w:bottom w:w="0" w:type="dxa"/>
              <w:right w:w="0" w:type="dxa"/>
            </w:tcMar>
            <w:vAlign w:val="center"/>
          </w:tcPr>
          <w:p w14:paraId="63298220">
            <w:pPr>
              <w:pStyle w:val="106"/>
              <w:bidi w:val="0"/>
              <w:jc w:val="center"/>
            </w:pPr>
            <w:r>
              <w:rPr>
                <w:rFonts w:hint="default"/>
                <w:lang w:val="en-US" w:eastAsia="zh-CN"/>
              </w:rPr>
              <w:t>48</w:t>
            </w:r>
          </w:p>
        </w:tc>
        <w:tc>
          <w:tcPr>
            <w:tcW w:w="173" w:type="pct"/>
            <w:tcBorders>
              <w:tl2br w:val="nil"/>
              <w:tr2bl w:val="nil"/>
            </w:tcBorders>
            <w:shd w:val="clear" w:color="auto" w:fill="FFFFFF"/>
            <w:tcMar>
              <w:top w:w="0" w:type="dxa"/>
              <w:left w:w="0" w:type="dxa"/>
              <w:bottom w:w="0" w:type="dxa"/>
              <w:right w:w="0" w:type="dxa"/>
            </w:tcMar>
            <w:vAlign w:val="center"/>
          </w:tcPr>
          <w:p w14:paraId="3E38D3F6">
            <w:pPr>
              <w:pStyle w:val="106"/>
              <w:bidi w:val="0"/>
              <w:jc w:val="center"/>
            </w:pPr>
            <w:r>
              <w:rPr>
                <w:rFonts w:hint="default"/>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5F0AA7B7">
            <w:pPr>
              <w:pStyle w:val="106"/>
              <w:bidi w:val="0"/>
              <w:jc w:val="center"/>
            </w:pPr>
            <w:r>
              <w:rPr>
                <w:rFonts w:hint="default"/>
                <w:lang w:val="en-US" w:eastAsia="zh-CN"/>
              </w:rPr>
              <w:t>2</w:t>
            </w:r>
          </w:p>
        </w:tc>
        <w:tc>
          <w:tcPr>
            <w:tcW w:w="173" w:type="pct"/>
            <w:tcBorders>
              <w:tl2br w:val="nil"/>
              <w:tr2bl w:val="nil"/>
            </w:tcBorders>
            <w:shd w:val="clear" w:color="auto" w:fill="FFFFFF"/>
            <w:tcMar>
              <w:top w:w="0" w:type="dxa"/>
              <w:left w:w="0" w:type="dxa"/>
              <w:bottom w:w="0" w:type="dxa"/>
              <w:right w:w="0" w:type="dxa"/>
            </w:tcMar>
            <w:vAlign w:val="center"/>
          </w:tcPr>
          <w:p w14:paraId="3E98F9C9">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1D402DE1">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610893F6">
            <w:pPr>
              <w:pStyle w:val="106"/>
              <w:bidi w:val="0"/>
              <w:jc w:val="center"/>
              <w:rPr>
                <w:rFonts w:hint="default"/>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40351013">
            <w:pPr>
              <w:pStyle w:val="106"/>
              <w:bidi w:val="0"/>
              <w:jc w:val="center"/>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B36D0FB">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2D66D538">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6F31A2E">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40B94F8">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5020AC53">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380D6880">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3377F7F9">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33ED63B4">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2E50F3A1">
            <w:pPr>
              <w:pStyle w:val="106"/>
              <w:bidi w:val="0"/>
              <w:jc w:val="cente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0A1D3333">
            <w:pPr>
              <w:pStyle w:val="106"/>
              <w:bidi w:val="0"/>
            </w:pPr>
            <w:r>
              <w:t>1</w:t>
            </w:r>
          </w:p>
        </w:tc>
      </w:tr>
      <w:tr w14:paraId="39A8A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0F3B4CF3">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511332F0">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6B7383A">
            <w:pPr>
              <w:pStyle w:val="106"/>
              <w:bidi w:val="0"/>
              <w:rPr>
                <w:rFonts w:hint="default"/>
                <w:lang w:val="en-US" w:eastAsia="zh-CN"/>
              </w:rPr>
            </w:pPr>
            <w:r>
              <w:rPr>
                <w:rFonts w:hint="eastAsia"/>
                <w:lang w:val="en-US" w:eastAsia="zh-CN"/>
              </w:rPr>
              <w:t>隧道式漂烫机1</w:t>
            </w:r>
          </w:p>
        </w:tc>
        <w:tc>
          <w:tcPr>
            <w:tcW w:w="119" w:type="pct"/>
            <w:tcBorders>
              <w:tl2br w:val="nil"/>
              <w:tr2bl w:val="nil"/>
            </w:tcBorders>
            <w:shd w:val="clear" w:color="auto" w:fill="FFFFFF"/>
            <w:tcMar>
              <w:top w:w="0" w:type="dxa"/>
              <w:left w:w="0" w:type="dxa"/>
              <w:bottom w:w="0" w:type="dxa"/>
              <w:right w:w="0" w:type="dxa"/>
            </w:tcMar>
            <w:vAlign w:val="center"/>
          </w:tcPr>
          <w:p w14:paraId="169FAF86">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7D9DA4F1">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0438C94B">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5E39C037">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5DBD55E5">
            <w:pPr>
              <w:pStyle w:val="106"/>
              <w:bidi w:val="0"/>
              <w:rPr>
                <w:rFonts w:hint="default"/>
                <w:lang w:val="en-US" w:eastAsia="zh-CN"/>
              </w:rPr>
            </w:pPr>
            <w:r>
              <w:rPr>
                <w:rFonts w:hint="eastAsia"/>
                <w:lang w:val="en-US" w:eastAsia="zh-CN"/>
              </w:rPr>
              <w:t>-20</w:t>
            </w:r>
          </w:p>
        </w:tc>
        <w:tc>
          <w:tcPr>
            <w:tcW w:w="173" w:type="pct"/>
            <w:tcBorders>
              <w:tl2br w:val="nil"/>
              <w:tr2bl w:val="nil"/>
            </w:tcBorders>
            <w:shd w:val="clear" w:color="auto" w:fill="FFFFFF"/>
            <w:tcMar>
              <w:top w:w="0" w:type="dxa"/>
              <w:left w:w="0" w:type="dxa"/>
              <w:bottom w:w="0" w:type="dxa"/>
              <w:right w:w="0" w:type="dxa"/>
            </w:tcMar>
            <w:vAlign w:val="center"/>
          </w:tcPr>
          <w:p w14:paraId="68CB8433">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1ECB8F4F">
            <w:pPr>
              <w:pStyle w:val="106"/>
              <w:bidi w:val="0"/>
              <w:jc w:val="center"/>
            </w:pPr>
            <w:r>
              <w:rPr>
                <w:rFonts w:hint="default"/>
                <w:lang w:val="en-US" w:eastAsia="zh-CN"/>
              </w:rPr>
              <w:t>88</w:t>
            </w:r>
          </w:p>
        </w:tc>
        <w:tc>
          <w:tcPr>
            <w:tcW w:w="173" w:type="pct"/>
            <w:tcBorders>
              <w:tl2br w:val="nil"/>
              <w:tr2bl w:val="nil"/>
            </w:tcBorders>
            <w:shd w:val="clear" w:color="auto" w:fill="FFFFFF"/>
            <w:tcMar>
              <w:top w:w="0" w:type="dxa"/>
              <w:left w:w="0" w:type="dxa"/>
              <w:bottom w:w="0" w:type="dxa"/>
              <w:right w:w="0" w:type="dxa"/>
            </w:tcMar>
            <w:vAlign w:val="center"/>
          </w:tcPr>
          <w:p w14:paraId="65120AB4">
            <w:pPr>
              <w:pStyle w:val="106"/>
              <w:bidi w:val="0"/>
              <w:jc w:val="center"/>
            </w:pPr>
            <w:r>
              <w:rPr>
                <w:rFonts w:hint="default"/>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0A7D548F">
            <w:pPr>
              <w:pStyle w:val="106"/>
              <w:bidi w:val="0"/>
              <w:jc w:val="center"/>
            </w:pPr>
            <w:r>
              <w:rPr>
                <w:rFonts w:hint="default"/>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502DCE25">
            <w:pPr>
              <w:pStyle w:val="106"/>
              <w:bidi w:val="0"/>
              <w:jc w:val="center"/>
            </w:pPr>
            <w:r>
              <w:rPr>
                <w:rFonts w:hint="default"/>
                <w:lang w:val="en-US" w:eastAsia="zh-CN"/>
              </w:rPr>
              <w:t>10</w:t>
            </w:r>
          </w:p>
        </w:tc>
        <w:tc>
          <w:tcPr>
            <w:tcW w:w="173" w:type="pct"/>
            <w:tcBorders>
              <w:tl2br w:val="nil"/>
              <w:tr2bl w:val="nil"/>
            </w:tcBorders>
            <w:shd w:val="clear" w:color="auto" w:fill="FFFFFF"/>
            <w:tcMar>
              <w:top w:w="0" w:type="dxa"/>
              <w:left w:w="0" w:type="dxa"/>
              <w:bottom w:w="0" w:type="dxa"/>
              <w:right w:w="0" w:type="dxa"/>
            </w:tcMar>
            <w:vAlign w:val="center"/>
          </w:tcPr>
          <w:p w14:paraId="40348894">
            <w:pPr>
              <w:pStyle w:val="106"/>
              <w:bidi w:val="0"/>
              <w:jc w:val="center"/>
              <w:rPr>
                <w:rFonts w:hint="default"/>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5AC533C0">
            <w:pPr>
              <w:pStyle w:val="106"/>
              <w:bidi w:val="0"/>
              <w:jc w:val="center"/>
              <w:rPr>
                <w:rFonts w:hint="default"/>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07886930">
            <w:pPr>
              <w:pStyle w:val="106"/>
              <w:bidi w:val="0"/>
              <w:jc w:val="center"/>
              <w:rPr>
                <w:rFonts w:hint="default"/>
                <w:lang w:val="en-US" w:eastAsia="zh-CN"/>
              </w:rPr>
            </w:pPr>
            <w:r>
              <w:rPr>
                <w:rFonts w:hint="eastAsia"/>
                <w:lang w:val="en-US" w:eastAsia="zh-CN"/>
              </w:rPr>
              <w:t>45.8</w:t>
            </w:r>
          </w:p>
        </w:tc>
        <w:tc>
          <w:tcPr>
            <w:tcW w:w="177" w:type="pct"/>
            <w:tcBorders>
              <w:tl2br w:val="nil"/>
              <w:tr2bl w:val="nil"/>
            </w:tcBorders>
            <w:shd w:val="clear" w:color="auto" w:fill="FFFFFF"/>
            <w:tcMar>
              <w:top w:w="0" w:type="dxa"/>
              <w:left w:w="0" w:type="dxa"/>
              <w:bottom w:w="0" w:type="dxa"/>
              <w:right w:w="0" w:type="dxa"/>
            </w:tcMar>
            <w:vAlign w:val="center"/>
          </w:tcPr>
          <w:p w14:paraId="166C83A1">
            <w:pPr>
              <w:pStyle w:val="106"/>
              <w:bidi w:val="0"/>
              <w:jc w:val="center"/>
              <w:rPr>
                <w:rFonts w:hint="default"/>
                <w:lang w:val="en-US" w:eastAsia="zh-CN"/>
              </w:rPr>
            </w:pPr>
            <w:r>
              <w:rPr>
                <w:rFonts w:hint="eastAsia"/>
                <w:lang w:val="en-US" w:eastAsia="zh-CN"/>
              </w:rPr>
              <w:t>45.8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61AFB487">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79AC8875">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C77DF83">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402891F">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79B9FA89">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1C8C92C9">
            <w:pPr>
              <w:pStyle w:val="106"/>
              <w:bidi w:val="0"/>
              <w:jc w:val="cente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49E96246">
            <w:pPr>
              <w:pStyle w:val="106"/>
              <w:bidi w:val="0"/>
              <w:jc w:val="cente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2CA37E5C">
            <w:pPr>
              <w:pStyle w:val="106"/>
              <w:bidi w:val="0"/>
              <w:jc w:val="cente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614A8668">
            <w:pPr>
              <w:pStyle w:val="106"/>
              <w:bidi w:val="0"/>
              <w:jc w:val="center"/>
            </w:pPr>
            <w:r>
              <w:rPr>
                <w:rFonts w:hint="eastAsia"/>
                <w:lang w:val="en-US" w:eastAsia="zh-CN"/>
              </w:rPr>
              <w:t>19.8</w:t>
            </w:r>
          </w:p>
        </w:tc>
        <w:tc>
          <w:tcPr>
            <w:tcW w:w="258" w:type="pct"/>
            <w:tcBorders>
              <w:tl2br w:val="nil"/>
              <w:tr2bl w:val="nil"/>
            </w:tcBorders>
            <w:shd w:val="clear" w:color="auto" w:fill="FFFFFF"/>
            <w:tcMar>
              <w:top w:w="0" w:type="dxa"/>
              <w:left w:w="0" w:type="dxa"/>
              <w:bottom w:w="0" w:type="dxa"/>
              <w:right w:w="0" w:type="dxa"/>
            </w:tcMar>
            <w:vAlign w:val="center"/>
          </w:tcPr>
          <w:p w14:paraId="4270FBDD">
            <w:pPr>
              <w:pStyle w:val="106"/>
              <w:bidi w:val="0"/>
            </w:pPr>
            <w:r>
              <w:t>1</w:t>
            </w:r>
          </w:p>
        </w:tc>
      </w:tr>
      <w:tr w14:paraId="4C921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63D354AD">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30DA4E70">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22F9E464">
            <w:pPr>
              <w:pStyle w:val="106"/>
              <w:bidi w:val="0"/>
              <w:rPr>
                <w:rFonts w:hint="default"/>
                <w:lang w:val="en-US" w:eastAsia="zh-CN"/>
              </w:rPr>
            </w:pPr>
            <w:r>
              <w:rPr>
                <w:rFonts w:hint="eastAsia"/>
                <w:lang w:val="en-US" w:eastAsia="zh-CN"/>
              </w:rPr>
              <w:t>隧道式漂烫机2</w:t>
            </w:r>
          </w:p>
        </w:tc>
        <w:tc>
          <w:tcPr>
            <w:tcW w:w="119" w:type="pct"/>
            <w:tcBorders>
              <w:tl2br w:val="nil"/>
              <w:tr2bl w:val="nil"/>
            </w:tcBorders>
            <w:shd w:val="clear" w:color="auto" w:fill="FFFFFF"/>
            <w:tcMar>
              <w:top w:w="0" w:type="dxa"/>
              <w:left w:w="0" w:type="dxa"/>
              <w:bottom w:w="0" w:type="dxa"/>
              <w:right w:w="0" w:type="dxa"/>
            </w:tcMar>
            <w:vAlign w:val="center"/>
          </w:tcPr>
          <w:p w14:paraId="01E9E1C4">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62B9FAC">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54AEF975">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064B3AEC">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1720142E">
            <w:pPr>
              <w:pStyle w:val="106"/>
              <w:bidi w:val="0"/>
              <w:rPr>
                <w:rFonts w:hint="default"/>
                <w:lang w:val="en-US" w:eastAsia="zh-CN"/>
              </w:rPr>
            </w:pPr>
            <w:r>
              <w:rPr>
                <w:rFonts w:hint="eastAsia"/>
                <w:lang w:val="en-US" w:eastAsia="zh-CN"/>
              </w:rPr>
              <w:t>-23</w:t>
            </w:r>
          </w:p>
        </w:tc>
        <w:tc>
          <w:tcPr>
            <w:tcW w:w="173" w:type="pct"/>
            <w:tcBorders>
              <w:tl2br w:val="nil"/>
              <w:tr2bl w:val="nil"/>
            </w:tcBorders>
            <w:shd w:val="clear" w:color="auto" w:fill="FFFFFF"/>
            <w:tcMar>
              <w:top w:w="0" w:type="dxa"/>
              <w:left w:w="0" w:type="dxa"/>
              <w:bottom w:w="0" w:type="dxa"/>
              <w:right w:w="0" w:type="dxa"/>
            </w:tcMar>
            <w:vAlign w:val="center"/>
          </w:tcPr>
          <w:p w14:paraId="554A7FAF">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6D76A99F">
            <w:pPr>
              <w:pStyle w:val="106"/>
              <w:bidi w:val="0"/>
              <w:jc w:val="center"/>
              <w:rPr>
                <w:rFonts w:hint="eastAsia"/>
                <w:lang w:val="en-US" w:eastAsia="zh-CN"/>
              </w:rPr>
            </w:pPr>
            <w:r>
              <w:rPr>
                <w:rFonts w:hint="default"/>
                <w:lang w:val="en-US" w:eastAsia="zh-CN"/>
              </w:rPr>
              <w:t>88</w:t>
            </w:r>
          </w:p>
        </w:tc>
        <w:tc>
          <w:tcPr>
            <w:tcW w:w="173" w:type="pct"/>
            <w:tcBorders>
              <w:tl2br w:val="nil"/>
              <w:tr2bl w:val="nil"/>
            </w:tcBorders>
            <w:shd w:val="clear" w:color="auto" w:fill="FFFFFF"/>
            <w:tcMar>
              <w:top w:w="0" w:type="dxa"/>
              <w:left w:w="0" w:type="dxa"/>
              <w:bottom w:w="0" w:type="dxa"/>
              <w:right w:w="0" w:type="dxa"/>
            </w:tcMar>
            <w:vAlign w:val="center"/>
          </w:tcPr>
          <w:p w14:paraId="57FA9322">
            <w:pPr>
              <w:pStyle w:val="106"/>
              <w:bidi w:val="0"/>
              <w:jc w:val="center"/>
              <w:rPr>
                <w:rFonts w:hint="eastAsia"/>
                <w:lang w:val="en-US" w:eastAsia="zh-CN"/>
              </w:rPr>
            </w:pPr>
            <w:r>
              <w:rPr>
                <w:rFonts w:hint="default"/>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28D2CBF6">
            <w:pPr>
              <w:pStyle w:val="106"/>
              <w:bidi w:val="0"/>
              <w:jc w:val="center"/>
              <w:rPr>
                <w:rFonts w:hint="eastAsia"/>
                <w:lang w:val="en-US" w:eastAsia="zh-CN"/>
              </w:rPr>
            </w:pPr>
            <w:r>
              <w:rPr>
                <w:rFonts w:hint="default"/>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33292C68">
            <w:pPr>
              <w:pStyle w:val="106"/>
              <w:bidi w:val="0"/>
              <w:jc w:val="center"/>
              <w:rPr>
                <w:rFonts w:hint="eastAsia"/>
                <w:lang w:val="en-US" w:eastAsia="zh-CN"/>
              </w:rPr>
            </w:pPr>
            <w:r>
              <w:rPr>
                <w:rFonts w:hint="default"/>
                <w:lang w:val="en-US" w:eastAsia="zh-CN"/>
              </w:rPr>
              <w:t>13</w:t>
            </w:r>
          </w:p>
        </w:tc>
        <w:tc>
          <w:tcPr>
            <w:tcW w:w="173" w:type="pct"/>
            <w:tcBorders>
              <w:tl2br w:val="nil"/>
              <w:tr2bl w:val="nil"/>
            </w:tcBorders>
            <w:shd w:val="clear" w:color="auto" w:fill="FFFFFF"/>
            <w:tcMar>
              <w:top w:w="0" w:type="dxa"/>
              <w:left w:w="0" w:type="dxa"/>
              <w:bottom w:w="0" w:type="dxa"/>
              <w:right w:w="0" w:type="dxa"/>
            </w:tcMar>
            <w:vAlign w:val="center"/>
          </w:tcPr>
          <w:p w14:paraId="4CC52D32">
            <w:pPr>
              <w:pStyle w:val="106"/>
              <w:bidi w:val="0"/>
              <w:jc w:val="center"/>
              <w:rPr>
                <w:rFonts w:hint="eastAsia"/>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73B35733">
            <w:pPr>
              <w:pStyle w:val="106"/>
              <w:bidi w:val="0"/>
              <w:jc w:val="center"/>
              <w:rPr>
                <w:rFonts w:hint="eastAsia"/>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097E671A">
            <w:pPr>
              <w:pStyle w:val="106"/>
              <w:bidi w:val="0"/>
              <w:jc w:val="center"/>
              <w:rPr>
                <w:rFonts w:hint="eastAsia"/>
                <w:lang w:val="en-US" w:eastAsia="zh-CN"/>
              </w:rPr>
            </w:pPr>
            <w:r>
              <w:rPr>
                <w:rFonts w:hint="eastAsia"/>
                <w:lang w:val="en-US" w:eastAsia="zh-CN"/>
              </w:rPr>
              <w:t>45.8</w:t>
            </w:r>
          </w:p>
        </w:tc>
        <w:tc>
          <w:tcPr>
            <w:tcW w:w="177" w:type="pct"/>
            <w:tcBorders>
              <w:tl2br w:val="nil"/>
              <w:tr2bl w:val="nil"/>
            </w:tcBorders>
            <w:shd w:val="clear" w:color="auto" w:fill="FFFFFF"/>
            <w:tcMar>
              <w:top w:w="0" w:type="dxa"/>
              <w:left w:w="0" w:type="dxa"/>
              <w:bottom w:w="0" w:type="dxa"/>
              <w:right w:w="0" w:type="dxa"/>
            </w:tcMar>
            <w:vAlign w:val="center"/>
          </w:tcPr>
          <w:p w14:paraId="2012BF44">
            <w:pPr>
              <w:pStyle w:val="106"/>
              <w:bidi w:val="0"/>
              <w:jc w:val="center"/>
              <w:rPr>
                <w:rFonts w:hint="eastAsia"/>
                <w:lang w:val="en-US" w:eastAsia="zh-CN"/>
              </w:rPr>
            </w:pPr>
            <w:r>
              <w:rPr>
                <w:rFonts w:hint="eastAsia"/>
                <w:lang w:val="en-US" w:eastAsia="zh-CN"/>
              </w:rPr>
              <w:t>45.8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696CCC37">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6BA78849">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2D88E36">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A29D5AB">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603A9C44">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6A787D44">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729535B8">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148F7C95">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05C3CB59">
            <w:pPr>
              <w:pStyle w:val="106"/>
              <w:bidi w:val="0"/>
              <w:jc w:val="center"/>
              <w:rPr>
                <w:rFonts w:hint="eastAsia"/>
                <w:lang w:val="en-US" w:eastAsia="zh-CN"/>
              </w:rPr>
            </w:pPr>
            <w:r>
              <w:rPr>
                <w:rFonts w:hint="eastAsia"/>
                <w:lang w:val="en-US" w:eastAsia="zh-CN"/>
              </w:rPr>
              <w:t>19.8</w:t>
            </w:r>
          </w:p>
        </w:tc>
        <w:tc>
          <w:tcPr>
            <w:tcW w:w="258" w:type="pct"/>
            <w:tcBorders>
              <w:tl2br w:val="nil"/>
              <w:tr2bl w:val="nil"/>
            </w:tcBorders>
            <w:shd w:val="clear" w:color="auto" w:fill="FFFFFF"/>
            <w:tcMar>
              <w:top w:w="0" w:type="dxa"/>
              <w:left w:w="0" w:type="dxa"/>
              <w:bottom w:w="0" w:type="dxa"/>
              <w:right w:w="0" w:type="dxa"/>
            </w:tcMar>
            <w:vAlign w:val="center"/>
          </w:tcPr>
          <w:p w14:paraId="5521E93B">
            <w:pPr>
              <w:pStyle w:val="106"/>
              <w:bidi w:val="0"/>
            </w:pPr>
            <w:r>
              <w:t>1</w:t>
            </w:r>
          </w:p>
        </w:tc>
      </w:tr>
      <w:tr w14:paraId="16429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48FFA2DC">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68047858">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09EF4276">
            <w:pPr>
              <w:pStyle w:val="106"/>
              <w:bidi w:val="0"/>
              <w:rPr>
                <w:rFonts w:hint="default"/>
                <w:lang w:val="en-US" w:eastAsia="zh-CN"/>
              </w:rPr>
            </w:pPr>
            <w:r>
              <w:rPr>
                <w:rFonts w:hint="eastAsia"/>
                <w:lang w:val="en-US" w:eastAsia="zh-CN"/>
              </w:rPr>
              <w:t>隧道式漂烫机3</w:t>
            </w:r>
          </w:p>
        </w:tc>
        <w:tc>
          <w:tcPr>
            <w:tcW w:w="119" w:type="pct"/>
            <w:tcBorders>
              <w:tl2br w:val="nil"/>
              <w:tr2bl w:val="nil"/>
            </w:tcBorders>
            <w:shd w:val="clear" w:color="auto" w:fill="FFFFFF"/>
            <w:tcMar>
              <w:top w:w="0" w:type="dxa"/>
              <w:left w:w="0" w:type="dxa"/>
              <w:bottom w:w="0" w:type="dxa"/>
              <w:right w:w="0" w:type="dxa"/>
            </w:tcMar>
            <w:vAlign w:val="center"/>
          </w:tcPr>
          <w:p w14:paraId="6525B92A">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14F44A9C">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7E2B1F4C">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4C1338AF">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56D5E5F0">
            <w:pPr>
              <w:pStyle w:val="106"/>
              <w:bidi w:val="0"/>
              <w:rPr>
                <w:rFonts w:hint="default"/>
                <w:lang w:val="en-US" w:eastAsia="zh-CN"/>
              </w:rPr>
            </w:pPr>
            <w:r>
              <w:rPr>
                <w:rFonts w:hint="eastAsia"/>
                <w:lang w:val="en-US" w:eastAsia="zh-CN"/>
              </w:rPr>
              <w:t>-26</w:t>
            </w:r>
          </w:p>
        </w:tc>
        <w:tc>
          <w:tcPr>
            <w:tcW w:w="173" w:type="pct"/>
            <w:tcBorders>
              <w:tl2br w:val="nil"/>
              <w:tr2bl w:val="nil"/>
            </w:tcBorders>
            <w:shd w:val="clear" w:color="auto" w:fill="FFFFFF"/>
            <w:tcMar>
              <w:top w:w="0" w:type="dxa"/>
              <w:left w:w="0" w:type="dxa"/>
              <w:bottom w:w="0" w:type="dxa"/>
              <w:right w:w="0" w:type="dxa"/>
            </w:tcMar>
            <w:vAlign w:val="center"/>
          </w:tcPr>
          <w:p w14:paraId="546E2980">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49F5E5A9">
            <w:pPr>
              <w:pStyle w:val="106"/>
              <w:bidi w:val="0"/>
              <w:jc w:val="center"/>
              <w:rPr>
                <w:rFonts w:hint="eastAsia"/>
                <w:lang w:val="en-US" w:eastAsia="zh-CN"/>
              </w:rPr>
            </w:pPr>
            <w:r>
              <w:rPr>
                <w:rFonts w:hint="default"/>
                <w:lang w:val="en-US" w:eastAsia="zh-CN"/>
              </w:rPr>
              <w:t>88</w:t>
            </w:r>
          </w:p>
        </w:tc>
        <w:tc>
          <w:tcPr>
            <w:tcW w:w="173" w:type="pct"/>
            <w:tcBorders>
              <w:tl2br w:val="nil"/>
              <w:tr2bl w:val="nil"/>
            </w:tcBorders>
            <w:shd w:val="clear" w:color="auto" w:fill="FFFFFF"/>
            <w:tcMar>
              <w:top w:w="0" w:type="dxa"/>
              <w:left w:w="0" w:type="dxa"/>
              <w:bottom w:w="0" w:type="dxa"/>
              <w:right w:w="0" w:type="dxa"/>
            </w:tcMar>
            <w:vAlign w:val="center"/>
          </w:tcPr>
          <w:p w14:paraId="6B49A942">
            <w:pPr>
              <w:pStyle w:val="106"/>
              <w:bidi w:val="0"/>
              <w:jc w:val="center"/>
              <w:rPr>
                <w:rFonts w:hint="eastAsia"/>
                <w:lang w:val="en-US" w:eastAsia="zh-CN"/>
              </w:rPr>
            </w:pPr>
            <w:r>
              <w:rPr>
                <w:rFonts w:hint="default"/>
                <w:lang w:val="en-US" w:eastAsia="zh-CN"/>
              </w:rPr>
              <w:t>34</w:t>
            </w:r>
          </w:p>
        </w:tc>
        <w:tc>
          <w:tcPr>
            <w:tcW w:w="173" w:type="pct"/>
            <w:tcBorders>
              <w:tl2br w:val="nil"/>
              <w:tr2bl w:val="nil"/>
            </w:tcBorders>
            <w:shd w:val="clear" w:color="auto" w:fill="FFFFFF"/>
            <w:tcMar>
              <w:top w:w="0" w:type="dxa"/>
              <w:left w:w="0" w:type="dxa"/>
              <w:bottom w:w="0" w:type="dxa"/>
              <w:right w:w="0" w:type="dxa"/>
            </w:tcMar>
            <w:vAlign w:val="center"/>
          </w:tcPr>
          <w:p w14:paraId="723DBE74">
            <w:pPr>
              <w:pStyle w:val="106"/>
              <w:bidi w:val="0"/>
              <w:jc w:val="center"/>
              <w:rPr>
                <w:rFonts w:hint="eastAsia"/>
                <w:lang w:val="en-US" w:eastAsia="zh-CN"/>
              </w:rPr>
            </w:pPr>
            <w:r>
              <w:rPr>
                <w:rFonts w:hint="default"/>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43FC9131">
            <w:pPr>
              <w:pStyle w:val="106"/>
              <w:bidi w:val="0"/>
              <w:jc w:val="center"/>
              <w:rPr>
                <w:rFonts w:hint="eastAsia"/>
                <w:lang w:val="en-US" w:eastAsia="zh-CN"/>
              </w:rPr>
            </w:pPr>
            <w:r>
              <w:rPr>
                <w:rFonts w:hint="default"/>
                <w:lang w:val="en-US" w:eastAsia="zh-CN"/>
              </w:rPr>
              <w:t>16</w:t>
            </w:r>
          </w:p>
        </w:tc>
        <w:tc>
          <w:tcPr>
            <w:tcW w:w="173" w:type="pct"/>
            <w:tcBorders>
              <w:tl2br w:val="nil"/>
              <w:tr2bl w:val="nil"/>
            </w:tcBorders>
            <w:shd w:val="clear" w:color="auto" w:fill="FFFFFF"/>
            <w:tcMar>
              <w:top w:w="0" w:type="dxa"/>
              <w:left w:w="0" w:type="dxa"/>
              <w:bottom w:w="0" w:type="dxa"/>
              <w:right w:w="0" w:type="dxa"/>
            </w:tcMar>
            <w:vAlign w:val="center"/>
          </w:tcPr>
          <w:p w14:paraId="26BA3BA1">
            <w:pPr>
              <w:pStyle w:val="106"/>
              <w:bidi w:val="0"/>
              <w:jc w:val="center"/>
              <w:rPr>
                <w:rFonts w:hint="eastAsia"/>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2C546171">
            <w:pPr>
              <w:pStyle w:val="106"/>
              <w:bidi w:val="0"/>
              <w:jc w:val="center"/>
              <w:rPr>
                <w:rFonts w:hint="eastAsia"/>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59D2EE32">
            <w:pPr>
              <w:pStyle w:val="106"/>
              <w:bidi w:val="0"/>
              <w:jc w:val="center"/>
              <w:rPr>
                <w:rFonts w:hint="eastAsia"/>
                <w:lang w:val="en-US" w:eastAsia="zh-CN"/>
              </w:rPr>
            </w:pPr>
            <w:r>
              <w:rPr>
                <w:rFonts w:hint="eastAsia"/>
                <w:lang w:val="en-US" w:eastAsia="zh-CN"/>
              </w:rPr>
              <w:t>45.8</w:t>
            </w:r>
          </w:p>
        </w:tc>
        <w:tc>
          <w:tcPr>
            <w:tcW w:w="177" w:type="pct"/>
            <w:tcBorders>
              <w:tl2br w:val="nil"/>
              <w:tr2bl w:val="nil"/>
            </w:tcBorders>
            <w:shd w:val="clear" w:color="auto" w:fill="FFFFFF"/>
            <w:tcMar>
              <w:top w:w="0" w:type="dxa"/>
              <w:left w:w="0" w:type="dxa"/>
              <w:bottom w:w="0" w:type="dxa"/>
              <w:right w:w="0" w:type="dxa"/>
            </w:tcMar>
            <w:vAlign w:val="center"/>
          </w:tcPr>
          <w:p w14:paraId="0882303D">
            <w:pPr>
              <w:pStyle w:val="106"/>
              <w:bidi w:val="0"/>
              <w:jc w:val="center"/>
              <w:rPr>
                <w:rFonts w:hint="eastAsia"/>
                <w:lang w:val="en-US" w:eastAsia="zh-CN"/>
              </w:rPr>
            </w:pPr>
            <w:r>
              <w:rPr>
                <w:rFonts w:hint="eastAsia"/>
                <w:lang w:val="en-US" w:eastAsia="zh-CN"/>
              </w:rPr>
              <w:t>45.8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23E36FA9">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F17E53E">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E2FFEA1">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DF6ED7A">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7EF11512">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16DB7685">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259E673D">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14C4E250">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6B1D1631">
            <w:pPr>
              <w:pStyle w:val="106"/>
              <w:bidi w:val="0"/>
              <w:jc w:val="center"/>
              <w:rPr>
                <w:rFonts w:hint="eastAsia"/>
                <w:lang w:val="en-US" w:eastAsia="zh-CN"/>
              </w:rPr>
            </w:pPr>
            <w:r>
              <w:rPr>
                <w:rFonts w:hint="eastAsia"/>
                <w:lang w:val="en-US" w:eastAsia="zh-CN"/>
              </w:rPr>
              <w:t>19.8</w:t>
            </w:r>
          </w:p>
        </w:tc>
        <w:tc>
          <w:tcPr>
            <w:tcW w:w="258" w:type="pct"/>
            <w:tcBorders>
              <w:tl2br w:val="nil"/>
              <w:tr2bl w:val="nil"/>
            </w:tcBorders>
            <w:shd w:val="clear" w:color="auto" w:fill="FFFFFF"/>
            <w:tcMar>
              <w:top w:w="0" w:type="dxa"/>
              <w:left w:w="0" w:type="dxa"/>
              <w:bottom w:w="0" w:type="dxa"/>
              <w:right w:w="0" w:type="dxa"/>
            </w:tcMar>
            <w:vAlign w:val="center"/>
          </w:tcPr>
          <w:p w14:paraId="4DA9CFEB">
            <w:pPr>
              <w:pStyle w:val="106"/>
              <w:bidi w:val="0"/>
            </w:pPr>
            <w:r>
              <w:t>1</w:t>
            </w:r>
          </w:p>
        </w:tc>
      </w:tr>
      <w:tr w14:paraId="39770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5AA0C14D">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21E847A1">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2533DE6C">
            <w:pPr>
              <w:pStyle w:val="106"/>
              <w:bidi w:val="0"/>
              <w:rPr>
                <w:rFonts w:hint="default"/>
                <w:lang w:val="en-US" w:eastAsia="zh-CN"/>
              </w:rPr>
            </w:pPr>
            <w:r>
              <w:rPr>
                <w:rFonts w:hint="eastAsia"/>
                <w:lang w:val="en-US" w:eastAsia="zh-CN"/>
              </w:rPr>
              <w:t>隧道式漂烫机4</w:t>
            </w:r>
          </w:p>
        </w:tc>
        <w:tc>
          <w:tcPr>
            <w:tcW w:w="119" w:type="pct"/>
            <w:tcBorders>
              <w:tl2br w:val="nil"/>
              <w:tr2bl w:val="nil"/>
            </w:tcBorders>
            <w:shd w:val="clear" w:color="auto" w:fill="FFFFFF"/>
            <w:tcMar>
              <w:top w:w="0" w:type="dxa"/>
              <w:left w:w="0" w:type="dxa"/>
              <w:bottom w:w="0" w:type="dxa"/>
              <w:right w:w="0" w:type="dxa"/>
            </w:tcMar>
            <w:vAlign w:val="center"/>
          </w:tcPr>
          <w:p w14:paraId="648FFA4F">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00F9ADC7">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388625C1">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3D384D8F">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36A060DC">
            <w:pPr>
              <w:pStyle w:val="106"/>
              <w:bidi w:val="0"/>
              <w:rPr>
                <w:rFonts w:hint="default"/>
                <w:lang w:val="en-US" w:eastAsia="zh-CN"/>
              </w:rPr>
            </w:pPr>
            <w:r>
              <w:rPr>
                <w:rFonts w:hint="eastAsia"/>
                <w:lang w:val="en-US" w:eastAsia="zh-CN"/>
              </w:rPr>
              <w:t>-29</w:t>
            </w:r>
          </w:p>
        </w:tc>
        <w:tc>
          <w:tcPr>
            <w:tcW w:w="173" w:type="pct"/>
            <w:tcBorders>
              <w:tl2br w:val="nil"/>
              <w:tr2bl w:val="nil"/>
            </w:tcBorders>
            <w:shd w:val="clear" w:color="auto" w:fill="FFFFFF"/>
            <w:tcMar>
              <w:top w:w="0" w:type="dxa"/>
              <w:left w:w="0" w:type="dxa"/>
              <w:bottom w:w="0" w:type="dxa"/>
              <w:right w:w="0" w:type="dxa"/>
            </w:tcMar>
            <w:vAlign w:val="center"/>
          </w:tcPr>
          <w:p w14:paraId="6F298890">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2CF5BBE1">
            <w:pPr>
              <w:pStyle w:val="106"/>
              <w:bidi w:val="0"/>
              <w:jc w:val="center"/>
              <w:rPr>
                <w:rFonts w:hint="eastAsia"/>
                <w:lang w:val="en-US" w:eastAsia="zh-CN"/>
              </w:rPr>
            </w:pPr>
            <w:r>
              <w:rPr>
                <w:rFonts w:hint="default"/>
                <w:lang w:val="en-US" w:eastAsia="zh-CN"/>
              </w:rPr>
              <w:t>88</w:t>
            </w:r>
          </w:p>
        </w:tc>
        <w:tc>
          <w:tcPr>
            <w:tcW w:w="173" w:type="pct"/>
            <w:tcBorders>
              <w:tl2br w:val="nil"/>
              <w:tr2bl w:val="nil"/>
            </w:tcBorders>
            <w:shd w:val="clear" w:color="auto" w:fill="FFFFFF"/>
            <w:tcMar>
              <w:top w:w="0" w:type="dxa"/>
              <w:left w:w="0" w:type="dxa"/>
              <w:bottom w:w="0" w:type="dxa"/>
              <w:right w:w="0" w:type="dxa"/>
            </w:tcMar>
            <w:vAlign w:val="center"/>
          </w:tcPr>
          <w:p w14:paraId="1884D1C3">
            <w:pPr>
              <w:pStyle w:val="106"/>
              <w:bidi w:val="0"/>
              <w:jc w:val="center"/>
              <w:rPr>
                <w:rFonts w:hint="eastAsia"/>
                <w:lang w:val="en-US" w:eastAsia="zh-CN"/>
              </w:rPr>
            </w:pPr>
            <w:r>
              <w:rPr>
                <w:rFonts w:hint="default"/>
                <w:lang w:val="en-US" w:eastAsia="zh-CN"/>
              </w:rPr>
              <w:t>31</w:t>
            </w:r>
          </w:p>
        </w:tc>
        <w:tc>
          <w:tcPr>
            <w:tcW w:w="173" w:type="pct"/>
            <w:tcBorders>
              <w:tl2br w:val="nil"/>
              <w:tr2bl w:val="nil"/>
            </w:tcBorders>
            <w:shd w:val="clear" w:color="auto" w:fill="FFFFFF"/>
            <w:tcMar>
              <w:top w:w="0" w:type="dxa"/>
              <w:left w:w="0" w:type="dxa"/>
              <w:bottom w:w="0" w:type="dxa"/>
              <w:right w:w="0" w:type="dxa"/>
            </w:tcMar>
            <w:vAlign w:val="center"/>
          </w:tcPr>
          <w:p w14:paraId="4BE3D700">
            <w:pPr>
              <w:pStyle w:val="106"/>
              <w:bidi w:val="0"/>
              <w:jc w:val="center"/>
              <w:rPr>
                <w:rFonts w:hint="eastAsia"/>
                <w:lang w:val="en-US" w:eastAsia="zh-CN"/>
              </w:rPr>
            </w:pPr>
            <w:r>
              <w:rPr>
                <w:rFonts w:hint="default"/>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30831682">
            <w:pPr>
              <w:pStyle w:val="106"/>
              <w:bidi w:val="0"/>
              <w:jc w:val="center"/>
              <w:rPr>
                <w:rFonts w:hint="eastAsia"/>
                <w:lang w:val="en-US" w:eastAsia="zh-CN"/>
              </w:rPr>
            </w:pPr>
            <w:r>
              <w:rPr>
                <w:rFonts w:hint="default"/>
                <w:lang w:val="en-US" w:eastAsia="zh-CN"/>
              </w:rPr>
              <w:t>19</w:t>
            </w:r>
          </w:p>
        </w:tc>
        <w:tc>
          <w:tcPr>
            <w:tcW w:w="173" w:type="pct"/>
            <w:tcBorders>
              <w:tl2br w:val="nil"/>
              <w:tr2bl w:val="nil"/>
            </w:tcBorders>
            <w:shd w:val="clear" w:color="auto" w:fill="FFFFFF"/>
            <w:tcMar>
              <w:top w:w="0" w:type="dxa"/>
              <w:left w:w="0" w:type="dxa"/>
              <w:bottom w:w="0" w:type="dxa"/>
              <w:right w:w="0" w:type="dxa"/>
            </w:tcMar>
            <w:vAlign w:val="center"/>
          </w:tcPr>
          <w:p w14:paraId="43B96082">
            <w:pPr>
              <w:pStyle w:val="106"/>
              <w:bidi w:val="0"/>
              <w:jc w:val="center"/>
              <w:rPr>
                <w:rFonts w:hint="eastAsia"/>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05A61A4A">
            <w:pPr>
              <w:pStyle w:val="106"/>
              <w:bidi w:val="0"/>
              <w:jc w:val="center"/>
              <w:rPr>
                <w:rFonts w:hint="eastAsia"/>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20954B2D">
            <w:pPr>
              <w:pStyle w:val="106"/>
              <w:bidi w:val="0"/>
              <w:jc w:val="center"/>
              <w:rPr>
                <w:rFonts w:hint="eastAsia"/>
                <w:lang w:val="en-US" w:eastAsia="zh-CN"/>
              </w:rPr>
            </w:pPr>
            <w:r>
              <w:rPr>
                <w:rFonts w:hint="eastAsia"/>
                <w:lang w:val="en-US" w:eastAsia="zh-CN"/>
              </w:rPr>
              <w:t>45.8</w:t>
            </w:r>
          </w:p>
        </w:tc>
        <w:tc>
          <w:tcPr>
            <w:tcW w:w="177" w:type="pct"/>
            <w:tcBorders>
              <w:tl2br w:val="nil"/>
              <w:tr2bl w:val="nil"/>
            </w:tcBorders>
            <w:shd w:val="clear" w:color="auto" w:fill="FFFFFF"/>
            <w:tcMar>
              <w:top w:w="0" w:type="dxa"/>
              <w:left w:w="0" w:type="dxa"/>
              <w:bottom w:w="0" w:type="dxa"/>
              <w:right w:w="0" w:type="dxa"/>
            </w:tcMar>
            <w:vAlign w:val="center"/>
          </w:tcPr>
          <w:p w14:paraId="0B4A1053">
            <w:pPr>
              <w:pStyle w:val="106"/>
              <w:bidi w:val="0"/>
              <w:jc w:val="center"/>
              <w:rPr>
                <w:rFonts w:hint="eastAsia"/>
                <w:lang w:val="en-US" w:eastAsia="zh-CN"/>
              </w:rPr>
            </w:pPr>
            <w:r>
              <w:rPr>
                <w:rFonts w:hint="eastAsia"/>
                <w:lang w:val="en-US" w:eastAsia="zh-CN"/>
              </w:rPr>
              <w:t>45.8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9BF7639">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43FF7803">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2A715C3">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6FECFA6">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198C8ED9">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4E3D4BDC">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3F7E7DAC">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2048DF3B">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1C248F79">
            <w:pPr>
              <w:pStyle w:val="106"/>
              <w:bidi w:val="0"/>
              <w:jc w:val="center"/>
              <w:rPr>
                <w:rFonts w:hint="eastAsia"/>
                <w:lang w:val="en-US" w:eastAsia="zh-CN"/>
              </w:rPr>
            </w:pPr>
            <w:r>
              <w:rPr>
                <w:rFonts w:hint="eastAsia"/>
                <w:lang w:val="en-US" w:eastAsia="zh-CN"/>
              </w:rPr>
              <w:t>19.8</w:t>
            </w:r>
          </w:p>
        </w:tc>
        <w:tc>
          <w:tcPr>
            <w:tcW w:w="258" w:type="pct"/>
            <w:tcBorders>
              <w:tl2br w:val="nil"/>
              <w:tr2bl w:val="nil"/>
            </w:tcBorders>
            <w:shd w:val="clear" w:color="auto" w:fill="FFFFFF"/>
            <w:tcMar>
              <w:top w:w="0" w:type="dxa"/>
              <w:left w:w="0" w:type="dxa"/>
              <w:bottom w:w="0" w:type="dxa"/>
              <w:right w:w="0" w:type="dxa"/>
            </w:tcMar>
            <w:vAlign w:val="center"/>
          </w:tcPr>
          <w:p w14:paraId="6A3F66E8">
            <w:pPr>
              <w:pStyle w:val="106"/>
              <w:bidi w:val="0"/>
            </w:pPr>
            <w:r>
              <w:t>1</w:t>
            </w:r>
          </w:p>
        </w:tc>
      </w:tr>
      <w:tr w14:paraId="4AB76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04807CCB">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256DA261">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6447C0BB">
            <w:pPr>
              <w:pStyle w:val="106"/>
              <w:bidi w:val="0"/>
              <w:rPr>
                <w:rFonts w:hint="default"/>
                <w:lang w:val="en-US" w:eastAsia="zh-CN"/>
              </w:rPr>
            </w:pPr>
            <w:r>
              <w:rPr>
                <w:rFonts w:hint="eastAsia"/>
                <w:lang w:val="en-US" w:eastAsia="zh-CN"/>
              </w:rPr>
              <w:t>螺旋速冻机1</w:t>
            </w:r>
          </w:p>
        </w:tc>
        <w:tc>
          <w:tcPr>
            <w:tcW w:w="119" w:type="pct"/>
            <w:tcBorders>
              <w:tl2br w:val="nil"/>
              <w:tr2bl w:val="nil"/>
            </w:tcBorders>
            <w:shd w:val="clear" w:color="auto" w:fill="FFFFFF"/>
            <w:tcMar>
              <w:top w:w="0" w:type="dxa"/>
              <w:left w:w="0" w:type="dxa"/>
              <w:bottom w:w="0" w:type="dxa"/>
              <w:right w:w="0" w:type="dxa"/>
            </w:tcMar>
            <w:vAlign w:val="center"/>
          </w:tcPr>
          <w:p w14:paraId="136E16B5">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25762C66">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60DD8005">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03422311">
            <w:pPr>
              <w:pStyle w:val="106"/>
              <w:bidi w:val="0"/>
              <w:rPr>
                <w:rFonts w:hint="default"/>
                <w:lang w:val="en-US" w:eastAsia="zh-CN"/>
              </w:rPr>
            </w:pPr>
            <w:r>
              <w:rPr>
                <w:rFonts w:hint="eastAsia"/>
                <w:lang w:val="en-US" w:eastAsia="zh-CN"/>
              </w:rPr>
              <w:t>20</w:t>
            </w:r>
          </w:p>
        </w:tc>
        <w:tc>
          <w:tcPr>
            <w:tcW w:w="173" w:type="pct"/>
            <w:tcBorders>
              <w:tl2br w:val="nil"/>
              <w:tr2bl w:val="nil"/>
            </w:tcBorders>
            <w:shd w:val="clear" w:color="auto" w:fill="FFFFFF"/>
            <w:tcMar>
              <w:top w:w="0" w:type="dxa"/>
              <w:left w:w="0" w:type="dxa"/>
              <w:bottom w:w="0" w:type="dxa"/>
              <w:right w:w="0" w:type="dxa"/>
            </w:tcMar>
            <w:vAlign w:val="center"/>
          </w:tcPr>
          <w:p w14:paraId="6F97E35D">
            <w:pPr>
              <w:pStyle w:val="106"/>
              <w:bidi w:val="0"/>
              <w:rPr>
                <w:rFonts w:hint="default"/>
                <w:lang w:val="en-US" w:eastAsia="zh-CN"/>
              </w:rPr>
            </w:pPr>
            <w:r>
              <w:rPr>
                <w:rFonts w:hint="eastAsia"/>
                <w:lang w:val="en-US" w:eastAsia="zh-CN"/>
              </w:rPr>
              <w:t>-22</w:t>
            </w:r>
          </w:p>
        </w:tc>
        <w:tc>
          <w:tcPr>
            <w:tcW w:w="173" w:type="pct"/>
            <w:tcBorders>
              <w:tl2br w:val="nil"/>
              <w:tr2bl w:val="nil"/>
            </w:tcBorders>
            <w:shd w:val="clear" w:color="auto" w:fill="FFFFFF"/>
            <w:tcMar>
              <w:top w:w="0" w:type="dxa"/>
              <w:left w:w="0" w:type="dxa"/>
              <w:bottom w:w="0" w:type="dxa"/>
              <w:right w:w="0" w:type="dxa"/>
            </w:tcMar>
            <w:vAlign w:val="center"/>
          </w:tcPr>
          <w:p w14:paraId="759BA064">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30DA3083">
            <w:pPr>
              <w:pStyle w:val="106"/>
              <w:bidi w:val="0"/>
              <w:jc w:val="center"/>
              <w:rPr>
                <w:rFonts w:hint="default"/>
                <w:lang w:val="en-US"/>
              </w:rPr>
            </w:pPr>
            <w:r>
              <w:rPr>
                <w:rFonts w:hint="default"/>
                <w:lang w:val="en-US" w:eastAsia="zh-CN"/>
              </w:rPr>
              <w:t>43</w:t>
            </w:r>
          </w:p>
        </w:tc>
        <w:tc>
          <w:tcPr>
            <w:tcW w:w="173" w:type="pct"/>
            <w:tcBorders>
              <w:tl2br w:val="nil"/>
              <w:tr2bl w:val="nil"/>
            </w:tcBorders>
            <w:shd w:val="clear" w:color="auto" w:fill="FFFFFF"/>
            <w:tcMar>
              <w:top w:w="0" w:type="dxa"/>
              <w:left w:w="0" w:type="dxa"/>
              <w:bottom w:w="0" w:type="dxa"/>
              <w:right w:w="0" w:type="dxa"/>
            </w:tcMar>
            <w:vAlign w:val="center"/>
          </w:tcPr>
          <w:p w14:paraId="7CE8C739">
            <w:pPr>
              <w:pStyle w:val="106"/>
              <w:bidi w:val="0"/>
              <w:jc w:val="center"/>
            </w:pPr>
            <w:r>
              <w:rPr>
                <w:rFonts w:hint="default"/>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45A97184">
            <w:pPr>
              <w:pStyle w:val="106"/>
              <w:bidi w:val="0"/>
              <w:jc w:val="center"/>
              <w:rPr>
                <w:rFonts w:hint="default"/>
                <w:lang w:val="en-US"/>
              </w:rPr>
            </w:pPr>
            <w:r>
              <w:rPr>
                <w:rFonts w:hint="default"/>
                <w:lang w:val="en-US" w:eastAsia="zh-CN"/>
              </w:rPr>
              <w:t>83</w:t>
            </w:r>
          </w:p>
        </w:tc>
        <w:tc>
          <w:tcPr>
            <w:tcW w:w="173" w:type="pct"/>
            <w:tcBorders>
              <w:tl2br w:val="nil"/>
              <w:tr2bl w:val="nil"/>
            </w:tcBorders>
            <w:shd w:val="clear" w:color="auto" w:fill="FFFFFF"/>
            <w:tcMar>
              <w:top w:w="0" w:type="dxa"/>
              <w:left w:w="0" w:type="dxa"/>
              <w:bottom w:w="0" w:type="dxa"/>
              <w:right w:w="0" w:type="dxa"/>
            </w:tcMar>
            <w:vAlign w:val="center"/>
          </w:tcPr>
          <w:p w14:paraId="2DDFA680">
            <w:pPr>
              <w:pStyle w:val="106"/>
              <w:bidi w:val="0"/>
              <w:jc w:val="center"/>
            </w:pPr>
            <w:r>
              <w:rPr>
                <w:rFonts w:hint="default"/>
                <w:lang w:val="en-US" w:eastAsia="zh-CN"/>
              </w:rPr>
              <w:t>12</w:t>
            </w:r>
          </w:p>
        </w:tc>
        <w:tc>
          <w:tcPr>
            <w:tcW w:w="173" w:type="pct"/>
            <w:tcBorders>
              <w:tl2br w:val="nil"/>
              <w:tr2bl w:val="nil"/>
            </w:tcBorders>
            <w:shd w:val="clear" w:color="auto" w:fill="FFFFFF"/>
            <w:tcMar>
              <w:top w:w="0" w:type="dxa"/>
              <w:left w:w="0" w:type="dxa"/>
              <w:bottom w:w="0" w:type="dxa"/>
              <w:right w:w="0" w:type="dxa"/>
            </w:tcMar>
            <w:vAlign w:val="center"/>
          </w:tcPr>
          <w:p w14:paraId="400628DB">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7CA9046B">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1754BBE0">
            <w:pPr>
              <w:pStyle w:val="106"/>
              <w:bidi w:val="0"/>
              <w:jc w:val="center"/>
              <w:rPr>
                <w:rFonts w:hint="default"/>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449EF7BD">
            <w:pPr>
              <w:pStyle w:val="106"/>
              <w:bidi w:val="0"/>
              <w:jc w:val="center"/>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9140225">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85EFF67">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167DA1C">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45014929">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00BC20BD">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22B4D8FD">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0DB30A72">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1387D519">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310C4F6">
            <w:pPr>
              <w:pStyle w:val="106"/>
              <w:bidi w:val="0"/>
              <w:jc w:val="cente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2E94724F">
            <w:pPr>
              <w:pStyle w:val="106"/>
              <w:bidi w:val="0"/>
            </w:pPr>
            <w:r>
              <w:t>1</w:t>
            </w:r>
          </w:p>
        </w:tc>
      </w:tr>
      <w:tr w14:paraId="51A93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7ABB10C0">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2F722989">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275048A2">
            <w:pPr>
              <w:pStyle w:val="106"/>
              <w:bidi w:val="0"/>
              <w:rPr>
                <w:rFonts w:hint="default"/>
                <w:lang w:val="en-US" w:eastAsia="zh-CN"/>
              </w:rPr>
            </w:pPr>
            <w:r>
              <w:rPr>
                <w:rFonts w:hint="eastAsia"/>
                <w:lang w:val="en-US" w:eastAsia="zh-CN"/>
              </w:rPr>
              <w:t>螺旋速冻机2</w:t>
            </w:r>
          </w:p>
        </w:tc>
        <w:tc>
          <w:tcPr>
            <w:tcW w:w="119" w:type="pct"/>
            <w:tcBorders>
              <w:tl2br w:val="nil"/>
              <w:tr2bl w:val="nil"/>
            </w:tcBorders>
            <w:shd w:val="clear" w:color="auto" w:fill="FFFFFF"/>
            <w:tcMar>
              <w:top w:w="0" w:type="dxa"/>
              <w:left w:w="0" w:type="dxa"/>
              <w:bottom w:w="0" w:type="dxa"/>
              <w:right w:w="0" w:type="dxa"/>
            </w:tcMar>
            <w:vAlign w:val="center"/>
          </w:tcPr>
          <w:p w14:paraId="0328CBAC">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2D5807F5">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2E4DF71A">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01CF9BD3">
            <w:pPr>
              <w:pStyle w:val="106"/>
              <w:bidi w:val="0"/>
              <w:rPr>
                <w:rFonts w:hint="default"/>
                <w:lang w:val="en-US" w:eastAsia="zh-CN"/>
              </w:rPr>
            </w:pPr>
            <w:r>
              <w:rPr>
                <w:rFonts w:hint="eastAsia"/>
                <w:lang w:val="en-US" w:eastAsia="zh-CN"/>
              </w:rPr>
              <w:t>20</w:t>
            </w:r>
          </w:p>
        </w:tc>
        <w:tc>
          <w:tcPr>
            <w:tcW w:w="173" w:type="pct"/>
            <w:tcBorders>
              <w:tl2br w:val="nil"/>
              <w:tr2bl w:val="nil"/>
            </w:tcBorders>
            <w:shd w:val="clear" w:color="auto" w:fill="FFFFFF"/>
            <w:tcMar>
              <w:top w:w="0" w:type="dxa"/>
              <w:left w:w="0" w:type="dxa"/>
              <w:bottom w:w="0" w:type="dxa"/>
              <w:right w:w="0" w:type="dxa"/>
            </w:tcMar>
            <w:vAlign w:val="center"/>
          </w:tcPr>
          <w:p w14:paraId="19E5DA52">
            <w:pPr>
              <w:pStyle w:val="106"/>
              <w:bidi w:val="0"/>
              <w:rPr>
                <w:rFonts w:hint="default"/>
                <w:lang w:val="en-US" w:eastAsia="zh-CN"/>
              </w:rPr>
            </w:pPr>
            <w:r>
              <w:rPr>
                <w:rFonts w:hint="eastAsia"/>
                <w:lang w:val="en-US" w:eastAsia="zh-CN"/>
              </w:rPr>
              <w:t>-28</w:t>
            </w:r>
          </w:p>
        </w:tc>
        <w:tc>
          <w:tcPr>
            <w:tcW w:w="173" w:type="pct"/>
            <w:tcBorders>
              <w:tl2br w:val="nil"/>
              <w:tr2bl w:val="nil"/>
            </w:tcBorders>
            <w:shd w:val="clear" w:color="auto" w:fill="FFFFFF"/>
            <w:tcMar>
              <w:top w:w="0" w:type="dxa"/>
              <w:left w:w="0" w:type="dxa"/>
              <w:bottom w:w="0" w:type="dxa"/>
              <w:right w:w="0" w:type="dxa"/>
            </w:tcMar>
            <w:vAlign w:val="center"/>
          </w:tcPr>
          <w:p w14:paraId="15AC48B9">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13168330">
            <w:pPr>
              <w:pStyle w:val="106"/>
              <w:bidi w:val="0"/>
              <w:jc w:val="center"/>
              <w:rPr>
                <w:rFonts w:hint="eastAsia"/>
                <w:lang w:val="en-US" w:eastAsia="zh-CN"/>
              </w:rPr>
            </w:pPr>
            <w:r>
              <w:rPr>
                <w:rFonts w:hint="default"/>
                <w:lang w:val="en-US" w:eastAsia="zh-CN"/>
              </w:rPr>
              <w:t>43</w:t>
            </w:r>
          </w:p>
        </w:tc>
        <w:tc>
          <w:tcPr>
            <w:tcW w:w="173" w:type="pct"/>
            <w:tcBorders>
              <w:tl2br w:val="nil"/>
              <w:tr2bl w:val="nil"/>
            </w:tcBorders>
            <w:shd w:val="clear" w:color="auto" w:fill="FFFFFF"/>
            <w:tcMar>
              <w:top w:w="0" w:type="dxa"/>
              <w:left w:w="0" w:type="dxa"/>
              <w:bottom w:w="0" w:type="dxa"/>
              <w:right w:w="0" w:type="dxa"/>
            </w:tcMar>
            <w:vAlign w:val="center"/>
          </w:tcPr>
          <w:p w14:paraId="7274A37A">
            <w:pPr>
              <w:pStyle w:val="106"/>
              <w:bidi w:val="0"/>
              <w:jc w:val="center"/>
              <w:rPr>
                <w:rFonts w:hint="eastAsia"/>
                <w:lang w:val="en-US" w:eastAsia="zh-CN"/>
              </w:rPr>
            </w:pPr>
            <w:r>
              <w:rPr>
                <w:rFonts w:hint="default"/>
                <w:lang w:val="en-US" w:eastAsia="zh-CN"/>
              </w:rPr>
              <w:t>32</w:t>
            </w:r>
          </w:p>
        </w:tc>
        <w:tc>
          <w:tcPr>
            <w:tcW w:w="173" w:type="pct"/>
            <w:tcBorders>
              <w:tl2br w:val="nil"/>
              <w:tr2bl w:val="nil"/>
            </w:tcBorders>
            <w:shd w:val="clear" w:color="auto" w:fill="FFFFFF"/>
            <w:tcMar>
              <w:top w:w="0" w:type="dxa"/>
              <w:left w:w="0" w:type="dxa"/>
              <w:bottom w:w="0" w:type="dxa"/>
              <w:right w:w="0" w:type="dxa"/>
            </w:tcMar>
            <w:vAlign w:val="center"/>
          </w:tcPr>
          <w:p w14:paraId="25997B2A">
            <w:pPr>
              <w:pStyle w:val="106"/>
              <w:bidi w:val="0"/>
              <w:jc w:val="center"/>
              <w:rPr>
                <w:rFonts w:hint="eastAsia"/>
                <w:lang w:val="en-US" w:eastAsia="zh-CN"/>
              </w:rPr>
            </w:pPr>
            <w:r>
              <w:rPr>
                <w:rFonts w:hint="default"/>
                <w:lang w:val="en-US" w:eastAsia="zh-CN"/>
              </w:rPr>
              <w:t>83</w:t>
            </w:r>
          </w:p>
        </w:tc>
        <w:tc>
          <w:tcPr>
            <w:tcW w:w="173" w:type="pct"/>
            <w:tcBorders>
              <w:tl2br w:val="nil"/>
              <w:tr2bl w:val="nil"/>
            </w:tcBorders>
            <w:shd w:val="clear" w:color="auto" w:fill="FFFFFF"/>
            <w:tcMar>
              <w:top w:w="0" w:type="dxa"/>
              <w:left w:w="0" w:type="dxa"/>
              <w:bottom w:w="0" w:type="dxa"/>
              <w:right w:w="0" w:type="dxa"/>
            </w:tcMar>
            <w:vAlign w:val="center"/>
          </w:tcPr>
          <w:p w14:paraId="71BE239F">
            <w:pPr>
              <w:pStyle w:val="106"/>
              <w:bidi w:val="0"/>
              <w:jc w:val="center"/>
              <w:rPr>
                <w:rFonts w:hint="eastAsia"/>
                <w:lang w:val="en-US" w:eastAsia="zh-CN"/>
              </w:rPr>
            </w:pPr>
            <w:r>
              <w:rPr>
                <w:rFonts w:hint="default"/>
                <w:lang w:val="en-US" w:eastAsia="zh-CN"/>
              </w:rPr>
              <w:t>18</w:t>
            </w:r>
          </w:p>
        </w:tc>
        <w:tc>
          <w:tcPr>
            <w:tcW w:w="173" w:type="pct"/>
            <w:tcBorders>
              <w:tl2br w:val="nil"/>
              <w:tr2bl w:val="nil"/>
            </w:tcBorders>
            <w:shd w:val="clear" w:color="auto" w:fill="FFFFFF"/>
            <w:tcMar>
              <w:top w:w="0" w:type="dxa"/>
              <w:left w:w="0" w:type="dxa"/>
              <w:bottom w:w="0" w:type="dxa"/>
              <w:right w:w="0" w:type="dxa"/>
            </w:tcMar>
            <w:vAlign w:val="center"/>
          </w:tcPr>
          <w:p w14:paraId="57DEB3AA">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09C47F95">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3DF256E4">
            <w:pPr>
              <w:pStyle w:val="106"/>
              <w:bidi w:val="0"/>
              <w:jc w:val="center"/>
              <w:rPr>
                <w:rFonts w:hint="eastAsia"/>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63225299">
            <w:pPr>
              <w:pStyle w:val="106"/>
              <w:bidi w:val="0"/>
              <w:jc w:val="center"/>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1B54DF3C">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662F80E">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E650743">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463D1F7">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281A65CB">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7B2304D3">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14FAA2DC">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DE1B245">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9C32028">
            <w:pPr>
              <w:pStyle w:val="106"/>
              <w:bidi w:val="0"/>
              <w:jc w:val="center"/>
              <w:rPr>
                <w:rFonts w:hint="eastAsia"/>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3D1310A2">
            <w:pPr>
              <w:pStyle w:val="106"/>
              <w:bidi w:val="0"/>
            </w:pPr>
            <w:r>
              <w:t>1</w:t>
            </w:r>
          </w:p>
        </w:tc>
      </w:tr>
      <w:tr w14:paraId="40256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5065274B">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70F3727E">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7F6C61F9">
            <w:pPr>
              <w:pStyle w:val="106"/>
              <w:bidi w:val="0"/>
              <w:rPr>
                <w:rFonts w:hint="default"/>
                <w:lang w:val="en-US" w:eastAsia="zh-CN"/>
              </w:rPr>
            </w:pPr>
            <w:r>
              <w:rPr>
                <w:rFonts w:hint="eastAsia"/>
                <w:lang w:val="en-US" w:eastAsia="zh-CN"/>
              </w:rPr>
              <w:t>真空冷冻干燥机1</w:t>
            </w:r>
          </w:p>
        </w:tc>
        <w:tc>
          <w:tcPr>
            <w:tcW w:w="119" w:type="pct"/>
            <w:tcBorders>
              <w:tl2br w:val="nil"/>
              <w:tr2bl w:val="nil"/>
            </w:tcBorders>
            <w:shd w:val="clear" w:color="auto" w:fill="FFFFFF"/>
            <w:tcMar>
              <w:top w:w="0" w:type="dxa"/>
              <w:left w:w="0" w:type="dxa"/>
              <w:bottom w:w="0" w:type="dxa"/>
              <w:right w:w="0" w:type="dxa"/>
            </w:tcMar>
            <w:vAlign w:val="center"/>
          </w:tcPr>
          <w:p w14:paraId="1030BB62">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78128CD0">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5F2EB6FE">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26BD3899">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51B4C001">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-22</w:t>
            </w:r>
          </w:p>
        </w:tc>
        <w:tc>
          <w:tcPr>
            <w:tcW w:w="173" w:type="pct"/>
            <w:tcBorders>
              <w:tl2br w:val="nil"/>
              <w:tr2bl w:val="nil"/>
            </w:tcBorders>
            <w:shd w:val="clear" w:color="auto" w:fill="FFFFFF"/>
            <w:tcMar>
              <w:top w:w="0" w:type="dxa"/>
              <w:left w:w="0" w:type="dxa"/>
              <w:bottom w:w="0" w:type="dxa"/>
              <w:right w:w="0" w:type="dxa"/>
            </w:tcMar>
            <w:vAlign w:val="center"/>
          </w:tcPr>
          <w:p w14:paraId="1052EE4B">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164C404F">
            <w:pPr>
              <w:pStyle w:val="106"/>
              <w:bidi w:val="0"/>
              <w:jc w:val="center"/>
            </w:pPr>
            <w:r>
              <w:rPr>
                <w:rFonts w:hint="default"/>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072DB70F">
            <w:pPr>
              <w:pStyle w:val="106"/>
              <w:bidi w:val="0"/>
              <w:jc w:val="center"/>
            </w:pPr>
            <w:r>
              <w:rPr>
                <w:rFonts w:hint="default"/>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516BF831">
            <w:pPr>
              <w:pStyle w:val="106"/>
              <w:bidi w:val="0"/>
              <w:jc w:val="center"/>
            </w:pPr>
            <w:r>
              <w:rPr>
                <w:rFonts w:hint="default"/>
                <w:lang w:val="en-US" w:eastAsia="zh-CN"/>
              </w:rPr>
              <w:t>88</w:t>
            </w:r>
          </w:p>
        </w:tc>
        <w:tc>
          <w:tcPr>
            <w:tcW w:w="173" w:type="pct"/>
            <w:tcBorders>
              <w:tl2br w:val="nil"/>
              <w:tr2bl w:val="nil"/>
            </w:tcBorders>
            <w:shd w:val="clear" w:color="auto" w:fill="FFFFFF"/>
            <w:tcMar>
              <w:top w:w="0" w:type="dxa"/>
              <w:left w:w="0" w:type="dxa"/>
              <w:bottom w:w="0" w:type="dxa"/>
              <w:right w:w="0" w:type="dxa"/>
            </w:tcMar>
            <w:vAlign w:val="center"/>
          </w:tcPr>
          <w:p w14:paraId="4E84A85C">
            <w:pPr>
              <w:pStyle w:val="106"/>
              <w:bidi w:val="0"/>
              <w:jc w:val="center"/>
            </w:pPr>
            <w:r>
              <w:rPr>
                <w:rFonts w:hint="default"/>
                <w:lang w:val="en-US" w:eastAsia="zh-CN"/>
              </w:rPr>
              <w:t>12</w:t>
            </w:r>
          </w:p>
        </w:tc>
        <w:tc>
          <w:tcPr>
            <w:tcW w:w="173" w:type="pct"/>
            <w:tcBorders>
              <w:tl2br w:val="nil"/>
              <w:tr2bl w:val="nil"/>
            </w:tcBorders>
            <w:shd w:val="clear" w:color="auto" w:fill="FFFFFF"/>
            <w:tcMar>
              <w:top w:w="0" w:type="dxa"/>
              <w:left w:w="0" w:type="dxa"/>
              <w:bottom w:w="0" w:type="dxa"/>
              <w:right w:w="0" w:type="dxa"/>
            </w:tcMar>
            <w:vAlign w:val="center"/>
          </w:tcPr>
          <w:p w14:paraId="20C7EE91">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607D2146">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57C4FF3D">
            <w:pPr>
              <w:pStyle w:val="106"/>
              <w:bidi w:val="0"/>
              <w:jc w:val="center"/>
              <w:rPr>
                <w:rFonts w:hint="default"/>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16C4617E">
            <w:pPr>
              <w:pStyle w:val="106"/>
              <w:bidi w:val="0"/>
              <w:jc w:val="center"/>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072B7BFA">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29F9DB6E">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47F154B">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54BAC58">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6577C4F0">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6390F2B4">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241E1239">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8825963">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2FE435F5">
            <w:pPr>
              <w:pStyle w:val="106"/>
              <w:bidi w:val="0"/>
              <w:jc w:val="cente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68B3E3BD">
            <w:pPr>
              <w:pStyle w:val="106"/>
              <w:bidi w:val="0"/>
            </w:pPr>
            <w:r>
              <w:t>1</w:t>
            </w:r>
          </w:p>
        </w:tc>
      </w:tr>
      <w:tr w14:paraId="2C1E6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00098B65">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3BC015F5">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41A3673F">
            <w:pPr>
              <w:pStyle w:val="106"/>
              <w:bidi w:val="0"/>
              <w:rPr>
                <w:rFonts w:hint="eastAsia"/>
                <w:lang w:val="en-US" w:eastAsia="zh-CN"/>
              </w:rPr>
            </w:pPr>
            <w:r>
              <w:rPr>
                <w:rFonts w:hint="eastAsia"/>
                <w:lang w:val="en-US" w:eastAsia="zh-CN"/>
              </w:rPr>
              <w:t>真空冷冻干燥机2</w:t>
            </w:r>
          </w:p>
        </w:tc>
        <w:tc>
          <w:tcPr>
            <w:tcW w:w="119" w:type="pct"/>
            <w:tcBorders>
              <w:tl2br w:val="nil"/>
              <w:tr2bl w:val="nil"/>
            </w:tcBorders>
            <w:shd w:val="clear" w:color="auto" w:fill="FFFFFF"/>
            <w:tcMar>
              <w:top w:w="0" w:type="dxa"/>
              <w:left w:w="0" w:type="dxa"/>
              <w:bottom w:w="0" w:type="dxa"/>
              <w:right w:w="0" w:type="dxa"/>
            </w:tcMar>
            <w:vAlign w:val="center"/>
          </w:tcPr>
          <w:p w14:paraId="1D256C78">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2B949F1D">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1658F5E5">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37FC39C7">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3B1AA1D6">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-28</w:t>
            </w:r>
          </w:p>
        </w:tc>
        <w:tc>
          <w:tcPr>
            <w:tcW w:w="173" w:type="pct"/>
            <w:tcBorders>
              <w:tl2br w:val="nil"/>
              <w:tr2bl w:val="nil"/>
            </w:tcBorders>
            <w:shd w:val="clear" w:color="auto" w:fill="FFFFFF"/>
            <w:tcMar>
              <w:top w:w="0" w:type="dxa"/>
              <w:left w:w="0" w:type="dxa"/>
              <w:bottom w:w="0" w:type="dxa"/>
              <w:right w:w="0" w:type="dxa"/>
            </w:tcMar>
            <w:vAlign w:val="center"/>
          </w:tcPr>
          <w:p w14:paraId="6A98E395">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4DEED56C">
            <w:pPr>
              <w:pStyle w:val="106"/>
              <w:bidi w:val="0"/>
              <w:jc w:val="center"/>
              <w:rPr>
                <w:rFonts w:hint="eastAsia"/>
                <w:lang w:val="en-US" w:eastAsia="zh-CN"/>
              </w:rPr>
            </w:pPr>
            <w:r>
              <w:rPr>
                <w:rFonts w:hint="default"/>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0F051165">
            <w:pPr>
              <w:pStyle w:val="106"/>
              <w:bidi w:val="0"/>
              <w:jc w:val="center"/>
              <w:rPr>
                <w:rFonts w:hint="eastAsia"/>
                <w:lang w:val="en-US" w:eastAsia="zh-CN"/>
              </w:rPr>
            </w:pPr>
            <w:r>
              <w:rPr>
                <w:rFonts w:hint="default"/>
                <w:lang w:val="en-US" w:eastAsia="zh-CN"/>
              </w:rPr>
              <w:t>32</w:t>
            </w:r>
          </w:p>
        </w:tc>
        <w:tc>
          <w:tcPr>
            <w:tcW w:w="173" w:type="pct"/>
            <w:tcBorders>
              <w:tl2br w:val="nil"/>
              <w:tr2bl w:val="nil"/>
            </w:tcBorders>
            <w:shd w:val="clear" w:color="auto" w:fill="FFFFFF"/>
            <w:tcMar>
              <w:top w:w="0" w:type="dxa"/>
              <w:left w:w="0" w:type="dxa"/>
              <w:bottom w:w="0" w:type="dxa"/>
              <w:right w:w="0" w:type="dxa"/>
            </w:tcMar>
            <w:vAlign w:val="center"/>
          </w:tcPr>
          <w:p w14:paraId="7EF14AE7">
            <w:pPr>
              <w:pStyle w:val="106"/>
              <w:bidi w:val="0"/>
              <w:jc w:val="center"/>
              <w:rPr>
                <w:rFonts w:hint="eastAsia"/>
                <w:lang w:val="en-US" w:eastAsia="zh-CN"/>
              </w:rPr>
            </w:pPr>
            <w:r>
              <w:rPr>
                <w:rFonts w:hint="default"/>
                <w:lang w:val="en-US" w:eastAsia="zh-CN"/>
              </w:rPr>
              <w:t>88</w:t>
            </w:r>
          </w:p>
        </w:tc>
        <w:tc>
          <w:tcPr>
            <w:tcW w:w="173" w:type="pct"/>
            <w:tcBorders>
              <w:tl2br w:val="nil"/>
              <w:tr2bl w:val="nil"/>
            </w:tcBorders>
            <w:shd w:val="clear" w:color="auto" w:fill="FFFFFF"/>
            <w:tcMar>
              <w:top w:w="0" w:type="dxa"/>
              <w:left w:w="0" w:type="dxa"/>
              <w:bottom w:w="0" w:type="dxa"/>
              <w:right w:w="0" w:type="dxa"/>
            </w:tcMar>
            <w:vAlign w:val="center"/>
          </w:tcPr>
          <w:p w14:paraId="359C1A21">
            <w:pPr>
              <w:pStyle w:val="106"/>
              <w:bidi w:val="0"/>
              <w:jc w:val="center"/>
              <w:rPr>
                <w:rFonts w:hint="eastAsia"/>
                <w:lang w:val="en-US" w:eastAsia="zh-CN"/>
              </w:rPr>
            </w:pPr>
            <w:r>
              <w:rPr>
                <w:rFonts w:hint="default"/>
                <w:lang w:val="en-US" w:eastAsia="zh-CN"/>
              </w:rPr>
              <w:t>18</w:t>
            </w:r>
          </w:p>
        </w:tc>
        <w:tc>
          <w:tcPr>
            <w:tcW w:w="173" w:type="pct"/>
            <w:tcBorders>
              <w:tl2br w:val="nil"/>
              <w:tr2bl w:val="nil"/>
            </w:tcBorders>
            <w:shd w:val="clear" w:color="auto" w:fill="FFFFFF"/>
            <w:tcMar>
              <w:top w:w="0" w:type="dxa"/>
              <w:left w:w="0" w:type="dxa"/>
              <w:bottom w:w="0" w:type="dxa"/>
              <w:right w:w="0" w:type="dxa"/>
            </w:tcMar>
            <w:vAlign w:val="center"/>
          </w:tcPr>
          <w:p w14:paraId="7769C38B">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1C2B5442">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45A9AACF">
            <w:pPr>
              <w:pStyle w:val="106"/>
              <w:bidi w:val="0"/>
              <w:jc w:val="center"/>
              <w:rPr>
                <w:rFonts w:hint="eastAsia"/>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32D28876">
            <w:pPr>
              <w:pStyle w:val="106"/>
              <w:bidi w:val="0"/>
              <w:jc w:val="center"/>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5E04B2D">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74EE96F">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E0D662C">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AC99534">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6F1E3351">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693A1A2A">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21A83895">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33AD17A1">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04E16374">
            <w:pPr>
              <w:pStyle w:val="106"/>
              <w:bidi w:val="0"/>
              <w:jc w:val="center"/>
              <w:rPr>
                <w:rFonts w:hint="eastAsia"/>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31B61D98">
            <w:pPr>
              <w:pStyle w:val="106"/>
              <w:bidi w:val="0"/>
            </w:pPr>
            <w:r>
              <w:t>1</w:t>
            </w:r>
          </w:p>
        </w:tc>
      </w:tr>
      <w:tr w14:paraId="0D577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3C64C2A3">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4FFB53E8">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072D3ECC">
            <w:pPr>
              <w:pStyle w:val="106"/>
              <w:bidi w:val="0"/>
              <w:rPr>
                <w:rFonts w:hint="default"/>
                <w:lang w:val="en-US" w:eastAsia="zh-CN"/>
              </w:rPr>
            </w:pPr>
            <w:r>
              <w:rPr>
                <w:rFonts w:hint="eastAsia"/>
                <w:lang w:val="en-US" w:eastAsia="zh-CN"/>
              </w:rPr>
              <w:t>振动筛分机1</w:t>
            </w:r>
          </w:p>
        </w:tc>
        <w:tc>
          <w:tcPr>
            <w:tcW w:w="119" w:type="pct"/>
            <w:tcBorders>
              <w:tl2br w:val="nil"/>
              <w:tr2bl w:val="nil"/>
            </w:tcBorders>
            <w:shd w:val="clear" w:color="auto" w:fill="FFFFFF"/>
            <w:tcMar>
              <w:top w:w="0" w:type="dxa"/>
              <w:left w:w="0" w:type="dxa"/>
              <w:bottom w:w="0" w:type="dxa"/>
              <w:right w:w="0" w:type="dxa"/>
            </w:tcMar>
            <w:vAlign w:val="center"/>
          </w:tcPr>
          <w:p w14:paraId="5EFCFDD0">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9DC516B">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110CA2FC">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47508EBA">
            <w:pPr>
              <w:pStyle w:val="106"/>
              <w:bidi w:val="0"/>
              <w:rPr>
                <w:rFonts w:hint="default"/>
                <w:lang w:val="en-US" w:eastAsia="zh-CN"/>
              </w:rPr>
            </w:pPr>
            <w:r>
              <w:rPr>
                <w:rFonts w:hint="eastAsia"/>
                <w:lang w:val="en-US" w:eastAsia="zh-CN"/>
              </w:rPr>
              <w:t>36</w:t>
            </w:r>
          </w:p>
        </w:tc>
        <w:tc>
          <w:tcPr>
            <w:tcW w:w="173" w:type="pct"/>
            <w:tcBorders>
              <w:tl2br w:val="nil"/>
              <w:tr2bl w:val="nil"/>
            </w:tcBorders>
            <w:shd w:val="clear" w:color="auto" w:fill="FFFFFF"/>
            <w:tcMar>
              <w:top w:w="0" w:type="dxa"/>
              <w:left w:w="0" w:type="dxa"/>
              <w:bottom w:w="0" w:type="dxa"/>
              <w:right w:w="0" w:type="dxa"/>
            </w:tcMar>
            <w:vAlign w:val="center"/>
          </w:tcPr>
          <w:p w14:paraId="5A72709D">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1C3D9641">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4355245E">
            <w:pPr>
              <w:pStyle w:val="106"/>
              <w:bidi w:val="0"/>
              <w:jc w:val="center"/>
            </w:pPr>
            <w:r>
              <w:rPr>
                <w:rFonts w:hint="default"/>
                <w:lang w:val="en-US" w:eastAsia="zh-CN"/>
              </w:rPr>
              <w:t>27</w:t>
            </w:r>
          </w:p>
        </w:tc>
        <w:tc>
          <w:tcPr>
            <w:tcW w:w="173" w:type="pct"/>
            <w:tcBorders>
              <w:tl2br w:val="nil"/>
              <w:tr2bl w:val="nil"/>
            </w:tcBorders>
            <w:shd w:val="clear" w:color="auto" w:fill="FFFFFF"/>
            <w:tcMar>
              <w:top w:w="0" w:type="dxa"/>
              <w:left w:w="0" w:type="dxa"/>
              <w:bottom w:w="0" w:type="dxa"/>
              <w:right w:w="0" w:type="dxa"/>
            </w:tcMar>
            <w:vAlign w:val="center"/>
          </w:tcPr>
          <w:p w14:paraId="021E5DBD">
            <w:pPr>
              <w:pStyle w:val="106"/>
              <w:bidi w:val="0"/>
              <w:jc w:val="cente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080026B6">
            <w:pPr>
              <w:pStyle w:val="106"/>
              <w:bidi w:val="0"/>
              <w:jc w:val="center"/>
            </w:pPr>
            <w:r>
              <w:rPr>
                <w:rFonts w:hint="default"/>
                <w:lang w:val="en-US" w:eastAsia="zh-CN"/>
              </w:rPr>
              <w:t>99</w:t>
            </w:r>
          </w:p>
        </w:tc>
        <w:tc>
          <w:tcPr>
            <w:tcW w:w="173" w:type="pct"/>
            <w:tcBorders>
              <w:tl2br w:val="nil"/>
              <w:tr2bl w:val="nil"/>
            </w:tcBorders>
            <w:shd w:val="clear" w:color="auto" w:fill="FFFFFF"/>
            <w:tcMar>
              <w:top w:w="0" w:type="dxa"/>
              <w:left w:w="0" w:type="dxa"/>
              <w:bottom w:w="0" w:type="dxa"/>
              <w:right w:w="0" w:type="dxa"/>
            </w:tcMar>
            <w:vAlign w:val="center"/>
          </w:tcPr>
          <w:p w14:paraId="0333044D">
            <w:pPr>
              <w:pStyle w:val="106"/>
              <w:bidi w:val="0"/>
              <w:jc w:val="cente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77E63E52">
            <w:pPr>
              <w:pStyle w:val="106"/>
              <w:bidi w:val="0"/>
              <w:jc w:val="center"/>
              <w:rPr>
                <w:rFonts w:hint="default"/>
                <w:lang w:val="en-US" w:eastAsia="zh-CN"/>
              </w:rPr>
            </w:pPr>
            <w:r>
              <w:rPr>
                <w:rFonts w:hint="eastAsia"/>
                <w:lang w:val="en-US" w:eastAsia="zh-CN"/>
              </w:rPr>
              <w:t>55.9</w:t>
            </w:r>
          </w:p>
        </w:tc>
        <w:tc>
          <w:tcPr>
            <w:tcW w:w="173" w:type="pct"/>
            <w:tcBorders>
              <w:tl2br w:val="nil"/>
              <w:tr2bl w:val="nil"/>
            </w:tcBorders>
            <w:shd w:val="clear" w:color="auto" w:fill="FFFFFF"/>
            <w:tcMar>
              <w:top w:w="0" w:type="dxa"/>
              <w:left w:w="0" w:type="dxa"/>
              <w:bottom w:w="0" w:type="dxa"/>
              <w:right w:w="0" w:type="dxa"/>
            </w:tcMar>
            <w:vAlign w:val="center"/>
          </w:tcPr>
          <w:p w14:paraId="0795C9B8">
            <w:pPr>
              <w:pStyle w:val="106"/>
              <w:bidi w:val="0"/>
              <w:jc w:val="center"/>
              <w:rPr>
                <w:rFonts w:hint="default"/>
                <w:lang w:val="en-US" w:eastAsia="zh-CN"/>
              </w:rPr>
            </w:pPr>
            <w:r>
              <w:rPr>
                <w:rFonts w:hint="eastAsia"/>
                <w:lang w:val="en-US" w:eastAsia="zh-CN"/>
              </w:rPr>
              <w:t>55.9</w:t>
            </w:r>
          </w:p>
        </w:tc>
        <w:tc>
          <w:tcPr>
            <w:tcW w:w="173" w:type="pct"/>
            <w:tcBorders>
              <w:tl2br w:val="nil"/>
              <w:tr2bl w:val="nil"/>
            </w:tcBorders>
            <w:shd w:val="clear" w:color="auto" w:fill="FFFFFF"/>
            <w:tcMar>
              <w:top w:w="0" w:type="dxa"/>
              <w:left w:w="0" w:type="dxa"/>
              <w:bottom w:w="0" w:type="dxa"/>
              <w:right w:w="0" w:type="dxa"/>
            </w:tcMar>
            <w:vAlign w:val="center"/>
          </w:tcPr>
          <w:p w14:paraId="4EEA2353">
            <w:pPr>
              <w:pStyle w:val="106"/>
              <w:bidi w:val="0"/>
              <w:jc w:val="center"/>
              <w:rPr>
                <w:rFonts w:hint="default"/>
                <w:lang w:val="en-US" w:eastAsia="zh-CN"/>
              </w:rPr>
            </w:pPr>
            <w:r>
              <w:rPr>
                <w:rFonts w:hint="eastAsia"/>
                <w:lang w:val="en-US" w:eastAsia="zh-CN"/>
              </w:rPr>
              <w:t>55.9</w:t>
            </w:r>
          </w:p>
        </w:tc>
        <w:tc>
          <w:tcPr>
            <w:tcW w:w="177" w:type="pct"/>
            <w:tcBorders>
              <w:tl2br w:val="nil"/>
              <w:tr2bl w:val="nil"/>
            </w:tcBorders>
            <w:shd w:val="clear" w:color="auto" w:fill="FFFFFF"/>
            <w:tcMar>
              <w:top w:w="0" w:type="dxa"/>
              <w:left w:w="0" w:type="dxa"/>
              <w:bottom w:w="0" w:type="dxa"/>
              <w:right w:w="0" w:type="dxa"/>
            </w:tcMar>
            <w:vAlign w:val="center"/>
          </w:tcPr>
          <w:p w14:paraId="6A06A282">
            <w:pPr>
              <w:pStyle w:val="106"/>
              <w:bidi w:val="0"/>
              <w:jc w:val="center"/>
              <w:rPr>
                <w:rFonts w:hint="default"/>
                <w:lang w:val="en-US" w:eastAsia="zh-CN"/>
              </w:rPr>
            </w:pPr>
            <w:r>
              <w:rPr>
                <w:rFonts w:hint="eastAsia"/>
                <w:lang w:val="en-US" w:eastAsia="zh-CN"/>
              </w:rPr>
              <w:t>55.9</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49730756">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7F78BB2E">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0338BFA">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0C05549B">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6C510A1C">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2E448622">
            <w:pPr>
              <w:pStyle w:val="106"/>
              <w:bidi w:val="0"/>
              <w:jc w:val="center"/>
            </w:pPr>
            <w:r>
              <w:rPr>
                <w:rFonts w:hint="eastAsia"/>
                <w:lang w:val="en-US" w:eastAsia="zh-CN"/>
              </w:rPr>
              <w:t>29.9</w:t>
            </w:r>
          </w:p>
        </w:tc>
        <w:tc>
          <w:tcPr>
            <w:tcW w:w="176" w:type="pct"/>
            <w:tcBorders>
              <w:tl2br w:val="nil"/>
              <w:tr2bl w:val="nil"/>
            </w:tcBorders>
            <w:shd w:val="clear" w:color="auto" w:fill="FFFFFF"/>
            <w:tcMar>
              <w:top w:w="0" w:type="dxa"/>
              <w:left w:w="0" w:type="dxa"/>
              <w:bottom w:w="0" w:type="dxa"/>
              <w:right w:w="0" w:type="dxa"/>
            </w:tcMar>
            <w:vAlign w:val="center"/>
          </w:tcPr>
          <w:p w14:paraId="5DDF878B">
            <w:pPr>
              <w:pStyle w:val="106"/>
              <w:bidi w:val="0"/>
              <w:jc w:val="center"/>
            </w:pPr>
            <w:r>
              <w:rPr>
                <w:rFonts w:hint="eastAsia"/>
                <w:lang w:val="en-US" w:eastAsia="zh-CN"/>
              </w:rPr>
              <w:t>29.9</w:t>
            </w:r>
          </w:p>
        </w:tc>
        <w:tc>
          <w:tcPr>
            <w:tcW w:w="176" w:type="pct"/>
            <w:tcBorders>
              <w:tl2br w:val="nil"/>
              <w:tr2bl w:val="nil"/>
            </w:tcBorders>
            <w:shd w:val="clear" w:color="auto" w:fill="FFFFFF"/>
            <w:tcMar>
              <w:top w:w="0" w:type="dxa"/>
              <w:left w:w="0" w:type="dxa"/>
              <w:bottom w:w="0" w:type="dxa"/>
              <w:right w:w="0" w:type="dxa"/>
            </w:tcMar>
            <w:vAlign w:val="center"/>
          </w:tcPr>
          <w:p w14:paraId="1BA52BF0">
            <w:pPr>
              <w:pStyle w:val="106"/>
              <w:bidi w:val="0"/>
              <w:jc w:val="center"/>
            </w:pPr>
            <w:r>
              <w:rPr>
                <w:rFonts w:hint="eastAsia"/>
                <w:lang w:val="en-US" w:eastAsia="zh-CN"/>
              </w:rPr>
              <w:t>29.9</w:t>
            </w:r>
          </w:p>
        </w:tc>
        <w:tc>
          <w:tcPr>
            <w:tcW w:w="176" w:type="pct"/>
            <w:tcBorders>
              <w:tl2br w:val="nil"/>
              <w:tr2bl w:val="nil"/>
            </w:tcBorders>
            <w:shd w:val="clear" w:color="auto" w:fill="FFFFFF"/>
            <w:tcMar>
              <w:top w:w="0" w:type="dxa"/>
              <w:left w:w="0" w:type="dxa"/>
              <w:bottom w:w="0" w:type="dxa"/>
              <w:right w:w="0" w:type="dxa"/>
            </w:tcMar>
            <w:vAlign w:val="center"/>
          </w:tcPr>
          <w:p w14:paraId="6B16CC09">
            <w:pPr>
              <w:pStyle w:val="106"/>
              <w:bidi w:val="0"/>
              <w:jc w:val="center"/>
            </w:pPr>
            <w:r>
              <w:rPr>
                <w:rFonts w:hint="eastAsia"/>
                <w:lang w:val="en-US" w:eastAsia="zh-CN"/>
              </w:rPr>
              <w:t>29.9</w:t>
            </w:r>
          </w:p>
        </w:tc>
        <w:tc>
          <w:tcPr>
            <w:tcW w:w="258" w:type="pct"/>
            <w:tcBorders>
              <w:tl2br w:val="nil"/>
              <w:tr2bl w:val="nil"/>
            </w:tcBorders>
            <w:shd w:val="clear" w:color="auto" w:fill="FFFFFF"/>
            <w:tcMar>
              <w:top w:w="0" w:type="dxa"/>
              <w:left w:w="0" w:type="dxa"/>
              <w:bottom w:w="0" w:type="dxa"/>
              <w:right w:w="0" w:type="dxa"/>
            </w:tcMar>
            <w:vAlign w:val="center"/>
          </w:tcPr>
          <w:p w14:paraId="4A9C1C27">
            <w:pPr>
              <w:pStyle w:val="106"/>
              <w:bidi w:val="0"/>
            </w:pPr>
            <w:r>
              <w:t>1</w:t>
            </w:r>
          </w:p>
        </w:tc>
      </w:tr>
      <w:tr w14:paraId="39727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3600156C">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4033967E">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A0A17FC">
            <w:pPr>
              <w:pStyle w:val="106"/>
              <w:bidi w:val="0"/>
              <w:rPr>
                <w:rFonts w:hint="default"/>
                <w:lang w:val="en-US" w:eastAsia="zh-CN"/>
              </w:rPr>
            </w:pPr>
            <w:r>
              <w:rPr>
                <w:rFonts w:hint="eastAsia"/>
                <w:lang w:val="en-US" w:eastAsia="zh-CN"/>
              </w:rPr>
              <w:t>振动筛分机2</w:t>
            </w:r>
          </w:p>
        </w:tc>
        <w:tc>
          <w:tcPr>
            <w:tcW w:w="119" w:type="pct"/>
            <w:tcBorders>
              <w:tl2br w:val="nil"/>
              <w:tr2bl w:val="nil"/>
            </w:tcBorders>
            <w:shd w:val="clear" w:color="auto" w:fill="FFFFFF"/>
            <w:tcMar>
              <w:top w:w="0" w:type="dxa"/>
              <w:left w:w="0" w:type="dxa"/>
              <w:bottom w:w="0" w:type="dxa"/>
              <w:right w:w="0" w:type="dxa"/>
            </w:tcMar>
            <w:vAlign w:val="center"/>
          </w:tcPr>
          <w:p w14:paraId="6F70B547">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6AC68150">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2F83F480">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3A9A8D18">
            <w:pPr>
              <w:pStyle w:val="106"/>
              <w:bidi w:val="0"/>
              <w:rPr>
                <w:rFonts w:hint="default"/>
                <w:lang w:val="en-US" w:eastAsia="zh-CN"/>
              </w:rPr>
            </w:pPr>
            <w:r>
              <w:rPr>
                <w:rFonts w:hint="eastAsia"/>
                <w:lang w:val="en-US" w:eastAsia="zh-CN"/>
              </w:rPr>
              <w:t>36</w:t>
            </w:r>
          </w:p>
        </w:tc>
        <w:tc>
          <w:tcPr>
            <w:tcW w:w="173" w:type="pct"/>
            <w:tcBorders>
              <w:tl2br w:val="nil"/>
              <w:tr2bl w:val="nil"/>
            </w:tcBorders>
            <w:shd w:val="clear" w:color="auto" w:fill="FFFFFF"/>
            <w:tcMar>
              <w:top w:w="0" w:type="dxa"/>
              <w:left w:w="0" w:type="dxa"/>
              <w:bottom w:w="0" w:type="dxa"/>
              <w:right w:w="0" w:type="dxa"/>
            </w:tcMar>
            <w:vAlign w:val="center"/>
          </w:tcPr>
          <w:p w14:paraId="43880817">
            <w:pPr>
              <w:pStyle w:val="106"/>
              <w:bidi w:val="0"/>
              <w:rPr>
                <w:rFonts w:hint="default"/>
                <w:lang w:val="en-US" w:eastAsia="zh-CN"/>
              </w:rPr>
            </w:pPr>
            <w:r>
              <w:rPr>
                <w:rFonts w:hint="eastAsia"/>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5C27478D">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74CBA8BC">
            <w:pPr>
              <w:pStyle w:val="106"/>
              <w:bidi w:val="0"/>
              <w:jc w:val="center"/>
              <w:rPr>
                <w:rFonts w:hint="eastAsia"/>
                <w:lang w:val="en-US" w:eastAsia="zh-CN"/>
              </w:rPr>
            </w:pPr>
            <w:r>
              <w:rPr>
                <w:rFonts w:hint="default"/>
                <w:lang w:val="en-US" w:eastAsia="zh-CN"/>
              </w:rPr>
              <w:t>27</w:t>
            </w:r>
          </w:p>
        </w:tc>
        <w:tc>
          <w:tcPr>
            <w:tcW w:w="173" w:type="pct"/>
            <w:tcBorders>
              <w:tl2br w:val="nil"/>
              <w:tr2bl w:val="nil"/>
            </w:tcBorders>
            <w:shd w:val="clear" w:color="auto" w:fill="FFFFFF"/>
            <w:tcMar>
              <w:top w:w="0" w:type="dxa"/>
              <w:left w:w="0" w:type="dxa"/>
              <w:bottom w:w="0" w:type="dxa"/>
              <w:right w:w="0" w:type="dxa"/>
            </w:tcMar>
            <w:vAlign w:val="center"/>
          </w:tcPr>
          <w:p w14:paraId="7667969B">
            <w:pPr>
              <w:pStyle w:val="106"/>
              <w:bidi w:val="0"/>
              <w:jc w:val="center"/>
              <w:rPr>
                <w:rFonts w:hint="eastAsia"/>
                <w:lang w:val="en-US" w:eastAsia="zh-CN"/>
              </w:rPr>
            </w:pPr>
            <w:r>
              <w:rPr>
                <w:rFonts w:hint="default"/>
                <w:lang w:val="en-US" w:eastAsia="zh-CN"/>
              </w:rPr>
              <w:t>22</w:t>
            </w:r>
          </w:p>
        </w:tc>
        <w:tc>
          <w:tcPr>
            <w:tcW w:w="173" w:type="pct"/>
            <w:tcBorders>
              <w:tl2br w:val="nil"/>
              <w:tr2bl w:val="nil"/>
            </w:tcBorders>
            <w:shd w:val="clear" w:color="auto" w:fill="FFFFFF"/>
            <w:tcMar>
              <w:top w:w="0" w:type="dxa"/>
              <w:left w:w="0" w:type="dxa"/>
              <w:bottom w:w="0" w:type="dxa"/>
              <w:right w:w="0" w:type="dxa"/>
            </w:tcMar>
            <w:vAlign w:val="center"/>
          </w:tcPr>
          <w:p w14:paraId="1436F5F2">
            <w:pPr>
              <w:pStyle w:val="106"/>
              <w:bidi w:val="0"/>
              <w:jc w:val="center"/>
              <w:rPr>
                <w:rFonts w:hint="eastAsia"/>
                <w:lang w:val="en-US" w:eastAsia="zh-CN"/>
              </w:rPr>
            </w:pPr>
            <w:r>
              <w:rPr>
                <w:rFonts w:hint="default"/>
                <w:lang w:val="en-US" w:eastAsia="zh-CN"/>
              </w:rPr>
              <w:t>99</w:t>
            </w:r>
          </w:p>
        </w:tc>
        <w:tc>
          <w:tcPr>
            <w:tcW w:w="173" w:type="pct"/>
            <w:tcBorders>
              <w:tl2br w:val="nil"/>
              <w:tr2bl w:val="nil"/>
            </w:tcBorders>
            <w:shd w:val="clear" w:color="auto" w:fill="FFFFFF"/>
            <w:tcMar>
              <w:top w:w="0" w:type="dxa"/>
              <w:left w:w="0" w:type="dxa"/>
              <w:bottom w:w="0" w:type="dxa"/>
              <w:right w:w="0" w:type="dxa"/>
            </w:tcMar>
            <w:vAlign w:val="center"/>
          </w:tcPr>
          <w:p w14:paraId="1CE2B530">
            <w:pPr>
              <w:pStyle w:val="106"/>
              <w:bidi w:val="0"/>
              <w:jc w:val="center"/>
              <w:rPr>
                <w:rFonts w:hint="eastAsia"/>
                <w:lang w:val="en-US" w:eastAsia="zh-CN"/>
              </w:rPr>
            </w:pPr>
            <w:r>
              <w:rPr>
                <w:rFonts w:hint="default"/>
                <w:lang w:val="en-US" w:eastAsia="zh-CN"/>
              </w:rPr>
              <w:t>28</w:t>
            </w:r>
          </w:p>
        </w:tc>
        <w:tc>
          <w:tcPr>
            <w:tcW w:w="173" w:type="pct"/>
            <w:tcBorders>
              <w:tl2br w:val="nil"/>
              <w:tr2bl w:val="nil"/>
            </w:tcBorders>
            <w:shd w:val="clear" w:color="auto" w:fill="FFFFFF"/>
            <w:tcMar>
              <w:top w:w="0" w:type="dxa"/>
              <w:left w:w="0" w:type="dxa"/>
              <w:bottom w:w="0" w:type="dxa"/>
              <w:right w:w="0" w:type="dxa"/>
            </w:tcMar>
            <w:vAlign w:val="center"/>
          </w:tcPr>
          <w:p w14:paraId="38204CB2">
            <w:pPr>
              <w:pStyle w:val="106"/>
              <w:bidi w:val="0"/>
              <w:jc w:val="center"/>
              <w:rPr>
                <w:rFonts w:hint="eastAsia"/>
                <w:lang w:val="en-US" w:eastAsia="zh-CN"/>
              </w:rPr>
            </w:pPr>
            <w:r>
              <w:rPr>
                <w:rFonts w:hint="eastAsia"/>
                <w:lang w:val="en-US" w:eastAsia="zh-CN"/>
              </w:rPr>
              <w:t>55.9</w:t>
            </w:r>
          </w:p>
        </w:tc>
        <w:tc>
          <w:tcPr>
            <w:tcW w:w="173" w:type="pct"/>
            <w:tcBorders>
              <w:tl2br w:val="nil"/>
              <w:tr2bl w:val="nil"/>
            </w:tcBorders>
            <w:shd w:val="clear" w:color="auto" w:fill="FFFFFF"/>
            <w:tcMar>
              <w:top w:w="0" w:type="dxa"/>
              <w:left w:w="0" w:type="dxa"/>
              <w:bottom w:w="0" w:type="dxa"/>
              <w:right w:w="0" w:type="dxa"/>
            </w:tcMar>
            <w:vAlign w:val="center"/>
          </w:tcPr>
          <w:p w14:paraId="3A34638A">
            <w:pPr>
              <w:pStyle w:val="106"/>
              <w:bidi w:val="0"/>
              <w:jc w:val="center"/>
              <w:rPr>
                <w:rFonts w:hint="eastAsia"/>
                <w:lang w:val="en-US" w:eastAsia="zh-CN"/>
              </w:rPr>
            </w:pPr>
            <w:r>
              <w:rPr>
                <w:rFonts w:hint="eastAsia"/>
                <w:lang w:val="en-US" w:eastAsia="zh-CN"/>
              </w:rPr>
              <w:t>55.9</w:t>
            </w:r>
          </w:p>
        </w:tc>
        <w:tc>
          <w:tcPr>
            <w:tcW w:w="173" w:type="pct"/>
            <w:tcBorders>
              <w:tl2br w:val="nil"/>
              <w:tr2bl w:val="nil"/>
            </w:tcBorders>
            <w:shd w:val="clear" w:color="auto" w:fill="FFFFFF"/>
            <w:tcMar>
              <w:top w:w="0" w:type="dxa"/>
              <w:left w:w="0" w:type="dxa"/>
              <w:bottom w:w="0" w:type="dxa"/>
              <w:right w:w="0" w:type="dxa"/>
            </w:tcMar>
            <w:vAlign w:val="center"/>
          </w:tcPr>
          <w:p w14:paraId="00761CA8">
            <w:pPr>
              <w:pStyle w:val="106"/>
              <w:bidi w:val="0"/>
              <w:jc w:val="center"/>
              <w:rPr>
                <w:rFonts w:hint="eastAsia"/>
                <w:lang w:val="en-US" w:eastAsia="zh-CN"/>
              </w:rPr>
            </w:pPr>
            <w:r>
              <w:rPr>
                <w:rFonts w:hint="eastAsia"/>
                <w:lang w:val="en-US" w:eastAsia="zh-CN"/>
              </w:rPr>
              <w:t>55.9</w:t>
            </w:r>
          </w:p>
        </w:tc>
        <w:tc>
          <w:tcPr>
            <w:tcW w:w="177" w:type="pct"/>
            <w:tcBorders>
              <w:tl2br w:val="nil"/>
              <w:tr2bl w:val="nil"/>
            </w:tcBorders>
            <w:shd w:val="clear" w:color="auto" w:fill="FFFFFF"/>
            <w:tcMar>
              <w:top w:w="0" w:type="dxa"/>
              <w:left w:w="0" w:type="dxa"/>
              <w:bottom w:w="0" w:type="dxa"/>
              <w:right w:w="0" w:type="dxa"/>
            </w:tcMar>
            <w:vAlign w:val="center"/>
          </w:tcPr>
          <w:p w14:paraId="20FF215F">
            <w:pPr>
              <w:pStyle w:val="106"/>
              <w:bidi w:val="0"/>
              <w:jc w:val="center"/>
              <w:rPr>
                <w:rFonts w:hint="eastAsia"/>
                <w:lang w:val="en-US" w:eastAsia="zh-CN"/>
              </w:rPr>
            </w:pPr>
            <w:r>
              <w:rPr>
                <w:rFonts w:hint="eastAsia"/>
                <w:lang w:val="en-US" w:eastAsia="zh-CN"/>
              </w:rPr>
              <w:t>55.9</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2D8CB162">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76C90C6D">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0D7CB017">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FB3213A">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38C3C87C">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7C65FC0F">
            <w:pPr>
              <w:pStyle w:val="106"/>
              <w:bidi w:val="0"/>
              <w:jc w:val="center"/>
              <w:rPr>
                <w:rFonts w:hint="eastAsia"/>
                <w:lang w:val="en-US" w:eastAsia="zh-CN"/>
              </w:rPr>
            </w:pPr>
            <w:r>
              <w:rPr>
                <w:rFonts w:hint="eastAsia"/>
                <w:lang w:val="en-US" w:eastAsia="zh-CN"/>
              </w:rPr>
              <w:t>29.9</w:t>
            </w:r>
          </w:p>
        </w:tc>
        <w:tc>
          <w:tcPr>
            <w:tcW w:w="176" w:type="pct"/>
            <w:tcBorders>
              <w:tl2br w:val="nil"/>
              <w:tr2bl w:val="nil"/>
            </w:tcBorders>
            <w:shd w:val="clear" w:color="auto" w:fill="FFFFFF"/>
            <w:tcMar>
              <w:top w:w="0" w:type="dxa"/>
              <w:left w:w="0" w:type="dxa"/>
              <w:bottom w:w="0" w:type="dxa"/>
              <w:right w:w="0" w:type="dxa"/>
            </w:tcMar>
            <w:vAlign w:val="center"/>
          </w:tcPr>
          <w:p w14:paraId="152C5D50">
            <w:pPr>
              <w:pStyle w:val="106"/>
              <w:bidi w:val="0"/>
              <w:jc w:val="center"/>
              <w:rPr>
                <w:rFonts w:hint="eastAsia"/>
                <w:lang w:val="en-US" w:eastAsia="zh-CN"/>
              </w:rPr>
            </w:pPr>
            <w:r>
              <w:rPr>
                <w:rFonts w:hint="eastAsia"/>
                <w:lang w:val="en-US" w:eastAsia="zh-CN"/>
              </w:rPr>
              <w:t>29.9</w:t>
            </w:r>
          </w:p>
        </w:tc>
        <w:tc>
          <w:tcPr>
            <w:tcW w:w="176" w:type="pct"/>
            <w:tcBorders>
              <w:tl2br w:val="nil"/>
              <w:tr2bl w:val="nil"/>
            </w:tcBorders>
            <w:shd w:val="clear" w:color="auto" w:fill="FFFFFF"/>
            <w:tcMar>
              <w:top w:w="0" w:type="dxa"/>
              <w:left w:w="0" w:type="dxa"/>
              <w:bottom w:w="0" w:type="dxa"/>
              <w:right w:w="0" w:type="dxa"/>
            </w:tcMar>
            <w:vAlign w:val="center"/>
          </w:tcPr>
          <w:p w14:paraId="14DD019F">
            <w:pPr>
              <w:pStyle w:val="106"/>
              <w:bidi w:val="0"/>
              <w:jc w:val="center"/>
              <w:rPr>
                <w:rFonts w:hint="eastAsia"/>
                <w:lang w:val="en-US" w:eastAsia="zh-CN"/>
              </w:rPr>
            </w:pPr>
            <w:r>
              <w:rPr>
                <w:rFonts w:hint="eastAsia"/>
                <w:lang w:val="en-US" w:eastAsia="zh-CN"/>
              </w:rPr>
              <w:t>29.9</w:t>
            </w:r>
          </w:p>
        </w:tc>
        <w:tc>
          <w:tcPr>
            <w:tcW w:w="176" w:type="pct"/>
            <w:tcBorders>
              <w:tl2br w:val="nil"/>
              <w:tr2bl w:val="nil"/>
            </w:tcBorders>
            <w:shd w:val="clear" w:color="auto" w:fill="FFFFFF"/>
            <w:tcMar>
              <w:top w:w="0" w:type="dxa"/>
              <w:left w:w="0" w:type="dxa"/>
              <w:bottom w:w="0" w:type="dxa"/>
              <w:right w:w="0" w:type="dxa"/>
            </w:tcMar>
            <w:vAlign w:val="center"/>
          </w:tcPr>
          <w:p w14:paraId="522F8687">
            <w:pPr>
              <w:pStyle w:val="106"/>
              <w:bidi w:val="0"/>
              <w:jc w:val="center"/>
              <w:rPr>
                <w:rFonts w:hint="eastAsia"/>
                <w:lang w:val="en-US" w:eastAsia="zh-CN"/>
              </w:rPr>
            </w:pPr>
            <w:r>
              <w:rPr>
                <w:rFonts w:hint="eastAsia"/>
                <w:lang w:val="en-US" w:eastAsia="zh-CN"/>
              </w:rPr>
              <w:t>29.9</w:t>
            </w:r>
          </w:p>
        </w:tc>
        <w:tc>
          <w:tcPr>
            <w:tcW w:w="258" w:type="pct"/>
            <w:tcBorders>
              <w:tl2br w:val="nil"/>
              <w:tr2bl w:val="nil"/>
            </w:tcBorders>
            <w:shd w:val="clear" w:color="auto" w:fill="FFFFFF"/>
            <w:tcMar>
              <w:top w:w="0" w:type="dxa"/>
              <w:left w:w="0" w:type="dxa"/>
              <w:bottom w:w="0" w:type="dxa"/>
              <w:right w:w="0" w:type="dxa"/>
            </w:tcMar>
            <w:vAlign w:val="center"/>
          </w:tcPr>
          <w:p w14:paraId="108B2263">
            <w:pPr>
              <w:pStyle w:val="106"/>
              <w:bidi w:val="0"/>
            </w:pPr>
            <w:r>
              <w:t>1</w:t>
            </w:r>
          </w:p>
        </w:tc>
      </w:tr>
      <w:tr w14:paraId="16A92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58D0E3CB">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1717A4E9">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75702241">
            <w:pPr>
              <w:pStyle w:val="106"/>
              <w:bidi w:val="0"/>
              <w:rPr>
                <w:rFonts w:hint="default"/>
                <w:lang w:val="en-US" w:eastAsia="zh-CN"/>
              </w:rPr>
            </w:pPr>
            <w:r>
              <w:rPr>
                <w:rFonts w:hint="eastAsia"/>
                <w:lang w:val="en-US" w:eastAsia="zh-CN"/>
              </w:rPr>
              <w:t>振动筛分机3</w:t>
            </w:r>
          </w:p>
        </w:tc>
        <w:tc>
          <w:tcPr>
            <w:tcW w:w="119" w:type="pct"/>
            <w:tcBorders>
              <w:tl2br w:val="nil"/>
              <w:tr2bl w:val="nil"/>
            </w:tcBorders>
            <w:shd w:val="clear" w:color="auto" w:fill="FFFFFF"/>
            <w:tcMar>
              <w:top w:w="0" w:type="dxa"/>
              <w:left w:w="0" w:type="dxa"/>
              <w:bottom w:w="0" w:type="dxa"/>
              <w:right w:w="0" w:type="dxa"/>
            </w:tcMar>
            <w:vAlign w:val="center"/>
          </w:tcPr>
          <w:p w14:paraId="148F95BD">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3A8EA773">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6118AABE">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79776978">
            <w:pPr>
              <w:pStyle w:val="106"/>
              <w:bidi w:val="0"/>
              <w:rPr>
                <w:rFonts w:hint="default"/>
                <w:lang w:val="en-US" w:eastAsia="zh-CN"/>
              </w:rPr>
            </w:pPr>
            <w:r>
              <w:rPr>
                <w:rFonts w:hint="eastAsia"/>
                <w:lang w:val="en-US" w:eastAsia="zh-CN"/>
              </w:rPr>
              <w:t>36</w:t>
            </w:r>
          </w:p>
        </w:tc>
        <w:tc>
          <w:tcPr>
            <w:tcW w:w="173" w:type="pct"/>
            <w:tcBorders>
              <w:tl2br w:val="nil"/>
              <w:tr2bl w:val="nil"/>
            </w:tcBorders>
            <w:shd w:val="clear" w:color="auto" w:fill="FFFFFF"/>
            <w:tcMar>
              <w:top w:w="0" w:type="dxa"/>
              <w:left w:w="0" w:type="dxa"/>
              <w:bottom w:w="0" w:type="dxa"/>
              <w:right w:w="0" w:type="dxa"/>
            </w:tcMar>
            <w:vAlign w:val="center"/>
          </w:tcPr>
          <w:p w14:paraId="77B9FE7E">
            <w:pPr>
              <w:pStyle w:val="106"/>
              <w:bidi w:val="0"/>
              <w:rPr>
                <w:rFonts w:hint="default"/>
                <w:lang w:val="en-US" w:eastAsia="zh-CN"/>
              </w:rPr>
            </w:pPr>
            <w:r>
              <w:rPr>
                <w:rFonts w:hint="eastAsia"/>
                <w:lang w:val="en-US" w:eastAsia="zh-CN"/>
              </w:rPr>
              <w:t>-41</w:t>
            </w:r>
          </w:p>
        </w:tc>
        <w:tc>
          <w:tcPr>
            <w:tcW w:w="173" w:type="pct"/>
            <w:tcBorders>
              <w:tl2br w:val="nil"/>
              <w:tr2bl w:val="nil"/>
            </w:tcBorders>
            <w:shd w:val="clear" w:color="auto" w:fill="FFFFFF"/>
            <w:tcMar>
              <w:top w:w="0" w:type="dxa"/>
              <w:left w:w="0" w:type="dxa"/>
              <w:bottom w:w="0" w:type="dxa"/>
              <w:right w:w="0" w:type="dxa"/>
            </w:tcMar>
            <w:vAlign w:val="center"/>
          </w:tcPr>
          <w:p w14:paraId="03A88FC6">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4B497E4F">
            <w:pPr>
              <w:pStyle w:val="106"/>
              <w:bidi w:val="0"/>
              <w:jc w:val="center"/>
              <w:rPr>
                <w:rFonts w:hint="eastAsia"/>
                <w:lang w:val="en-US" w:eastAsia="zh-CN"/>
              </w:rPr>
            </w:pPr>
            <w:r>
              <w:rPr>
                <w:rFonts w:hint="default"/>
                <w:lang w:val="en-US" w:eastAsia="zh-CN"/>
              </w:rPr>
              <w:t>27</w:t>
            </w:r>
          </w:p>
        </w:tc>
        <w:tc>
          <w:tcPr>
            <w:tcW w:w="173" w:type="pct"/>
            <w:tcBorders>
              <w:tl2br w:val="nil"/>
              <w:tr2bl w:val="nil"/>
            </w:tcBorders>
            <w:shd w:val="clear" w:color="auto" w:fill="FFFFFF"/>
            <w:tcMar>
              <w:top w:w="0" w:type="dxa"/>
              <w:left w:w="0" w:type="dxa"/>
              <w:bottom w:w="0" w:type="dxa"/>
              <w:right w:w="0" w:type="dxa"/>
            </w:tcMar>
            <w:vAlign w:val="center"/>
          </w:tcPr>
          <w:p w14:paraId="7F21A79B">
            <w:pPr>
              <w:pStyle w:val="106"/>
              <w:bidi w:val="0"/>
              <w:jc w:val="center"/>
              <w:rPr>
                <w:rFonts w:hint="eastAsia"/>
                <w:lang w:val="en-US" w:eastAsia="zh-CN"/>
              </w:rPr>
            </w:pPr>
            <w:r>
              <w:rPr>
                <w:rFonts w:hint="default"/>
                <w:lang w:val="en-US" w:eastAsia="zh-CN"/>
              </w:rPr>
              <w:t>19</w:t>
            </w:r>
          </w:p>
        </w:tc>
        <w:tc>
          <w:tcPr>
            <w:tcW w:w="173" w:type="pct"/>
            <w:tcBorders>
              <w:tl2br w:val="nil"/>
              <w:tr2bl w:val="nil"/>
            </w:tcBorders>
            <w:shd w:val="clear" w:color="auto" w:fill="FFFFFF"/>
            <w:tcMar>
              <w:top w:w="0" w:type="dxa"/>
              <w:left w:w="0" w:type="dxa"/>
              <w:bottom w:w="0" w:type="dxa"/>
              <w:right w:w="0" w:type="dxa"/>
            </w:tcMar>
            <w:vAlign w:val="center"/>
          </w:tcPr>
          <w:p w14:paraId="79405485">
            <w:pPr>
              <w:pStyle w:val="106"/>
              <w:bidi w:val="0"/>
              <w:jc w:val="center"/>
              <w:rPr>
                <w:rFonts w:hint="eastAsia"/>
                <w:lang w:val="en-US" w:eastAsia="zh-CN"/>
              </w:rPr>
            </w:pPr>
            <w:r>
              <w:rPr>
                <w:rFonts w:hint="default"/>
                <w:lang w:val="en-US" w:eastAsia="zh-CN"/>
              </w:rPr>
              <w:t>99</w:t>
            </w:r>
          </w:p>
        </w:tc>
        <w:tc>
          <w:tcPr>
            <w:tcW w:w="173" w:type="pct"/>
            <w:tcBorders>
              <w:tl2br w:val="nil"/>
              <w:tr2bl w:val="nil"/>
            </w:tcBorders>
            <w:shd w:val="clear" w:color="auto" w:fill="FFFFFF"/>
            <w:tcMar>
              <w:top w:w="0" w:type="dxa"/>
              <w:left w:w="0" w:type="dxa"/>
              <w:bottom w:w="0" w:type="dxa"/>
              <w:right w:w="0" w:type="dxa"/>
            </w:tcMar>
            <w:vAlign w:val="center"/>
          </w:tcPr>
          <w:p w14:paraId="70E9BC06">
            <w:pPr>
              <w:pStyle w:val="106"/>
              <w:bidi w:val="0"/>
              <w:jc w:val="center"/>
              <w:rPr>
                <w:rFonts w:hint="eastAsia"/>
                <w:lang w:val="en-US" w:eastAsia="zh-CN"/>
              </w:rPr>
            </w:pPr>
            <w:r>
              <w:rPr>
                <w:rFonts w:hint="default"/>
                <w:lang w:val="en-US" w:eastAsia="zh-CN"/>
              </w:rPr>
              <w:t>31</w:t>
            </w:r>
          </w:p>
        </w:tc>
        <w:tc>
          <w:tcPr>
            <w:tcW w:w="173" w:type="pct"/>
            <w:tcBorders>
              <w:tl2br w:val="nil"/>
              <w:tr2bl w:val="nil"/>
            </w:tcBorders>
            <w:shd w:val="clear" w:color="auto" w:fill="FFFFFF"/>
            <w:tcMar>
              <w:top w:w="0" w:type="dxa"/>
              <w:left w:w="0" w:type="dxa"/>
              <w:bottom w:w="0" w:type="dxa"/>
              <w:right w:w="0" w:type="dxa"/>
            </w:tcMar>
            <w:vAlign w:val="center"/>
          </w:tcPr>
          <w:p w14:paraId="7CE64D9F">
            <w:pPr>
              <w:pStyle w:val="106"/>
              <w:bidi w:val="0"/>
              <w:jc w:val="center"/>
              <w:rPr>
                <w:rFonts w:hint="eastAsia"/>
                <w:lang w:val="en-US" w:eastAsia="zh-CN"/>
              </w:rPr>
            </w:pPr>
            <w:r>
              <w:rPr>
                <w:rFonts w:hint="eastAsia"/>
                <w:lang w:val="en-US" w:eastAsia="zh-CN"/>
              </w:rPr>
              <w:t>55.9</w:t>
            </w:r>
          </w:p>
        </w:tc>
        <w:tc>
          <w:tcPr>
            <w:tcW w:w="173" w:type="pct"/>
            <w:tcBorders>
              <w:tl2br w:val="nil"/>
              <w:tr2bl w:val="nil"/>
            </w:tcBorders>
            <w:shd w:val="clear" w:color="auto" w:fill="FFFFFF"/>
            <w:tcMar>
              <w:top w:w="0" w:type="dxa"/>
              <w:left w:w="0" w:type="dxa"/>
              <w:bottom w:w="0" w:type="dxa"/>
              <w:right w:w="0" w:type="dxa"/>
            </w:tcMar>
            <w:vAlign w:val="center"/>
          </w:tcPr>
          <w:p w14:paraId="0AF6B666">
            <w:pPr>
              <w:pStyle w:val="106"/>
              <w:bidi w:val="0"/>
              <w:jc w:val="center"/>
              <w:rPr>
                <w:rFonts w:hint="eastAsia"/>
                <w:lang w:val="en-US" w:eastAsia="zh-CN"/>
              </w:rPr>
            </w:pPr>
            <w:r>
              <w:rPr>
                <w:rFonts w:hint="eastAsia"/>
                <w:lang w:val="en-US" w:eastAsia="zh-CN"/>
              </w:rPr>
              <w:t>55.9</w:t>
            </w:r>
          </w:p>
        </w:tc>
        <w:tc>
          <w:tcPr>
            <w:tcW w:w="173" w:type="pct"/>
            <w:tcBorders>
              <w:tl2br w:val="nil"/>
              <w:tr2bl w:val="nil"/>
            </w:tcBorders>
            <w:shd w:val="clear" w:color="auto" w:fill="FFFFFF"/>
            <w:tcMar>
              <w:top w:w="0" w:type="dxa"/>
              <w:left w:w="0" w:type="dxa"/>
              <w:bottom w:w="0" w:type="dxa"/>
              <w:right w:w="0" w:type="dxa"/>
            </w:tcMar>
            <w:vAlign w:val="center"/>
          </w:tcPr>
          <w:p w14:paraId="0CE95310">
            <w:pPr>
              <w:pStyle w:val="106"/>
              <w:bidi w:val="0"/>
              <w:jc w:val="center"/>
              <w:rPr>
                <w:rFonts w:hint="eastAsia"/>
                <w:lang w:val="en-US" w:eastAsia="zh-CN"/>
              </w:rPr>
            </w:pPr>
            <w:r>
              <w:rPr>
                <w:rFonts w:hint="eastAsia"/>
                <w:lang w:val="en-US" w:eastAsia="zh-CN"/>
              </w:rPr>
              <w:t>55.9</w:t>
            </w:r>
          </w:p>
        </w:tc>
        <w:tc>
          <w:tcPr>
            <w:tcW w:w="177" w:type="pct"/>
            <w:tcBorders>
              <w:tl2br w:val="nil"/>
              <w:tr2bl w:val="nil"/>
            </w:tcBorders>
            <w:shd w:val="clear" w:color="auto" w:fill="FFFFFF"/>
            <w:tcMar>
              <w:top w:w="0" w:type="dxa"/>
              <w:left w:w="0" w:type="dxa"/>
              <w:bottom w:w="0" w:type="dxa"/>
              <w:right w:w="0" w:type="dxa"/>
            </w:tcMar>
            <w:vAlign w:val="center"/>
          </w:tcPr>
          <w:p w14:paraId="5B8C7B8F">
            <w:pPr>
              <w:pStyle w:val="106"/>
              <w:bidi w:val="0"/>
              <w:jc w:val="center"/>
              <w:rPr>
                <w:rFonts w:hint="eastAsia"/>
                <w:lang w:val="en-US" w:eastAsia="zh-CN"/>
              </w:rPr>
            </w:pPr>
            <w:r>
              <w:rPr>
                <w:rFonts w:hint="eastAsia"/>
                <w:lang w:val="en-US" w:eastAsia="zh-CN"/>
              </w:rPr>
              <w:t>55.9</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7C985DD9">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F20A687">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242F736">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0C07047">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778232B7">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2590F2A1">
            <w:pPr>
              <w:pStyle w:val="106"/>
              <w:bidi w:val="0"/>
              <w:jc w:val="center"/>
              <w:rPr>
                <w:rFonts w:hint="eastAsia"/>
                <w:lang w:val="en-US" w:eastAsia="zh-CN"/>
              </w:rPr>
            </w:pPr>
            <w:r>
              <w:rPr>
                <w:rFonts w:hint="eastAsia"/>
                <w:lang w:val="en-US" w:eastAsia="zh-CN"/>
              </w:rPr>
              <w:t>29.9</w:t>
            </w:r>
          </w:p>
        </w:tc>
        <w:tc>
          <w:tcPr>
            <w:tcW w:w="176" w:type="pct"/>
            <w:tcBorders>
              <w:tl2br w:val="nil"/>
              <w:tr2bl w:val="nil"/>
            </w:tcBorders>
            <w:shd w:val="clear" w:color="auto" w:fill="FFFFFF"/>
            <w:tcMar>
              <w:top w:w="0" w:type="dxa"/>
              <w:left w:w="0" w:type="dxa"/>
              <w:bottom w:w="0" w:type="dxa"/>
              <w:right w:w="0" w:type="dxa"/>
            </w:tcMar>
            <w:vAlign w:val="center"/>
          </w:tcPr>
          <w:p w14:paraId="2CBD8380">
            <w:pPr>
              <w:pStyle w:val="106"/>
              <w:bidi w:val="0"/>
              <w:jc w:val="center"/>
              <w:rPr>
                <w:rFonts w:hint="eastAsia"/>
                <w:lang w:val="en-US" w:eastAsia="zh-CN"/>
              </w:rPr>
            </w:pPr>
            <w:r>
              <w:rPr>
                <w:rFonts w:hint="eastAsia"/>
                <w:lang w:val="en-US" w:eastAsia="zh-CN"/>
              </w:rPr>
              <w:t>29.9</w:t>
            </w:r>
          </w:p>
        </w:tc>
        <w:tc>
          <w:tcPr>
            <w:tcW w:w="176" w:type="pct"/>
            <w:tcBorders>
              <w:tl2br w:val="nil"/>
              <w:tr2bl w:val="nil"/>
            </w:tcBorders>
            <w:shd w:val="clear" w:color="auto" w:fill="FFFFFF"/>
            <w:tcMar>
              <w:top w:w="0" w:type="dxa"/>
              <w:left w:w="0" w:type="dxa"/>
              <w:bottom w:w="0" w:type="dxa"/>
              <w:right w:w="0" w:type="dxa"/>
            </w:tcMar>
            <w:vAlign w:val="center"/>
          </w:tcPr>
          <w:p w14:paraId="06B550FC">
            <w:pPr>
              <w:pStyle w:val="106"/>
              <w:bidi w:val="0"/>
              <w:jc w:val="center"/>
              <w:rPr>
                <w:rFonts w:hint="eastAsia"/>
                <w:lang w:val="en-US" w:eastAsia="zh-CN"/>
              </w:rPr>
            </w:pPr>
            <w:r>
              <w:rPr>
                <w:rFonts w:hint="eastAsia"/>
                <w:lang w:val="en-US" w:eastAsia="zh-CN"/>
              </w:rPr>
              <w:t>29.9</w:t>
            </w:r>
          </w:p>
        </w:tc>
        <w:tc>
          <w:tcPr>
            <w:tcW w:w="176" w:type="pct"/>
            <w:tcBorders>
              <w:tl2br w:val="nil"/>
              <w:tr2bl w:val="nil"/>
            </w:tcBorders>
            <w:shd w:val="clear" w:color="auto" w:fill="FFFFFF"/>
            <w:tcMar>
              <w:top w:w="0" w:type="dxa"/>
              <w:left w:w="0" w:type="dxa"/>
              <w:bottom w:w="0" w:type="dxa"/>
              <w:right w:w="0" w:type="dxa"/>
            </w:tcMar>
            <w:vAlign w:val="center"/>
          </w:tcPr>
          <w:p w14:paraId="430FA67D">
            <w:pPr>
              <w:pStyle w:val="106"/>
              <w:bidi w:val="0"/>
              <w:jc w:val="center"/>
              <w:rPr>
                <w:rFonts w:hint="eastAsia"/>
                <w:lang w:val="en-US" w:eastAsia="zh-CN"/>
              </w:rPr>
            </w:pPr>
            <w:r>
              <w:rPr>
                <w:rFonts w:hint="eastAsia"/>
                <w:lang w:val="en-US" w:eastAsia="zh-CN"/>
              </w:rPr>
              <w:t>29.9</w:t>
            </w:r>
          </w:p>
        </w:tc>
        <w:tc>
          <w:tcPr>
            <w:tcW w:w="258" w:type="pct"/>
            <w:tcBorders>
              <w:tl2br w:val="nil"/>
              <w:tr2bl w:val="nil"/>
            </w:tcBorders>
            <w:shd w:val="clear" w:color="auto" w:fill="FFFFFF"/>
            <w:tcMar>
              <w:top w:w="0" w:type="dxa"/>
              <w:left w:w="0" w:type="dxa"/>
              <w:bottom w:w="0" w:type="dxa"/>
              <w:right w:w="0" w:type="dxa"/>
            </w:tcMar>
            <w:vAlign w:val="center"/>
          </w:tcPr>
          <w:p w14:paraId="0ACC5D9D">
            <w:pPr>
              <w:pStyle w:val="106"/>
              <w:bidi w:val="0"/>
            </w:pPr>
            <w:r>
              <w:t>1</w:t>
            </w:r>
          </w:p>
        </w:tc>
      </w:tr>
      <w:tr w14:paraId="7BCBF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051DB714">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77D9F5F3">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6952CB21">
            <w:pPr>
              <w:pStyle w:val="106"/>
              <w:bidi w:val="0"/>
              <w:rPr>
                <w:rFonts w:hint="default"/>
                <w:lang w:val="en-US" w:eastAsia="zh-CN"/>
              </w:rPr>
            </w:pPr>
            <w:r>
              <w:rPr>
                <w:rFonts w:hint="eastAsia"/>
                <w:lang w:val="en-US" w:eastAsia="zh-CN"/>
              </w:rPr>
              <w:t>X射线检测仪1</w:t>
            </w:r>
          </w:p>
        </w:tc>
        <w:tc>
          <w:tcPr>
            <w:tcW w:w="119" w:type="pct"/>
            <w:tcBorders>
              <w:tl2br w:val="nil"/>
              <w:tr2bl w:val="nil"/>
            </w:tcBorders>
            <w:shd w:val="clear" w:color="auto" w:fill="FFFFFF"/>
            <w:tcMar>
              <w:top w:w="0" w:type="dxa"/>
              <w:left w:w="0" w:type="dxa"/>
              <w:bottom w:w="0" w:type="dxa"/>
              <w:right w:w="0" w:type="dxa"/>
            </w:tcMar>
            <w:vAlign w:val="center"/>
          </w:tcPr>
          <w:p w14:paraId="688A7A8B">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5C910F4">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2AACF806">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29E2377D">
            <w:pPr>
              <w:pStyle w:val="106"/>
              <w:bidi w:val="0"/>
              <w:rPr>
                <w:rFonts w:hint="default"/>
                <w:lang w:val="en-US" w:eastAsia="zh-CN"/>
              </w:rPr>
            </w:pPr>
            <w:r>
              <w:rPr>
                <w:rFonts w:hint="eastAsia"/>
                <w:lang w:val="en-US" w:eastAsia="zh-CN"/>
              </w:rPr>
              <w:t>33</w:t>
            </w:r>
          </w:p>
        </w:tc>
        <w:tc>
          <w:tcPr>
            <w:tcW w:w="173" w:type="pct"/>
            <w:tcBorders>
              <w:tl2br w:val="nil"/>
              <w:tr2bl w:val="nil"/>
            </w:tcBorders>
            <w:shd w:val="clear" w:color="auto" w:fill="FFFFFF"/>
            <w:tcMar>
              <w:top w:w="0" w:type="dxa"/>
              <w:left w:w="0" w:type="dxa"/>
              <w:bottom w:w="0" w:type="dxa"/>
              <w:right w:w="0" w:type="dxa"/>
            </w:tcMar>
            <w:vAlign w:val="center"/>
          </w:tcPr>
          <w:p w14:paraId="7C7A33DB">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67B80F40">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3AFC55A5">
            <w:pPr>
              <w:pStyle w:val="106"/>
              <w:bidi w:val="0"/>
              <w:jc w:val="center"/>
            </w:pPr>
            <w:r>
              <w:rPr>
                <w:rFonts w:hint="default"/>
                <w:lang w:val="en-US" w:eastAsia="zh-CN"/>
              </w:rPr>
              <w:t>30</w:t>
            </w:r>
          </w:p>
        </w:tc>
        <w:tc>
          <w:tcPr>
            <w:tcW w:w="173" w:type="pct"/>
            <w:tcBorders>
              <w:tl2br w:val="nil"/>
              <w:tr2bl w:val="nil"/>
            </w:tcBorders>
            <w:shd w:val="clear" w:color="auto" w:fill="FFFFFF"/>
            <w:tcMar>
              <w:top w:w="0" w:type="dxa"/>
              <w:left w:w="0" w:type="dxa"/>
              <w:bottom w:w="0" w:type="dxa"/>
              <w:right w:w="0" w:type="dxa"/>
            </w:tcMar>
            <w:vAlign w:val="center"/>
          </w:tcPr>
          <w:p w14:paraId="1B4FF3D9">
            <w:pPr>
              <w:pStyle w:val="106"/>
              <w:bidi w:val="0"/>
              <w:jc w:val="cente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690BADC4">
            <w:pPr>
              <w:pStyle w:val="106"/>
              <w:bidi w:val="0"/>
              <w:jc w:val="center"/>
            </w:pPr>
            <w:r>
              <w:rPr>
                <w:rFonts w:hint="default"/>
                <w:lang w:val="en-US" w:eastAsia="zh-CN"/>
              </w:rPr>
              <w:t>96</w:t>
            </w:r>
          </w:p>
        </w:tc>
        <w:tc>
          <w:tcPr>
            <w:tcW w:w="173" w:type="pct"/>
            <w:tcBorders>
              <w:tl2br w:val="nil"/>
              <w:tr2bl w:val="nil"/>
            </w:tcBorders>
            <w:shd w:val="clear" w:color="auto" w:fill="FFFFFF"/>
            <w:tcMar>
              <w:top w:w="0" w:type="dxa"/>
              <w:left w:w="0" w:type="dxa"/>
              <w:bottom w:w="0" w:type="dxa"/>
              <w:right w:w="0" w:type="dxa"/>
            </w:tcMar>
            <w:vAlign w:val="center"/>
          </w:tcPr>
          <w:p w14:paraId="38636D38">
            <w:pPr>
              <w:pStyle w:val="106"/>
              <w:bidi w:val="0"/>
              <w:jc w:val="center"/>
            </w:pPr>
            <w:r>
              <w:rPr>
                <w:rFonts w:hint="default"/>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673D965A">
            <w:pPr>
              <w:pStyle w:val="106"/>
              <w:bidi w:val="0"/>
              <w:jc w:val="center"/>
              <w:rPr>
                <w:rFonts w:hint="default"/>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7D2EF347">
            <w:pPr>
              <w:pStyle w:val="106"/>
              <w:bidi w:val="0"/>
              <w:jc w:val="center"/>
              <w:rPr>
                <w:rFonts w:hint="default"/>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0633328A">
            <w:pPr>
              <w:pStyle w:val="106"/>
              <w:bidi w:val="0"/>
              <w:jc w:val="center"/>
              <w:rPr>
                <w:rFonts w:hint="default"/>
                <w:lang w:val="en-US" w:eastAsia="zh-CN"/>
              </w:rPr>
            </w:pPr>
            <w:r>
              <w:rPr>
                <w:rFonts w:hint="eastAsia"/>
                <w:lang w:val="en-US" w:eastAsia="zh-CN"/>
              </w:rPr>
              <w:t>45.8</w:t>
            </w:r>
          </w:p>
        </w:tc>
        <w:tc>
          <w:tcPr>
            <w:tcW w:w="177" w:type="pct"/>
            <w:tcBorders>
              <w:tl2br w:val="nil"/>
              <w:tr2bl w:val="nil"/>
            </w:tcBorders>
            <w:shd w:val="clear" w:color="auto" w:fill="FFFFFF"/>
            <w:tcMar>
              <w:top w:w="0" w:type="dxa"/>
              <w:left w:w="0" w:type="dxa"/>
              <w:bottom w:w="0" w:type="dxa"/>
              <w:right w:w="0" w:type="dxa"/>
            </w:tcMar>
            <w:vAlign w:val="center"/>
          </w:tcPr>
          <w:p w14:paraId="3C19DF93">
            <w:pPr>
              <w:pStyle w:val="106"/>
              <w:bidi w:val="0"/>
              <w:jc w:val="center"/>
              <w:rPr>
                <w:rFonts w:hint="default"/>
                <w:lang w:val="en-US" w:eastAsia="zh-CN"/>
              </w:rPr>
            </w:pPr>
            <w:r>
              <w:rPr>
                <w:rFonts w:hint="eastAsia"/>
                <w:lang w:val="en-US" w:eastAsia="zh-CN"/>
              </w:rPr>
              <w:t>45.8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6655E5A1">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EF1E5D4">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08F6C862">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433D560D">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4BB09363">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4D7AC2A8">
            <w:pPr>
              <w:pStyle w:val="106"/>
              <w:bidi w:val="0"/>
              <w:jc w:val="cente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07FC5D87">
            <w:pPr>
              <w:pStyle w:val="106"/>
              <w:bidi w:val="0"/>
              <w:jc w:val="cente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02782F0E">
            <w:pPr>
              <w:pStyle w:val="106"/>
              <w:bidi w:val="0"/>
              <w:jc w:val="cente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51C6B60C">
            <w:pPr>
              <w:pStyle w:val="106"/>
              <w:bidi w:val="0"/>
              <w:jc w:val="center"/>
            </w:pPr>
            <w:r>
              <w:rPr>
                <w:rFonts w:hint="eastAsia"/>
                <w:lang w:val="en-US" w:eastAsia="zh-CN"/>
              </w:rPr>
              <w:t>19.8</w:t>
            </w:r>
          </w:p>
        </w:tc>
        <w:tc>
          <w:tcPr>
            <w:tcW w:w="258" w:type="pct"/>
            <w:tcBorders>
              <w:tl2br w:val="nil"/>
              <w:tr2bl w:val="nil"/>
            </w:tcBorders>
            <w:shd w:val="clear" w:color="auto" w:fill="FFFFFF"/>
            <w:tcMar>
              <w:top w:w="0" w:type="dxa"/>
              <w:left w:w="0" w:type="dxa"/>
              <w:bottom w:w="0" w:type="dxa"/>
              <w:right w:w="0" w:type="dxa"/>
            </w:tcMar>
            <w:vAlign w:val="center"/>
          </w:tcPr>
          <w:p w14:paraId="36FA26FD">
            <w:pPr>
              <w:pStyle w:val="106"/>
              <w:bidi w:val="0"/>
            </w:pPr>
            <w:r>
              <w:t>1</w:t>
            </w:r>
          </w:p>
        </w:tc>
      </w:tr>
      <w:tr w14:paraId="337EA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020582A4">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59541918">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739BFF3F">
            <w:pPr>
              <w:pStyle w:val="106"/>
              <w:bidi w:val="0"/>
              <w:rPr>
                <w:rFonts w:hint="default"/>
                <w:lang w:val="en-US" w:eastAsia="zh-CN"/>
              </w:rPr>
            </w:pPr>
            <w:r>
              <w:rPr>
                <w:rFonts w:hint="eastAsia"/>
                <w:lang w:val="en-US" w:eastAsia="zh-CN"/>
              </w:rPr>
              <w:t>X射线检测仪2</w:t>
            </w:r>
          </w:p>
        </w:tc>
        <w:tc>
          <w:tcPr>
            <w:tcW w:w="119" w:type="pct"/>
            <w:tcBorders>
              <w:tl2br w:val="nil"/>
              <w:tr2bl w:val="nil"/>
            </w:tcBorders>
            <w:shd w:val="clear" w:color="auto" w:fill="FFFFFF"/>
            <w:tcMar>
              <w:top w:w="0" w:type="dxa"/>
              <w:left w:w="0" w:type="dxa"/>
              <w:bottom w:w="0" w:type="dxa"/>
              <w:right w:w="0" w:type="dxa"/>
            </w:tcMar>
            <w:vAlign w:val="center"/>
          </w:tcPr>
          <w:p w14:paraId="72D287F2">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1907FF0B">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63E3F064">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69AB48A8">
            <w:pPr>
              <w:pStyle w:val="106"/>
              <w:bidi w:val="0"/>
              <w:rPr>
                <w:rFonts w:hint="default"/>
                <w:lang w:val="en-US" w:eastAsia="zh-CN"/>
              </w:rPr>
            </w:pPr>
            <w:r>
              <w:rPr>
                <w:rFonts w:hint="eastAsia"/>
                <w:lang w:val="en-US" w:eastAsia="zh-CN"/>
              </w:rPr>
              <w:t>33</w:t>
            </w:r>
          </w:p>
        </w:tc>
        <w:tc>
          <w:tcPr>
            <w:tcW w:w="173" w:type="pct"/>
            <w:tcBorders>
              <w:tl2br w:val="nil"/>
              <w:tr2bl w:val="nil"/>
            </w:tcBorders>
            <w:shd w:val="clear" w:color="auto" w:fill="FFFFFF"/>
            <w:tcMar>
              <w:top w:w="0" w:type="dxa"/>
              <w:left w:w="0" w:type="dxa"/>
              <w:bottom w:w="0" w:type="dxa"/>
              <w:right w:w="0" w:type="dxa"/>
            </w:tcMar>
            <w:vAlign w:val="center"/>
          </w:tcPr>
          <w:p w14:paraId="76C24D05">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073F9B75">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69F0576C">
            <w:pPr>
              <w:pStyle w:val="106"/>
              <w:bidi w:val="0"/>
              <w:jc w:val="center"/>
              <w:rPr>
                <w:rFonts w:hint="eastAsia"/>
                <w:lang w:val="en-US" w:eastAsia="zh-CN"/>
              </w:rPr>
            </w:pPr>
            <w:r>
              <w:rPr>
                <w:rFonts w:hint="default"/>
                <w:lang w:val="en-US" w:eastAsia="zh-CN"/>
              </w:rPr>
              <w:t>30</w:t>
            </w:r>
          </w:p>
        </w:tc>
        <w:tc>
          <w:tcPr>
            <w:tcW w:w="173" w:type="pct"/>
            <w:tcBorders>
              <w:tl2br w:val="nil"/>
              <w:tr2bl w:val="nil"/>
            </w:tcBorders>
            <w:shd w:val="clear" w:color="auto" w:fill="FFFFFF"/>
            <w:tcMar>
              <w:top w:w="0" w:type="dxa"/>
              <w:left w:w="0" w:type="dxa"/>
              <w:bottom w:w="0" w:type="dxa"/>
              <w:right w:w="0" w:type="dxa"/>
            </w:tcMar>
            <w:vAlign w:val="center"/>
          </w:tcPr>
          <w:p w14:paraId="70E88061">
            <w:pPr>
              <w:pStyle w:val="106"/>
              <w:bidi w:val="0"/>
              <w:jc w:val="center"/>
              <w:rPr>
                <w:rFonts w:hint="eastAsia"/>
                <w:lang w:val="en-US" w:eastAsia="zh-CN"/>
              </w:rPr>
            </w:pPr>
            <w:r>
              <w:rPr>
                <w:rFonts w:hint="default"/>
                <w:lang w:val="en-US" w:eastAsia="zh-CN"/>
              </w:rPr>
              <w:t>22</w:t>
            </w:r>
          </w:p>
        </w:tc>
        <w:tc>
          <w:tcPr>
            <w:tcW w:w="173" w:type="pct"/>
            <w:tcBorders>
              <w:tl2br w:val="nil"/>
              <w:tr2bl w:val="nil"/>
            </w:tcBorders>
            <w:shd w:val="clear" w:color="auto" w:fill="FFFFFF"/>
            <w:tcMar>
              <w:top w:w="0" w:type="dxa"/>
              <w:left w:w="0" w:type="dxa"/>
              <w:bottom w:w="0" w:type="dxa"/>
              <w:right w:w="0" w:type="dxa"/>
            </w:tcMar>
            <w:vAlign w:val="center"/>
          </w:tcPr>
          <w:p w14:paraId="34C0B119">
            <w:pPr>
              <w:pStyle w:val="106"/>
              <w:bidi w:val="0"/>
              <w:jc w:val="center"/>
              <w:rPr>
                <w:rFonts w:hint="eastAsia"/>
                <w:lang w:val="en-US" w:eastAsia="zh-CN"/>
              </w:rPr>
            </w:pPr>
            <w:r>
              <w:rPr>
                <w:rFonts w:hint="default"/>
                <w:lang w:val="en-US" w:eastAsia="zh-CN"/>
              </w:rPr>
              <w:t>96</w:t>
            </w:r>
          </w:p>
        </w:tc>
        <w:tc>
          <w:tcPr>
            <w:tcW w:w="173" w:type="pct"/>
            <w:tcBorders>
              <w:tl2br w:val="nil"/>
              <w:tr2bl w:val="nil"/>
            </w:tcBorders>
            <w:shd w:val="clear" w:color="auto" w:fill="FFFFFF"/>
            <w:tcMar>
              <w:top w:w="0" w:type="dxa"/>
              <w:left w:w="0" w:type="dxa"/>
              <w:bottom w:w="0" w:type="dxa"/>
              <w:right w:w="0" w:type="dxa"/>
            </w:tcMar>
            <w:vAlign w:val="center"/>
          </w:tcPr>
          <w:p w14:paraId="280C3615">
            <w:pPr>
              <w:pStyle w:val="106"/>
              <w:bidi w:val="0"/>
              <w:jc w:val="center"/>
              <w:rPr>
                <w:rFonts w:hint="eastAsia"/>
                <w:lang w:val="en-US" w:eastAsia="zh-CN"/>
              </w:rPr>
            </w:pPr>
            <w:r>
              <w:rPr>
                <w:rFonts w:hint="default"/>
                <w:lang w:val="en-US" w:eastAsia="zh-CN"/>
              </w:rPr>
              <w:t>28</w:t>
            </w:r>
          </w:p>
        </w:tc>
        <w:tc>
          <w:tcPr>
            <w:tcW w:w="173" w:type="pct"/>
            <w:tcBorders>
              <w:tl2br w:val="nil"/>
              <w:tr2bl w:val="nil"/>
            </w:tcBorders>
            <w:shd w:val="clear" w:color="auto" w:fill="FFFFFF"/>
            <w:tcMar>
              <w:top w:w="0" w:type="dxa"/>
              <w:left w:w="0" w:type="dxa"/>
              <w:bottom w:w="0" w:type="dxa"/>
              <w:right w:w="0" w:type="dxa"/>
            </w:tcMar>
            <w:vAlign w:val="center"/>
          </w:tcPr>
          <w:p w14:paraId="4F6C671F">
            <w:pPr>
              <w:pStyle w:val="106"/>
              <w:bidi w:val="0"/>
              <w:jc w:val="center"/>
              <w:rPr>
                <w:rFonts w:hint="eastAsia"/>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6A89F887">
            <w:pPr>
              <w:pStyle w:val="106"/>
              <w:bidi w:val="0"/>
              <w:jc w:val="center"/>
              <w:rPr>
                <w:rFonts w:hint="eastAsia"/>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220F4869">
            <w:pPr>
              <w:pStyle w:val="106"/>
              <w:bidi w:val="0"/>
              <w:jc w:val="center"/>
              <w:rPr>
                <w:rFonts w:hint="eastAsia"/>
                <w:lang w:val="en-US" w:eastAsia="zh-CN"/>
              </w:rPr>
            </w:pPr>
            <w:r>
              <w:rPr>
                <w:rFonts w:hint="eastAsia"/>
                <w:lang w:val="en-US" w:eastAsia="zh-CN"/>
              </w:rPr>
              <w:t>45.8</w:t>
            </w:r>
          </w:p>
        </w:tc>
        <w:tc>
          <w:tcPr>
            <w:tcW w:w="177" w:type="pct"/>
            <w:tcBorders>
              <w:tl2br w:val="nil"/>
              <w:tr2bl w:val="nil"/>
            </w:tcBorders>
            <w:shd w:val="clear" w:color="auto" w:fill="FFFFFF"/>
            <w:tcMar>
              <w:top w:w="0" w:type="dxa"/>
              <w:left w:w="0" w:type="dxa"/>
              <w:bottom w:w="0" w:type="dxa"/>
              <w:right w:w="0" w:type="dxa"/>
            </w:tcMar>
            <w:vAlign w:val="center"/>
          </w:tcPr>
          <w:p w14:paraId="4B95C17C">
            <w:pPr>
              <w:pStyle w:val="106"/>
              <w:bidi w:val="0"/>
              <w:jc w:val="center"/>
              <w:rPr>
                <w:rFonts w:hint="eastAsia"/>
                <w:lang w:val="en-US" w:eastAsia="zh-CN"/>
              </w:rPr>
            </w:pPr>
            <w:r>
              <w:rPr>
                <w:rFonts w:hint="eastAsia"/>
                <w:lang w:val="en-US" w:eastAsia="zh-CN"/>
              </w:rPr>
              <w:t>45.8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08FB43AA">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2A8052B">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45AE0CF">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967067B">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75E1E5BE">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14CBD2F9">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3E0136A9">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052B947E">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4E7F2C78">
            <w:pPr>
              <w:pStyle w:val="106"/>
              <w:bidi w:val="0"/>
              <w:jc w:val="center"/>
              <w:rPr>
                <w:rFonts w:hint="eastAsia"/>
                <w:lang w:val="en-US" w:eastAsia="zh-CN"/>
              </w:rPr>
            </w:pPr>
            <w:r>
              <w:rPr>
                <w:rFonts w:hint="eastAsia"/>
                <w:lang w:val="en-US" w:eastAsia="zh-CN"/>
              </w:rPr>
              <w:t>19.8</w:t>
            </w:r>
          </w:p>
        </w:tc>
        <w:tc>
          <w:tcPr>
            <w:tcW w:w="258" w:type="pct"/>
            <w:tcBorders>
              <w:tl2br w:val="nil"/>
              <w:tr2bl w:val="nil"/>
            </w:tcBorders>
            <w:shd w:val="clear" w:color="auto" w:fill="FFFFFF"/>
            <w:tcMar>
              <w:top w:w="0" w:type="dxa"/>
              <w:left w:w="0" w:type="dxa"/>
              <w:bottom w:w="0" w:type="dxa"/>
              <w:right w:w="0" w:type="dxa"/>
            </w:tcMar>
            <w:vAlign w:val="center"/>
          </w:tcPr>
          <w:p w14:paraId="56A409C2">
            <w:pPr>
              <w:pStyle w:val="106"/>
              <w:bidi w:val="0"/>
            </w:pPr>
            <w:r>
              <w:t>1</w:t>
            </w:r>
          </w:p>
        </w:tc>
      </w:tr>
      <w:tr w14:paraId="14335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51E03346">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3B596818">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A61B713">
            <w:pPr>
              <w:pStyle w:val="106"/>
              <w:bidi w:val="0"/>
              <w:rPr>
                <w:rFonts w:hint="default"/>
                <w:lang w:val="en-US" w:eastAsia="zh-CN"/>
              </w:rPr>
            </w:pPr>
            <w:r>
              <w:rPr>
                <w:rFonts w:hint="eastAsia"/>
                <w:lang w:val="en-US" w:eastAsia="zh-CN"/>
              </w:rPr>
              <w:t>X射线检测仪3</w:t>
            </w:r>
          </w:p>
        </w:tc>
        <w:tc>
          <w:tcPr>
            <w:tcW w:w="119" w:type="pct"/>
            <w:tcBorders>
              <w:tl2br w:val="nil"/>
              <w:tr2bl w:val="nil"/>
            </w:tcBorders>
            <w:shd w:val="clear" w:color="auto" w:fill="FFFFFF"/>
            <w:tcMar>
              <w:top w:w="0" w:type="dxa"/>
              <w:left w:w="0" w:type="dxa"/>
              <w:bottom w:w="0" w:type="dxa"/>
              <w:right w:w="0" w:type="dxa"/>
            </w:tcMar>
            <w:vAlign w:val="center"/>
          </w:tcPr>
          <w:p w14:paraId="46F0DA6F">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5D5C14CD">
            <w:pPr>
              <w:pStyle w:val="106"/>
              <w:bidi w:val="0"/>
              <w:rPr>
                <w:rFonts w:hint="eastAsia"/>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4CF2CC76">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44381FD8">
            <w:pPr>
              <w:pStyle w:val="106"/>
              <w:bidi w:val="0"/>
              <w:rPr>
                <w:rFonts w:hint="default"/>
                <w:lang w:val="en-US" w:eastAsia="zh-CN"/>
              </w:rPr>
            </w:pPr>
            <w:r>
              <w:rPr>
                <w:rFonts w:hint="eastAsia"/>
                <w:lang w:val="en-US" w:eastAsia="zh-CN"/>
              </w:rPr>
              <w:t>33</w:t>
            </w:r>
          </w:p>
        </w:tc>
        <w:tc>
          <w:tcPr>
            <w:tcW w:w="173" w:type="pct"/>
            <w:tcBorders>
              <w:tl2br w:val="nil"/>
              <w:tr2bl w:val="nil"/>
            </w:tcBorders>
            <w:shd w:val="clear" w:color="auto" w:fill="FFFFFF"/>
            <w:tcMar>
              <w:top w:w="0" w:type="dxa"/>
              <w:left w:w="0" w:type="dxa"/>
              <w:bottom w:w="0" w:type="dxa"/>
              <w:right w:w="0" w:type="dxa"/>
            </w:tcMar>
            <w:vAlign w:val="center"/>
          </w:tcPr>
          <w:p w14:paraId="0ED5662F">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-41</w:t>
            </w:r>
          </w:p>
        </w:tc>
        <w:tc>
          <w:tcPr>
            <w:tcW w:w="173" w:type="pct"/>
            <w:tcBorders>
              <w:tl2br w:val="nil"/>
              <w:tr2bl w:val="nil"/>
            </w:tcBorders>
            <w:shd w:val="clear" w:color="auto" w:fill="FFFFFF"/>
            <w:tcMar>
              <w:top w:w="0" w:type="dxa"/>
              <w:left w:w="0" w:type="dxa"/>
              <w:bottom w:w="0" w:type="dxa"/>
              <w:right w:w="0" w:type="dxa"/>
            </w:tcMar>
            <w:vAlign w:val="center"/>
          </w:tcPr>
          <w:p w14:paraId="5FFCBD90">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52C7FA33">
            <w:pPr>
              <w:pStyle w:val="106"/>
              <w:bidi w:val="0"/>
              <w:jc w:val="center"/>
              <w:rPr>
                <w:rFonts w:hint="eastAsia"/>
                <w:lang w:val="en-US" w:eastAsia="zh-CN"/>
              </w:rPr>
            </w:pPr>
            <w:r>
              <w:rPr>
                <w:rFonts w:hint="default"/>
                <w:lang w:val="en-US" w:eastAsia="zh-CN"/>
              </w:rPr>
              <w:t>30</w:t>
            </w:r>
          </w:p>
        </w:tc>
        <w:tc>
          <w:tcPr>
            <w:tcW w:w="173" w:type="pct"/>
            <w:tcBorders>
              <w:tl2br w:val="nil"/>
              <w:tr2bl w:val="nil"/>
            </w:tcBorders>
            <w:shd w:val="clear" w:color="auto" w:fill="FFFFFF"/>
            <w:tcMar>
              <w:top w:w="0" w:type="dxa"/>
              <w:left w:w="0" w:type="dxa"/>
              <w:bottom w:w="0" w:type="dxa"/>
              <w:right w:w="0" w:type="dxa"/>
            </w:tcMar>
            <w:vAlign w:val="center"/>
          </w:tcPr>
          <w:p w14:paraId="49926940">
            <w:pPr>
              <w:pStyle w:val="106"/>
              <w:bidi w:val="0"/>
              <w:jc w:val="center"/>
              <w:rPr>
                <w:rFonts w:hint="eastAsia"/>
                <w:lang w:val="en-US" w:eastAsia="zh-CN"/>
              </w:rPr>
            </w:pPr>
            <w:r>
              <w:rPr>
                <w:rFonts w:hint="default"/>
                <w:lang w:val="en-US" w:eastAsia="zh-CN"/>
              </w:rPr>
              <w:t>19</w:t>
            </w:r>
          </w:p>
        </w:tc>
        <w:tc>
          <w:tcPr>
            <w:tcW w:w="173" w:type="pct"/>
            <w:tcBorders>
              <w:tl2br w:val="nil"/>
              <w:tr2bl w:val="nil"/>
            </w:tcBorders>
            <w:shd w:val="clear" w:color="auto" w:fill="FFFFFF"/>
            <w:tcMar>
              <w:top w:w="0" w:type="dxa"/>
              <w:left w:w="0" w:type="dxa"/>
              <w:bottom w:w="0" w:type="dxa"/>
              <w:right w:w="0" w:type="dxa"/>
            </w:tcMar>
            <w:vAlign w:val="center"/>
          </w:tcPr>
          <w:p w14:paraId="3DC91725">
            <w:pPr>
              <w:pStyle w:val="106"/>
              <w:bidi w:val="0"/>
              <w:jc w:val="center"/>
              <w:rPr>
                <w:rFonts w:hint="eastAsia"/>
                <w:lang w:val="en-US" w:eastAsia="zh-CN"/>
              </w:rPr>
            </w:pPr>
            <w:r>
              <w:rPr>
                <w:rFonts w:hint="default"/>
                <w:lang w:val="en-US" w:eastAsia="zh-CN"/>
              </w:rPr>
              <w:t>96</w:t>
            </w:r>
          </w:p>
        </w:tc>
        <w:tc>
          <w:tcPr>
            <w:tcW w:w="173" w:type="pct"/>
            <w:tcBorders>
              <w:tl2br w:val="nil"/>
              <w:tr2bl w:val="nil"/>
            </w:tcBorders>
            <w:shd w:val="clear" w:color="auto" w:fill="FFFFFF"/>
            <w:tcMar>
              <w:top w:w="0" w:type="dxa"/>
              <w:left w:w="0" w:type="dxa"/>
              <w:bottom w:w="0" w:type="dxa"/>
              <w:right w:w="0" w:type="dxa"/>
            </w:tcMar>
            <w:vAlign w:val="center"/>
          </w:tcPr>
          <w:p w14:paraId="2FA1E001">
            <w:pPr>
              <w:pStyle w:val="106"/>
              <w:bidi w:val="0"/>
              <w:jc w:val="center"/>
              <w:rPr>
                <w:rFonts w:hint="eastAsia"/>
                <w:lang w:val="en-US" w:eastAsia="zh-CN"/>
              </w:rPr>
            </w:pPr>
            <w:r>
              <w:rPr>
                <w:rFonts w:hint="default"/>
                <w:lang w:val="en-US" w:eastAsia="zh-CN"/>
              </w:rPr>
              <w:t>31</w:t>
            </w:r>
          </w:p>
        </w:tc>
        <w:tc>
          <w:tcPr>
            <w:tcW w:w="173" w:type="pct"/>
            <w:tcBorders>
              <w:tl2br w:val="nil"/>
              <w:tr2bl w:val="nil"/>
            </w:tcBorders>
            <w:shd w:val="clear" w:color="auto" w:fill="FFFFFF"/>
            <w:tcMar>
              <w:top w:w="0" w:type="dxa"/>
              <w:left w:w="0" w:type="dxa"/>
              <w:bottom w:w="0" w:type="dxa"/>
              <w:right w:w="0" w:type="dxa"/>
            </w:tcMar>
            <w:vAlign w:val="center"/>
          </w:tcPr>
          <w:p w14:paraId="2462924B">
            <w:pPr>
              <w:pStyle w:val="106"/>
              <w:bidi w:val="0"/>
              <w:jc w:val="center"/>
              <w:rPr>
                <w:rFonts w:hint="eastAsia"/>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760AADA9">
            <w:pPr>
              <w:pStyle w:val="106"/>
              <w:bidi w:val="0"/>
              <w:jc w:val="center"/>
              <w:rPr>
                <w:rFonts w:hint="eastAsia"/>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1CDC42D9">
            <w:pPr>
              <w:pStyle w:val="106"/>
              <w:bidi w:val="0"/>
              <w:jc w:val="center"/>
              <w:rPr>
                <w:rFonts w:hint="eastAsia"/>
                <w:lang w:val="en-US" w:eastAsia="zh-CN"/>
              </w:rPr>
            </w:pPr>
            <w:r>
              <w:rPr>
                <w:rFonts w:hint="eastAsia"/>
                <w:lang w:val="en-US" w:eastAsia="zh-CN"/>
              </w:rPr>
              <w:t>45.8</w:t>
            </w:r>
          </w:p>
        </w:tc>
        <w:tc>
          <w:tcPr>
            <w:tcW w:w="177" w:type="pct"/>
            <w:tcBorders>
              <w:tl2br w:val="nil"/>
              <w:tr2bl w:val="nil"/>
            </w:tcBorders>
            <w:shd w:val="clear" w:color="auto" w:fill="FFFFFF"/>
            <w:tcMar>
              <w:top w:w="0" w:type="dxa"/>
              <w:left w:w="0" w:type="dxa"/>
              <w:bottom w:w="0" w:type="dxa"/>
              <w:right w:w="0" w:type="dxa"/>
            </w:tcMar>
            <w:vAlign w:val="center"/>
          </w:tcPr>
          <w:p w14:paraId="6A8EDCF7">
            <w:pPr>
              <w:pStyle w:val="106"/>
              <w:bidi w:val="0"/>
              <w:jc w:val="center"/>
              <w:rPr>
                <w:rFonts w:hint="eastAsia"/>
                <w:lang w:val="en-US" w:eastAsia="zh-CN"/>
              </w:rPr>
            </w:pPr>
            <w:r>
              <w:rPr>
                <w:rFonts w:hint="eastAsia"/>
                <w:lang w:val="en-US" w:eastAsia="zh-CN"/>
              </w:rPr>
              <w:t>45.8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3931CFF9">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973E867">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0191A8AC">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1013AB4">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5E9B7619">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4E8831DC">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2FBFC6AD">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48B39AC3">
            <w:pPr>
              <w:pStyle w:val="106"/>
              <w:bidi w:val="0"/>
              <w:jc w:val="center"/>
              <w:rPr>
                <w:rFonts w:hint="eastAsia"/>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3CFECF4B">
            <w:pPr>
              <w:pStyle w:val="106"/>
              <w:bidi w:val="0"/>
              <w:jc w:val="center"/>
              <w:rPr>
                <w:rFonts w:hint="eastAsia"/>
                <w:lang w:val="en-US" w:eastAsia="zh-CN"/>
              </w:rPr>
            </w:pPr>
            <w:r>
              <w:rPr>
                <w:rFonts w:hint="eastAsia"/>
                <w:lang w:val="en-US" w:eastAsia="zh-CN"/>
              </w:rPr>
              <w:t>19.8</w:t>
            </w:r>
          </w:p>
        </w:tc>
        <w:tc>
          <w:tcPr>
            <w:tcW w:w="258" w:type="pct"/>
            <w:tcBorders>
              <w:tl2br w:val="nil"/>
              <w:tr2bl w:val="nil"/>
            </w:tcBorders>
            <w:shd w:val="clear" w:color="auto" w:fill="FFFFFF"/>
            <w:tcMar>
              <w:top w:w="0" w:type="dxa"/>
              <w:left w:w="0" w:type="dxa"/>
              <w:bottom w:w="0" w:type="dxa"/>
              <w:right w:w="0" w:type="dxa"/>
            </w:tcMar>
            <w:vAlign w:val="center"/>
          </w:tcPr>
          <w:p w14:paraId="1167C52E">
            <w:pPr>
              <w:pStyle w:val="106"/>
              <w:bidi w:val="0"/>
            </w:pPr>
            <w:r>
              <w:t>1</w:t>
            </w:r>
          </w:p>
        </w:tc>
      </w:tr>
      <w:tr w14:paraId="3D6CD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620C0130">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5E77BCAF">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6CA4FC96">
            <w:pPr>
              <w:pStyle w:val="106"/>
              <w:bidi w:val="0"/>
              <w:rPr>
                <w:rFonts w:hint="default"/>
                <w:lang w:val="en-US" w:eastAsia="zh-CN"/>
              </w:rPr>
            </w:pPr>
            <w:r>
              <w:rPr>
                <w:rFonts w:hint="eastAsia"/>
                <w:lang w:val="en-US" w:eastAsia="zh-CN"/>
              </w:rPr>
              <w:t>激光喷码机1</w:t>
            </w:r>
          </w:p>
        </w:tc>
        <w:tc>
          <w:tcPr>
            <w:tcW w:w="119" w:type="pct"/>
            <w:tcBorders>
              <w:tl2br w:val="nil"/>
              <w:tr2bl w:val="nil"/>
            </w:tcBorders>
            <w:shd w:val="clear" w:color="auto" w:fill="FFFFFF"/>
            <w:tcMar>
              <w:top w:w="0" w:type="dxa"/>
              <w:left w:w="0" w:type="dxa"/>
              <w:bottom w:w="0" w:type="dxa"/>
              <w:right w:w="0" w:type="dxa"/>
            </w:tcMar>
            <w:vAlign w:val="center"/>
          </w:tcPr>
          <w:p w14:paraId="407214D9">
            <w:pPr>
              <w:pStyle w:val="106"/>
              <w:bidi w:val="0"/>
              <w:rPr>
                <w:rFonts w:hint="eastAsia"/>
                <w:lang w:val="en-US" w:eastAsia="zh-CN"/>
              </w:rPr>
            </w:pPr>
            <w:r>
              <w:rPr>
                <w:rFonts w:hint="eastAsia"/>
              </w:rPr>
              <w:t>/</w:t>
            </w:r>
          </w:p>
        </w:tc>
        <w:tc>
          <w:tcPr>
            <w:tcW w:w="251" w:type="pct"/>
            <w:tcBorders>
              <w:tl2br w:val="nil"/>
              <w:tr2bl w:val="nil"/>
            </w:tcBorders>
            <w:shd w:val="clear" w:color="auto" w:fill="auto"/>
            <w:tcMar>
              <w:top w:w="0" w:type="dxa"/>
              <w:left w:w="0" w:type="dxa"/>
              <w:bottom w:w="0" w:type="dxa"/>
              <w:right w:w="0" w:type="dxa"/>
            </w:tcMar>
            <w:vAlign w:val="center"/>
          </w:tcPr>
          <w:p w14:paraId="0B67D9EF">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0DD28E55">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2ED30274">
            <w:pPr>
              <w:pStyle w:val="106"/>
              <w:bidi w:val="0"/>
              <w:rPr>
                <w:rFonts w:hint="default"/>
                <w:lang w:val="en-US" w:eastAsia="zh-CN"/>
              </w:rPr>
            </w:pPr>
            <w:r>
              <w:rPr>
                <w:rFonts w:hint="eastAsia"/>
                <w:lang w:val="en-US" w:eastAsia="zh-CN"/>
              </w:rPr>
              <w:t>-32</w:t>
            </w:r>
          </w:p>
        </w:tc>
        <w:tc>
          <w:tcPr>
            <w:tcW w:w="173" w:type="pct"/>
            <w:tcBorders>
              <w:tl2br w:val="nil"/>
              <w:tr2bl w:val="nil"/>
            </w:tcBorders>
            <w:shd w:val="clear" w:color="auto" w:fill="FFFFFF"/>
            <w:tcMar>
              <w:top w:w="0" w:type="dxa"/>
              <w:left w:w="0" w:type="dxa"/>
              <w:bottom w:w="0" w:type="dxa"/>
              <w:right w:w="0" w:type="dxa"/>
            </w:tcMar>
            <w:vAlign w:val="center"/>
          </w:tcPr>
          <w:p w14:paraId="379E876E">
            <w:pPr>
              <w:pStyle w:val="106"/>
              <w:bidi w:val="0"/>
              <w:rPr>
                <w:rFonts w:hint="default"/>
                <w:lang w:val="en-US" w:eastAsia="zh-CN"/>
              </w:rPr>
            </w:pPr>
            <w:r>
              <w:rPr>
                <w:rFonts w:hint="eastAsia"/>
                <w:lang w:val="en-US" w:eastAsia="zh-CN"/>
              </w:rPr>
              <w:t>-50</w:t>
            </w:r>
          </w:p>
        </w:tc>
        <w:tc>
          <w:tcPr>
            <w:tcW w:w="173" w:type="pct"/>
            <w:tcBorders>
              <w:tl2br w:val="nil"/>
              <w:tr2bl w:val="nil"/>
            </w:tcBorders>
            <w:shd w:val="clear" w:color="auto" w:fill="FFFFFF"/>
            <w:tcMar>
              <w:top w:w="0" w:type="dxa"/>
              <w:left w:w="0" w:type="dxa"/>
              <w:bottom w:w="0" w:type="dxa"/>
              <w:right w:w="0" w:type="dxa"/>
            </w:tcMar>
            <w:vAlign w:val="center"/>
          </w:tcPr>
          <w:p w14:paraId="28C6598A">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746F9295">
            <w:pPr>
              <w:pStyle w:val="106"/>
              <w:bidi w:val="0"/>
              <w:jc w:val="center"/>
            </w:pPr>
            <w:r>
              <w:rPr>
                <w:rFonts w:hint="default"/>
                <w:lang w:val="en-US" w:eastAsia="zh-CN"/>
              </w:rPr>
              <w:t>95</w:t>
            </w:r>
          </w:p>
        </w:tc>
        <w:tc>
          <w:tcPr>
            <w:tcW w:w="173" w:type="pct"/>
            <w:tcBorders>
              <w:tl2br w:val="nil"/>
              <w:tr2bl w:val="nil"/>
            </w:tcBorders>
            <w:shd w:val="clear" w:color="auto" w:fill="FFFFFF"/>
            <w:tcMar>
              <w:top w:w="0" w:type="dxa"/>
              <w:left w:w="0" w:type="dxa"/>
              <w:bottom w:w="0" w:type="dxa"/>
              <w:right w:w="0" w:type="dxa"/>
            </w:tcMar>
            <w:vAlign w:val="center"/>
          </w:tcPr>
          <w:p w14:paraId="140073E0">
            <w:pPr>
              <w:pStyle w:val="106"/>
              <w:bidi w:val="0"/>
              <w:jc w:val="center"/>
            </w:pPr>
            <w:r>
              <w:rPr>
                <w:rFonts w:hint="default"/>
                <w:lang w:val="en-US" w:eastAsia="zh-CN"/>
              </w:rPr>
              <w:t>10</w:t>
            </w:r>
          </w:p>
        </w:tc>
        <w:tc>
          <w:tcPr>
            <w:tcW w:w="173" w:type="pct"/>
            <w:tcBorders>
              <w:tl2br w:val="nil"/>
              <w:tr2bl w:val="nil"/>
            </w:tcBorders>
            <w:shd w:val="clear" w:color="auto" w:fill="FFFFFF"/>
            <w:tcMar>
              <w:top w:w="0" w:type="dxa"/>
              <w:left w:w="0" w:type="dxa"/>
              <w:bottom w:w="0" w:type="dxa"/>
              <w:right w:w="0" w:type="dxa"/>
            </w:tcMar>
            <w:vAlign w:val="center"/>
          </w:tcPr>
          <w:p w14:paraId="36B7E86D">
            <w:pPr>
              <w:pStyle w:val="106"/>
              <w:bidi w:val="0"/>
              <w:jc w:val="center"/>
            </w:pPr>
            <w:r>
              <w:rPr>
                <w:rFonts w:hint="default"/>
                <w:lang w:val="en-US" w:eastAsia="zh-CN"/>
              </w:rPr>
              <w:t>31</w:t>
            </w:r>
          </w:p>
        </w:tc>
        <w:tc>
          <w:tcPr>
            <w:tcW w:w="173" w:type="pct"/>
            <w:tcBorders>
              <w:tl2br w:val="nil"/>
              <w:tr2bl w:val="nil"/>
            </w:tcBorders>
            <w:shd w:val="clear" w:color="auto" w:fill="FFFFFF"/>
            <w:tcMar>
              <w:top w:w="0" w:type="dxa"/>
              <w:left w:w="0" w:type="dxa"/>
              <w:bottom w:w="0" w:type="dxa"/>
              <w:right w:w="0" w:type="dxa"/>
            </w:tcMar>
            <w:vAlign w:val="center"/>
          </w:tcPr>
          <w:p w14:paraId="3A5703C9">
            <w:pPr>
              <w:pStyle w:val="106"/>
              <w:bidi w:val="0"/>
              <w:jc w:val="center"/>
            </w:pPr>
            <w:r>
              <w:rPr>
                <w:rFonts w:hint="default"/>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6DDD7676">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524C1363">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0172120B">
            <w:pPr>
              <w:pStyle w:val="106"/>
              <w:bidi w:val="0"/>
              <w:jc w:val="center"/>
              <w:rPr>
                <w:rFonts w:hint="default"/>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46F1CEFA">
            <w:pPr>
              <w:pStyle w:val="106"/>
              <w:bidi w:val="0"/>
              <w:jc w:val="center"/>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20004749">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8C10199">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0D104A7">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9E958C6">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365BEAB1">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069ADE8C">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25F5A940">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9C5A5E2">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752A047">
            <w:pPr>
              <w:pStyle w:val="106"/>
              <w:bidi w:val="0"/>
              <w:jc w:val="cente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2358F540">
            <w:pPr>
              <w:pStyle w:val="106"/>
              <w:bidi w:val="0"/>
            </w:pPr>
            <w:r>
              <w:t>1</w:t>
            </w:r>
          </w:p>
        </w:tc>
      </w:tr>
      <w:tr w14:paraId="48EAD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09DEE892">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6EF5857D">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7D31696">
            <w:pPr>
              <w:pStyle w:val="106"/>
              <w:bidi w:val="0"/>
              <w:rPr>
                <w:rFonts w:hint="default"/>
                <w:lang w:val="en-US" w:eastAsia="zh-CN"/>
              </w:rPr>
            </w:pPr>
            <w:r>
              <w:rPr>
                <w:rFonts w:hint="eastAsia"/>
                <w:lang w:val="en-US" w:eastAsia="zh-CN"/>
              </w:rPr>
              <w:t>激光喷码机2</w:t>
            </w:r>
          </w:p>
        </w:tc>
        <w:tc>
          <w:tcPr>
            <w:tcW w:w="119" w:type="pct"/>
            <w:tcBorders>
              <w:tl2br w:val="nil"/>
              <w:tr2bl w:val="nil"/>
            </w:tcBorders>
            <w:shd w:val="clear" w:color="auto" w:fill="FFFFFF"/>
            <w:tcMar>
              <w:top w:w="0" w:type="dxa"/>
              <w:left w:w="0" w:type="dxa"/>
              <w:bottom w:w="0" w:type="dxa"/>
              <w:right w:w="0" w:type="dxa"/>
            </w:tcMar>
            <w:vAlign w:val="center"/>
          </w:tcPr>
          <w:p w14:paraId="77C5EA8A">
            <w:pPr>
              <w:pStyle w:val="106"/>
              <w:bidi w:val="0"/>
              <w:rPr>
                <w:rFonts w:hint="eastAsia"/>
              </w:rPr>
            </w:pPr>
            <w:r>
              <w:rPr>
                <w:rFonts w:hint="eastAsia"/>
              </w:rPr>
              <w:t>/</w:t>
            </w:r>
          </w:p>
        </w:tc>
        <w:tc>
          <w:tcPr>
            <w:tcW w:w="251" w:type="pct"/>
            <w:tcBorders>
              <w:tl2br w:val="nil"/>
              <w:tr2bl w:val="nil"/>
            </w:tcBorders>
            <w:shd w:val="clear" w:color="auto" w:fill="auto"/>
            <w:tcMar>
              <w:top w:w="0" w:type="dxa"/>
              <w:left w:w="0" w:type="dxa"/>
              <w:bottom w:w="0" w:type="dxa"/>
              <w:right w:w="0" w:type="dxa"/>
            </w:tcMar>
            <w:vAlign w:val="center"/>
          </w:tcPr>
          <w:p w14:paraId="52DAB49C">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043F17B6">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1DB81BF9">
            <w:pPr>
              <w:pStyle w:val="106"/>
              <w:bidi w:val="0"/>
              <w:rPr>
                <w:rFonts w:hint="default"/>
                <w:lang w:val="en-US" w:eastAsia="zh-CN"/>
              </w:rPr>
            </w:pPr>
            <w:r>
              <w:rPr>
                <w:rFonts w:hint="eastAsia"/>
                <w:lang w:val="en-US" w:eastAsia="zh-CN"/>
              </w:rPr>
              <w:t>-32</w:t>
            </w:r>
          </w:p>
        </w:tc>
        <w:tc>
          <w:tcPr>
            <w:tcW w:w="173" w:type="pct"/>
            <w:tcBorders>
              <w:tl2br w:val="nil"/>
              <w:tr2bl w:val="nil"/>
            </w:tcBorders>
            <w:shd w:val="clear" w:color="auto" w:fill="FFFFFF"/>
            <w:tcMar>
              <w:top w:w="0" w:type="dxa"/>
              <w:left w:w="0" w:type="dxa"/>
              <w:bottom w:w="0" w:type="dxa"/>
              <w:right w:w="0" w:type="dxa"/>
            </w:tcMar>
            <w:vAlign w:val="center"/>
          </w:tcPr>
          <w:p w14:paraId="1F3645EE">
            <w:pPr>
              <w:pStyle w:val="106"/>
              <w:bidi w:val="0"/>
              <w:rPr>
                <w:rFonts w:hint="default"/>
                <w:lang w:val="en-US" w:eastAsia="zh-CN"/>
              </w:rPr>
            </w:pPr>
            <w:r>
              <w:rPr>
                <w:rFonts w:hint="eastAsia"/>
                <w:lang w:val="en-US" w:eastAsia="zh-CN"/>
              </w:rPr>
              <w:t>-47</w:t>
            </w:r>
          </w:p>
        </w:tc>
        <w:tc>
          <w:tcPr>
            <w:tcW w:w="173" w:type="pct"/>
            <w:tcBorders>
              <w:tl2br w:val="nil"/>
              <w:tr2bl w:val="nil"/>
            </w:tcBorders>
            <w:shd w:val="clear" w:color="auto" w:fill="FFFFFF"/>
            <w:tcMar>
              <w:top w:w="0" w:type="dxa"/>
              <w:left w:w="0" w:type="dxa"/>
              <w:bottom w:w="0" w:type="dxa"/>
              <w:right w:w="0" w:type="dxa"/>
            </w:tcMar>
            <w:vAlign w:val="center"/>
          </w:tcPr>
          <w:p w14:paraId="447D5B42">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0AE766E2">
            <w:pPr>
              <w:pStyle w:val="106"/>
              <w:bidi w:val="0"/>
              <w:jc w:val="center"/>
              <w:rPr>
                <w:rFonts w:hint="eastAsia"/>
                <w:lang w:val="en-US" w:eastAsia="zh-CN"/>
              </w:rPr>
            </w:pPr>
            <w:r>
              <w:rPr>
                <w:rFonts w:hint="default"/>
                <w:lang w:val="en-US" w:eastAsia="zh-CN"/>
              </w:rPr>
              <w:t>95</w:t>
            </w:r>
          </w:p>
        </w:tc>
        <w:tc>
          <w:tcPr>
            <w:tcW w:w="173" w:type="pct"/>
            <w:tcBorders>
              <w:tl2br w:val="nil"/>
              <w:tr2bl w:val="nil"/>
            </w:tcBorders>
            <w:shd w:val="clear" w:color="auto" w:fill="FFFFFF"/>
            <w:tcMar>
              <w:top w:w="0" w:type="dxa"/>
              <w:left w:w="0" w:type="dxa"/>
              <w:bottom w:w="0" w:type="dxa"/>
              <w:right w:w="0" w:type="dxa"/>
            </w:tcMar>
            <w:vAlign w:val="center"/>
          </w:tcPr>
          <w:p w14:paraId="583ABED2">
            <w:pPr>
              <w:pStyle w:val="106"/>
              <w:bidi w:val="0"/>
              <w:jc w:val="center"/>
              <w:rPr>
                <w:rFonts w:hint="eastAsia"/>
                <w:lang w:val="en-US" w:eastAsia="zh-CN"/>
              </w:rPr>
            </w:pPr>
            <w:r>
              <w:rPr>
                <w:rFonts w:hint="default"/>
                <w:lang w:val="en-US" w:eastAsia="zh-CN"/>
              </w:rPr>
              <w:t>13</w:t>
            </w:r>
          </w:p>
        </w:tc>
        <w:tc>
          <w:tcPr>
            <w:tcW w:w="173" w:type="pct"/>
            <w:tcBorders>
              <w:tl2br w:val="nil"/>
              <w:tr2bl w:val="nil"/>
            </w:tcBorders>
            <w:shd w:val="clear" w:color="auto" w:fill="FFFFFF"/>
            <w:tcMar>
              <w:top w:w="0" w:type="dxa"/>
              <w:left w:w="0" w:type="dxa"/>
              <w:bottom w:w="0" w:type="dxa"/>
              <w:right w:w="0" w:type="dxa"/>
            </w:tcMar>
            <w:vAlign w:val="center"/>
          </w:tcPr>
          <w:p w14:paraId="3ABB01A3">
            <w:pPr>
              <w:pStyle w:val="106"/>
              <w:bidi w:val="0"/>
              <w:jc w:val="center"/>
              <w:rPr>
                <w:rFonts w:hint="eastAsia"/>
                <w:lang w:val="en-US" w:eastAsia="zh-CN"/>
              </w:rPr>
            </w:pPr>
            <w:r>
              <w:rPr>
                <w:rFonts w:hint="default"/>
                <w:lang w:val="en-US" w:eastAsia="zh-CN"/>
              </w:rPr>
              <w:t>31</w:t>
            </w:r>
          </w:p>
        </w:tc>
        <w:tc>
          <w:tcPr>
            <w:tcW w:w="173" w:type="pct"/>
            <w:tcBorders>
              <w:tl2br w:val="nil"/>
              <w:tr2bl w:val="nil"/>
            </w:tcBorders>
            <w:shd w:val="clear" w:color="auto" w:fill="FFFFFF"/>
            <w:tcMar>
              <w:top w:w="0" w:type="dxa"/>
              <w:left w:w="0" w:type="dxa"/>
              <w:bottom w:w="0" w:type="dxa"/>
              <w:right w:w="0" w:type="dxa"/>
            </w:tcMar>
            <w:vAlign w:val="center"/>
          </w:tcPr>
          <w:p w14:paraId="32DE57CE">
            <w:pPr>
              <w:pStyle w:val="106"/>
              <w:bidi w:val="0"/>
              <w:jc w:val="center"/>
              <w:rPr>
                <w:rFonts w:hint="eastAsia"/>
                <w:lang w:val="en-US" w:eastAsia="zh-CN"/>
              </w:rPr>
            </w:pPr>
            <w:r>
              <w:rPr>
                <w:rFonts w:hint="default"/>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61539A45">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283C50A5">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0AF965A1">
            <w:pPr>
              <w:pStyle w:val="106"/>
              <w:bidi w:val="0"/>
              <w:jc w:val="center"/>
              <w:rPr>
                <w:rFonts w:hint="eastAsia"/>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0F01E737">
            <w:pPr>
              <w:pStyle w:val="106"/>
              <w:bidi w:val="0"/>
              <w:jc w:val="center"/>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7C3B1DDA">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22436928">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9F0662A">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873395F">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7316A029">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3F9EEF22">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18CE65D">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5B273105">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3F924972">
            <w:pPr>
              <w:pStyle w:val="106"/>
              <w:bidi w:val="0"/>
              <w:jc w:val="center"/>
              <w:rPr>
                <w:rFonts w:hint="eastAsia"/>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5B96EE56">
            <w:pPr>
              <w:pStyle w:val="106"/>
              <w:bidi w:val="0"/>
            </w:pPr>
            <w:r>
              <w:t>1</w:t>
            </w:r>
          </w:p>
        </w:tc>
      </w:tr>
      <w:tr w14:paraId="699C8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59E8A6A2">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108D19BE">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2A6C3706">
            <w:pPr>
              <w:pStyle w:val="106"/>
              <w:bidi w:val="0"/>
              <w:rPr>
                <w:rFonts w:hint="default"/>
                <w:lang w:val="en-US" w:eastAsia="zh-CN"/>
              </w:rPr>
            </w:pPr>
            <w:r>
              <w:rPr>
                <w:rFonts w:hint="eastAsia"/>
                <w:lang w:val="en-US" w:eastAsia="zh-CN"/>
              </w:rPr>
              <w:t>激光喷码机3</w:t>
            </w:r>
          </w:p>
        </w:tc>
        <w:tc>
          <w:tcPr>
            <w:tcW w:w="119" w:type="pct"/>
            <w:tcBorders>
              <w:tl2br w:val="nil"/>
              <w:tr2bl w:val="nil"/>
            </w:tcBorders>
            <w:shd w:val="clear" w:color="auto" w:fill="FFFFFF"/>
            <w:tcMar>
              <w:top w:w="0" w:type="dxa"/>
              <w:left w:w="0" w:type="dxa"/>
              <w:bottom w:w="0" w:type="dxa"/>
              <w:right w:w="0" w:type="dxa"/>
            </w:tcMar>
            <w:vAlign w:val="center"/>
          </w:tcPr>
          <w:p w14:paraId="0240BDE8">
            <w:pPr>
              <w:pStyle w:val="106"/>
              <w:bidi w:val="0"/>
              <w:rPr>
                <w:rFonts w:hint="eastAsia"/>
              </w:rPr>
            </w:pPr>
            <w:r>
              <w:rPr>
                <w:rFonts w:hint="eastAsia"/>
              </w:rPr>
              <w:t>/</w:t>
            </w:r>
          </w:p>
        </w:tc>
        <w:tc>
          <w:tcPr>
            <w:tcW w:w="251" w:type="pct"/>
            <w:tcBorders>
              <w:tl2br w:val="nil"/>
              <w:tr2bl w:val="nil"/>
            </w:tcBorders>
            <w:shd w:val="clear" w:color="auto" w:fill="auto"/>
            <w:tcMar>
              <w:top w:w="0" w:type="dxa"/>
              <w:left w:w="0" w:type="dxa"/>
              <w:bottom w:w="0" w:type="dxa"/>
              <w:right w:w="0" w:type="dxa"/>
            </w:tcMar>
            <w:vAlign w:val="center"/>
          </w:tcPr>
          <w:p w14:paraId="0CB5D8B0">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31A1CA1A">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3FAFA87B">
            <w:pPr>
              <w:pStyle w:val="106"/>
              <w:bidi w:val="0"/>
              <w:rPr>
                <w:rFonts w:hint="default"/>
                <w:lang w:val="en-US" w:eastAsia="zh-CN"/>
              </w:rPr>
            </w:pPr>
            <w:r>
              <w:rPr>
                <w:rFonts w:hint="eastAsia"/>
                <w:lang w:val="en-US" w:eastAsia="zh-CN"/>
              </w:rPr>
              <w:t>-32</w:t>
            </w:r>
          </w:p>
        </w:tc>
        <w:tc>
          <w:tcPr>
            <w:tcW w:w="173" w:type="pct"/>
            <w:tcBorders>
              <w:tl2br w:val="nil"/>
              <w:tr2bl w:val="nil"/>
            </w:tcBorders>
            <w:shd w:val="clear" w:color="auto" w:fill="FFFFFF"/>
            <w:tcMar>
              <w:top w:w="0" w:type="dxa"/>
              <w:left w:w="0" w:type="dxa"/>
              <w:bottom w:w="0" w:type="dxa"/>
              <w:right w:w="0" w:type="dxa"/>
            </w:tcMar>
            <w:vAlign w:val="center"/>
          </w:tcPr>
          <w:p w14:paraId="305B02E0">
            <w:pPr>
              <w:pStyle w:val="106"/>
              <w:bidi w:val="0"/>
              <w:rPr>
                <w:rFonts w:hint="default"/>
                <w:lang w:val="en-US" w:eastAsia="zh-CN"/>
              </w:rPr>
            </w:pPr>
            <w:r>
              <w:rPr>
                <w:rFonts w:hint="eastAsia"/>
                <w:lang w:val="en-US" w:eastAsia="zh-CN"/>
              </w:rPr>
              <w:t>-44</w:t>
            </w:r>
          </w:p>
        </w:tc>
        <w:tc>
          <w:tcPr>
            <w:tcW w:w="173" w:type="pct"/>
            <w:tcBorders>
              <w:tl2br w:val="nil"/>
              <w:tr2bl w:val="nil"/>
            </w:tcBorders>
            <w:shd w:val="clear" w:color="auto" w:fill="FFFFFF"/>
            <w:tcMar>
              <w:top w:w="0" w:type="dxa"/>
              <w:left w:w="0" w:type="dxa"/>
              <w:bottom w:w="0" w:type="dxa"/>
              <w:right w:w="0" w:type="dxa"/>
            </w:tcMar>
            <w:vAlign w:val="center"/>
          </w:tcPr>
          <w:p w14:paraId="15BF1191">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318C7E8D">
            <w:pPr>
              <w:pStyle w:val="106"/>
              <w:bidi w:val="0"/>
              <w:jc w:val="center"/>
              <w:rPr>
                <w:rFonts w:hint="eastAsia"/>
                <w:lang w:val="en-US" w:eastAsia="zh-CN"/>
              </w:rPr>
            </w:pPr>
            <w:r>
              <w:rPr>
                <w:rFonts w:hint="default"/>
                <w:lang w:val="en-US" w:eastAsia="zh-CN"/>
              </w:rPr>
              <w:t>95</w:t>
            </w:r>
          </w:p>
        </w:tc>
        <w:tc>
          <w:tcPr>
            <w:tcW w:w="173" w:type="pct"/>
            <w:tcBorders>
              <w:tl2br w:val="nil"/>
              <w:tr2bl w:val="nil"/>
            </w:tcBorders>
            <w:shd w:val="clear" w:color="auto" w:fill="FFFFFF"/>
            <w:tcMar>
              <w:top w:w="0" w:type="dxa"/>
              <w:left w:w="0" w:type="dxa"/>
              <w:bottom w:w="0" w:type="dxa"/>
              <w:right w:w="0" w:type="dxa"/>
            </w:tcMar>
            <w:vAlign w:val="center"/>
          </w:tcPr>
          <w:p w14:paraId="20AE881B">
            <w:pPr>
              <w:pStyle w:val="106"/>
              <w:bidi w:val="0"/>
              <w:jc w:val="center"/>
              <w:rPr>
                <w:rFonts w:hint="eastAsia"/>
                <w:lang w:val="en-US" w:eastAsia="zh-CN"/>
              </w:rPr>
            </w:pPr>
            <w:r>
              <w:rPr>
                <w:rFonts w:hint="default"/>
                <w:lang w:val="en-US" w:eastAsia="zh-CN"/>
              </w:rPr>
              <w:t>16</w:t>
            </w:r>
          </w:p>
        </w:tc>
        <w:tc>
          <w:tcPr>
            <w:tcW w:w="173" w:type="pct"/>
            <w:tcBorders>
              <w:tl2br w:val="nil"/>
              <w:tr2bl w:val="nil"/>
            </w:tcBorders>
            <w:shd w:val="clear" w:color="auto" w:fill="FFFFFF"/>
            <w:tcMar>
              <w:top w:w="0" w:type="dxa"/>
              <w:left w:w="0" w:type="dxa"/>
              <w:bottom w:w="0" w:type="dxa"/>
              <w:right w:w="0" w:type="dxa"/>
            </w:tcMar>
            <w:vAlign w:val="center"/>
          </w:tcPr>
          <w:p w14:paraId="30F1B805">
            <w:pPr>
              <w:pStyle w:val="106"/>
              <w:bidi w:val="0"/>
              <w:jc w:val="center"/>
              <w:rPr>
                <w:rFonts w:hint="eastAsia"/>
                <w:lang w:val="en-US" w:eastAsia="zh-CN"/>
              </w:rPr>
            </w:pPr>
            <w:r>
              <w:rPr>
                <w:rFonts w:hint="default"/>
                <w:lang w:val="en-US" w:eastAsia="zh-CN"/>
              </w:rPr>
              <w:t>31</w:t>
            </w:r>
          </w:p>
        </w:tc>
        <w:tc>
          <w:tcPr>
            <w:tcW w:w="173" w:type="pct"/>
            <w:tcBorders>
              <w:tl2br w:val="nil"/>
              <w:tr2bl w:val="nil"/>
            </w:tcBorders>
            <w:shd w:val="clear" w:color="auto" w:fill="FFFFFF"/>
            <w:tcMar>
              <w:top w:w="0" w:type="dxa"/>
              <w:left w:w="0" w:type="dxa"/>
              <w:bottom w:w="0" w:type="dxa"/>
              <w:right w:w="0" w:type="dxa"/>
            </w:tcMar>
            <w:vAlign w:val="center"/>
          </w:tcPr>
          <w:p w14:paraId="3A58EEF8">
            <w:pPr>
              <w:pStyle w:val="106"/>
              <w:bidi w:val="0"/>
              <w:jc w:val="center"/>
              <w:rPr>
                <w:rFonts w:hint="eastAsia"/>
                <w:lang w:val="en-US" w:eastAsia="zh-CN"/>
              </w:rPr>
            </w:pPr>
            <w:r>
              <w:rPr>
                <w:rFonts w:hint="default"/>
                <w:lang w:val="en-US" w:eastAsia="zh-CN"/>
              </w:rPr>
              <w:t>34</w:t>
            </w:r>
          </w:p>
        </w:tc>
        <w:tc>
          <w:tcPr>
            <w:tcW w:w="173" w:type="pct"/>
            <w:tcBorders>
              <w:tl2br w:val="nil"/>
              <w:tr2bl w:val="nil"/>
            </w:tcBorders>
            <w:shd w:val="clear" w:color="auto" w:fill="FFFFFF"/>
            <w:tcMar>
              <w:top w:w="0" w:type="dxa"/>
              <w:left w:w="0" w:type="dxa"/>
              <w:bottom w:w="0" w:type="dxa"/>
              <w:right w:w="0" w:type="dxa"/>
            </w:tcMar>
            <w:vAlign w:val="center"/>
          </w:tcPr>
          <w:p w14:paraId="798B81B0">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187FF555">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4675C9F4">
            <w:pPr>
              <w:pStyle w:val="106"/>
              <w:bidi w:val="0"/>
              <w:jc w:val="center"/>
              <w:rPr>
                <w:rFonts w:hint="eastAsia"/>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4D92D598">
            <w:pPr>
              <w:pStyle w:val="106"/>
              <w:bidi w:val="0"/>
              <w:jc w:val="center"/>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3414550">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4A8BF6E">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7AA1194">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7D0C387">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380A2292">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285A05F7">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1A1A404B">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21AEC693">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6588221F">
            <w:pPr>
              <w:pStyle w:val="106"/>
              <w:bidi w:val="0"/>
              <w:jc w:val="center"/>
              <w:rPr>
                <w:rFonts w:hint="eastAsia"/>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277ADEF7">
            <w:pPr>
              <w:pStyle w:val="106"/>
              <w:bidi w:val="0"/>
            </w:pPr>
            <w:r>
              <w:t>1</w:t>
            </w:r>
          </w:p>
        </w:tc>
      </w:tr>
      <w:tr w14:paraId="3B4BB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67380F02">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43B0A8D9">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74E8D66A">
            <w:pPr>
              <w:pStyle w:val="106"/>
              <w:bidi w:val="0"/>
              <w:rPr>
                <w:rFonts w:hint="eastAsia"/>
                <w:lang w:val="en-US" w:eastAsia="zh-CN"/>
              </w:rPr>
            </w:pPr>
            <w:r>
              <w:rPr>
                <w:rFonts w:hint="eastAsia"/>
                <w:lang w:val="en-US" w:eastAsia="zh-CN"/>
              </w:rPr>
              <w:t>臭氧机</w:t>
            </w:r>
          </w:p>
        </w:tc>
        <w:tc>
          <w:tcPr>
            <w:tcW w:w="119" w:type="pct"/>
            <w:tcBorders>
              <w:tl2br w:val="nil"/>
              <w:tr2bl w:val="nil"/>
            </w:tcBorders>
            <w:shd w:val="clear" w:color="auto" w:fill="FFFFFF"/>
            <w:tcMar>
              <w:top w:w="0" w:type="dxa"/>
              <w:left w:w="0" w:type="dxa"/>
              <w:bottom w:w="0" w:type="dxa"/>
              <w:right w:w="0" w:type="dxa"/>
            </w:tcMar>
            <w:vAlign w:val="center"/>
          </w:tcPr>
          <w:p w14:paraId="7D9CB7E1">
            <w:pPr>
              <w:pStyle w:val="106"/>
              <w:bidi w:val="0"/>
              <w:rPr>
                <w:rFonts w:hint="eastAsia"/>
                <w:lang w:val="en-US" w:eastAsia="zh-CN"/>
              </w:rPr>
            </w:pPr>
            <w:r>
              <w:rPr>
                <w:rFonts w:hint="eastAsia"/>
              </w:rPr>
              <w:t>/</w:t>
            </w:r>
          </w:p>
        </w:tc>
        <w:tc>
          <w:tcPr>
            <w:tcW w:w="251" w:type="pct"/>
            <w:tcBorders>
              <w:tl2br w:val="nil"/>
              <w:tr2bl w:val="nil"/>
            </w:tcBorders>
            <w:shd w:val="clear" w:color="auto" w:fill="auto"/>
            <w:tcMar>
              <w:top w:w="0" w:type="dxa"/>
              <w:left w:w="0" w:type="dxa"/>
              <w:bottom w:w="0" w:type="dxa"/>
              <w:right w:w="0" w:type="dxa"/>
            </w:tcMar>
            <w:vAlign w:val="center"/>
          </w:tcPr>
          <w:p w14:paraId="3FD4A520">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29AD64C7">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2075CE51">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23873979">
            <w:pPr>
              <w:pStyle w:val="106"/>
              <w:bidi w:val="0"/>
              <w:rPr>
                <w:rFonts w:hint="default"/>
                <w:lang w:val="en-US" w:eastAsia="zh-CN"/>
              </w:rPr>
            </w:pPr>
            <w:r>
              <w:rPr>
                <w:rFonts w:hint="eastAsia"/>
                <w:lang w:val="en-US" w:eastAsia="zh-CN"/>
              </w:rPr>
              <w:t>-43</w:t>
            </w:r>
          </w:p>
        </w:tc>
        <w:tc>
          <w:tcPr>
            <w:tcW w:w="173" w:type="pct"/>
            <w:tcBorders>
              <w:tl2br w:val="nil"/>
              <w:tr2bl w:val="nil"/>
            </w:tcBorders>
            <w:shd w:val="clear" w:color="auto" w:fill="FFFFFF"/>
            <w:tcMar>
              <w:top w:w="0" w:type="dxa"/>
              <w:left w:w="0" w:type="dxa"/>
              <w:bottom w:w="0" w:type="dxa"/>
              <w:right w:w="0" w:type="dxa"/>
            </w:tcMar>
            <w:vAlign w:val="center"/>
          </w:tcPr>
          <w:p w14:paraId="209B1929">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02E39FF7">
            <w:pPr>
              <w:pStyle w:val="106"/>
              <w:bidi w:val="0"/>
              <w:jc w:val="center"/>
              <w:rPr>
                <w:rFonts w:hint="default"/>
                <w:lang w:val="en-US" w:eastAsia="zh-CN"/>
              </w:rPr>
            </w:pPr>
            <w:r>
              <w:rPr>
                <w:rFonts w:hint="default"/>
                <w:lang w:val="en-US" w:eastAsia="zh-CN"/>
              </w:rPr>
              <w:t>98</w:t>
            </w:r>
          </w:p>
        </w:tc>
        <w:tc>
          <w:tcPr>
            <w:tcW w:w="173" w:type="pct"/>
            <w:tcBorders>
              <w:tl2br w:val="nil"/>
              <w:tr2bl w:val="nil"/>
            </w:tcBorders>
            <w:shd w:val="clear" w:color="auto" w:fill="FFFFFF"/>
            <w:tcMar>
              <w:top w:w="0" w:type="dxa"/>
              <w:left w:w="0" w:type="dxa"/>
              <w:bottom w:w="0" w:type="dxa"/>
              <w:right w:w="0" w:type="dxa"/>
            </w:tcMar>
            <w:vAlign w:val="center"/>
          </w:tcPr>
          <w:p w14:paraId="0719D327">
            <w:pPr>
              <w:pStyle w:val="106"/>
              <w:bidi w:val="0"/>
              <w:jc w:val="center"/>
              <w:rPr>
                <w:rFonts w:hint="default"/>
                <w:lang w:val="en-US" w:eastAsia="zh-CN"/>
              </w:rPr>
            </w:pPr>
            <w:r>
              <w:rPr>
                <w:rFonts w:hint="default"/>
                <w:lang w:val="en-US" w:eastAsia="zh-CN"/>
              </w:rPr>
              <w:t>17</w:t>
            </w:r>
          </w:p>
        </w:tc>
        <w:tc>
          <w:tcPr>
            <w:tcW w:w="173" w:type="pct"/>
            <w:tcBorders>
              <w:tl2br w:val="nil"/>
              <w:tr2bl w:val="nil"/>
            </w:tcBorders>
            <w:shd w:val="clear" w:color="auto" w:fill="FFFFFF"/>
            <w:tcMar>
              <w:top w:w="0" w:type="dxa"/>
              <w:left w:w="0" w:type="dxa"/>
              <w:bottom w:w="0" w:type="dxa"/>
              <w:right w:w="0" w:type="dxa"/>
            </w:tcMar>
            <w:vAlign w:val="center"/>
          </w:tcPr>
          <w:p w14:paraId="69E217F6">
            <w:pPr>
              <w:pStyle w:val="106"/>
              <w:bidi w:val="0"/>
              <w:jc w:val="center"/>
              <w:rPr>
                <w:rFonts w:hint="default"/>
                <w:lang w:val="en-US" w:eastAsia="zh-CN"/>
              </w:rPr>
            </w:pPr>
            <w:r>
              <w:rPr>
                <w:rFonts w:hint="default"/>
                <w:lang w:val="en-US" w:eastAsia="zh-CN"/>
              </w:rPr>
              <w:t>28</w:t>
            </w:r>
          </w:p>
        </w:tc>
        <w:tc>
          <w:tcPr>
            <w:tcW w:w="173" w:type="pct"/>
            <w:tcBorders>
              <w:tl2br w:val="nil"/>
              <w:tr2bl w:val="nil"/>
            </w:tcBorders>
            <w:shd w:val="clear" w:color="auto" w:fill="FFFFFF"/>
            <w:tcMar>
              <w:top w:w="0" w:type="dxa"/>
              <w:left w:w="0" w:type="dxa"/>
              <w:bottom w:w="0" w:type="dxa"/>
              <w:right w:w="0" w:type="dxa"/>
            </w:tcMar>
            <w:vAlign w:val="center"/>
          </w:tcPr>
          <w:p w14:paraId="2D1279A6">
            <w:pPr>
              <w:pStyle w:val="106"/>
              <w:bidi w:val="0"/>
              <w:jc w:val="center"/>
              <w:rPr>
                <w:rFonts w:hint="default"/>
                <w:lang w:val="en-US" w:eastAsia="zh-CN"/>
              </w:rPr>
            </w:pPr>
            <w:r>
              <w:rPr>
                <w:rFonts w:hint="default"/>
                <w:lang w:val="en-US" w:eastAsia="zh-CN"/>
              </w:rPr>
              <w:t>33</w:t>
            </w:r>
          </w:p>
        </w:tc>
        <w:tc>
          <w:tcPr>
            <w:tcW w:w="173" w:type="pct"/>
            <w:tcBorders>
              <w:tl2br w:val="nil"/>
              <w:tr2bl w:val="nil"/>
            </w:tcBorders>
            <w:shd w:val="clear" w:color="auto" w:fill="FFFFFF"/>
            <w:tcMar>
              <w:top w:w="0" w:type="dxa"/>
              <w:left w:w="0" w:type="dxa"/>
              <w:bottom w:w="0" w:type="dxa"/>
              <w:right w:w="0" w:type="dxa"/>
            </w:tcMar>
            <w:vAlign w:val="center"/>
          </w:tcPr>
          <w:p w14:paraId="71527039">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5736F123">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15124AE0">
            <w:pPr>
              <w:pStyle w:val="106"/>
              <w:bidi w:val="0"/>
              <w:jc w:val="center"/>
              <w:rPr>
                <w:rFonts w:hint="default"/>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6D22EA5D">
            <w:pPr>
              <w:pStyle w:val="106"/>
              <w:bidi w:val="0"/>
              <w:jc w:val="center"/>
              <w:rPr>
                <w:rFonts w:hint="default"/>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7ED10122">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4728A8A0">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C7E6F70">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C0517A4">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5CFB1F9F">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0563793F">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4536678A">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2C38FD84">
            <w:pPr>
              <w:pStyle w:val="106"/>
              <w:bidi w:val="0"/>
              <w:jc w:val="center"/>
              <w:rPr>
                <w:rFonts w:hint="eastAsia"/>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3FF879A4">
            <w:pPr>
              <w:pStyle w:val="106"/>
              <w:bidi w:val="0"/>
              <w:jc w:val="center"/>
              <w:rPr>
                <w:rFonts w:hint="eastAsia"/>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7AEAA6EC">
            <w:pPr>
              <w:pStyle w:val="106"/>
              <w:bidi w:val="0"/>
            </w:pPr>
            <w:r>
              <w:t>1</w:t>
            </w:r>
          </w:p>
        </w:tc>
      </w:tr>
      <w:tr w14:paraId="6FA5A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0E1F5D8E">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4B8AC392">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190CDF05">
            <w:pPr>
              <w:pStyle w:val="106"/>
              <w:bidi w:val="0"/>
              <w:rPr>
                <w:rFonts w:hint="default"/>
                <w:lang w:val="en-US" w:eastAsia="zh-CN"/>
              </w:rPr>
            </w:pPr>
            <w:r>
              <w:rPr>
                <w:rFonts w:hint="eastAsia"/>
                <w:lang w:val="en-US" w:eastAsia="zh-CN"/>
              </w:rPr>
              <w:t>真空充氮包装机1</w:t>
            </w:r>
          </w:p>
        </w:tc>
        <w:tc>
          <w:tcPr>
            <w:tcW w:w="119" w:type="pct"/>
            <w:tcBorders>
              <w:tl2br w:val="nil"/>
              <w:tr2bl w:val="nil"/>
            </w:tcBorders>
            <w:shd w:val="clear" w:color="auto" w:fill="FFFFFF"/>
            <w:tcMar>
              <w:top w:w="0" w:type="dxa"/>
              <w:left w:w="0" w:type="dxa"/>
              <w:bottom w:w="0" w:type="dxa"/>
              <w:right w:w="0" w:type="dxa"/>
            </w:tcMar>
            <w:vAlign w:val="center"/>
          </w:tcPr>
          <w:p w14:paraId="127ADCAB">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FFD32D1">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4B49A8C7">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5DC8BB42">
            <w:pPr>
              <w:pStyle w:val="106"/>
              <w:bidi w:val="0"/>
              <w:rPr>
                <w:rFonts w:hint="default"/>
                <w:lang w:val="en-US" w:eastAsia="zh-CN"/>
              </w:rPr>
            </w:pPr>
            <w:r>
              <w:rPr>
                <w:rFonts w:hint="eastAsia"/>
                <w:lang w:val="en-US" w:eastAsia="zh-CN"/>
              </w:rPr>
              <w:t>-29</w:t>
            </w:r>
          </w:p>
        </w:tc>
        <w:tc>
          <w:tcPr>
            <w:tcW w:w="173" w:type="pct"/>
            <w:tcBorders>
              <w:tl2br w:val="nil"/>
              <w:tr2bl w:val="nil"/>
            </w:tcBorders>
            <w:shd w:val="clear" w:color="auto" w:fill="FFFFFF"/>
            <w:tcMar>
              <w:top w:w="0" w:type="dxa"/>
              <w:left w:w="0" w:type="dxa"/>
              <w:bottom w:w="0" w:type="dxa"/>
              <w:right w:w="0" w:type="dxa"/>
            </w:tcMar>
            <w:vAlign w:val="center"/>
          </w:tcPr>
          <w:p w14:paraId="4C92B16B">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-50</w:t>
            </w:r>
          </w:p>
        </w:tc>
        <w:tc>
          <w:tcPr>
            <w:tcW w:w="173" w:type="pct"/>
            <w:tcBorders>
              <w:tl2br w:val="nil"/>
              <w:tr2bl w:val="nil"/>
            </w:tcBorders>
            <w:shd w:val="clear" w:color="auto" w:fill="FFFFFF"/>
            <w:tcMar>
              <w:top w:w="0" w:type="dxa"/>
              <w:left w:w="0" w:type="dxa"/>
              <w:bottom w:w="0" w:type="dxa"/>
              <w:right w:w="0" w:type="dxa"/>
            </w:tcMar>
            <w:vAlign w:val="center"/>
          </w:tcPr>
          <w:p w14:paraId="1BDB3B1D">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458E7581">
            <w:pPr>
              <w:pStyle w:val="106"/>
              <w:bidi w:val="0"/>
              <w:jc w:val="center"/>
            </w:pPr>
            <w:r>
              <w:rPr>
                <w:rFonts w:hint="default"/>
                <w:lang w:val="en-US" w:eastAsia="zh-CN"/>
              </w:rPr>
              <w:t>92</w:t>
            </w:r>
          </w:p>
        </w:tc>
        <w:tc>
          <w:tcPr>
            <w:tcW w:w="173" w:type="pct"/>
            <w:tcBorders>
              <w:tl2br w:val="nil"/>
              <w:tr2bl w:val="nil"/>
            </w:tcBorders>
            <w:shd w:val="clear" w:color="auto" w:fill="FFFFFF"/>
            <w:tcMar>
              <w:top w:w="0" w:type="dxa"/>
              <w:left w:w="0" w:type="dxa"/>
              <w:bottom w:w="0" w:type="dxa"/>
              <w:right w:w="0" w:type="dxa"/>
            </w:tcMar>
            <w:vAlign w:val="center"/>
          </w:tcPr>
          <w:p w14:paraId="0D2B2F87">
            <w:pPr>
              <w:pStyle w:val="106"/>
              <w:bidi w:val="0"/>
              <w:jc w:val="center"/>
            </w:pPr>
            <w:r>
              <w:rPr>
                <w:rFonts w:hint="default"/>
                <w:lang w:val="en-US" w:eastAsia="zh-CN"/>
              </w:rPr>
              <w:t>10</w:t>
            </w:r>
          </w:p>
        </w:tc>
        <w:tc>
          <w:tcPr>
            <w:tcW w:w="173" w:type="pct"/>
            <w:tcBorders>
              <w:tl2br w:val="nil"/>
              <w:tr2bl w:val="nil"/>
            </w:tcBorders>
            <w:shd w:val="clear" w:color="auto" w:fill="FFFFFF"/>
            <w:tcMar>
              <w:top w:w="0" w:type="dxa"/>
              <w:left w:w="0" w:type="dxa"/>
              <w:bottom w:w="0" w:type="dxa"/>
              <w:right w:w="0" w:type="dxa"/>
            </w:tcMar>
            <w:vAlign w:val="center"/>
          </w:tcPr>
          <w:p w14:paraId="6D4EB5B1">
            <w:pPr>
              <w:pStyle w:val="106"/>
              <w:bidi w:val="0"/>
              <w:jc w:val="center"/>
            </w:pPr>
            <w:r>
              <w:rPr>
                <w:rFonts w:hint="default"/>
                <w:lang w:val="en-US" w:eastAsia="zh-CN"/>
              </w:rPr>
              <w:t>34</w:t>
            </w:r>
          </w:p>
        </w:tc>
        <w:tc>
          <w:tcPr>
            <w:tcW w:w="173" w:type="pct"/>
            <w:tcBorders>
              <w:tl2br w:val="nil"/>
              <w:tr2bl w:val="nil"/>
            </w:tcBorders>
            <w:shd w:val="clear" w:color="auto" w:fill="FFFFFF"/>
            <w:tcMar>
              <w:top w:w="0" w:type="dxa"/>
              <w:left w:w="0" w:type="dxa"/>
              <w:bottom w:w="0" w:type="dxa"/>
              <w:right w:w="0" w:type="dxa"/>
            </w:tcMar>
            <w:vAlign w:val="center"/>
          </w:tcPr>
          <w:p w14:paraId="487579A6">
            <w:pPr>
              <w:pStyle w:val="106"/>
              <w:bidi w:val="0"/>
              <w:jc w:val="center"/>
            </w:pPr>
            <w:r>
              <w:rPr>
                <w:rFonts w:hint="default"/>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476A8C6E">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71976A8B">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1B5A43AA">
            <w:pPr>
              <w:pStyle w:val="106"/>
              <w:bidi w:val="0"/>
              <w:jc w:val="center"/>
              <w:rPr>
                <w:rFonts w:hint="default"/>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6A3395A2">
            <w:pPr>
              <w:pStyle w:val="106"/>
              <w:bidi w:val="0"/>
              <w:jc w:val="center"/>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452C4BCD">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1A84D023">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B829EFE">
            <w:pPr>
              <w:pStyle w:val="106"/>
              <w:bidi w:val="0"/>
              <w:ind w:firstLine="0" w:firstLineChars="0"/>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AA41E25">
            <w:pPr>
              <w:pStyle w:val="106"/>
              <w:bidi w:val="0"/>
              <w:ind w:firstLine="0" w:firstLineChars="0"/>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0CCE2D55">
            <w:pPr>
              <w:pStyle w:val="106"/>
              <w:bidi w:val="0"/>
              <w:ind w:firstLine="0" w:firstLineChars="0"/>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2CAA5085">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1AEE9216">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25165CAC">
            <w:pPr>
              <w:pStyle w:val="106"/>
              <w:bidi w:val="0"/>
              <w:jc w:val="cente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0BAEA23C">
            <w:pPr>
              <w:pStyle w:val="106"/>
              <w:bidi w:val="0"/>
              <w:jc w:val="cente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6DCEEE07">
            <w:pPr>
              <w:pStyle w:val="106"/>
              <w:bidi w:val="0"/>
            </w:pPr>
            <w:r>
              <w:t>1</w:t>
            </w:r>
          </w:p>
        </w:tc>
      </w:tr>
      <w:tr w14:paraId="64097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56E2BBE6">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424045D7">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6AAAD5E1">
            <w:pPr>
              <w:pStyle w:val="106"/>
              <w:bidi w:val="0"/>
              <w:rPr>
                <w:rFonts w:hint="default"/>
                <w:lang w:val="en-US" w:eastAsia="zh-CN"/>
              </w:rPr>
            </w:pPr>
            <w:r>
              <w:rPr>
                <w:rFonts w:hint="eastAsia"/>
                <w:lang w:val="en-US" w:eastAsia="zh-CN"/>
              </w:rPr>
              <w:t>真空充氮包装机2</w:t>
            </w:r>
          </w:p>
        </w:tc>
        <w:tc>
          <w:tcPr>
            <w:tcW w:w="119" w:type="pct"/>
            <w:tcBorders>
              <w:tl2br w:val="nil"/>
              <w:tr2bl w:val="nil"/>
            </w:tcBorders>
            <w:shd w:val="clear" w:color="auto" w:fill="FFFFFF"/>
            <w:tcMar>
              <w:top w:w="0" w:type="dxa"/>
              <w:left w:w="0" w:type="dxa"/>
              <w:bottom w:w="0" w:type="dxa"/>
              <w:right w:w="0" w:type="dxa"/>
            </w:tcMar>
            <w:vAlign w:val="center"/>
          </w:tcPr>
          <w:p w14:paraId="0E1280AB">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1AAF6AD">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664F9EFA">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3A0FDCD2">
            <w:pPr>
              <w:pStyle w:val="106"/>
              <w:bidi w:val="0"/>
              <w:rPr>
                <w:rFonts w:hint="default"/>
                <w:lang w:val="en-US" w:eastAsia="zh-CN"/>
              </w:rPr>
            </w:pPr>
            <w:r>
              <w:rPr>
                <w:rFonts w:hint="eastAsia"/>
                <w:lang w:val="en-US" w:eastAsia="zh-CN"/>
              </w:rPr>
              <w:t>-29</w:t>
            </w:r>
          </w:p>
        </w:tc>
        <w:tc>
          <w:tcPr>
            <w:tcW w:w="173" w:type="pct"/>
            <w:tcBorders>
              <w:tl2br w:val="nil"/>
              <w:tr2bl w:val="nil"/>
            </w:tcBorders>
            <w:shd w:val="clear" w:color="auto" w:fill="FFFFFF"/>
            <w:tcMar>
              <w:top w:w="0" w:type="dxa"/>
              <w:left w:w="0" w:type="dxa"/>
              <w:bottom w:w="0" w:type="dxa"/>
              <w:right w:w="0" w:type="dxa"/>
            </w:tcMar>
            <w:vAlign w:val="center"/>
          </w:tcPr>
          <w:p w14:paraId="4F403B94">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-47</w:t>
            </w:r>
          </w:p>
        </w:tc>
        <w:tc>
          <w:tcPr>
            <w:tcW w:w="173" w:type="pct"/>
            <w:tcBorders>
              <w:tl2br w:val="nil"/>
              <w:tr2bl w:val="nil"/>
            </w:tcBorders>
            <w:shd w:val="clear" w:color="auto" w:fill="FFFFFF"/>
            <w:tcMar>
              <w:top w:w="0" w:type="dxa"/>
              <w:left w:w="0" w:type="dxa"/>
              <w:bottom w:w="0" w:type="dxa"/>
              <w:right w:w="0" w:type="dxa"/>
            </w:tcMar>
            <w:vAlign w:val="center"/>
          </w:tcPr>
          <w:p w14:paraId="2CE7E132">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4B569629">
            <w:pPr>
              <w:pStyle w:val="106"/>
              <w:bidi w:val="0"/>
              <w:jc w:val="center"/>
              <w:rPr>
                <w:rFonts w:hint="eastAsia"/>
                <w:lang w:val="en-US" w:eastAsia="zh-CN"/>
              </w:rPr>
            </w:pPr>
            <w:r>
              <w:rPr>
                <w:rFonts w:hint="default"/>
                <w:lang w:val="en-US" w:eastAsia="zh-CN"/>
              </w:rPr>
              <w:t>92</w:t>
            </w:r>
          </w:p>
        </w:tc>
        <w:tc>
          <w:tcPr>
            <w:tcW w:w="173" w:type="pct"/>
            <w:tcBorders>
              <w:tl2br w:val="nil"/>
              <w:tr2bl w:val="nil"/>
            </w:tcBorders>
            <w:shd w:val="clear" w:color="auto" w:fill="FFFFFF"/>
            <w:tcMar>
              <w:top w:w="0" w:type="dxa"/>
              <w:left w:w="0" w:type="dxa"/>
              <w:bottom w:w="0" w:type="dxa"/>
              <w:right w:w="0" w:type="dxa"/>
            </w:tcMar>
            <w:vAlign w:val="center"/>
          </w:tcPr>
          <w:p w14:paraId="0995614D">
            <w:pPr>
              <w:pStyle w:val="106"/>
              <w:bidi w:val="0"/>
              <w:jc w:val="center"/>
              <w:rPr>
                <w:rFonts w:hint="eastAsia"/>
                <w:lang w:val="en-US" w:eastAsia="zh-CN"/>
              </w:rPr>
            </w:pPr>
            <w:r>
              <w:rPr>
                <w:rFonts w:hint="default"/>
                <w:lang w:val="en-US" w:eastAsia="zh-CN"/>
              </w:rPr>
              <w:t>13</w:t>
            </w:r>
          </w:p>
        </w:tc>
        <w:tc>
          <w:tcPr>
            <w:tcW w:w="173" w:type="pct"/>
            <w:tcBorders>
              <w:tl2br w:val="nil"/>
              <w:tr2bl w:val="nil"/>
            </w:tcBorders>
            <w:shd w:val="clear" w:color="auto" w:fill="FFFFFF"/>
            <w:tcMar>
              <w:top w:w="0" w:type="dxa"/>
              <w:left w:w="0" w:type="dxa"/>
              <w:bottom w:w="0" w:type="dxa"/>
              <w:right w:w="0" w:type="dxa"/>
            </w:tcMar>
            <w:vAlign w:val="center"/>
          </w:tcPr>
          <w:p w14:paraId="22BBAEE8">
            <w:pPr>
              <w:pStyle w:val="106"/>
              <w:bidi w:val="0"/>
              <w:jc w:val="center"/>
              <w:rPr>
                <w:rFonts w:hint="eastAsia"/>
                <w:lang w:val="en-US" w:eastAsia="zh-CN"/>
              </w:rPr>
            </w:pPr>
            <w:r>
              <w:rPr>
                <w:rFonts w:hint="default"/>
                <w:lang w:val="en-US" w:eastAsia="zh-CN"/>
              </w:rPr>
              <w:t>34</w:t>
            </w:r>
          </w:p>
        </w:tc>
        <w:tc>
          <w:tcPr>
            <w:tcW w:w="173" w:type="pct"/>
            <w:tcBorders>
              <w:tl2br w:val="nil"/>
              <w:tr2bl w:val="nil"/>
            </w:tcBorders>
            <w:shd w:val="clear" w:color="auto" w:fill="FFFFFF"/>
            <w:tcMar>
              <w:top w:w="0" w:type="dxa"/>
              <w:left w:w="0" w:type="dxa"/>
              <w:bottom w:w="0" w:type="dxa"/>
              <w:right w:w="0" w:type="dxa"/>
            </w:tcMar>
            <w:vAlign w:val="center"/>
          </w:tcPr>
          <w:p w14:paraId="63F3BC17">
            <w:pPr>
              <w:pStyle w:val="106"/>
              <w:bidi w:val="0"/>
              <w:jc w:val="center"/>
              <w:rPr>
                <w:rFonts w:hint="eastAsia"/>
                <w:lang w:val="en-US" w:eastAsia="zh-CN"/>
              </w:rPr>
            </w:pPr>
            <w:r>
              <w:rPr>
                <w:rFonts w:hint="default"/>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07747B08">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4D744593">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1E081DE3">
            <w:pPr>
              <w:pStyle w:val="106"/>
              <w:bidi w:val="0"/>
              <w:jc w:val="center"/>
              <w:rPr>
                <w:rFonts w:hint="eastAsia"/>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3671E91E">
            <w:pPr>
              <w:pStyle w:val="106"/>
              <w:bidi w:val="0"/>
              <w:jc w:val="center"/>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3903D352">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7BB09D03">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82535ED">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E3C45A3">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07580B85">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1346B400">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3A9806F3">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60F04F63">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07ADC588">
            <w:pPr>
              <w:pStyle w:val="106"/>
              <w:bidi w:val="0"/>
              <w:jc w:val="center"/>
              <w:rPr>
                <w:rFonts w:hint="eastAsia"/>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2A559A63">
            <w:pPr>
              <w:pStyle w:val="106"/>
              <w:bidi w:val="0"/>
            </w:pPr>
            <w:r>
              <w:t>1</w:t>
            </w:r>
          </w:p>
        </w:tc>
      </w:tr>
      <w:tr w14:paraId="042E8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1CAF910B">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7D719737">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1AD7998E">
            <w:pPr>
              <w:pStyle w:val="106"/>
              <w:bidi w:val="0"/>
              <w:rPr>
                <w:rFonts w:hint="eastAsia"/>
                <w:lang w:val="en-US" w:eastAsia="zh-CN"/>
              </w:rPr>
            </w:pPr>
            <w:r>
              <w:rPr>
                <w:rFonts w:hint="eastAsia"/>
                <w:lang w:val="en-US" w:eastAsia="zh-CN"/>
              </w:rPr>
              <w:t>真空充氮包装机3</w:t>
            </w:r>
          </w:p>
        </w:tc>
        <w:tc>
          <w:tcPr>
            <w:tcW w:w="119" w:type="pct"/>
            <w:tcBorders>
              <w:tl2br w:val="nil"/>
              <w:tr2bl w:val="nil"/>
            </w:tcBorders>
            <w:shd w:val="clear" w:color="auto" w:fill="FFFFFF"/>
            <w:tcMar>
              <w:top w:w="0" w:type="dxa"/>
              <w:left w:w="0" w:type="dxa"/>
              <w:bottom w:w="0" w:type="dxa"/>
              <w:right w:w="0" w:type="dxa"/>
            </w:tcMar>
            <w:vAlign w:val="center"/>
          </w:tcPr>
          <w:p w14:paraId="45CE6FF9">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5B677720">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2759182D">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76BF6B50">
            <w:pPr>
              <w:pStyle w:val="106"/>
              <w:bidi w:val="0"/>
              <w:rPr>
                <w:rFonts w:hint="default"/>
                <w:lang w:val="en-US" w:eastAsia="zh-CN"/>
              </w:rPr>
            </w:pPr>
            <w:r>
              <w:rPr>
                <w:rFonts w:hint="eastAsia"/>
                <w:lang w:val="en-US" w:eastAsia="zh-CN"/>
              </w:rPr>
              <w:t>-29</w:t>
            </w:r>
          </w:p>
        </w:tc>
        <w:tc>
          <w:tcPr>
            <w:tcW w:w="173" w:type="pct"/>
            <w:tcBorders>
              <w:tl2br w:val="nil"/>
              <w:tr2bl w:val="nil"/>
            </w:tcBorders>
            <w:shd w:val="clear" w:color="auto" w:fill="FFFFFF"/>
            <w:tcMar>
              <w:top w:w="0" w:type="dxa"/>
              <w:left w:w="0" w:type="dxa"/>
              <w:bottom w:w="0" w:type="dxa"/>
              <w:right w:w="0" w:type="dxa"/>
            </w:tcMar>
            <w:vAlign w:val="center"/>
          </w:tcPr>
          <w:p w14:paraId="473C0459">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-44</w:t>
            </w:r>
          </w:p>
        </w:tc>
        <w:tc>
          <w:tcPr>
            <w:tcW w:w="173" w:type="pct"/>
            <w:tcBorders>
              <w:tl2br w:val="nil"/>
              <w:tr2bl w:val="nil"/>
            </w:tcBorders>
            <w:shd w:val="clear" w:color="auto" w:fill="FFFFFF"/>
            <w:tcMar>
              <w:top w:w="0" w:type="dxa"/>
              <w:left w:w="0" w:type="dxa"/>
              <w:bottom w:w="0" w:type="dxa"/>
              <w:right w:w="0" w:type="dxa"/>
            </w:tcMar>
            <w:vAlign w:val="center"/>
          </w:tcPr>
          <w:p w14:paraId="19A590D9">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6153FB69">
            <w:pPr>
              <w:pStyle w:val="106"/>
              <w:bidi w:val="0"/>
              <w:jc w:val="center"/>
              <w:rPr>
                <w:rFonts w:hint="eastAsia"/>
                <w:lang w:val="en-US" w:eastAsia="zh-CN"/>
              </w:rPr>
            </w:pPr>
            <w:r>
              <w:rPr>
                <w:rFonts w:hint="default"/>
                <w:lang w:val="en-US" w:eastAsia="zh-CN"/>
              </w:rPr>
              <w:t>92</w:t>
            </w:r>
          </w:p>
        </w:tc>
        <w:tc>
          <w:tcPr>
            <w:tcW w:w="173" w:type="pct"/>
            <w:tcBorders>
              <w:tl2br w:val="nil"/>
              <w:tr2bl w:val="nil"/>
            </w:tcBorders>
            <w:shd w:val="clear" w:color="auto" w:fill="FFFFFF"/>
            <w:tcMar>
              <w:top w:w="0" w:type="dxa"/>
              <w:left w:w="0" w:type="dxa"/>
              <w:bottom w:w="0" w:type="dxa"/>
              <w:right w:w="0" w:type="dxa"/>
            </w:tcMar>
            <w:vAlign w:val="center"/>
          </w:tcPr>
          <w:p w14:paraId="37E70190">
            <w:pPr>
              <w:pStyle w:val="106"/>
              <w:bidi w:val="0"/>
              <w:jc w:val="center"/>
              <w:rPr>
                <w:rFonts w:hint="eastAsia"/>
                <w:lang w:val="en-US" w:eastAsia="zh-CN"/>
              </w:rPr>
            </w:pPr>
            <w:r>
              <w:rPr>
                <w:rFonts w:hint="default"/>
                <w:lang w:val="en-US" w:eastAsia="zh-CN"/>
              </w:rPr>
              <w:t>16</w:t>
            </w:r>
          </w:p>
        </w:tc>
        <w:tc>
          <w:tcPr>
            <w:tcW w:w="173" w:type="pct"/>
            <w:tcBorders>
              <w:tl2br w:val="nil"/>
              <w:tr2bl w:val="nil"/>
            </w:tcBorders>
            <w:shd w:val="clear" w:color="auto" w:fill="FFFFFF"/>
            <w:tcMar>
              <w:top w:w="0" w:type="dxa"/>
              <w:left w:w="0" w:type="dxa"/>
              <w:bottom w:w="0" w:type="dxa"/>
              <w:right w:w="0" w:type="dxa"/>
            </w:tcMar>
            <w:vAlign w:val="center"/>
          </w:tcPr>
          <w:p w14:paraId="6E05AC55">
            <w:pPr>
              <w:pStyle w:val="106"/>
              <w:bidi w:val="0"/>
              <w:jc w:val="center"/>
              <w:rPr>
                <w:rFonts w:hint="eastAsia"/>
                <w:lang w:val="en-US" w:eastAsia="zh-CN"/>
              </w:rPr>
            </w:pPr>
            <w:r>
              <w:rPr>
                <w:rFonts w:hint="default"/>
                <w:lang w:val="en-US" w:eastAsia="zh-CN"/>
              </w:rPr>
              <w:t>34</w:t>
            </w:r>
          </w:p>
        </w:tc>
        <w:tc>
          <w:tcPr>
            <w:tcW w:w="173" w:type="pct"/>
            <w:tcBorders>
              <w:tl2br w:val="nil"/>
              <w:tr2bl w:val="nil"/>
            </w:tcBorders>
            <w:shd w:val="clear" w:color="auto" w:fill="FFFFFF"/>
            <w:tcMar>
              <w:top w:w="0" w:type="dxa"/>
              <w:left w:w="0" w:type="dxa"/>
              <w:bottom w:w="0" w:type="dxa"/>
              <w:right w:w="0" w:type="dxa"/>
            </w:tcMar>
            <w:vAlign w:val="center"/>
          </w:tcPr>
          <w:p w14:paraId="1F7BD573">
            <w:pPr>
              <w:pStyle w:val="106"/>
              <w:bidi w:val="0"/>
              <w:jc w:val="center"/>
              <w:rPr>
                <w:rFonts w:hint="eastAsia"/>
                <w:lang w:val="en-US" w:eastAsia="zh-CN"/>
              </w:rPr>
            </w:pPr>
            <w:r>
              <w:rPr>
                <w:rFonts w:hint="default"/>
                <w:lang w:val="en-US" w:eastAsia="zh-CN"/>
              </w:rPr>
              <w:t>34</w:t>
            </w:r>
          </w:p>
        </w:tc>
        <w:tc>
          <w:tcPr>
            <w:tcW w:w="173" w:type="pct"/>
            <w:tcBorders>
              <w:tl2br w:val="nil"/>
              <w:tr2bl w:val="nil"/>
            </w:tcBorders>
            <w:shd w:val="clear" w:color="auto" w:fill="FFFFFF"/>
            <w:tcMar>
              <w:top w:w="0" w:type="dxa"/>
              <w:left w:w="0" w:type="dxa"/>
              <w:bottom w:w="0" w:type="dxa"/>
              <w:right w:w="0" w:type="dxa"/>
            </w:tcMar>
            <w:vAlign w:val="center"/>
          </w:tcPr>
          <w:p w14:paraId="4E72D942">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438A1845">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7FC33F97">
            <w:pPr>
              <w:pStyle w:val="106"/>
              <w:bidi w:val="0"/>
              <w:jc w:val="center"/>
              <w:rPr>
                <w:rFonts w:hint="eastAsia"/>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33B475CA">
            <w:pPr>
              <w:pStyle w:val="106"/>
              <w:bidi w:val="0"/>
              <w:jc w:val="center"/>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6B0675AE">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23BFD641">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090144DE">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02364AF5">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5AFF3EA4">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1DCE9FBD">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2AA2592F">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1D8B730B">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092BF9DF">
            <w:pPr>
              <w:pStyle w:val="106"/>
              <w:bidi w:val="0"/>
              <w:jc w:val="center"/>
              <w:rPr>
                <w:rFonts w:hint="eastAsia"/>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06B2EA6F">
            <w:pPr>
              <w:pStyle w:val="106"/>
              <w:bidi w:val="0"/>
            </w:pPr>
            <w:r>
              <w:t>1</w:t>
            </w:r>
          </w:p>
        </w:tc>
      </w:tr>
      <w:tr w14:paraId="2D06D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37EABC5D">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0936C4C9">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0B2946DC">
            <w:pPr>
              <w:pStyle w:val="106"/>
              <w:bidi w:val="0"/>
              <w:rPr>
                <w:rFonts w:hint="default"/>
                <w:lang w:val="en-US" w:eastAsia="zh-CN"/>
              </w:rPr>
            </w:pPr>
            <w:r>
              <w:rPr>
                <w:rFonts w:hint="eastAsia"/>
                <w:lang w:val="en-US" w:eastAsia="zh-CN"/>
              </w:rPr>
              <w:t>真空封口机1</w:t>
            </w:r>
          </w:p>
        </w:tc>
        <w:tc>
          <w:tcPr>
            <w:tcW w:w="119" w:type="pct"/>
            <w:tcBorders>
              <w:tl2br w:val="nil"/>
              <w:tr2bl w:val="nil"/>
            </w:tcBorders>
            <w:shd w:val="clear" w:color="auto" w:fill="FFFFFF"/>
            <w:tcMar>
              <w:top w:w="0" w:type="dxa"/>
              <w:left w:w="0" w:type="dxa"/>
              <w:bottom w:w="0" w:type="dxa"/>
              <w:right w:w="0" w:type="dxa"/>
            </w:tcMar>
            <w:vAlign w:val="center"/>
          </w:tcPr>
          <w:p w14:paraId="08B0484C">
            <w:pPr>
              <w:pStyle w:val="106"/>
              <w:bidi w:val="0"/>
              <w:rPr>
                <w:rFonts w:hint="eastAsia"/>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2C62B14C">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7411AAE3">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6C9D1DCF">
            <w:pPr>
              <w:pStyle w:val="106"/>
              <w:bidi w:val="0"/>
              <w:rPr>
                <w:rFonts w:hint="default"/>
                <w:lang w:val="en-US" w:eastAsia="zh-CN"/>
              </w:rPr>
            </w:pPr>
            <w:r>
              <w:rPr>
                <w:rFonts w:hint="eastAsia"/>
                <w:lang w:val="en-US" w:eastAsia="zh-CN"/>
              </w:rPr>
              <w:t>-26</w:t>
            </w:r>
          </w:p>
        </w:tc>
        <w:tc>
          <w:tcPr>
            <w:tcW w:w="173" w:type="pct"/>
            <w:tcBorders>
              <w:tl2br w:val="nil"/>
              <w:tr2bl w:val="nil"/>
            </w:tcBorders>
            <w:shd w:val="clear" w:color="auto" w:fill="FFFFFF"/>
            <w:tcMar>
              <w:top w:w="0" w:type="dxa"/>
              <w:left w:w="0" w:type="dxa"/>
              <w:bottom w:w="0" w:type="dxa"/>
              <w:right w:w="0" w:type="dxa"/>
            </w:tcMar>
            <w:vAlign w:val="center"/>
          </w:tcPr>
          <w:p w14:paraId="4ECD3F4F">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-50</w:t>
            </w:r>
          </w:p>
        </w:tc>
        <w:tc>
          <w:tcPr>
            <w:tcW w:w="173" w:type="pct"/>
            <w:tcBorders>
              <w:tl2br w:val="nil"/>
              <w:tr2bl w:val="nil"/>
            </w:tcBorders>
            <w:shd w:val="clear" w:color="auto" w:fill="FFFFFF"/>
            <w:tcMar>
              <w:top w:w="0" w:type="dxa"/>
              <w:left w:w="0" w:type="dxa"/>
              <w:bottom w:w="0" w:type="dxa"/>
              <w:right w:w="0" w:type="dxa"/>
            </w:tcMar>
            <w:vAlign w:val="center"/>
          </w:tcPr>
          <w:p w14:paraId="243A3DB7">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291DA190">
            <w:pPr>
              <w:pStyle w:val="106"/>
              <w:bidi w:val="0"/>
              <w:jc w:val="center"/>
              <w:rPr>
                <w:rFonts w:hint="default"/>
                <w:lang w:val="en-US" w:eastAsia="zh-CN"/>
              </w:rPr>
            </w:pPr>
            <w:r>
              <w:rPr>
                <w:rFonts w:hint="default"/>
                <w:lang w:val="en-US" w:eastAsia="zh-CN"/>
              </w:rPr>
              <w:t>89</w:t>
            </w:r>
          </w:p>
        </w:tc>
        <w:tc>
          <w:tcPr>
            <w:tcW w:w="173" w:type="pct"/>
            <w:tcBorders>
              <w:tl2br w:val="nil"/>
              <w:tr2bl w:val="nil"/>
            </w:tcBorders>
            <w:shd w:val="clear" w:color="auto" w:fill="FFFFFF"/>
            <w:tcMar>
              <w:top w:w="0" w:type="dxa"/>
              <w:left w:w="0" w:type="dxa"/>
              <w:bottom w:w="0" w:type="dxa"/>
              <w:right w:w="0" w:type="dxa"/>
            </w:tcMar>
            <w:vAlign w:val="center"/>
          </w:tcPr>
          <w:p w14:paraId="57CD3E69">
            <w:pPr>
              <w:pStyle w:val="106"/>
              <w:bidi w:val="0"/>
              <w:jc w:val="center"/>
              <w:rPr>
                <w:rFonts w:hint="default"/>
                <w:lang w:val="en-US" w:eastAsia="zh-CN"/>
              </w:rPr>
            </w:pPr>
            <w:r>
              <w:rPr>
                <w:rFonts w:hint="default"/>
                <w:lang w:val="en-US" w:eastAsia="zh-CN"/>
              </w:rPr>
              <w:t>10</w:t>
            </w:r>
          </w:p>
        </w:tc>
        <w:tc>
          <w:tcPr>
            <w:tcW w:w="173" w:type="pct"/>
            <w:tcBorders>
              <w:tl2br w:val="nil"/>
              <w:tr2bl w:val="nil"/>
            </w:tcBorders>
            <w:shd w:val="clear" w:color="auto" w:fill="FFFFFF"/>
            <w:tcMar>
              <w:top w:w="0" w:type="dxa"/>
              <w:left w:w="0" w:type="dxa"/>
              <w:bottom w:w="0" w:type="dxa"/>
              <w:right w:w="0" w:type="dxa"/>
            </w:tcMar>
            <w:vAlign w:val="center"/>
          </w:tcPr>
          <w:p w14:paraId="344F8052">
            <w:pPr>
              <w:pStyle w:val="106"/>
              <w:bidi w:val="0"/>
              <w:jc w:val="center"/>
              <w:rPr>
                <w:rFonts w:hint="default"/>
                <w:lang w:val="en-US" w:eastAsia="zh-CN"/>
              </w:rPr>
            </w:pPr>
            <w:r>
              <w:rPr>
                <w:rFonts w:hint="default"/>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68BF84D1">
            <w:pPr>
              <w:pStyle w:val="106"/>
              <w:bidi w:val="0"/>
              <w:jc w:val="center"/>
              <w:rPr>
                <w:rFonts w:hint="default"/>
                <w:lang w:val="en-US" w:eastAsia="zh-CN"/>
              </w:rPr>
            </w:pPr>
            <w:r>
              <w:rPr>
                <w:rFonts w:hint="default"/>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181EDB03">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757C15EA">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4F591974">
            <w:pPr>
              <w:pStyle w:val="106"/>
              <w:bidi w:val="0"/>
              <w:jc w:val="center"/>
              <w:rPr>
                <w:rFonts w:hint="default"/>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219E0ADD">
            <w:pPr>
              <w:pStyle w:val="106"/>
              <w:bidi w:val="0"/>
              <w:jc w:val="center"/>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15B3FF8A">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337E94D">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5C09C1B">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F407326">
            <w:pPr>
              <w:pStyle w:val="106"/>
              <w:bidi w:val="0"/>
              <w:ind w:firstLine="0" w:firstLineChars="0"/>
              <w:rPr>
                <w:rFonts w:hint="default"/>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216438A0">
            <w:pPr>
              <w:pStyle w:val="106"/>
              <w:bidi w:val="0"/>
              <w:ind w:firstLine="0" w:firstLineChars="0"/>
              <w:rPr>
                <w:rFonts w:hint="default"/>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6CD7F325">
            <w:pPr>
              <w:pStyle w:val="106"/>
              <w:bidi w:val="0"/>
              <w:jc w:val="center"/>
              <w:rPr>
                <w:rFonts w:hint="default"/>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0BDE0CDB">
            <w:pPr>
              <w:pStyle w:val="106"/>
              <w:bidi w:val="0"/>
              <w:jc w:val="center"/>
              <w:rPr>
                <w:rFonts w:hint="default"/>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10FBFBEB">
            <w:pPr>
              <w:pStyle w:val="106"/>
              <w:bidi w:val="0"/>
              <w:jc w:val="center"/>
              <w:rPr>
                <w:rFonts w:hint="default"/>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75F8FAB6">
            <w:pPr>
              <w:pStyle w:val="106"/>
              <w:bidi w:val="0"/>
              <w:jc w:val="center"/>
              <w:rPr>
                <w:rFonts w:hint="default"/>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34C560C4">
            <w:pPr>
              <w:pStyle w:val="106"/>
              <w:bidi w:val="0"/>
              <w:rPr>
                <w:rFonts w:hint="eastAsia"/>
                <w:lang w:val="en-US" w:eastAsia="zh-CN"/>
              </w:rPr>
            </w:pPr>
            <w:r>
              <w:t>1</w:t>
            </w:r>
          </w:p>
        </w:tc>
      </w:tr>
      <w:tr w14:paraId="71659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17069A16">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0F0250CC">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F5FEFD6">
            <w:pPr>
              <w:pStyle w:val="106"/>
              <w:bidi w:val="0"/>
              <w:rPr>
                <w:rFonts w:hint="default"/>
                <w:lang w:val="en-US" w:eastAsia="zh-CN"/>
              </w:rPr>
            </w:pPr>
            <w:r>
              <w:rPr>
                <w:rFonts w:hint="eastAsia"/>
                <w:lang w:val="en-US" w:eastAsia="zh-CN"/>
              </w:rPr>
              <w:t>真空封口机2</w:t>
            </w:r>
          </w:p>
        </w:tc>
        <w:tc>
          <w:tcPr>
            <w:tcW w:w="119" w:type="pct"/>
            <w:tcBorders>
              <w:tl2br w:val="nil"/>
              <w:tr2bl w:val="nil"/>
            </w:tcBorders>
            <w:shd w:val="clear" w:color="auto" w:fill="FFFFFF"/>
            <w:tcMar>
              <w:top w:w="0" w:type="dxa"/>
              <w:left w:w="0" w:type="dxa"/>
              <w:bottom w:w="0" w:type="dxa"/>
              <w:right w:w="0" w:type="dxa"/>
            </w:tcMar>
            <w:vAlign w:val="center"/>
          </w:tcPr>
          <w:p w14:paraId="4605E2EF">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0409EF71">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0F7B5064">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63E3601D">
            <w:pPr>
              <w:pStyle w:val="106"/>
              <w:bidi w:val="0"/>
              <w:rPr>
                <w:rFonts w:hint="default"/>
                <w:lang w:val="en-US" w:eastAsia="zh-CN"/>
              </w:rPr>
            </w:pPr>
            <w:r>
              <w:rPr>
                <w:rFonts w:hint="eastAsia"/>
                <w:lang w:val="en-US" w:eastAsia="zh-CN"/>
              </w:rPr>
              <w:t>-26</w:t>
            </w:r>
          </w:p>
        </w:tc>
        <w:tc>
          <w:tcPr>
            <w:tcW w:w="173" w:type="pct"/>
            <w:tcBorders>
              <w:tl2br w:val="nil"/>
              <w:tr2bl w:val="nil"/>
            </w:tcBorders>
            <w:shd w:val="clear" w:color="auto" w:fill="FFFFFF"/>
            <w:tcMar>
              <w:top w:w="0" w:type="dxa"/>
              <w:left w:w="0" w:type="dxa"/>
              <w:bottom w:w="0" w:type="dxa"/>
              <w:right w:w="0" w:type="dxa"/>
            </w:tcMar>
            <w:vAlign w:val="center"/>
          </w:tcPr>
          <w:p w14:paraId="59D78C40">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-47</w:t>
            </w:r>
          </w:p>
        </w:tc>
        <w:tc>
          <w:tcPr>
            <w:tcW w:w="173" w:type="pct"/>
            <w:tcBorders>
              <w:tl2br w:val="nil"/>
              <w:tr2bl w:val="nil"/>
            </w:tcBorders>
            <w:shd w:val="clear" w:color="auto" w:fill="FFFFFF"/>
            <w:tcMar>
              <w:top w:w="0" w:type="dxa"/>
              <w:left w:w="0" w:type="dxa"/>
              <w:bottom w:w="0" w:type="dxa"/>
              <w:right w:w="0" w:type="dxa"/>
            </w:tcMar>
            <w:vAlign w:val="center"/>
          </w:tcPr>
          <w:p w14:paraId="14CC6741">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70C31B02">
            <w:pPr>
              <w:pStyle w:val="106"/>
              <w:bidi w:val="0"/>
              <w:jc w:val="center"/>
              <w:rPr>
                <w:rFonts w:hint="eastAsia"/>
                <w:lang w:val="en-US" w:eastAsia="zh-CN"/>
              </w:rPr>
            </w:pPr>
            <w:r>
              <w:rPr>
                <w:rFonts w:hint="default"/>
                <w:lang w:val="en-US" w:eastAsia="zh-CN"/>
              </w:rPr>
              <w:t>89</w:t>
            </w:r>
          </w:p>
        </w:tc>
        <w:tc>
          <w:tcPr>
            <w:tcW w:w="173" w:type="pct"/>
            <w:tcBorders>
              <w:tl2br w:val="nil"/>
              <w:tr2bl w:val="nil"/>
            </w:tcBorders>
            <w:shd w:val="clear" w:color="auto" w:fill="FFFFFF"/>
            <w:tcMar>
              <w:top w:w="0" w:type="dxa"/>
              <w:left w:w="0" w:type="dxa"/>
              <w:bottom w:w="0" w:type="dxa"/>
              <w:right w:w="0" w:type="dxa"/>
            </w:tcMar>
            <w:vAlign w:val="center"/>
          </w:tcPr>
          <w:p w14:paraId="4CC0AC0B">
            <w:pPr>
              <w:pStyle w:val="106"/>
              <w:bidi w:val="0"/>
              <w:jc w:val="center"/>
              <w:rPr>
                <w:rFonts w:hint="eastAsia"/>
                <w:lang w:val="en-US" w:eastAsia="zh-CN"/>
              </w:rPr>
            </w:pPr>
            <w:r>
              <w:rPr>
                <w:rFonts w:hint="default"/>
                <w:lang w:val="en-US" w:eastAsia="zh-CN"/>
              </w:rPr>
              <w:t>13</w:t>
            </w:r>
          </w:p>
        </w:tc>
        <w:tc>
          <w:tcPr>
            <w:tcW w:w="173" w:type="pct"/>
            <w:tcBorders>
              <w:tl2br w:val="nil"/>
              <w:tr2bl w:val="nil"/>
            </w:tcBorders>
            <w:shd w:val="clear" w:color="auto" w:fill="FFFFFF"/>
            <w:tcMar>
              <w:top w:w="0" w:type="dxa"/>
              <w:left w:w="0" w:type="dxa"/>
              <w:bottom w:w="0" w:type="dxa"/>
              <w:right w:w="0" w:type="dxa"/>
            </w:tcMar>
            <w:vAlign w:val="center"/>
          </w:tcPr>
          <w:p w14:paraId="7121FC64">
            <w:pPr>
              <w:pStyle w:val="106"/>
              <w:bidi w:val="0"/>
              <w:jc w:val="center"/>
              <w:rPr>
                <w:rFonts w:hint="eastAsia"/>
                <w:lang w:val="en-US" w:eastAsia="zh-CN"/>
              </w:rPr>
            </w:pPr>
            <w:r>
              <w:rPr>
                <w:rFonts w:hint="default"/>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2720A39B">
            <w:pPr>
              <w:pStyle w:val="106"/>
              <w:bidi w:val="0"/>
              <w:jc w:val="center"/>
              <w:rPr>
                <w:rFonts w:hint="eastAsia"/>
                <w:lang w:val="en-US" w:eastAsia="zh-CN"/>
              </w:rPr>
            </w:pPr>
            <w:r>
              <w:rPr>
                <w:rFonts w:hint="default"/>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2AE46C57">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26EEB263">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30DE3070">
            <w:pPr>
              <w:pStyle w:val="106"/>
              <w:bidi w:val="0"/>
              <w:jc w:val="center"/>
              <w:rPr>
                <w:rFonts w:hint="eastAsia"/>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76427851">
            <w:pPr>
              <w:pStyle w:val="106"/>
              <w:bidi w:val="0"/>
              <w:jc w:val="center"/>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C46AF09">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2715AB4E">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9617DF4">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59AB9C1">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3EB6061C">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2A39CA8C">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7FA31D8B">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1EC3D59">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21511A7A">
            <w:pPr>
              <w:pStyle w:val="106"/>
              <w:bidi w:val="0"/>
              <w:jc w:val="center"/>
              <w:rPr>
                <w:rFonts w:hint="eastAsia"/>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3CCEDB26">
            <w:pPr>
              <w:pStyle w:val="106"/>
              <w:bidi w:val="0"/>
              <w:rPr>
                <w:rFonts w:hint="eastAsia"/>
                <w:lang w:val="en-US" w:eastAsia="zh-CN"/>
              </w:rPr>
            </w:pPr>
            <w:r>
              <w:t>1</w:t>
            </w:r>
          </w:p>
        </w:tc>
      </w:tr>
      <w:tr w14:paraId="0CD21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2CFD2CC3">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18D9F701">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4FBD014D">
            <w:pPr>
              <w:pStyle w:val="106"/>
              <w:bidi w:val="0"/>
              <w:rPr>
                <w:rFonts w:hint="default"/>
                <w:lang w:val="en-US" w:eastAsia="zh-CN"/>
              </w:rPr>
            </w:pPr>
            <w:r>
              <w:rPr>
                <w:rFonts w:hint="eastAsia"/>
                <w:lang w:val="en-US" w:eastAsia="zh-CN"/>
              </w:rPr>
              <w:t>真空封口机3</w:t>
            </w:r>
          </w:p>
        </w:tc>
        <w:tc>
          <w:tcPr>
            <w:tcW w:w="119" w:type="pct"/>
            <w:tcBorders>
              <w:tl2br w:val="nil"/>
              <w:tr2bl w:val="nil"/>
            </w:tcBorders>
            <w:shd w:val="clear" w:color="auto" w:fill="FFFFFF"/>
            <w:tcMar>
              <w:top w:w="0" w:type="dxa"/>
              <w:left w:w="0" w:type="dxa"/>
              <w:bottom w:w="0" w:type="dxa"/>
              <w:right w:w="0" w:type="dxa"/>
            </w:tcMar>
            <w:vAlign w:val="center"/>
          </w:tcPr>
          <w:p w14:paraId="3EBA91B7">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C3AFC89">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23E1BC39">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1119644D">
            <w:pPr>
              <w:pStyle w:val="106"/>
              <w:bidi w:val="0"/>
              <w:rPr>
                <w:rFonts w:hint="default"/>
                <w:lang w:val="en-US" w:eastAsia="zh-CN"/>
              </w:rPr>
            </w:pPr>
            <w:r>
              <w:rPr>
                <w:rFonts w:hint="eastAsia"/>
                <w:lang w:val="en-US" w:eastAsia="zh-CN"/>
              </w:rPr>
              <w:t>-26</w:t>
            </w:r>
          </w:p>
        </w:tc>
        <w:tc>
          <w:tcPr>
            <w:tcW w:w="173" w:type="pct"/>
            <w:tcBorders>
              <w:tl2br w:val="nil"/>
              <w:tr2bl w:val="nil"/>
            </w:tcBorders>
            <w:shd w:val="clear" w:color="auto" w:fill="FFFFFF"/>
            <w:tcMar>
              <w:top w:w="0" w:type="dxa"/>
              <w:left w:w="0" w:type="dxa"/>
              <w:bottom w:w="0" w:type="dxa"/>
              <w:right w:w="0" w:type="dxa"/>
            </w:tcMar>
            <w:vAlign w:val="center"/>
          </w:tcPr>
          <w:p w14:paraId="35441B2F">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-44</w:t>
            </w:r>
          </w:p>
        </w:tc>
        <w:tc>
          <w:tcPr>
            <w:tcW w:w="173" w:type="pct"/>
            <w:tcBorders>
              <w:tl2br w:val="nil"/>
              <w:tr2bl w:val="nil"/>
            </w:tcBorders>
            <w:shd w:val="clear" w:color="auto" w:fill="FFFFFF"/>
            <w:tcMar>
              <w:top w:w="0" w:type="dxa"/>
              <w:left w:w="0" w:type="dxa"/>
              <w:bottom w:w="0" w:type="dxa"/>
              <w:right w:w="0" w:type="dxa"/>
            </w:tcMar>
            <w:vAlign w:val="center"/>
          </w:tcPr>
          <w:p w14:paraId="6018EE9C">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04AA0689">
            <w:pPr>
              <w:pStyle w:val="106"/>
              <w:bidi w:val="0"/>
              <w:jc w:val="center"/>
              <w:rPr>
                <w:rFonts w:hint="eastAsia"/>
                <w:lang w:val="en-US" w:eastAsia="zh-CN"/>
              </w:rPr>
            </w:pPr>
            <w:r>
              <w:rPr>
                <w:rFonts w:hint="default"/>
                <w:lang w:val="en-US" w:eastAsia="zh-CN"/>
              </w:rPr>
              <w:t>89</w:t>
            </w:r>
          </w:p>
        </w:tc>
        <w:tc>
          <w:tcPr>
            <w:tcW w:w="173" w:type="pct"/>
            <w:tcBorders>
              <w:tl2br w:val="nil"/>
              <w:tr2bl w:val="nil"/>
            </w:tcBorders>
            <w:shd w:val="clear" w:color="auto" w:fill="FFFFFF"/>
            <w:tcMar>
              <w:top w:w="0" w:type="dxa"/>
              <w:left w:w="0" w:type="dxa"/>
              <w:bottom w:w="0" w:type="dxa"/>
              <w:right w:w="0" w:type="dxa"/>
            </w:tcMar>
            <w:vAlign w:val="center"/>
          </w:tcPr>
          <w:p w14:paraId="4A7F0D07">
            <w:pPr>
              <w:pStyle w:val="106"/>
              <w:bidi w:val="0"/>
              <w:jc w:val="center"/>
              <w:rPr>
                <w:rFonts w:hint="eastAsia"/>
                <w:lang w:val="en-US" w:eastAsia="zh-CN"/>
              </w:rPr>
            </w:pPr>
            <w:r>
              <w:rPr>
                <w:rFonts w:hint="default"/>
                <w:lang w:val="en-US" w:eastAsia="zh-CN"/>
              </w:rPr>
              <w:t>16</w:t>
            </w:r>
          </w:p>
        </w:tc>
        <w:tc>
          <w:tcPr>
            <w:tcW w:w="173" w:type="pct"/>
            <w:tcBorders>
              <w:tl2br w:val="nil"/>
              <w:tr2bl w:val="nil"/>
            </w:tcBorders>
            <w:shd w:val="clear" w:color="auto" w:fill="FFFFFF"/>
            <w:tcMar>
              <w:top w:w="0" w:type="dxa"/>
              <w:left w:w="0" w:type="dxa"/>
              <w:bottom w:w="0" w:type="dxa"/>
              <w:right w:w="0" w:type="dxa"/>
            </w:tcMar>
            <w:vAlign w:val="center"/>
          </w:tcPr>
          <w:p w14:paraId="6DC705D9">
            <w:pPr>
              <w:pStyle w:val="106"/>
              <w:bidi w:val="0"/>
              <w:jc w:val="center"/>
              <w:rPr>
                <w:rFonts w:hint="eastAsia"/>
                <w:lang w:val="en-US" w:eastAsia="zh-CN"/>
              </w:rPr>
            </w:pPr>
            <w:r>
              <w:rPr>
                <w:rFonts w:hint="default"/>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29440FFA">
            <w:pPr>
              <w:pStyle w:val="106"/>
              <w:bidi w:val="0"/>
              <w:jc w:val="center"/>
              <w:rPr>
                <w:rFonts w:hint="eastAsia"/>
                <w:lang w:val="en-US" w:eastAsia="zh-CN"/>
              </w:rPr>
            </w:pPr>
            <w:r>
              <w:rPr>
                <w:rFonts w:hint="default"/>
                <w:lang w:val="en-US" w:eastAsia="zh-CN"/>
              </w:rPr>
              <w:t>34</w:t>
            </w:r>
          </w:p>
        </w:tc>
        <w:tc>
          <w:tcPr>
            <w:tcW w:w="173" w:type="pct"/>
            <w:tcBorders>
              <w:tl2br w:val="nil"/>
              <w:tr2bl w:val="nil"/>
            </w:tcBorders>
            <w:shd w:val="clear" w:color="auto" w:fill="FFFFFF"/>
            <w:tcMar>
              <w:top w:w="0" w:type="dxa"/>
              <w:left w:w="0" w:type="dxa"/>
              <w:bottom w:w="0" w:type="dxa"/>
              <w:right w:w="0" w:type="dxa"/>
            </w:tcMar>
            <w:vAlign w:val="center"/>
          </w:tcPr>
          <w:p w14:paraId="148D3F0E">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5CA12E19">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06CFE14C">
            <w:pPr>
              <w:pStyle w:val="106"/>
              <w:bidi w:val="0"/>
              <w:jc w:val="center"/>
              <w:rPr>
                <w:rFonts w:hint="eastAsia"/>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6C5D2416">
            <w:pPr>
              <w:pStyle w:val="106"/>
              <w:bidi w:val="0"/>
              <w:jc w:val="center"/>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01CCB745">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075D855D">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0EA8C566">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4D5F0985">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0FF6BFB2">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1897E2DD">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64C6B855">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461EF42">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7F7DB27A">
            <w:pPr>
              <w:pStyle w:val="106"/>
              <w:bidi w:val="0"/>
              <w:jc w:val="center"/>
              <w:rPr>
                <w:rFonts w:hint="eastAsia"/>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4BD3C75E">
            <w:pPr>
              <w:pStyle w:val="106"/>
              <w:bidi w:val="0"/>
              <w:rPr>
                <w:rFonts w:hint="eastAsia"/>
                <w:lang w:val="en-US" w:eastAsia="zh-CN"/>
              </w:rPr>
            </w:pPr>
            <w:r>
              <w:t>1</w:t>
            </w:r>
          </w:p>
        </w:tc>
      </w:tr>
      <w:tr w14:paraId="67D15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25E94C4F">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2CF922C5">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7B9C4A82">
            <w:pPr>
              <w:pStyle w:val="106"/>
              <w:bidi w:val="0"/>
              <w:rPr>
                <w:rFonts w:hint="default"/>
                <w:lang w:val="en-US" w:eastAsia="zh-CN"/>
              </w:rPr>
            </w:pPr>
            <w:r>
              <w:rPr>
                <w:rFonts w:hint="eastAsia"/>
                <w:lang w:val="en-US" w:eastAsia="zh-CN"/>
              </w:rPr>
              <w:t>贴标机1</w:t>
            </w:r>
          </w:p>
        </w:tc>
        <w:tc>
          <w:tcPr>
            <w:tcW w:w="119" w:type="pct"/>
            <w:tcBorders>
              <w:tl2br w:val="nil"/>
              <w:tr2bl w:val="nil"/>
            </w:tcBorders>
            <w:shd w:val="clear" w:color="auto" w:fill="FFFFFF"/>
            <w:tcMar>
              <w:top w:w="0" w:type="dxa"/>
              <w:left w:w="0" w:type="dxa"/>
              <w:bottom w:w="0" w:type="dxa"/>
              <w:right w:w="0" w:type="dxa"/>
            </w:tcMar>
            <w:vAlign w:val="center"/>
          </w:tcPr>
          <w:p w14:paraId="123F3B96">
            <w:pPr>
              <w:pStyle w:val="106"/>
              <w:bidi w:val="0"/>
              <w:rPr>
                <w:rFonts w:hint="default"/>
                <w:lang w:val="en-US" w:eastAsia="zh-CN"/>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629715F">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4BE3AE8F">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16A25F91">
            <w:pPr>
              <w:pStyle w:val="106"/>
              <w:bidi w:val="0"/>
              <w:rPr>
                <w:rFonts w:hint="default"/>
                <w:lang w:val="en-US" w:eastAsia="zh-CN"/>
              </w:rPr>
            </w:pPr>
            <w:r>
              <w:rPr>
                <w:rFonts w:hint="eastAsia"/>
                <w:lang w:val="en-US" w:eastAsia="zh-CN"/>
              </w:rPr>
              <w:t>-23</w:t>
            </w:r>
          </w:p>
        </w:tc>
        <w:tc>
          <w:tcPr>
            <w:tcW w:w="173" w:type="pct"/>
            <w:tcBorders>
              <w:tl2br w:val="nil"/>
              <w:tr2bl w:val="nil"/>
            </w:tcBorders>
            <w:shd w:val="clear" w:color="auto" w:fill="FFFFFF"/>
            <w:tcMar>
              <w:top w:w="0" w:type="dxa"/>
              <w:left w:w="0" w:type="dxa"/>
              <w:bottom w:w="0" w:type="dxa"/>
              <w:right w:w="0" w:type="dxa"/>
            </w:tcMar>
            <w:vAlign w:val="center"/>
          </w:tcPr>
          <w:p w14:paraId="5AA50783">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-50</w:t>
            </w:r>
          </w:p>
        </w:tc>
        <w:tc>
          <w:tcPr>
            <w:tcW w:w="173" w:type="pct"/>
            <w:tcBorders>
              <w:tl2br w:val="nil"/>
              <w:tr2bl w:val="nil"/>
            </w:tcBorders>
            <w:shd w:val="clear" w:color="auto" w:fill="FFFFFF"/>
            <w:tcMar>
              <w:top w:w="0" w:type="dxa"/>
              <w:left w:w="0" w:type="dxa"/>
              <w:bottom w:w="0" w:type="dxa"/>
              <w:right w:w="0" w:type="dxa"/>
            </w:tcMar>
            <w:vAlign w:val="center"/>
          </w:tcPr>
          <w:p w14:paraId="0779C2D3">
            <w:pPr>
              <w:pStyle w:val="106"/>
              <w:bidi w:val="0"/>
              <w:rPr>
                <w:rFonts w:hint="default"/>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779C6E9D">
            <w:pPr>
              <w:pStyle w:val="106"/>
              <w:bidi w:val="0"/>
              <w:jc w:val="center"/>
              <w:rPr>
                <w:rFonts w:hint="eastAsia"/>
                <w:lang w:val="en-US" w:eastAsia="zh-CN"/>
              </w:rPr>
            </w:pPr>
            <w:r>
              <w:rPr>
                <w:rFonts w:hint="default"/>
                <w:lang w:val="en-US" w:eastAsia="zh-CN"/>
              </w:rPr>
              <w:t>86</w:t>
            </w:r>
          </w:p>
        </w:tc>
        <w:tc>
          <w:tcPr>
            <w:tcW w:w="173" w:type="pct"/>
            <w:tcBorders>
              <w:tl2br w:val="nil"/>
              <w:tr2bl w:val="nil"/>
            </w:tcBorders>
            <w:shd w:val="clear" w:color="auto" w:fill="FFFFFF"/>
            <w:tcMar>
              <w:top w:w="0" w:type="dxa"/>
              <w:left w:w="0" w:type="dxa"/>
              <w:bottom w:w="0" w:type="dxa"/>
              <w:right w:w="0" w:type="dxa"/>
            </w:tcMar>
            <w:vAlign w:val="center"/>
          </w:tcPr>
          <w:p w14:paraId="6D58403A">
            <w:pPr>
              <w:pStyle w:val="106"/>
              <w:bidi w:val="0"/>
              <w:jc w:val="center"/>
              <w:rPr>
                <w:rFonts w:hint="eastAsia"/>
                <w:lang w:val="en-US" w:eastAsia="zh-CN"/>
              </w:rPr>
            </w:pPr>
            <w:r>
              <w:rPr>
                <w:rFonts w:hint="default"/>
                <w:lang w:val="en-US" w:eastAsia="zh-CN"/>
              </w:rPr>
              <w:t>10</w:t>
            </w:r>
          </w:p>
        </w:tc>
        <w:tc>
          <w:tcPr>
            <w:tcW w:w="173" w:type="pct"/>
            <w:tcBorders>
              <w:tl2br w:val="nil"/>
              <w:tr2bl w:val="nil"/>
            </w:tcBorders>
            <w:shd w:val="clear" w:color="auto" w:fill="FFFFFF"/>
            <w:tcMar>
              <w:top w:w="0" w:type="dxa"/>
              <w:left w:w="0" w:type="dxa"/>
              <w:bottom w:w="0" w:type="dxa"/>
              <w:right w:w="0" w:type="dxa"/>
            </w:tcMar>
            <w:vAlign w:val="center"/>
          </w:tcPr>
          <w:p w14:paraId="40CB7D2C">
            <w:pPr>
              <w:pStyle w:val="106"/>
              <w:bidi w:val="0"/>
              <w:jc w:val="center"/>
              <w:rPr>
                <w:rFonts w:hint="eastAsia"/>
                <w:lang w:val="en-US" w:eastAsia="zh-CN"/>
              </w:rPr>
            </w:pPr>
            <w:r>
              <w:rPr>
                <w:rFonts w:hint="default"/>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6C12EC66">
            <w:pPr>
              <w:pStyle w:val="106"/>
              <w:bidi w:val="0"/>
              <w:jc w:val="center"/>
              <w:rPr>
                <w:rFonts w:hint="eastAsia"/>
                <w:lang w:val="en-US" w:eastAsia="zh-CN"/>
              </w:rPr>
            </w:pPr>
            <w:r>
              <w:rPr>
                <w:rFonts w:hint="default"/>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6FF55DA6">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52B9F292">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09310F21">
            <w:pPr>
              <w:pStyle w:val="106"/>
              <w:bidi w:val="0"/>
              <w:jc w:val="center"/>
              <w:rPr>
                <w:rFonts w:hint="default"/>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210FD7B4">
            <w:pPr>
              <w:pStyle w:val="106"/>
              <w:bidi w:val="0"/>
              <w:jc w:val="center"/>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4A024C6F">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6FFAB2BB">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25F5A064">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5AB49066">
            <w:pPr>
              <w:pStyle w:val="106"/>
              <w:bidi w:val="0"/>
              <w:ind w:firstLine="0" w:firstLineChars="0"/>
              <w:rPr>
                <w:rFonts w:hint="default"/>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6927E621">
            <w:pPr>
              <w:pStyle w:val="106"/>
              <w:bidi w:val="0"/>
              <w:ind w:firstLine="0" w:firstLineChars="0"/>
              <w:rPr>
                <w:rFonts w:hint="default"/>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472A270E">
            <w:pPr>
              <w:pStyle w:val="106"/>
              <w:bidi w:val="0"/>
              <w:jc w:val="center"/>
              <w:rPr>
                <w:rFonts w:hint="default"/>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07F3883B">
            <w:pPr>
              <w:pStyle w:val="106"/>
              <w:bidi w:val="0"/>
              <w:jc w:val="center"/>
              <w:rPr>
                <w:rFonts w:hint="default"/>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78247E4F">
            <w:pPr>
              <w:pStyle w:val="106"/>
              <w:bidi w:val="0"/>
              <w:jc w:val="center"/>
              <w:rPr>
                <w:rFonts w:hint="default"/>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13A87B97">
            <w:pPr>
              <w:pStyle w:val="106"/>
              <w:bidi w:val="0"/>
              <w:jc w:val="center"/>
              <w:rPr>
                <w:rFonts w:hint="default"/>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5FB758EF">
            <w:pPr>
              <w:pStyle w:val="106"/>
              <w:bidi w:val="0"/>
              <w:rPr>
                <w:rFonts w:hint="eastAsia"/>
                <w:lang w:val="en-US" w:eastAsia="zh-CN"/>
              </w:rPr>
            </w:pPr>
            <w:r>
              <w:t>1</w:t>
            </w:r>
          </w:p>
        </w:tc>
      </w:tr>
      <w:tr w14:paraId="08A5A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67C59A1F">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1759C9C2">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02BB179D">
            <w:pPr>
              <w:pStyle w:val="106"/>
              <w:bidi w:val="0"/>
              <w:rPr>
                <w:rFonts w:hint="default"/>
                <w:lang w:val="en-US" w:eastAsia="zh-CN"/>
              </w:rPr>
            </w:pPr>
            <w:r>
              <w:rPr>
                <w:rFonts w:hint="eastAsia"/>
                <w:lang w:val="en-US" w:eastAsia="zh-CN"/>
              </w:rPr>
              <w:t>贴标机2</w:t>
            </w:r>
          </w:p>
        </w:tc>
        <w:tc>
          <w:tcPr>
            <w:tcW w:w="119" w:type="pct"/>
            <w:tcBorders>
              <w:tl2br w:val="nil"/>
              <w:tr2bl w:val="nil"/>
            </w:tcBorders>
            <w:shd w:val="clear" w:color="auto" w:fill="FFFFFF"/>
            <w:tcMar>
              <w:top w:w="0" w:type="dxa"/>
              <w:left w:w="0" w:type="dxa"/>
              <w:bottom w:w="0" w:type="dxa"/>
              <w:right w:w="0" w:type="dxa"/>
            </w:tcMar>
            <w:vAlign w:val="center"/>
          </w:tcPr>
          <w:p w14:paraId="0EFE818A">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9DC3A93">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4FD7E6CE">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2D6177F7">
            <w:pPr>
              <w:pStyle w:val="106"/>
              <w:bidi w:val="0"/>
              <w:rPr>
                <w:rFonts w:hint="default"/>
                <w:lang w:val="en-US" w:eastAsia="zh-CN"/>
              </w:rPr>
            </w:pPr>
            <w:r>
              <w:rPr>
                <w:rFonts w:hint="eastAsia"/>
                <w:lang w:val="en-US" w:eastAsia="zh-CN"/>
              </w:rPr>
              <w:t>-23</w:t>
            </w:r>
          </w:p>
        </w:tc>
        <w:tc>
          <w:tcPr>
            <w:tcW w:w="173" w:type="pct"/>
            <w:tcBorders>
              <w:tl2br w:val="nil"/>
              <w:tr2bl w:val="nil"/>
            </w:tcBorders>
            <w:shd w:val="clear" w:color="auto" w:fill="FFFFFF"/>
            <w:tcMar>
              <w:top w:w="0" w:type="dxa"/>
              <w:left w:w="0" w:type="dxa"/>
              <w:bottom w:w="0" w:type="dxa"/>
              <w:right w:w="0" w:type="dxa"/>
            </w:tcMar>
            <w:vAlign w:val="center"/>
          </w:tcPr>
          <w:p w14:paraId="530E8701">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-47</w:t>
            </w:r>
          </w:p>
        </w:tc>
        <w:tc>
          <w:tcPr>
            <w:tcW w:w="173" w:type="pct"/>
            <w:tcBorders>
              <w:tl2br w:val="nil"/>
              <w:tr2bl w:val="nil"/>
            </w:tcBorders>
            <w:shd w:val="clear" w:color="auto" w:fill="FFFFFF"/>
            <w:tcMar>
              <w:top w:w="0" w:type="dxa"/>
              <w:left w:w="0" w:type="dxa"/>
              <w:bottom w:w="0" w:type="dxa"/>
              <w:right w:w="0" w:type="dxa"/>
            </w:tcMar>
            <w:vAlign w:val="center"/>
          </w:tcPr>
          <w:p w14:paraId="734637EF">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27B7A7FB">
            <w:pPr>
              <w:pStyle w:val="106"/>
              <w:bidi w:val="0"/>
              <w:jc w:val="center"/>
              <w:rPr>
                <w:rFonts w:hint="eastAsia"/>
                <w:lang w:val="en-US" w:eastAsia="zh-CN"/>
              </w:rPr>
            </w:pPr>
            <w:r>
              <w:rPr>
                <w:rFonts w:hint="default"/>
                <w:lang w:val="en-US" w:eastAsia="zh-CN"/>
              </w:rPr>
              <w:t>86</w:t>
            </w:r>
          </w:p>
        </w:tc>
        <w:tc>
          <w:tcPr>
            <w:tcW w:w="173" w:type="pct"/>
            <w:tcBorders>
              <w:tl2br w:val="nil"/>
              <w:tr2bl w:val="nil"/>
            </w:tcBorders>
            <w:shd w:val="clear" w:color="auto" w:fill="FFFFFF"/>
            <w:tcMar>
              <w:top w:w="0" w:type="dxa"/>
              <w:left w:w="0" w:type="dxa"/>
              <w:bottom w:w="0" w:type="dxa"/>
              <w:right w:w="0" w:type="dxa"/>
            </w:tcMar>
            <w:vAlign w:val="center"/>
          </w:tcPr>
          <w:p w14:paraId="427C95E6">
            <w:pPr>
              <w:pStyle w:val="106"/>
              <w:bidi w:val="0"/>
              <w:jc w:val="center"/>
              <w:rPr>
                <w:rFonts w:hint="eastAsia"/>
                <w:lang w:val="en-US" w:eastAsia="zh-CN"/>
              </w:rPr>
            </w:pPr>
            <w:r>
              <w:rPr>
                <w:rFonts w:hint="default"/>
                <w:lang w:val="en-US" w:eastAsia="zh-CN"/>
              </w:rPr>
              <w:t>13</w:t>
            </w:r>
          </w:p>
        </w:tc>
        <w:tc>
          <w:tcPr>
            <w:tcW w:w="173" w:type="pct"/>
            <w:tcBorders>
              <w:tl2br w:val="nil"/>
              <w:tr2bl w:val="nil"/>
            </w:tcBorders>
            <w:shd w:val="clear" w:color="auto" w:fill="FFFFFF"/>
            <w:tcMar>
              <w:top w:w="0" w:type="dxa"/>
              <w:left w:w="0" w:type="dxa"/>
              <w:bottom w:w="0" w:type="dxa"/>
              <w:right w:w="0" w:type="dxa"/>
            </w:tcMar>
            <w:vAlign w:val="center"/>
          </w:tcPr>
          <w:p w14:paraId="2689FAEF">
            <w:pPr>
              <w:pStyle w:val="106"/>
              <w:bidi w:val="0"/>
              <w:jc w:val="center"/>
              <w:rPr>
                <w:rFonts w:hint="eastAsia"/>
                <w:lang w:val="en-US" w:eastAsia="zh-CN"/>
              </w:rPr>
            </w:pPr>
            <w:r>
              <w:rPr>
                <w:rFonts w:hint="default"/>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37F4ABAA">
            <w:pPr>
              <w:pStyle w:val="106"/>
              <w:bidi w:val="0"/>
              <w:jc w:val="center"/>
              <w:rPr>
                <w:rFonts w:hint="eastAsia"/>
                <w:lang w:val="en-US" w:eastAsia="zh-CN"/>
              </w:rPr>
            </w:pPr>
            <w:r>
              <w:rPr>
                <w:rFonts w:hint="default"/>
                <w:lang w:val="en-US" w:eastAsia="zh-CN"/>
              </w:rPr>
              <w:t>37</w:t>
            </w:r>
          </w:p>
        </w:tc>
        <w:tc>
          <w:tcPr>
            <w:tcW w:w="173" w:type="pct"/>
            <w:tcBorders>
              <w:tl2br w:val="nil"/>
              <w:tr2bl w:val="nil"/>
            </w:tcBorders>
            <w:shd w:val="clear" w:color="auto" w:fill="FFFFFF"/>
            <w:tcMar>
              <w:top w:w="0" w:type="dxa"/>
              <w:left w:w="0" w:type="dxa"/>
              <w:bottom w:w="0" w:type="dxa"/>
              <w:right w:w="0" w:type="dxa"/>
            </w:tcMar>
            <w:vAlign w:val="center"/>
          </w:tcPr>
          <w:p w14:paraId="2958B0B4">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71745845">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6637A0E9">
            <w:pPr>
              <w:pStyle w:val="106"/>
              <w:bidi w:val="0"/>
              <w:jc w:val="center"/>
              <w:rPr>
                <w:rFonts w:hint="eastAsia"/>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1240CE71">
            <w:pPr>
              <w:pStyle w:val="106"/>
              <w:bidi w:val="0"/>
              <w:jc w:val="center"/>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0BB68638">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A08C5F9">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F3D3675">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6A60FF2">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222A1CE9">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22B083BE">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59730ACC">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29A762B2">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65DE4DCE">
            <w:pPr>
              <w:pStyle w:val="106"/>
              <w:bidi w:val="0"/>
              <w:jc w:val="center"/>
              <w:rPr>
                <w:rFonts w:hint="eastAsia"/>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315DDA34">
            <w:pPr>
              <w:pStyle w:val="106"/>
              <w:bidi w:val="0"/>
              <w:rPr>
                <w:rFonts w:hint="eastAsia"/>
                <w:lang w:val="en-US" w:eastAsia="zh-CN"/>
              </w:rPr>
            </w:pPr>
            <w:r>
              <w:t>1</w:t>
            </w:r>
          </w:p>
        </w:tc>
      </w:tr>
      <w:tr w14:paraId="278FC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59D9A45F">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16845E17">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F3B89BB">
            <w:pPr>
              <w:pStyle w:val="106"/>
              <w:bidi w:val="0"/>
              <w:rPr>
                <w:rFonts w:hint="default"/>
                <w:lang w:val="en-US" w:eastAsia="zh-CN"/>
              </w:rPr>
            </w:pPr>
            <w:r>
              <w:rPr>
                <w:rFonts w:hint="eastAsia"/>
                <w:lang w:val="en-US" w:eastAsia="zh-CN"/>
              </w:rPr>
              <w:t>贴标机3</w:t>
            </w:r>
          </w:p>
        </w:tc>
        <w:tc>
          <w:tcPr>
            <w:tcW w:w="119" w:type="pct"/>
            <w:tcBorders>
              <w:tl2br w:val="nil"/>
              <w:tr2bl w:val="nil"/>
            </w:tcBorders>
            <w:shd w:val="clear" w:color="auto" w:fill="FFFFFF"/>
            <w:tcMar>
              <w:top w:w="0" w:type="dxa"/>
              <w:left w:w="0" w:type="dxa"/>
              <w:bottom w:w="0" w:type="dxa"/>
              <w:right w:w="0" w:type="dxa"/>
            </w:tcMar>
            <w:vAlign w:val="center"/>
          </w:tcPr>
          <w:p w14:paraId="430FA9F3">
            <w:pPr>
              <w:pStyle w:val="106"/>
              <w:bidi w:val="0"/>
              <w:rPr>
                <w:rFonts w:hint="eastAsia"/>
              </w:rPr>
            </w:pPr>
            <w:r>
              <w:rPr>
                <w:rFonts w:hint="eastAsia"/>
              </w:rPr>
              <w:t>/</w:t>
            </w:r>
          </w:p>
        </w:tc>
        <w:tc>
          <w:tcPr>
            <w:tcW w:w="251" w:type="pct"/>
            <w:tcBorders>
              <w:tl2br w:val="nil"/>
              <w:tr2bl w:val="nil"/>
            </w:tcBorders>
            <w:shd w:val="clear" w:color="auto" w:fill="FFFFFF"/>
            <w:tcMar>
              <w:top w:w="0" w:type="dxa"/>
              <w:left w:w="0" w:type="dxa"/>
              <w:bottom w:w="0" w:type="dxa"/>
              <w:right w:w="0" w:type="dxa"/>
            </w:tcMar>
            <w:vAlign w:val="center"/>
          </w:tcPr>
          <w:p w14:paraId="427BE8AE">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64362AF6">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5DDC3D63">
            <w:pPr>
              <w:pStyle w:val="106"/>
              <w:bidi w:val="0"/>
              <w:rPr>
                <w:rFonts w:hint="default"/>
                <w:lang w:val="en-US" w:eastAsia="zh-CN"/>
              </w:rPr>
            </w:pPr>
            <w:r>
              <w:rPr>
                <w:rFonts w:hint="eastAsia"/>
                <w:lang w:val="en-US" w:eastAsia="zh-CN"/>
              </w:rPr>
              <w:t>-23</w:t>
            </w:r>
          </w:p>
        </w:tc>
        <w:tc>
          <w:tcPr>
            <w:tcW w:w="173" w:type="pct"/>
            <w:tcBorders>
              <w:tl2br w:val="nil"/>
              <w:tr2bl w:val="nil"/>
            </w:tcBorders>
            <w:shd w:val="clear" w:color="auto" w:fill="FFFFFF"/>
            <w:tcMar>
              <w:top w:w="0" w:type="dxa"/>
              <w:left w:w="0" w:type="dxa"/>
              <w:bottom w:w="0" w:type="dxa"/>
              <w:right w:w="0" w:type="dxa"/>
            </w:tcMar>
            <w:vAlign w:val="center"/>
          </w:tcPr>
          <w:p w14:paraId="60F5FD16">
            <w:pPr>
              <w:pStyle w:val="106"/>
              <w:bidi w:val="0"/>
              <w:ind w:firstLine="0" w:firstLineChars="0"/>
              <w:rPr>
                <w:rFonts w:hint="default" w:ascii="Times New Roman" w:hAnsi="Times New Roman" w:eastAsia="宋体" w:cs="Times New Roman"/>
                <w:kern w:val="2"/>
                <w:sz w:val="21"/>
                <w:szCs w:val="21"/>
                <w:lang w:val="en-US" w:eastAsia="zh-CN" w:bidi="ar-SA"/>
              </w:rPr>
            </w:pPr>
            <w:r>
              <w:rPr>
                <w:rFonts w:hint="eastAsia"/>
                <w:lang w:val="en-US" w:eastAsia="zh-CN"/>
              </w:rPr>
              <w:t>-44</w:t>
            </w:r>
          </w:p>
        </w:tc>
        <w:tc>
          <w:tcPr>
            <w:tcW w:w="173" w:type="pct"/>
            <w:tcBorders>
              <w:tl2br w:val="nil"/>
              <w:tr2bl w:val="nil"/>
            </w:tcBorders>
            <w:shd w:val="clear" w:color="auto" w:fill="FFFFFF"/>
            <w:tcMar>
              <w:top w:w="0" w:type="dxa"/>
              <w:left w:w="0" w:type="dxa"/>
              <w:bottom w:w="0" w:type="dxa"/>
              <w:right w:w="0" w:type="dxa"/>
            </w:tcMar>
            <w:vAlign w:val="center"/>
          </w:tcPr>
          <w:p w14:paraId="0733A023">
            <w:pPr>
              <w:pStyle w:val="106"/>
              <w:bidi w:val="0"/>
              <w:rPr>
                <w:rFonts w:hint="eastAsia"/>
                <w:lang w:val="en-US" w:eastAsia="zh-CN"/>
              </w:rPr>
            </w:pPr>
            <w:r>
              <w:rPr>
                <w:rFonts w:hint="eastAsia"/>
                <w:lang w:val="en-US" w:eastAsia="zh-CN"/>
              </w:rPr>
              <w:t>8</w:t>
            </w:r>
          </w:p>
        </w:tc>
        <w:tc>
          <w:tcPr>
            <w:tcW w:w="173" w:type="pct"/>
            <w:tcBorders>
              <w:tl2br w:val="nil"/>
              <w:tr2bl w:val="nil"/>
            </w:tcBorders>
            <w:shd w:val="clear" w:color="auto" w:fill="FFFFFF"/>
            <w:tcMar>
              <w:top w:w="0" w:type="dxa"/>
              <w:left w:w="0" w:type="dxa"/>
              <w:bottom w:w="0" w:type="dxa"/>
              <w:right w:w="0" w:type="dxa"/>
            </w:tcMar>
            <w:vAlign w:val="center"/>
          </w:tcPr>
          <w:p w14:paraId="1ADBFF50">
            <w:pPr>
              <w:pStyle w:val="106"/>
              <w:bidi w:val="0"/>
              <w:jc w:val="center"/>
              <w:rPr>
                <w:rFonts w:hint="eastAsia"/>
                <w:lang w:val="en-US" w:eastAsia="zh-CN"/>
              </w:rPr>
            </w:pPr>
            <w:r>
              <w:rPr>
                <w:rFonts w:hint="default"/>
                <w:lang w:val="en-US" w:eastAsia="zh-CN"/>
              </w:rPr>
              <w:t>86</w:t>
            </w:r>
          </w:p>
        </w:tc>
        <w:tc>
          <w:tcPr>
            <w:tcW w:w="173" w:type="pct"/>
            <w:tcBorders>
              <w:tl2br w:val="nil"/>
              <w:tr2bl w:val="nil"/>
            </w:tcBorders>
            <w:shd w:val="clear" w:color="auto" w:fill="FFFFFF"/>
            <w:tcMar>
              <w:top w:w="0" w:type="dxa"/>
              <w:left w:w="0" w:type="dxa"/>
              <w:bottom w:w="0" w:type="dxa"/>
              <w:right w:w="0" w:type="dxa"/>
            </w:tcMar>
            <w:vAlign w:val="center"/>
          </w:tcPr>
          <w:p w14:paraId="00E44372">
            <w:pPr>
              <w:pStyle w:val="106"/>
              <w:bidi w:val="0"/>
              <w:jc w:val="center"/>
              <w:rPr>
                <w:rFonts w:hint="eastAsia"/>
                <w:lang w:val="en-US" w:eastAsia="zh-CN"/>
              </w:rPr>
            </w:pPr>
            <w:r>
              <w:rPr>
                <w:rFonts w:hint="default"/>
                <w:lang w:val="en-US" w:eastAsia="zh-CN"/>
              </w:rPr>
              <w:t>16</w:t>
            </w:r>
          </w:p>
        </w:tc>
        <w:tc>
          <w:tcPr>
            <w:tcW w:w="173" w:type="pct"/>
            <w:tcBorders>
              <w:tl2br w:val="nil"/>
              <w:tr2bl w:val="nil"/>
            </w:tcBorders>
            <w:shd w:val="clear" w:color="auto" w:fill="FFFFFF"/>
            <w:tcMar>
              <w:top w:w="0" w:type="dxa"/>
              <w:left w:w="0" w:type="dxa"/>
              <w:bottom w:w="0" w:type="dxa"/>
              <w:right w:w="0" w:type="dxa"/>
            </w:tcMar>
            <w:vAlign w:val="center"/>
          </w:tcPr>
          <w:p w14:paraId="5410E13E">
            <w:pPr>
              <w:pStyle w:val="106"/>
              <w:bidi w:val="0"/>
              <w:jc w:val="center"/>
              <w:rPr>
                <w:rFonts w:hint="eastAsia"/>
                <w:lang w:val="en-US" w:eastAsia="zh-CN"/>
              </w:rPr>
            </w:pPr>
            <w:r>
              <w:rPr>
                <w:rFonts w:hint="default"/>
                <w:lang w:val="en-US" w:eastAsia="zh-CN"/>
              </w:rPr>
              <w:t>40</w:t>
            </w:r>
          </w:p>
        </w:tc>
        <w:tc>
          <w:tcPr>
            <w:tcW w:w="173" w:type="pct"/>
            <w:tcBorders>
              <w:tl2br w:val="nil"/>
              <w:tr2bl w:val="nil"/>
            </w:tcBorders>
            <w:shd w:val="clear" w:color="auto" w:fill="FFFFFF"/>
            <w:tcMar>
              <w:top w:w="0" w:type="dxa"/>
              <w:left w:w="0" w:type="dxa"/>
              <w:bottom w:w="0" w:type="dxa"/>
              <w:right w:w="0" w:type="dxa"/>
            </w:tcMar>
            <w:vAlign w:val="center"/>
          </w:tcPr>
          <w:p w14:paraId="39E3B7E9">
            <w:pPr>
              <w:pStyle w:val="106"/>
              <w:bidi w:val="0"/>
              <w:jc w:val="center"/>
              <w:rPr>
                <w:rFonts w:hint="eastAsia"/>
                <w:lang w:val="en-US" w:eastAsia="zh-CN"/>
              </w:rPr>
            </w:pPr>
            <w:r>
              <w:rPr>
                <w:rFonts w:hint="default"/>
                <w:lang w:val="en-US" w:eastAsia="zh-CN"/>
              </w:rPr>
              <w:t>34</w:t>
            </w:r>
          </w:p>
        </w:tc>
        <w:tc>
          <w:tcPr>
            <w:tcW w:w="173" w:type="pct"/>
            <w:tcBorders>
              <w:tl2br w:val="nil"/>
              <w:tr2bl w:val="nil"/>
            </w:tcBorders>
            <w:shd w:val="clear" w:color="auto" w:fill="FFFFFF"/>
            <w:tcMar>
              <w:top w:w="0" w:type="dxa"/>
              <w:left w:w="0" w:type="dxa"/>
              <w:bottom w:w="0" w:type="dxa"/>
              <w:right w:w="0" w:type="dxa"/>
            </w:tcMar>
            <w:vAlign w:val="center"/>
          </w:tcPr>
          <w:p w14:paraId="57FA6109">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084C5BC0">
            <w:pPr>
              <w:pStyle w:val="106"/>
              <w:bidi w:val="0"/>
              <w:jc w:val="center"/>
              <w:rPr>
                <w:rFonts w:hint="eastAsia"/>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35B6A6D6">
            <w:pPr>
              <w:pStyle w:val="106"/>
              <w:bidi w:val="0"/>
              <w:jc w:val="center"/>
              <w:rPr>
                <w:rFonts w:hint="eastAsia"/>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676F4354">
            <w:pPr>
              <w:pStyle w:val="106"/>
              <w:bidi w:val="0"/>
              <w:jc w:val="center"/>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25478688">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43B67A9C">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5E9BC27">
            <w:pPr>
              <w:pStyle w:val="106"/>
              <w:bidi w:val="0"/>
              <w:ind w:firstLine="0" w:firstLineChars="0"/>
              <w:rPr>
                <w:rFonts w:hint="eastAsia"/>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068E24E">
            <w:pPr>
              <w:pStyle w:val="106"/>
              <w:bidi w:val="0"/>
              <w:ind w:firstLine="0" w:firstLineChars="0"/>
              <w:rPr>
                <w:rFonts w:hint="eastAsia"/>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2F97BF15">
            <w:pPr>
              <w:pStyle w:val="106"/>
              <w:bidi w:val="0"/>
              <w:ind w:firstLine="0" w:firstLineChars="0"/>
              <w:rPr>
                <w:rFonts w:hint="eastAsia"/>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519A7F31">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5EB957D">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6BA969AC">
            <w:pPr>
              <w:pStyle w:val="106"/>
              <w:bidi w:val="0"/>
              <w:jc w:val="center"/>
              <w:rPr>
                <w:rFonts w:hint="eastAsia"/>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59B32ABB">
            <w:pPr>
              <w:pStyle w:val="106"/>
              <w:bidi w:val="0"/>
              <w:jc w:val="center"/>
              <w:rPr>
                <w:rFonts w:hint="eastAsia"/>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0F889B0C">
            <w:pPr>
              <w:pStyle w:val="106"/>
              <w:bidi w:val="0"/>
              <w:rPr>
                <w:rFonts w:hint="eastAsia"/>
                <w:lang w:val="en-US" w:eastAsia="zh-CN"/>
              </w:rPr>
            </w:pPr>
            <w:r>
              <w:t>1</w:t>
            </w:r>
          </w:p>
        </w:tc>
      </w:tr>
      <w:tr w14:paraId="58208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0DBFA3FC">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4F111B4E">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CF8C749">
            <w:pPr>
              <w:pStyle w:val="106"/>
              <w:bidi w:val="0"/>
              <w:rPr>
                <w:rFonts w:hint="default"/>
                <w:lang w:val="en-US" w:eastAsia="zh-CN"/>
              </w:rPr>
            </w:pPr>
            <w:r>
              <w:rPr>
                <w:rFonts w:hint="eastAsia"/>
              </w:rPr>
              <w:t>绞肉机</w:t>
            </w:r>
          </w:p>
        </w:tc>
        <w:tc>
          <w:tcPr>
            <w:tcW w:w="119" w:type="pct"/>
            <w:tcBorders>
              <w:tl2br w:val="nil"/>
              <w:tr2bl w:val="nil"/>
            </w:tcBorders>
            <w:shd w:val="clear" w:color="auto" w:fill="FFFFFF"/>
            <w:tcMar>
              <w:top w:w="0" w:type="dxa"/>
              <w:left w:w="0" w:type="dxa"/>
              <w:bottom w:w="0" w:type="dxa"/>
              <w:right w:w="0" w:type="dxa"/>
            </w:tcMar>
            <w:vAlign w:val="center"/>
          </w:tcPr>
          <w:p w14:paraId="65DA96DC">
            <w:pPr>
              <w:pStyle w:val="106"/>
              <w:bidi w:val="0"/>
              <w:rPr>
                <w:rFonts w:hint="eastAsia"/>
                <w:lang w:val="en-US" w:eastAsia="zh-CN"/>
              </w:rPr>
            </w:pPr>
            <w:r>
              <w:rPr>
                <w:rFonts w:hint="eastAsia"/>
              </w:rPr>
              <w:t>/</w:t>
            </w:r>
          </w:p>
        </w:tc>
        <w:tc>
          <w:tcPr>
            <w:tcW w:w="251" w:type="pct"/>
            <w:tcBorders>
              <w:tl2br w:val="nil"/>
              <w:tr2bl w:val="nil"/>
            </w:tcBorders>
            <w:shd w:val="clear" w:color="auto" w:fill="auto"/>
            <w:tcMar>
              <w:top w:w="0" w:type="dxa"/>
              <w:left w:w="0" w:type="dxa"/>
              <w:bottom w:w="0" w:type="dxa"/>
              <w:right w:w="0" w:type="dxa"/>
            </w:tcMar>
            <w:vAlign w:val="center"/>
          </w:tcPr>
          <w:p w14:paraId="1AB78288">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605BFEEE">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66D400CA">
            <w:pPr>
              <w:pStyle w:val="106"/>
              <w:bidi w:val="0"/>
              <w:rPr>
                <w:rFonts w:hint="default"/>
                <w:lang w:val="en-US" w:eastAsia="zh-CN"/>
              </w:rPr>
            </w:pPr>
            <w:r>
              <w:rPr>
                <w:rFonts w:hint="eastAsia"/>
                <w:lang w:val="en-US" w:eastAsia="zh-CN"/>
              </w:rPr>
              <w:t>-54</w:t>
            </w:r>
          </w:p>
        </w:tc>
        <w:tc>
          <w:tcPr>
            <w:tcW w:w="173" w:type="pct"/>
            <w:tcBorders>
              <w:tl2br w:val="nil"/>
              <w:tr2bl w:val="nil"/>
            </w:tcBorders>
            <w:shd w:val="clear" w:color="auto" w:fill="FFFFFF"/>
            <w:tcMar>
              <w:top w:w="0" w:type="dxa"/>
              <w:left w:w="0" w:type="dxa"/>
              <w:bottom w:w="0" w:type="dxa"/>
              <w:right w:w="0" w:type="dxa"/>
            </w:tcMar>
            <w:vAlign w:val="center"/>
          </w:tcPr>
          <w:p w14:paraId="79A2EB0E">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21CEF887">
            <w:pPr>
              <w:pStyle w:val="106"/>
              <w:bidi w:val="0"/>
              <w:rPr>
                <w:rFonts w:hint="eastAsia"/>
                <w:lang w:val="en-US" w:eastAsia="zh-CN"/>
              </w:rPr>
            </w:pPr>
            <w:r>
              <w:rPr>
                <w:rFonts w:hint="eastAsia"/>
                <w:lang w:val="en-US" w:eastAsia="zh-CN"/>
              </w:rPr>
              <w:t>1</w:t>
            </w:r>
          </w:p>
        </w:tc>
        <w:tc>
          <w:tcPr>
            <w:tcW w:w="173" w:type="pct"/>
            <w:tcBorders>
              <w:tl2br w:val="nil"/>
              <w:tr2bl w:val="nil"/>
            </w:tcBorders>
            <w:shd w:val="clear" w:color="auto" w:fill="FFFFFF"/>
            <w:tcMar>
              <w:top w:w="0" w:type="dxa"/>
              <w:left w:w="0" w:type="dxa"/>
              <w:bottom w:w="0" w:type="dxa"/>
              <w:right w:w="0" w:type="dxa"/>
            </w:tcMar>
            <w:vAlign w:val="center"/>
          </w:tcPr>
          <w:p w14:paraId="6C3CC2BD">
            <w:pPr>
              <w:pStyle w:val="106"/>
              <w:bidi w:val="0"/>
              <w:jc w:val="center"/>
              <w:rPr>
                <w:rFonts w:hint="eastAsia"/>
                <w:lang w:val="en-US" w:eastAsia="zh-CN"/>
              </w:rPr>
            </w:pPr>
            <w:r>
              <w:rPr>
                <w:rFonts w:hint="default"/>
                <w:lang w:val="en-US" w:eastAsia="zh-CN"/>
              </w:rPr>
              <w:t>117</w:t>
            </w:r>
          </w:p>
        </w:tc>
        <w:tc>
          <w:tcPr>
            <w:tcW w:w="173" w:type="pct"/>
            <w:tcBorders>
              <w:tl2br w:val="nil"/>
              <w:tr2bl w:val="nil"/>
            </w:tcBorders>
            <w:shd w:val="clear" w:color="auto" w:fill="FFFFFF"/>
            <w:tcMar>
              <w:top w:w="0" w:type="dxa"/>
              <w:left w:w="0" w:type="dxa"/>
              <w:bottom w:w="0" w:type="dxa"/>
              <w:right w:w="0" w:type="dxa"/>
            </w:tcMar>
            <w:vAlign w:val="center"/>
          </w:tcPr>
          <w:p w14:paraId="72D750DA">
            <w:pPr>
              <w:pStyle w:val="106"/>
              <w:bidi w:val="0"/>
              <w:jc w:val="center"/>
              <w:rPr>
                <w:rFonts w:hint="eastAsia"/>
                <w:lang w:val="en-US" w:eastAsia="zh-CN"/>
              </w:rPr>
            </w:pPr>
            <w:r>
              <w:rPr>
                <w:rFonts w:hint="default"/>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353E8D04">
            <w:pPr>
              <w:pStyle w:val="106"/>
              <w:bidi w:val="0"/>
              <w:jc w:val="center"/>
              <w:rPr>
                <w:rFonts w:hint="eastAsia"/>
                <w:lang w:val="en-US" w:eastAsia="zh-CN"/>
              </w:rPr>
            </w:pPr>
            <w:r>
              <w:rPr>
                <w:rFonts w:hint="default"/>
                <w:lang w:val="en-US" w:eastAsia="zh-CN"/>
              </w:rPr>
              <w:t>9</w:t>
            </w:r>
          </w:p>
        </w:tc>
        <w:tc>
          <w:tcPr>
            <w:tcW w:w="173" w:type="pct"/>
            <w:tcBorders>
              <w:tl2br w:val="nil"/>
              <w:tr2bl w:val="nil"/>
            </w:tcBorders>
            <w:shd w:val="clear" w:color="auto" w:fill="FFFFFF"/>
            <w:tcMar>
              <w:top w:w="0" w:type="dxa"/>
              <w:left w:w="0" w:type="dxa"/>
              <w:bottom w:w="0" w:type="dxa"/>
              <w:right w:w="0" w:type="dxa"/>
            </w:tcMar>
            <w:vAlign w:val="center"/>
          </w:tcPr>
          <w:p w14:paraId="40B66CCB">
            <w:pPr>
              <w:pStyle w:val="106"/>
              <w:bidi w:val="0"/>
              <w:jc w:val="center"/>
              <w:rPr>
                <w:rFonts w:hint="eastAsia"/>
                <w:lang w:val="en-US" w:eastAsia="zh-CN"/>
              </w:rPr>
            </w:pPr>
            <w:r>
              <w:rPr>
                <w:rFonts w:hint="default"/>
                <w:lang w:val="en-US" w:eastAsia="zh-CN"/>
              </w:rPr>
              <w:t>15</w:t>
            </w:r>
          </w:p>
        </w:tc>
        <w:tc>
          <w:tcPr>
            <w:tcW w:w="173" w:type="pct"/>
            <w:tcBorders>
              <w:tl2br w:val="nil"/>
              <w:tr2bl w:val="nil"/>
            </w:tcBorders>
            <w:shd w:val="clear" w:color="auto" w:fill="FFFFFF"/>
            <w:tcMar>
              <w:top w:w="0" w:type="dxa"/>
              <w:left w:w="0" w:type="dxa"/>
              <w:bottom w:w="0" w:type="dxa"/>
              <w:right w:w="0" w:type="dxa"/>
            </w:tcMar>
            <w:vAlign w:val="center"/>
          </w:tcPr>
          <w:p w14:paraId="11F5E8E0">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3D1DC447">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60013ED5">
            <w:pPr>
              <w:pStyle w:val="106"/>
              <w:bidi w:val="0"/>
              <w:jc w:val="center"/>
              <w:rPr>
                <w:rFonts w:hint="default"/>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44A8386E">
            <w:pPr>
              <w:pStyle w:val="106"/>
              <w:bidi w:val="0"/>
              <w:jc w:val="center"/>
              <w:rPr>
                <w:rFonts w:hint="default"/>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1BC50980">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DD95168">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A03D1FE">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1CF8B77A">
            <w:pPr>
              <w:pStyle w:val="106"/>
              <w:bidi w:val="0"/>
              <w:ind w:firstLine="0" w:firstLineChars="0"/>
              <w:rPr>
                <w:rFonts w:hint="default"/>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520FF77A">
            <w:pPr>
              <w:pStyle w:val="106"/>
              <w:bidi w:val="0"/>
              <w:ind w:firstLine="0" w:firstLineChars="0"/>
              <w:rPr>
                <w:rFonts w:hint="default"/>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32743878">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1804EE32">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1499CA10">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2C64E556">
            <w:pPr>
              <w:pStyle w:val="106"/>
              <w:bidi w:val="0"/>
              <w:jc w:val="center"/>
              <w:rPr>
                <w:rFonts w:hint="default"/>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782942BB">
            <w:pPr>
              <w:pStyle w:val="106"/>
              <w:bidi w:val="0"/>
              <w:rPr>
                <w:rFonts w:hint="eastAsia"/>
                <w:lang w:val="en-US" w:eastAsia="zh-CN"/>
              </w:rPr>
            </w:pPr>
            <w:r>
              <w:t>1</w:t>
            </w:r>
          </w:p>
        </w:tc>
      </w:tr>
      <w:tr w14:paraId="57E4D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5AED2B49">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5E50C755">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C2AD287">
            <w:pPr>
              <w:pStyle w:val="106"/>
              <w:bidi w:val="0"/>
              <w:rPr>
                <w:rFonts w:hint="default"/>
                <w:lang w:val="en-US" w:eastAsia="zh-CN"/>
              </w:rPr>
            </w:pPr>
            <w:r>
              <w:rPr>
                <w:rFonts w:hint="eastAsia"/>
              </w:rPr>
              <w:t>宰拌机</w:t>
            </w:r>
          </w:p>
        </w:tc>
        <w:tc>
          <w:tcPr>
            <w:tcW w:w="119" w:type="pct"/>
            <w:tcBorders>
              <w:tl2br w:val="nil"/>
              <w:tr2bl w:val="nil"/>
            </w:tcBorders>
            <w:shd w:val="clear" w:color="auto" w:fill="FFFFFF"/>
            <w:tcMar>
              <w:top w:w="0" w:type="dxa"/>
              <w:left w:w="0" w:type="dxa"/>
              <w:bottom w:w="0" w:type="dxa"/>
              <w:right w:w="0" w:type="dxa"/>
            </w:tcMar>
            <w:vAlign w:val="center"/>
          </w:tcPr>
          <w:p w14:paraId="20B170EC">
            <w:pPr>
              <w:pStyle w:val="106"/>
              <w:bidi w:val="0"/>
              <w:rPr>
                <w:rFonts w:hint="default"/>
                <w:lang w:val="en-US" w:eastAsia="zh-CN"/>
              </w:rPr>
            </w:pPr>
            <w:r>
              <w:rPr>
                <w:rFonts w:hint="eastAsia"/>
              </w:rPr>
              <w:t>/</w:t>
            </w:r>
          </w:p>
        </w:tc>
        <w:tc>
          <w:tcPr>
            <w:tcW w:w="251" w:type="pct"/>
            <w:tcBorders>
              <w:tl2br w:val="nil"/>
              <w:tr2bl w:val="nil"/>
            </w:tcBorders>
            <w:shd w:val="clear" w:color="auto" w:fill="auto"/>
            <w:tcMar>
              <w:top w:w="0" w:type="dxa"/>
              <w:left w:w="0" w:type="dxa"/>
              <w:bottom w:w="0" w:type="dxa"/>
              <w:right w:w="0" w:type="dxa"/>
            </w:tcMar>
            <w:vAlign w:val="center"/>
          </w:tcPr>
          <w:p w14:paraId="4A433906">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774B34C7">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76D387AB">
            <w:pPr>
              <w:pStyle w:val="106"/>
              <w:bidi w:val="0"/>
              <w:rPr>
                <w:rFonts w:hint="default"/>
                <w:lang w:val="en-US" w:eastAsia="zh-CN"/>
              </w:rPr>
            </w:pPr>
            <w:r>
              <w:rPr>
                <w:rFonts w:hint="eastAsia"/>
                <w:lang w:val="en-US" w:eastAsia="zh-CN"/>
              </w:rPr>
              <w:t>-54</w:t>
            </w:r>
          </w:p>
        </w:tc>
        <w:tc>
          <w:tcPr>
            <w:tcW w:w="173" w:type="pct"/>
            <w:tcBorders>
              <w:tl2br w:val="nil"/>
              <w:tr2bl w:val="nil"/>
            </w:tcBorders>
            <w:shd w:val="clear" w:color="auto" w:fill="FFFFFF"/>
            <w:tcMar>
              <w:top w:w="0" w:type="dxa"/>
              <w:left w:w="0" w:type="dxa"/>
              <w:bottom w:w="0" w:type="dxa"/>
              <w:right w:w="0" w:type="dxa"/>
            </w:tcMar>
            <w:vAlign w:val="center"/>
          </w:tcPr>
          <w:p w14:paraId="530A2083">
            <w:pPr>
              <w:pStyle w:val="106"/>
              <w:bidi w:val="0"/>
              <w:rPr>
                <w:rFonts w:hint="default"/>
                <w:lang w:val="en-US" w:eastAsia="zh-CN"/>
              </w:rPr>
            </w:pPr>
            <w:r>
              <w:rPr>
                <w:rFonts w:hint="eastAsia"/>
                <w:lang w:val="en-US" w:eastAsia="zh-CN"/>
              </w:rPr>
              <w:t>-28</w:t>
            </w:r>
          </w:p>
        </w:tc>
        <w:tc>
          <w:tcPr>
            <w:tcW w:w="173" w:type="pct"/>
            <w:tcBorders>
              <w:tl2br w:val="nil"/>
              <w:tr2bl w:val="nil"/>
            </w:tcBorders>
            <w:shd w:val="clear" w:color="auto" w:fill="FFFFFF"/>
            <w:tcMar>
              <w:top w:w="0" w:type="dxa"/>
              <w:left w:w="0" w:type="dxa"/>
              <w:bottom w:w="0" w:type="dxa"/>
              <w:right w:w="0" w:type="dxa"/>
            </w:tcMar>
            <w:vAlign w:val="center"/>
          </w:tcPr>
          <w:p w14:paraId="485F5642">
            <w:pPr>
              <w:pStyle w:val="106"/>
              <w:bidi w:val="0"/>
              <w:rPr>
                <w:rFonts w:hint="eastAsia"/>
                <w:lang w:val="en-US" w:eastAsia="zh-CN"/>
              </w:rPr>
            </w:pPr>
            <w:r>
              <w:rPr>
                <w:rFonts w:hint="eastAsia"/>
                <w:lang w:val="en-US" w:eastAsia="zh-CN"/>
              </w:rPr>
              <w:t>1</w:t>
            </w:r>
          </w:p>
        </w:tc>
        <w:tc>
          <w:tcPr>
            <w:tcW w:w="173" w:type="pct"/>
            <w:tcBorders>
              <w:tl2br w:val="nil"/>
              <w:tr2bl w:val="nil"/>
            </w:tcBorders>
            <w:shd w:val="clear" w:color="auto" w:fill="FFFFFF"/>
            <w:tcMar>
              <w:top w:w="0" w:type="dxa"/>
              <w:left w:w="0" w:type="dxa"/>
              <w:bottom w:w="0" w:type="dxa"/>
              <w:right w:w="0" w:type="dxa"/>
            </w:tcMar>
            <w:vAlign w:val="center"/>
          </w:tcPr>
          <w:p w14:paraId="0574D516">
            <w:pPr>
              <w:pStyle w:val="106"/>
              <w:bidi w:val="0"/>
              <w:jc w:val="center"/>
              <w:rPr>
                <w:rFonts w:hint="eastAsia"/>
                <w:lang w:val="en-US" w:eastAsia="zh-CN"/>
              </w:rPr>
            </w:pPr>
            <w:r>
              <w:rPr>
                <w:rFonts w:hint="default"/>
                <w:lang w:val="en-US" w:eastAsia="zh-CN"/>
              </w:rPr>
              <w:t>117</w:t>
            </w:r>
          </w:p>
        </w:tc>
        <w:tc>
          <w:tcPr>
            <w:tcW w:w="173" w:type="pct"/>
            <w:tcBorders>
              <w:tl2br w:val="nil"/>
              <w:tr2bl w:val="nil"/>
            </w:tcBorders>
            <w:shd w:val="clear" w:color="auto" w:fill="FFFFFF"/>
            <w:tcMar>
              <w:top w:w="0" w:type="dxa"/>
              <w:left w:w="0" w:type="dxa"/>
              <w:bottom w:w="0" w:type="dxa"/>
              <w:right w:w="0" w:type="dxa"/>
            </w:tcMar>
            <w:vAlign w:val="center"/>
          </w:tcPr>
          <w:p w14:paraId="62F51EB6">
            <w:pPr>
              <w:pStyle w:val="106"/>
              <w:bidi w:val="0"/>
              <w:jc w:val="center"/>
              <w:rPr>
                <w:rFonts w:hint="eastAsia"/>
                <w:lang w:val="en-US" w:eastAsia="zh-CN"/>
              </w:rPr>
            </w:pPr>
            <w:r>
              <w:rPr>
                <w:rFonts w:hint="default"/>
                <w:lang w:val="en-US" w:eastAsia="zh-CN"/>
              </w:rPr>
              <w:t>32</w:t>
            </w:r>
          </w:p>
        </w:tc>
        <w:tc>
          <w:tcPr>
            <w:tcW w:w="173" w:type="pct"/>
            <w:tcBorders>
              <w:tl2br w:val="nil"/>
              <w:tr2bl w:val="nil"/>
            </w:tcBorders>
            <w:shd w:val="clear" w:color="auto" w:fill="FFFFFF"/>
            <w:tcMar>
              <w:top w:w="0" w:type="dxa"/>
              <w:left w:w="0" w:type="dxa"/>
              <w:bottom w:w="0" w:type="dxa"/>
              <w:right w:w="0" w:type="dxa"/>
            </w:tcMar>
            <w:vAlign w:val="center"/>
          </w:tcPr>
          <w:p w14:paraId="39CA0360">
            <w:pPr>
              <w:pStyle w:val="106"/>
              <w:bidi w:val="0"/>
              <w:jc w:val="center"/>
              <w:rPr>
                <w:rFonts w:hint="default"/>
                <w:lang w:val="en-US" w:eastAsia="zh-CN"/>
              </w:rPr>
            </w:pPr>
            <w:r>
              <w:rPr>
                <w:rFonts w:hint="default"/>
                <w:lang w:val="en-US" w:eastAsia="zh-CN"/>
              </w:rPr>
              <w:t>9</w:t>
            </w:r>
          </w:p>
        </w:tc>
        <w:tc>
          <w:tcPr>
            <w:tcW w:w="173" w:type="pct"/>
            <w:tcBorders>
              <w:tl2br w:val="nil"/>
              <w:tr2bl w:val="nil"/>
            </w:tcBorders>
            <w:shd w:val="clear" w:color="auto" w:fill="FFFFFF"/>
            <w:tcMar>
              <w:top w:w="0" w:type="dxa"/>
              <w:left w:w="0" w:type="dxa"/>
              <w:bottom w:w="0" w:type="dxa"/>
              <w:right w:w="0" w:type="dxa"/>
            </w:tcMar>
            <w:vAlign w:val="center"/>
          </w:tcPr>
          <w:p w14:paraId="2EC5F75A">
            <w:pPr>
              <w:pStyle w:val="106"/>
              <w:bidi w:val="0"/>
              <w:jc w:val="center"/>
              <w:rPr>
                <w:rFonts w:hint="eastAsia"/>
                <w:lang w:val="en-US" w:eastAsia="zh-CN"/>
              </w:rPr>
            </w:pPr>
            <w:r>
              <w:rPr>
                <w:rFonts w:hint="default"/>
                <w:lang w:val="en-US" w:eastAsia="zh-CN"/>
              </w:rPr>
              <w:t>18</w:t>
            </w:r>
          </w:p>
        </w:tc>
        <w:tc>
          <w:tcPr>
            <w:tcW w:w="173" w:type="pct"/>
            <w:tcBorders>
              <w:tl2br w:val="nil"/>
              <w:tr2bl w:val="nil"/>
            </w:tcBorders>
            <w:shd w:val="clear" w:color="auto" w:fill="FFFFFF"/>
            <w:tcMar>
              <w:top w:w="0" w:type="dxa"/>
              <w:left w:w="0" w:type="dxa"/>
              <w:bottom w:w="0" w:type="dxa"/>
              <w:right w:w="0" w:type="dxa"/>
            </w:tcMar>
            <w:vAlign w:val="center"/>
          </w:tcPr>
          <w:p w14:paraId="2DC01C02">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37610212">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139D011F">
            <w:pPr>
              <w:pStyle w:val="106"/>
              <w:bidi w:val="0"/>
              <w:jc w:val="center"/>
              <w:rPr>
                <w:rFonts w:hint="default"/>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6F5933FE">
            <w:pPr>
              <w:pStyle w:val="106"/>
              <w:bidi w:val="0"/>
              <w:jc w:val="center"/>
              <w:rPr>
                <w:rFonts w:hint="default"/>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7762CBC1">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0DA63AF5">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A3C6EC4">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8681B37">
            <w:pPr>
              <w:pStyle w:val="106"/>
              <w:bidi w:val="0"/>
              <w:ind w:firstLine="0" w:firstLineChars="0"/>
              <w:rPr>
                <w:rFonts w:hint="default"/>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68EF4EAF">
            <w:pPr>
              <w:pStyle w:val="106"/>
              <w:bidi w:val="0"/>
              <w:ind w:firstLine="0" w:firstLineChars="0"/>
              <w:rPr>
                <w:rFonts w:hint="default"/>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3C17AC64">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40C7232A">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4102E815">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0B2DB19D">
            <w:pPr>
              <w:pStyle w:val="106"/>
              <w:bidi w:val="0"/>
              <w:jc w:val="center"/>
              <w:rPr>
                <w:rFonts w:hint="default"/>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25574AF8">
            <w:pPr>
              <w:pStyle w:val="106"/>
              <w:bidi w:val="0"/>
              <w:rPr>
                <w:rFonts w:hint="eastAsia"/>
                <w:lang w:val="en-US" w:eastAsia="zh-CN"/>
              </w:rPr>
            </w:pPr>
            <w:r>
              <w:t>1</w:t>
            </w:r>
          </w:p>
        </w:tc>
      </w:tr>
      <w:tr w14:paraId="7BD29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FFFFFF"/>
            <w:tcMar>
              <w:top w:w="0" w:type="dxa"/>
              <w:left w:w="0" w:type="dxa"/>
              <w:bottom w:w="0" w:type="dxa"/>
              <w:right w:w="0" w:type="dxa"/>
            </w:tcMar>
            <w:vAlign w:val="center"/>
          </w:tcPr>
          <w:p w14:paraId="1A31D5AD">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668CD33E">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07B8EB2A">
            <w:pPr>
              <w:pStyle w:val="106"/>
              <w:bidi w:val="0"/>
              <w:rPr>
                <w:rFonts w:hint="default"/>
                <w:lang w:val="en-US" w:eastAsia="zh-CN"/>
              </w:rPr>
            </w:pPr>
            <w:r>
              <w:rPr>
                <w:rFonts w:hint="eastAsia"/>
                <w:lang w:val="en-US" w:eastAsia="zh-CN"/>
              </w:rPr>
              <w:t>真空</w:t>
            </w:r>
            <w:r>
              <w:rPr>
                <w:rFonts w:hint="eastAsia"/>
              </w:rPr>
              <w:t>拌料机</w:t>
            </w:r>
          </w:p>
        </w:tc>
        <w:tc>
          <w:tcPr>
            <w:tcW w:w="119" w:type="pct"/>
            <w:tcBorders>
              <w:tl2br w:val="nil"/>
              <w:tr2bl w:val="nil"/>
            </w:tcBorders>
            <w:shd w:val="clear" w:color="auto" w:fill="FFFFFF"/>
            <w:tcMar>
              <w:top w:w="0" w:type="dxa"/>
              <w:left w:w="0" w:type="dxa"/>
              <w:bottom w:w="0" w:type="dxa"/>
              <w:right w:w="0" w:type="dxa"/>
            </w:tcMar>
            <w:vAlign w:val="center"/>
          </w:tcPr>
          <w:p w14:paraId="09680FED">
            <w:pPr>
              <w:pStyle w:val="106"/>
              <w:bidi w:val="0"/>
              <w:rPr>
                <w:rFonts w:hint="default"/>
                <w:lang w:val="en-US" w:eastAsia="zh-CN"/>
              </w:rPr>
            </w:pPr>
            <w:r>
              <w:rPr>
                <w:rFonts w:hint="eastAsia"/>
              </w:rPr>
              <w:t>/</w:t>
            </w:r>
          </w:p>
        </w:tc>
        <w:tc>
          <w:tcPr>
            <w:tcW w:w="251" w:type="pct"/>
            <w:tcBorders>
              <w:tl2br w:val="nil"/>
              <w:tr2bl w:val="nil"/>
            </w:tcBorders>
            <w:shd w:val="clear" w:color="auto" w:fill="auto"/>
            <w:tcMar>
              <w:top w:w="0" w:type="dxa"/>
              <w:left w:w="0" w:type="dxa"/>
              <w:bottom w:w="0" w:type="dxa"/>
              <w:right w:w="0" w:type="dxa"/>
            </w:tcMar>
            <w:vAlign w:val="center"/>
          </w:tcPr>
          <w:p w14:paraId="3E9606B8">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140E99B1">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48DA0AAE">
            <w:pPr>
              <w:pStyle w:val="106"/>
              <w:bidi w:val="0"/>
              <w:rPr>
                <w:rFonts w:hint="default"/>
                <w:lang w:val="en-US" w:eastAsia="zh-CN"/>
              </w:rPr>
            </w:pPr>
            <w:r>
              <w:rPr>
                <w:rFonts w:hint="eastAsia"/>
                <w:lang w:val="en-US" w:eastAsia="zh-CN"/>
              </w:rPr>
              <w:t>-54</w:t>
            </w:r>
          </w:p>
        </w:tc>
        <w:tc>
          <w:tcPr>
            <w:tcW w:w="173" w:type="pct"/>
            <w:tcBorders>
              <w:tl2br w:val="nil"/>
              <w:tr2bl w:val="nil"/>
            </w:tcBorders>
            <w:shd w:val="clear" w:color="auto" w:fill="FFFFFF"/>
            <w:tcMar>
              <w:top w:w="0" w:type="dxa"/>
              <w:left w:w="0" w:type="dxa"/>
              <w:bottom w:w="0" w:type="dxa"/>
              <w:right w:w="0" w:type="dxa"/>
            </w:tcMar>
            <w:vAlign w:val="center"/>
          </w:tcPr>
          <w:p w14:paraId="647B3F81">
            <w:pPr>
              <w:pStyle w:val="106"/>
              <w:bidi w:val="0"/>
              <w:rPr>
                <w:rFonts w:hint="default"/>
                <w:lang w:val="en-US" w:eastAsia="zh-CN"/>
              </w:rPr>
            </w:pPr>
            <w:r>
              <w:rPr>
                <w:rFonts w:hint="eastAsia"/>
                <w:lang w:val="en-US" w:eastAsia="zh-CN"/>
              </w:rPr>
              <w:t>-31</w:t>
            </w:r>
          </w:p>
        </w:tc>
        <w:tc>
          <w:tcPr>
            <w:tcW w:w="173" w:type="pct"/>
            <w:tcBorders>
              <w:tl2br w:val="nil"/>
              <w:tr2bl w:val="nil"/>
            </w:tcBorders>
            <w:shd w:val="clear" w:color="auto" w:fill="FFFFFF"/>
            <w:tcMar>
              <w:top w:w="0" w:type="dxa"/>
              <w:left w:w="0" w:type="dxa"/>
              <w:bottom w:w="0" w:type="dxa"/>
              <w:right w:w="0" w:type="dxa"/>
            </w:tcMar>
            <w:vAlign w:val="center"/>
          </w:tcPr>
          <w:p w14:paraId="7FD40B5F">
            <w:pPr>
              <w:pStyle w:val="106"/>
              <w:bidi w:val="0"/>
              <w:rPr>
                <w:rFonts w:hint="eastAsia"/>
                <w:lang w:val="en-US" w:eastAsia="zh-CN"/>
              </w:rPr>
            </w:pPr>
            <w:r>
              <w:rPr>
                <w:rFonts w:hint="eastAsia"/>
                <w:lang w:val="en-US" w:eastAsia="zh-CN"/>
              </w:rPr>
              <w:t>1</w:t>
            </w:r>
          </w:p>
        </w:tc>
        <w:tc>
          <w:tcPr>
            <w:tcW w:w="173" w:type="pct"/>
            <w:tcBorders>
              <w:tl2br w:val="nil"/>
              <w:tr2bl w:val="nil"/>
            </w:tcBorders>
            <w:shd w:val="clear" w:color="auto" w:fill="FFFFFF"/>
            <w:tcMar>
              <w:top w:w="0" w:type="dxa"/>
              <w:left w:w="0" w:type="dxa"/>
              <w:bottom w:w="0" w:type="dxa"/>
              <w:right w:w="0" w:type="dxa"/>
            </w:tcMar>
            <w:vAlign w:val="center"/>
          </w:tcPr>
          <w:p w14:paraId="4B24BDD2">
            <w:pPr>
              <w:pStyle w:val="106"/>
              <w:bidi w:val="0"/>
              <w:jc w:val="center"/>
              <w:rPr>
                <w:rFonts w:hint="eastAsia"/>
                <w:lang w:val="en-US" w:eastAsia="zh-CN"/>
              </w:rPr>
            </w:pPr>
            <w:r>
              <w:rPr>
                <w:rFonts w:hint="default"/>
                <w:lang w:val="en-US" w:eastAsia="zh-CN"/>
              </w:rPr>
              <w:t>117</w:t>
            </w:r>
          </w:p>
        </w:tc>
        <w:tc>
          <w:tcPr>
            <w:tcW w:w="173" w:type="pct"/>
            <w:tcBorders>
              <w:tl2br w:val="nil"/>
              <w:tr2bl w:val="nil"/>
            </w:tcBorders>
            <w:shd w:val="clear" w:color="auto" w:fill="FFFFFF"/>
            <w:tcMar>
              <w:top w:w="0" w:type="dxa"/>
              <w:left w:w="0" w:type="dxa"/>
              <w:bottom w:w="0" w:type="dxa"/>
              <w:right w:w="0" w:type="dxa"/>
            </w:tcMar>
            <w:vAlign w:val="center"/>
          </w:tcPr>
          <w:p w14:paraId="10662CDC">
            <w:pPr>
              <w:pStyle w:val="106"/>
              <w:bidi w:val="0"/>
              <w:jc w:val="center"/>
              <w:rPr>
                <w:rFonts w:hint="eastAsia"/>
                <w:lang w:val="en-US" w:eastAsia="zh-CN"/>
              </w:rPr>
            </w:pPr>
            <w:r>
              <w:rPr>
                <w:rFonts w:hint="default"/>
                <w:lang w:val="en-US" w:eastAsia="zh-CN"/>
              </w:rPr>
              <w:t>29</w:t>
            </w:r>
          </w:p>
        </w:tc>
        <w:tc>
          <w:tcPr>
            <w:tcW w:w="173" w:type="pct"/>
            <w:tcBorders>
              <w:tl2br w:val="nil"/>
              <w:tr2bl w:val="nil"/>
            </w:tcBorders>
            <w:shd w:val="clear" w:color="auto" w:fill="FFFFFF"/>
            <w:tcMar>
              <w:top w:w="0" w:type="dxa"/>
              <w:left w:w="0" w:type="dxa"/>
              <w:bottom w:w="0" w:type="dxa"/>
              <w:right w:w="0" w:type="dxa"/>
            </w:tcMar>
            <w:vAlign w:val="center"/>
          </w:tcPr>
          <w:p w14:paraId="7736C12E">
            <w:pPr>
              <w:pStyle w:val="106"/>
              <w:bidi w:val="0"/>
              <w:jc w:val="center"/>
              <w:rPr>
                <w:rFonts w:hint="default"/>
                <w:lang w:val="en-US" w:eastAsia="zh-CN"/>
              </w:rPr>
            </w:pPr>
            <w:r>
              <w:rPr>
                <w:rFonts w:hint="default"/>
                <w:lang w:val="en-US" w:eastAsia="zh-CN"/>
              </w:rPr>
              <w:t>9</w:t>
            </w:r>
          </w:p>
        </w:tc>
        <w:tc>
          <w:tcPr>
            <w:tcW w:w="173" w:type="pct"/>
            <w:tcBorders>
              <w:tl2br w:val="nil"/>
              <w:tr2bl w:val="nil"/>
            </w:tcBorders>
            <w:shd w:val="clear" w:color="auto" w:fill="FFFFFF"/>
            <w:tcMar>
              <w:top w:w="0" w:type="dxa"/>
              <w:left w:w="0" w:type="dxa"/>
              <w:bottom w:w="0" w:type="dxa"/>
              <w:right w:w="0" w:type="dxa"/>
            </w:tcMar>
            <w:vAlign w:val="center"/>
          </w:tcPr>
          <w:p w14:paraId="2A68BE67">
            <w:pPr>
              <w:pStyle w:val="106"/>
              <w:bidi w:val="0"/>
              <w:jc w:val="center"/>
              <w:rPr>
                <w:rFonts w:hint="eastAsia"/>
                <w:lang w:val="en-US" w:eastAsia="zh-CN"/>
              </w:rPr>
            </w:pPr>
            <w:r>
              <w:rPr>
                <w:rFonts w:hint="default"/>
                <w:lang w:val="en-US" w:eastAsia="zh-CN"/>
              </w:rPr>
              <w:t>21</w:t>
            </w:r>
          </w:p>
        </w:tc>
        <w:tc>
          <w:tcPr>
            <w:tcW w:w="173" w:type="pct"/>
            <w:tcBorders>
              <w:tl2br w:val="nil"/>
              <w:tr2bl w:val="nil"/>
            </w:tcBorders>
            <w:shd w:val="clear" w:color="auto" w:fill="FFFFFF"/>
            <w:tcMar>
              <w:top w:w="0" w:type="dxa"/>
              <w:left w:w="0" w:type="dxa"/>
              <w:bottom w:w="0" w:type="dxa"/>
              <w:right w:w="0" w:type="dxa"/>
            </w:tcMar>
            <w:vAlign w:val="center"/>
          </w:tcPr>
          <w:p w14:paraId="69B644DC">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6A138E0E">
            <w:pPr>
              <w:pStyle w:val="106"/>
              <w:bidi w:val="0"/>
              <w:jc w:val="center"/>
              <w:rPr>
                <w:rFonts w:hint="default"/>
                <w:lang w:val="en-US" w:eastAsia="zh-CN"/>
              </w:rPr>
            </w:pPr>
            <w:r>
              <w:rPr>
                <w:rFonts w:hint="eastAsia"/>
                <w:lang w:val="en-US" w:eastAsia="zh-CN"/>
              </w:rPr>
              <w:t>45.7</w:t>
            </w:r>
          </w:p>
        </w:tc>
        <w:tc>
          <w:tcPr>
            <w:tcW w:w="173" w:type="pct"/>
            <w:tcBorders>
              <w:tl2br w:val="nil"/>
              <w:tr2bl w:val="nil"/>
            </w:tcBorders>
            <w:shd w:val="clear" w:color="auto" w:fill="FFFFFF"/>
            <w:tcMar>
              <w:top w:w="0" w:type="dxa"/>
              <w:left w:w="0" w:type="dxa"/>
              <w:bottom w:w="0" w:type="dxa"/>
              <w:right w:w="0" w:type="dxa"/>
            </w:tcMar>
            <w:vAlign w:val="center"/>
          </w:tcPr>
          <w:p w14:paraId="3CA23AE2">
            <w:pPr>
              <w:pStyle w:val="106"/>
              <w:bidi w:val="0"/>
              <w:jc w:val="center"/>
              <w:rPr>
                <w:rFonts w:hint="default"/>
                <w:lang w:val="en-US" w:eastAsia="zh-CN"/>
              </w:rPr>
            </w:pPr>
            <w:r>
              <w:rPr>
                <w:rFonts w:hint="eastAsia"/>
                <w:lang w:val="en-US" w:eastAsia="zh-CN"/>
              </w:rPr>
              <w:t>45.7</w:t>
            </w:r>
          </w:p>
        </w:tc>
        <w:tc>
          <w:tcPr>
            <w:tcW w:w="177" w:type="pct"/>
            <w:tcBorders>
              <w:tl2br w:val="nil"/>
              <w:tr2bl w:val="nil"/>
            </w:tcBorders>
            <w:shd w:val="clear" w:color="auto" w:fill="FFFFFF"/>
            <w:tcMar>
              <w:top w:w="0" w:type="dxa"/>
              <w:left w:w="0" w:type="dxa"/>
              <w:bottom w:w="0" w:type="dxa"/>
              <w:right w:w="0" w:type="dxa"/>
            </w:tcMar>
            <w:vAlign w:val="center"/>
          </w:tcPr>
          <w:p w14:paraId="7BC5CD2A">
            <w:pPr>
              <w:pStyle w:val="106"/>
              <w:bidi w:val="0"/>
              <w:jc w:val="center"/>
              <w:rPr>
                <w:rFonts w:hint="default"/>
                <w:lang w:val="en-US" w:eastAsia="zh-CN"/>
              </w:rPr>
            </w:pPr>
            <w:r>
              <w:rPr>
                <w:rFonts w:hint="eastAsia"/>
                <w:lang w:val="en-US" w:eastAsia="zh-CN"/>
              </w:rPr>
              <w:t>45.7</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7A9F3382">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556C8DFB">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AE55E58">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18F017B">
            <w:pPr>
              <w:pStyle w:val="106"/>
              <w:bidi w:val="0"/>
              <w:ind w:firstLine="0" w:firstLineChars="0"/>
              <w:rPr>
                <w:rFonts w:hint="default"/>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23BF8A8A">
            <w:pPr>
              <w:pStyle w:val="106"/>
              <w:bidi w:val="0"/>
              <w:ind w:firstLine="0" w:firstLineChars="0"/>
              <w:rPr>
                <w:rFonts w:hint="default"/>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425B9BED">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15682DE4">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1622B2DD">
            <w:pPr>
              <w:pStyle w:val="106"/>
              <w:bidi w:val="0"/>
              <w:jc w:val="center"/>
              <w:rPr>
                <w:rFonts w:hint="default"/>
                <w:lang w:val="en-US" w:eastAsia="zh-CN"/>
              </w:rPr>
            </w:pPr>
            <w:r>
              <w:rPr>
                <w:rFonts w:hint="eastAsia"/>
                <w:lang w:val="en-US" w:eastAsia="zh-CN"/>
              </w:rPr>
              <w:t>19.7</w:t>
            </w:r>
          </w:p>
        </w:tc>
        <w:tc>
          <w:tcPr>
            <w:tcW w:w="176" w:type="pct"/>
            <w:tcBorders>
              <w:tl2br w:val="nil"/>
              <w:tr2bl w:val="nil"/>
            </w:tcBorders>
            <w:shd w:val="clear" w:color="auto" w:fill="FFFFFF"/>
            <w:tcMar>
              <w:top w:w="0" w:type="dxa"/>
              <w:left w:w="0" w:type="dxa"/>
              <w:bottom w:w="0" w:type="dxa"/>
              <w:right w:w="0" w:type="dxa"/>
            </w:tcMar>
            <w:vAlign w:val="center"/>
          </w:tcPr>
          <w:p w14:paraId="780E970E">
            <w:pPr>
              <w:pStyle w:val="106"/>
              <w:bidi w:val="0"/>
              <w:jc w:val="center"/>
              <w:rPr>
                <w:rFonts w:hint="default"/>
                <w:lang w:val="en-US" w:eastAsia="zh-CN"/>
              </w:rPr>
            </w:pPr>
            <w:r>
              <w:rPr>
                <w:rFonts w:hint="eastAsia"/>
                <w:lang w:val="en-US" w:eastAsia="zh-CN"/>
              </w:rPr>
              <w:t>19.7</w:t>
            </w:r>
          </w:p>
        </w:tc>
        <w:tc>
          <w:tcPr>
            <w:tcW w:w="258" w:type="pct"/>
            <w:tcBorders>
              <w:tl2br w:val="nil"/>
              <w:tr2bl w:val="nil"/>
            </w:tcBorders>
            <w:shd w:val="clear" w:color="auto" w:fill="FFFFFF"/>
            <w:tcMar>
              <w:top w:w="0" w:type="dxa"/>
              <w:left w:w="0" w:type="dxa"/>
              <w:bottom w:w="0" w:type="dxa"/>
              <w:right w:w="0" w:type="dxa"/>
            </w:tcMar>
            <w:vAlign w:val="center"/>
          </w:tcPr>
          <w:p w14:paraId="54082C68">
            <w:pPr>
              <w:pStyle w:val="106"/>
              <w:bidi w:val="0"/>
              <w:rPr>
                <w:rFonts w:hint="eastAsia"/>
                <w:lang w:val="en-US" w:eastAsia="zh-CN"/>
              </w:rPr>
            </w:pPr>
            <w:r>
              <w:t>1</w:t>
            </w:r>
          </w:p>
        </w:tc>
      </w:tr>
      <w:tr w14:paraId="26A56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0B226629">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724C5C6E">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9538BCF">
            <w:pPr>
              <w:pStyle w:val="106"/>
              <w:bidi w:val="0"/>
              <w:rPr>
                <w:rFonts w:hint="default"/>
                <w:lang w:val="en-US" w:eastAsia="zh-CN"/>
              </w:rPr>
            </w:pPr>
            <w:r>
              <w:rPr>
                <w:rFonts w:hint="eastAsia"/>
              </w:rPr>
              <w:t>磁力洗罐机</w:t>
            </w:r>
          </w:p>
        </w:tc>
        <w:tc>
          <w:tcPr>
            <w:tcW w:w="119" w:type="pct"/>
            <w:tcBorders>
              <w:tl2br w:val="nil"/>
              <w:tr2bl w:val="nil"/>
            </w:tcBorders>
            <w:shd w:val="clear" w:color="auto" w:fill="FFFFFF"/>
            <w:tcMar>
              <w:top w:w="0" w:type="dxa"/>
              <w:left w:w="0" w:type="dxa"/>
              <w:bottom w:w="0" w:type="dxa"/>
              <w:right w:w="0" w:type="dxa"/>
            </w:tcMar>
            <w:vAlign w:val="center"/>
          </w:tcPr>
          <w:p w14:paraId="67D9743C">
            <w:pPr>
              <w:pStyle w:val="106"/>
              <w:bidi w:val="0"/>
              <w:rPr>
                <w:rFonts w:hint="default"/>
                <w:lang w:val="en-US" w:eastAsia="zh-CN"/>
              </w:rPr>
            </w:pPr>
            <w:r>
              <w:rPr>
                <w:rFonts w:hint="eastAsia"/>
              </w:rPr>
              <w:t>/</w:t>
            </w:r>
          </w:p>
        </w:tc>
        <w:tc>
          <w:tcPr>
            <w:tcW w:w="251" w:type="pct"/>
            <w:tcBorders>
              <w:tl2br w:val="nil"/>
              <w:tr2bl w:val="nil"/>
            </w:tcBorders>
            <w:shd w:val="clear" w:color="auto" w:fill="auto"/>
            <w:tcMar>
              <w:top w:w="0" w:type="dxa"/>
              <w:left w:w="0" w:type="dxa"/>
              <w:bottom w:w="0" w:type="dxa"/>
              <w:right w:w="0" w:type="dxa"/>
            </w:tcMar>
            <w:vAlign w:val="center"/>
          </w:tcPr>
          <w:p w14:paraId="70DBB82C">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208F1AB8">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515BF026">
            <w:pPr>
              <w:pStyle w:val="106"/>
              <w:bidi w:val="0"/>
              <w:rPr>
                <w:rFonts w:hint="default"/>
                <w:lang w:val="en-US" w:eastAsia="zh-CN"/>
              </w:rPr>
            </w:pPr>
            <w:r>
              <w:rPr>
                <w:rFonts w:hint="eastAsia"/>
                <w:lang w:val="en-US" w:eastAsia="zh-CN"/>
              </w:rPr>
              <w:t>22</w:t>
            </w:r>
          </w:p>
        </w:tc>
        <w:tc>
          <w:tcPr>
            <w:tcW w:w="173" w:type="pct"/>
            <w:tcBorders>
              <w:tl2br w:val="nil"/>
              <w:tr2bl w:val="nil"/>
            </w:tcBorders>
            <w:shd w:val="clear" w:color="auto" w:fill="FFFFFF"/>
            <w:tcMar>
              <w:top w:w="0" w:type="dxa"/>
              <w:left w:w="0" w:type="dxa"/>
              <w:bottom w:w="0" w:type="dxa"/>
              <w:right w:w="0" w:type="dxa"/>
            </w:tcMar>
            <w:vAlign w:val="center"/>
          </w:tcPr>
          <w:p w14:paraId="05EA74AC">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111773D8">
            <w:pPr>
              <w:pStyle w:val="106"/>
              <w:bidi w:val="0"/>
              <w:rPr>
                <w:rFonts w:hint="eastAsia"/>
                <w:lang w:val="en-US" w:eastAsia="zh-CN"/>
              </w:rPr>
            </w:pPr>
            <w:r>
              <w:rPr>
                <w:rFonts w:hint="eastAsia"/>
                <w:lang w:val="en-US" w:eastAsia="zh-CN"/>
              </w:rPr>
              <w:t>1</w:t>
            </w:r>
          </w:p>
        </w:tc>
        <w:tc>
          <w:tcPr>
            <w:tcW w:w="173" w:type="pct"/>
            <w:tcBorders>
              <w:tl2br w:val="nil"/>
              <w:tr2bl w:val="nil"/>
            </w:tcBorders>
            <w:shd w:val="clear" w:color="auto" w:fill="FFFFFF"/>
            <w:tcMar>
              <w:top w:w="0" w:type="dxa"/>
              <w:left w:w="0" w:type="dxa"/>
              <w:bottom w:w="0" w:type="dxa"/>
              <w:right w:w="0" w:type="dxa"/>
            </w:tcMar>
            <w:vAlign w:val="center"/>
          </w:tcPr>
          <w:p w14:paraId="0DD6E65F">
            <w:pPr>
              <w:pStyle w:val="106"/>
              <w:bidi w:val="0"/>
              <w:jc w:val="center"/>
              <w:rPr>
                <w:rFonts w:hint="eastAsia"/>
                <w:lang w:val="en-US" w:eastAsia="zh-CN"/>
              </w:rPr>
            </w:pPr>
            <w:r>
              <w:rPr>
                <w:rFonts w:hint="default"/>
                <w:lang w:val="en-US" w:eastAsia="zh-CN"/>
              </w:rPr>
              <w:t>41</w:t>
            </w:r>
          </w:p>
        </w:tc>
        <w:tc>
          <w:tcPr>
            <w:tcW w:w="173" w:type="pct"/>
            <w:tcBorders>
              <w:tl2br w:val="nil"/>
              <w:tr2bl w:val="nil"/>
            </w:tcBorders>
            <w:shd w:val="clear" w:color="auto" w:fill="FFFFFF"/>
            <w:tcMar>
              <w:top w:w="0" w:type="dxa"/>
              <w:left w:w="0" w:type="dxa"/>
              <w:bottom w:w="0" w:type="dxa"/>
              <w:right w:w="0" w:type="dxa"/>
            </w:tcMar>
            <w:vAlign w:val="center"/>
          </w:tcPr>
          <w:p w14:paraId="1EC06A21">
            <w:pPr>
              <w:pStyle w:val="106"/>
              <w:bidi w:val="0"/>
              <w:jc w:val="center"/>
              <w:rPr>
                <w:rFonts w:hint="eastAsia"/>
                <w:lang w:val="en-US" w:eastAsia="zh-CN"/>
              </w:rPr>
            </w:pPr>
            <w:r>
              <w:rPr>
                <w:rFonts w:hint="default"/>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16CE8D5D">
            <w:pPr>
              <w:pStyle w:val="106"/>
              <w:bidi w:val="0"/>
              <w:jc w:val="center"/>
              <w:rPr>
                <w:rFonts w:hint="default"/>
                <w:lang w:val="en-US" w:eastAsia="zh-CN"/>
              </w:rPr>
            </w:pPr>
            <w:r>
              <w:rPr>
                <w:rFonts w:hint="default"/>
                <w:lang w:val="en-US" w:eastAsia="zh-CN"/>
              </w:rPr>
              <w:t>85</w:t>
            </w:r>
          </w:p>
        </w:tc>
        <w:tc>
          <w:tcPr>
            <w:tcW w:w="173" w:type="pct"/>
            <w:tcBorders>
              <w:tl2br w:val="nil"/>
              <w:tr2bl w:val="nil"/>
            </w:tcBorders>
            <w:shd w:val="clear" w:color="auto" w:fill="FFFFFF"/>
            <w:tcMar>
              <w:top w:w="0" w:type="dxa"/>
              <w:left w:w="0" w:type="dxa"/>
              <w:bottom w:w="0" w:type="dxa"/>
              <w:right w:w="0" w:type="dxa"/>
            </w:tcMar>
            <w:vAlign w:val="center"/>
          </w:tcPr>
          <w:p w14:paraId="69D10304">
            <w:pPr>
              <w:pStyle w:val="106"/>
              <w:bidi w:val="0"/>
              <w:jc w:val="center"/>
              <w:rPr>
                <w:rFonts w:hint="eastAsia"/>
                <w:lang w:val="en-US" w:eastAsia="zh-CN"/>
              </w:rPr>
            </w:pPr>
            <w:r>
              <w:rPr>
                <w:rFonts w:hint="default"/>
                <w:lang w:val="en-US" w:eastAsia="zh-CN"/>
              </w:rPr>
              <w:t>15</w:t>
            </w:r>
          </w:p>
        </w:tc>
        <w:tc>
          <w:tcPr>
            <w:tcW w:w="173" w:type="pct"/>
            <w:tcBorders>
              <w:tl2br w:val="nil"/>
              <w:tr2bl w:val="nil"/>
            </w:tcBorders>
            <w:shd w:val="clear" w:color="auto" w:fill="FFFFFF"/>
            <w:tcMar>
              <w:top w:w="0" w:type="dxa"/>
              <w:left w:w="0" w:type="dxa"/>
              <w:bottom w:w="0" w:type="dxa"/>
              <w:right w:w="0" w:type="dxa"/>
            </w:tcMar>
            <w:vAlign w:val="center"/>
          </w:tcPr>
          <w:p w14:paraId="2994AC6B">
            <w:pPr>
              <w:pStyle w:val="106"/>
              <w:bidi w:val="0"/>
              <w:jc w:val="center"/>
              <w:rPr>
                <w:rFonts w:hint="default"/>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3098F473">
            <w:pPr>
              <w:pStyle w:val="106"/>
              <w:bidi w:val="0"/>
              <w:jc w:val="center"/>
              <w:rPr>
                <w:rFonts w:hint="default"/>
                <w:lang w:val="en-US" w:eastAsia="zh-CN"/>
              </w:rPr>
            </w:pPr>
            <w:r>
              <w:rPr>
                <w:rFonts w:hint="eastAsia"/>
                <w:lang w:val="en-US" w:eastAsia="zh-CN"/>
              </w:rPr>
              <w:t>45.8</w:t>
            </w:r>
          </w:p>
        </w:tc>
        <w:tc>
          <w:tcPr>
            <w:tcW w:w="173" w:type="pct"/>
            <w:tcBorders>
              <w:tl2br w:val="nil"/>
              <w:tr2bl w:val="nil"/>
            </w:tcBorders>
            <w:shd w:val="clear" w:color="auto" w:fill="FFFFFF"/>
            <w:tcMar>
              <w:top w:w="0" w:type="dxa"/>
              <w:left w:w="0" w:type="dxa"/>
              <w:bottom w:w="0" w:type="dxa"/>
              <w:right w:w="0" w:type="dxa"/>
            </w:tcMar>
            <w:vAlign w:val="center"/>
          </w:tcPr>
          <w:p w14:paraId="47880BBB">
            <w:pPr>
              <w:pStyle w:val="106"/>
              <w:bidi w:val="0"/>
              <w:jc w:val="center"/>
              <w:rPr>
                <w:rFonts w:hint="default"/>
                <w:lang w:val="en-US" w:eastAsia="zh-CN"/>
              </w:rPr>
            </w:pPr>
            <w:r>
              <w:rPr>
                <w:rFonts w:hint="eastAsia"/>
                <w:lang w:val="en-US" w:eastAsia="zh-CN"/>
              </w:rPr>
              <w:t>45.8</w:t>
            </w:r>
          </w:p>
        </w:tc>
        <w:tc>
          <w:tcPr>
            <w:tcW w:w="177" w:type="pct"/>
            <w:tcBorders>
              <w:tl2br w:val="nil"/>
              <w:tr2bl w:val="nil"/>
            </w:tcBorders>
            <w:shd w:val="clear" w:color="auto" w:fill="FFFFFF"/>
            <w:tcMar>
              <w:top w:w="0" w:type="dxa"/>
              <w:left w:w="0" w:type="dxa"/>
              <w:bottom w:w="0" w:type="dxa"/>
              <w:right w:w="0" w:type="dxa"/>
            </w:tcMar>
            <w:vAlign w:val="center"/>
          </w:tcPr>
          <w:p w14:paraId="0BD0DA61">
            <w:pPr>
              <w:pStyle w:val="106"/>
              <w:bidi w:val="0"/>
              <w:jc w:val="center"/>
              <w:rPr>
                <w:rFonts w:hint="default"/>
                <w:lang w:val="en-US" w:eastAsia="zh-CN"/>
              </w:rPr>
            </w:pPr>
            <w:r>
              <w:rPr>
                <w:rFonts w:hint="eastAsia"/>
                <w:lang w:val="en-US" w:eastAsia="zh-CN"/>
              </w:rPr>
              <w:t>45.8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7F7F4C98">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1598790">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6A9BF3D9">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E66317D">
            <w:pPr>
              <w:pStyle w:val="106"/>
              <w:bidi w:val="0"/>
              <w:ind w:firstLine="0" w:firstLineChars="0"/>
              <w:rPr>
                <w:rFonts w:hint="default"/>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2A3DB425">
            <w:pPr>
              <w:pStyle w:val="106"/>
              <w:bidi w:val="0"/>
              <w:ind w:firstLine="0" w:firstLineChars="0"/>
              <w:rPr>
                <w:rFonts w:hint="default"/>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785ABD77">
            <w:pPr>
              <w:pStyle w:val="106"/>
              <w:bidi w:val="0"/>
              <w:jc w:val="center"/>
              <w:rPr>
                <w:rFonts w:hint="default"/>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673FE3EB">
            <w:pPr>
              <w:pStyle w:val="106"/>
              <w:bidi w:val="0"/>
              <w:jc w:val="center"/>
              <w:rPr>
                <w:rFonts w:hint="default"/>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67AE74B2">
            <w:pPr>
              <w:pStyle w:val="106"/>
              <w:bidi w:val="0"/>
              <w:jc w:val="center"/>
              <w:rPr>
                <w:rFonts w:hint="default"/>
                <w:lang w:val="en-US" w:eastAsia="zh-CN"/>
              </w:rPr>
            </w:pPr>
            <w:r>
              <w:rPr>
                <w:rFonts w:hint="eastAsia"/>
                <w:lang w:val="en-US" w:eastAsia="zh-CN"/>
              </w:rPr>
              <w:t>19.8</w:t>
            </w:r>
          </w:p>
        </w:tc>
        <w:tc>
          <w:tcPr>
            <w:tcW w:w="176" w:type="pct"/>
            <w:tcBorders>
              <w:tl2br w:val="nil"/>
              <w:tr2bl w:val="nil"/>
            </w:tcBorders>
            <w:shd w:val="clear" w:color="auto" w:fill="FFFFFF"/>
            <w:tcMar>
              <w:top w:w="0" w:type="dxa"/>
              <w:left w:w="0" w:type="dxa"/>
              <w:bottom w:w="0" w:type="dxa"/>
              <w:right w:w="0" w:type="dxa"/>
            </w:tcMar>
            <w:vAlign w:val="center"/>
          </w:tcPr>
          <w:p w14:paraId="07B91ADC">
            <w:pPr>
              <w:pStyle w:val="106"/>
              <w:bidi w:val="0"/>
              <w:jc w:val="center"/>
              <w:rPr>
                <w:rFonts w:hint="default"/>
                <w:lang w:val="en-US" w:eastAsia="zh-CN"/>
              </w:rPr>
            </w:pPr>
            <w:r>
              <w:rPr>
                <w:rFonts w:hint="eastAsia"/>
                <w:lang w:val="en-US" w:eastAsia="zh-CN"/>
              </w:rPr>
              <w:t>19.8</w:t>
            </w:r>
          </w:p>
        </w:tc>
        <w:tc>
          <w:tcPr>
            <w:tcW w:w="258" w:type="pct"/>
            <w:tcBorders>
              <w:tl2br w:val="nil"/>
              <w:tr2bl w:val="nil"/>
            </w:tcBorders>
            <w:shd w:val="clear" w:color="auto" w:fill="FFFFFF"/>
            <w:tcMar>
              <w:top w:w="0" w:type="dxa"/>
              <w:left w:w="0" w:type="dxa"/>
              <w:bottom w:w="0" w:type="dxa"/>
              <w:right w:w="0" w:type="dxa"/>
            </w:tcMar>
            <w:vAlign w:val="center"/>
          </w:tcPr>
          <w:p w14:paraId="71448889">
            <w:pPr>
              <w:pStyle w:val="106"/>
              <w:bidi w:val="0"/>
              <w:rPr>
                <w:rFonts w:hint="eastAsia"/>
                <w:lang w:val="en-US" w:eastAsia="zh-CN"/>
              </w:rPr>
            </w:pPr>
            <w:r>
              <w:t>1</w:t>
            </w:r>
          </w:p>
        </w:tc>
      </w:tr>
      <w:tr w14:paraId="31E33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tcMar>
              <w:top w:w="0" w:type="dxa"/>
              <w:left w:w="0" w:type="dxa"/>
              <w:bottom w:w="0" w:type="dxa"/>
              <w:right w:w="0" w:type="dxa"/>
            </w:tcMar>
            <w:vAlign w:val="center"/>
          </w:tcPr>
          <w:p w14:paraId="3F68CC83">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Mar>
              <w:top w:w="0" w:type="dxa"/>
              <w:left w:w="0" w:type="dxa"/>
              <w:bottom w:w="0" w:type="dxa"/>
              <w:right w:w="0" w:type="dxa"/>
            </w:tcMar>
            <w:vAlign w:val="center"/>
          </w:tcPr>
          <w:p w14:paraId="6FFF4C56">
            <w:pPr>
              <w:pStyle w:val="106"/>
              <w:bidi w:val="0"/>
              <w:rPr>
                <w:rFonts w:hint="eastAsia"/>
                <w:lang w:val="en-US" w:eastAsia="zh-CN"/>
              </w:rPr>
            </w:pPr>
          </w:p>
        </w:tc>
        <w:tc>
          <w:tcPr>
            <w:tcW w:w="490" w:type="pct"/>
            <w:tcBorders>
              <w:tl2br w:val="nil"/>
              <w:tr2bl w:val="nil"/>
            </w:tcBorders>
            <w:shd w:val="clear" w:color="auto" w:fill="auto"/>
            <w:tcMar>
              <w:top w:w="0" w:type="dxa"/>
              <w:left w:w="0" w:type="dxa"/>
              <w:bottom w:w="0" w:type="dxa"/>
              <w:right w:w="0" w:type="dxa"/>
            </w:tcMar>
            <w:vAlign w:val="center"/>
          </w:tcPr>
          <w:p w14:paraId="35214AF7">
            <w:pPr>
              <w:pStyle w:val="106"/>
              <w:bidi w:val="0"/>
              <w:rPr>
                <w:rFonts w:hint="default"/>
                <w:lang w:val="en-US" w:eastAsia="zh-CN"/>
              </w:rPr>
            </w:pPr>
            <w:r>
              <w:rPr>
                <w:rFonts w:hint="eastAsia"/>
              </w:rPr>
              <w:t>沥水吹干机</w:t>
            </w:r>
          </w:p>
        </w:tc>
        <w:tc>
          <w:tcPr>
            <w:tcW w:w="119" w:type="pct"/>
            <w:tcBorders>
              <w:tl2br w:val="nil"/>
              <w:tr2bl w:val="nil"/>
            </w:tcBorders>
            <w:shd w:val="clear" w:color="auto" w:fill="FFFFFF"/>
            <w:tcMar>
              <w:top w:w="0" w:type="dxa"/>
              <w:left w:w="0" w:type="dxa"/>
              <w:bottom w:w="0" w:type="dxa"/>
              <w:right w:w="0" w:type="dxa"/>
            </w:tcMar>
            <w:vAlign w:val="top"/>
          </w:tcPr>
          <w:p w14:paraId="1070AC2C">
            <w:pPr>
              <w:pStyle w:val="106"/>
              <w:bidi w:val="0"/>
              <w:rPr>
                <w:rFonts w:hint="default"/>
                <w:lang w:val="en-US" w:eastAsia="zh-CN"/>
              </w:rPr>
            </w:pPr>
            <w:r>
              <w:rPr>
                <w:rFonts w:hint="eastAsia"/>
              </w:rPr>
              <w:t>/</w:t>
            </w:r>
          </w:p>
        </w:tc>
        <w:tc>
          <w:tcPr>
            <w:tcW w:w="251" w:type="pct"/>
            <w:tcBorders>
              <w:tl2br w:val="nil"/>
              <w:tr2bl w:val="nil"/>
            </w:tcBorders>
            <w:shd w:val="clear" w:color="auto" w:fill="auto"/>
            <w:tcMar>
              <w:top w:w="0" w:type="dxa"/>
              <w:left w:w="0" w:type="dxa"/>
              <w:bottom w:w="0" w:type="dxa"/>
              <w:right w:w="0" w:type="dxa"/>
            </w:tcMar>
            <w:vAlign w:val="center"/>
          </w:tcPr>
          <w:p w14:paraId="34574D75">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Mar>
              <w:top w:w="0" w:type="dxa"/>
              <w:left w:w="0" w:type="dxa"/>
              <w:bottom w:w="0" w:type="dxa"/>
              <w:right w:w="0" w:type="dxa"/>
            </w:tcMar>
            <w:vAlign w:val="center"/>
          </w:tcPr>
          <w:p w14:paraId="656DCF43">
            <w:pPr>
              <w:pStyle w:val="106"/>
              <w:bidi w:val="0"/>
              <w:rPr>
                <w:rFonts w:hint="eastAsia"/>
              </w:rPr>
            </w:pPr>
          </w:p>
        </w:tc>
        <w:tc>
          <w:tcPr>
            <w:tcW w:w="173" w:type="pct"/>
            <w:tcBorders>
              <w:tl2br w:val="nil"/>
              <w:tr2bl w:val="nil"/>
            </w:tcBorders>
            <w:shd w:val="clear" w:color="auto" w:fill="FFFFFF"/>
            <w:tcMar>
              <w:top w:w="0" w:type="dxa"/>
              <w:left w:w="0" w:type="dxa"/>
              <w:bottom w:w="0" w:type="dxa"/>
              <w:right w:w="0" w:type="dxa"/>
            </w:tcMar>
            <w:vAlign w:val="center"/>
          </w:tcPr>
          <w:p w14:paraId="5ACCD525">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69D9A8AE">
            <w:pPr>
              <w:pStyle w:val="106"/>
              <w:bidi w:val="0"/>
              <w:rPr>
                <w:rFonts w:hint="default"/>
                <w:lang w:val="en-US" w:eastAsia="zh-CN"/>
              </w:rPr>
            </w:pPr>
            <w:r>
              <w:rPr>
                <w:rFonts w:hint="eastAsia"/>
                <w:lang w:val="en-US" w:eastAsia="zh-CN"/>
              </w:rPr>
              <w:t>-25</w:t>
            </w:r>
          </w:p>
        </w:tc>
        <w:tc>
          <w:tcPr>
            <w:tcW w:w="173" w:type="pct"/>
            <w:tcBorders>
              <w:tl2br w:val="nil"/>
              <w:tr2bl w:val="nil"/>
            </w:tcBorders>
            <w:shd w:val="clear" w:color="auto" w:fill="FFFFFF"/>
            <w:tcMar>
              <w:top w:w="0" w:type="dxa"/>
              <w:left w:w="0" w:type="dxa"/>
              <w:bottom w:w="0" w:type="dxa"/>
              <w:right w:w="0" w:type="dxa"/>
            </w:tcMar>
            <w:vAlign w:val="center"/>
          </w:tcPr>
          <w:p w14:paraId="18C2B5F1">
            <w:pPr>
              <w:pStyle w:val="106"/>
              <w:bidi w:val="0"/>
              <w:rPr>
                <w:rFonts w:hint="eastAsia"/>
                <w:lang w:val="en-US" w:eastAsia="zh-CN"/>
              </w:rPr>
            </w:pPr>
            <w:r>
              <w:rPr>
                <w:rFonts w:hint="eastAsia"/>
                <w:lang w:val="en-US" w:eastAsia="zh-CN"/>
              </w:rPr>
              <w:t>1</w:t>
            </w:r>
          </w:p>
        </w:tc>
        <w:tc>
          <w:tcPr>
            <w:tcW w:w="173" w:type="pct"/>
            <w:tcBorders>
              <w:tl2br w:val="nil"/>
              <w:tr2bl w:val="nil"/>
            </w:tcBorders>
            <w:shd w:val="clear" w:color="auto" w:fill="FFFFFF"/>
            <w:tcMar>
              <w:top w:w="0" w:type="dxa"/>
              <w:left w:w="0" w:type="dxa"/>
              <w:bottom w:w="0" w:type="dxa"/>
              <w:right w:w="0" w:type="dxa"/>
            </w:tcMar>
            <w:vAlign w:val="center"/>
          </w:tcPr>
          <w:p w14:paraId="531B5738">
            <w:pPr>
              <w:pStyle w:val="106"/>
              <w:bidi w:val="0"/>
              <w:jc w:val="center"/>
              <w:rPr>
                <w:rFonts w:hint="eastAsia"/>
                <w:lang w:val="en-US" w:eastAsia="zh-CN"/>
              </w:rPr>
            </w:pPr>
            <w:r>
              <w:rPr>
                <w:rFonts w:hint="default"/>
                <w:lang w:val="en-US" w:eastAsia="zh-CN"/>
              </w:rPr>
              <w:t>38</w:t>
            </w:r>
          </w:p>
        </w:tc>
        <w:tc>
          <w:tcPr>
            <w:tcW w:w="173" w:type="pct"/>
            <w:tcBorders>
              <w:tl2br w:val="nil"/>
              <w:tr2bl w:val="nil"/>
            </w:tcBorders>
            <w:shd w:val="clear" w:color="auto" w:fill="FFFFFF"/>
            <w:tcMar>
              <w:top w:w="0" w:type="dxa"/>
              <w:left w:w="0" w:type="dxa"/>
              <w:bottom w:w="0" w:type="dxa"/>
              <w:right w:w="0" w:type="dxa"/>
            </w:tcMar>
            <w:vAlign w:val="center"/>
          </w:tcPr>
          <w:p w14:paraId="6DA5FB02">
            <w:pPr>
              <w:pStyle w:val="106"/>
              <w:bidi w:val="0"/>
              <w:jc w:val="center"/>
              <w:rPr>
                <w:rFonts w:hint="eastAsia"/>
                <w:lang w:val="en-US" w:eastAsia="zh-CN"/>
              </w:rPr>
            </w:pPr>
            <w:r>
              <w:rPr>
                <w:rFonts w:hint="default"/>
                <w:lang w:val="en-US" w:eastAsia="zh-CN"/>
              </w:rPr>
              <w:t>35</w:t>
            </w:r>
          </w:p>
        </w:tc>
        <w:tc>
          <w:tcPr>
            <w:tcW w:w="173" w:type="pct"/>
            <w:tcBorders>
              <w:tl2br w:val="nil"/>
              <w:tr2bl w:val="nil"/>
            </w:tcBorders>
            <w:shd w:val="clear" w:color="auto" w:fill="FFFFFF"/>
            <w:tcMar>
              <w:top w:w="0" w:type="dxa"/>
              <w:left w:w="0" w:type="dxa"/>
              <w:bottom w:w="0" w:type="dxa"/>
              <w:right w:w="0" w:type="dxa"/>
            </w:tcMar>
            <w:vAlign w:val="center"/>
          </w:tcPr>
          <w:p w14:paraId="5DDCC826">
            <w:pPr>
              <w:pStyle w:val="106"/>
              <w:bidi w:val="0"/>
              <w:jc w:val="center"/>
              <w:rPr>
                <w:rFonts w:hint="default"/>
                <w:lang w:val="en-US" w:eastAsia="zh-CN"/>
              </w:rPr>
            </w:pPr>
            <w:r>
              <w:rPr>
                <w:rFonts w:hint="default"/>
                <w:lang w:val="en-US" w:eastAsia="zh-CN"/>
              </w:rPr>
              <w:t>88</w:t>
            </w:r>
          </w:p>
        </w:tc>
        <w:tc>
          <w:tcPr>
            <w:tcW w:w="173" w:type="pct"/>
            <w:tcBorders>
              <w:tl2br w:val="nil"/>
              <w:tr2bl w:val="nil"/>
            </w:tcBorders>
            <w:shd w:val="clear" w:color="auto" w:fill="FFFFFF"/>
            <w:tcMar>
              <w:top w:w="0" w:type="dxa"/>
              <w:left w:w="0" w:type="dxa"/>
              <w:bottom w:w="0" w:type="dxa"/>
              <w:right w:w="0" w:type="dxa"/>
            </w:tcMar>
            <w:vAlign w:val="center"/>
          </w:tcPr>
          <w:p w14:paraId="208D6ABE">
            <w:pPr>
              <w:pStyle w:val="106"/>
              <w:bidi w:val="0"/>
              <w:jc w:val="center"/>
              <w:rPr>
                <w:rFonts w:hint="eastAsia"/>
                <w:lang w:val="en-US" w:eastAsia="zh-CN"/>
              </w:rPr>
            </w:pPr>
            <w:r>
              <w:rPr>
                <w:rFonts w:hint="default"/>
                <w:lang w:val="en-US" w:eastAsia="zh-CN"/>
              </w:rPr>
              <w:t>15</w:t>
            </w:r>
          </w:p>
        </w:tc>
        <w:tc>
          <w:tcPr>
            <w:tcW w:w="173" w:type="pct"/>
            <w:tcBorders>
              <w:tl2br w:val="nil"/>
              <w:tr2bl w:val="nil"/>
            </w:tcBorders>
            <w:shd w:val="clear" w:color="auto" w:fill="FFFFFF"/>
            <w:tcMar>
              <w:top w:w="0" w:type="dxa"/>
              <w:left w:w="0" w:type="dxa"/>
              <w:bottom w:w="0" w:type="dxa"/>
              <w:right w:w="0" w:type="dxa"/>
            </w:tcMar>
            <w:vAlign w:val="center"/>
          </w:tcPr>
          <w:p w14:paraId="0800651D">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2AD199EB">
            <w:pPr>
              <w:pStyle w:val="106"/>
              <w:bidi w:val="0"/>
              <w:jc w:val="center"/>
              <w:rPr>
                <w:rFonts w:hint="default"/>
                <w:lang w:val="en-US" w:eastAsia="zh-CN"/>
              </w:rPr>
            </w:pPr>
            <w:r>
              <w:rPr>
                <w:rFonts w:hint="eastAsia"/>
                <w:lang w:val="en-US" w:eastAsia="zh-CN"/>
              </w:rPr>
              <w:t>55.8</w:t>
            </w:r>
          </w:p>
        </w:tc>
        <w:tc>
          <w:tcPr>
            <w:tcW w:w="173" w:type="pct"/>
            <w:tcBorders>
              <w:tl2br w:val="nil"/>
              <w:tr2bl w:val="nil"/>
            </w:tcBorders>
            <w:shd w:val="clear" w:color="auto" w:fill="FFFFFF"/>
            <w:tcMar>
              <w:top w:w="0" w:type="dxa"/>
              <w:left w:w="0" w:type="dxa"/>
              <w:bottom w:w="0" w:type="dxa"/>
              <w:right w:w="0" w:type="dxa"/>
            </w:tcMar>
            <w:vAlign w:val="center"/>
          </w:tcPr>
          <w:p w14:paraId="6230ED76">
            <w:pPr>
              <w:pStyle w:val="106"/>
              <w:bidi w:val="0"/>
              <w:jc w:val="center"/>
              <w:rPr>
                <w:rFonts w:hint="default"/>
                <w:lang w:val="en-US" w:eastAsia="zh-CN"/>
              </w:rPr>
            </w:pPr>
            <w:r>
              <w:rPr>
                <w:rFonts w:hint="eastAsia"/>
                <w:lang w:val="en-US" w:eastAsia="zh-CN"/>
              </w:rPr>
              <w:t>55.8</w:t>
            </w:r>
          </w:p>
        </w:tc>
        <w:tc>
          <w:tcPr>
            <w:tcW w:w="177" w:type="pct"/>
            <w:tcBorders>
              <w:tl2br w:val="nil"/>
              <w:tr2bl w:val="nil"/>
            </w:tcBorders>
            <w:shd w:val="clear" w:color="auto" w:fill="FFFFFF"/>
            <w:tcMar>
              <w:top w:w="0" w:type="dxa"/>
              <w:left w:w="0" w:type="dxa"/>
              <w:bottom w:w="0" w:type="dxa"/>
              <w:right w:w="0" w:type="dxa"/>
            </w:tcMar>
            <w:vAlign w:val="center"/>
          </w:tcPr>
          <w:p w14:paraId="0616ACB4">
            <w:pPr>
              <w:pStyle w:val="106"/>
              <w:bidi w:val="0"/>
              <w:jc w:val="center"/>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Mar>
              <w:top w:w="0" w:type="dxa"/>
              <w:left w:w="0" w:type="dxa"/>
              <w:bottom w:w="0" w:type="dxa"/>
              <w:right w:w="0" w:type="dxa"/>
            </w:tcMar>
            <w:vAlign w:val="center"/>
          </w:tcPr>
          <w:p w14:paraId="54222C9E">
            <w:pPr>
              <w:pStyle w:val="106"/>
              <w:bidi w:val="0"/>
              <w:rPr>
                <w:rFonts w:hint="eastAsia"/>
                <w:lang w:val="en-US" w:eastAsia="zh-CN"/>
              </w:rPr>
            </w:pPr>
          </w:p>
        </w:tc>
        <w:tc>
          <w:tcPr>
            <w:tcW w:w="165" w:type="pct"/>
            <w:tcBorders>
              <w:tl2br w:val="nil"/>
              <w:tr2bl w:val="nil"/>
            </w:tcBorders>
            <w:shd w:val="clear" w:color="auto" w:fill="FFFFFF"/>
            <w:tcMar>
              <w:top w:w="0" w:type="dxa"/>
              <w:left w:w="0" w:type="dxa"/>
              <w:bottom w:w="0" w:type="dxa"/>
              <w:right w:w="0" w:type="dxa"/>
            </w:tcMar>
            <w:vAlign w:val="center"/>
          </w:tcPr>
          <w:p w14:paraId="3460FAC1">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7B851A28">
            <w:pPr>
              <w:pStyle w:val="106"/>
              <w:bidi w:val="0"/>
              <w:ind w:firstLine="0" w:firstLineChars="0"/>
              <w:rPr>
                <w:rFonts w:hint="default"/>
                <w:lang w:val="en-US" w:eastAsia="zh-CN"/>
              </w:rPr>
            </w:pPr>
            <w:r>
              <w:rPr>
                <w:rFonts w:hint="eastAsia"/>
                <w:lang w:val="en-US" w:eastAsia="zh-CN"/>
              </w:rPr>
              <w:t>26.0</w:t>
            </w:r>
          </w:p>
        </w:tc>
        <w:tc>
          <w:tcPr>
            <w:tcW w:w="165" w:type="pct"/>
            <w:tcBorders>
              <w:tl2br w:val="nil"/>
              <w:tr2bl w:val="nil"/>
            </w:tcBorders>
            <w:shd w:val="clear" w:color="auto" w:fill="FFFFFF"/>
            <w:tcMar>
              <w:top w:w="0" w:type="dxa"/>
              <w:left w:w="0" w:type="dxa"/>
              <w:bottom w:w="0" w:type="dxa"/>
              <w:right w:w="0" w:type="dxa"/>
            </w:tcMar>
            <w:vAlign w:val="center"/>
          </w:tcPr>
          <w:p w14:paraId="395513E8">
            <w:pPr>
              <w:pStyle w:val="106"/>
              <w:bidi w:val="0"/>
              <w:ind w:firstLine="0" w:firstLineChars="0"/>
              <w:rPr>
                <w:rFonts w:hint="default"/>
                <w:lang w:val="en-US" w:eastAsia="zh-CN"/>
              </w:rPr>
            </w:pPr>
            <w:r>
              <w:rPr>
                <w:rFonts w:hint="eastAsia"/>
                <w:lang w:val="en-US" w:eastAsia="zh-CN"/>
              </w:rPr>
              <w:t>26.0</w:t>
            </w:r>
          </w:p>
        </w:tc>
        <w:tc>
          <w:tcPr>
            <w:tcW w:w="169" w:type="pct"/>
            <w:tcBorders>
              <w:tl2br w:val="nil"/>
              <w:tr2bl w:val="nil"/>
            </w:tcBorders>
            <w:shd w:val="clear" w:color="auto" w:fill="FFFFFF"/>
            <w:tcMar>
              <w:top w:w="0" w:type="dxa"/>
              <w:left w:w="0" w:type="dxa"/>
              <w:bottom w:w="0" w:type="dxa"/>
              <w:right w:w="0" w:type="dxa"/>
            </w:tcMar>
            <w:vAlign w:val="center"/>
          </w:tcPr>
          <w:p w14:paraId="63AD1A10">
            <w:pPr>
              <w:pStyle w:val="106"/>
              <w:bidi w:val="0"/>
              <w:ind w:firstLine="0" w:firstLineChars="0"/>
              <w:rPr>
                <w:rFonts w:hint="default"/>
                <w:lang w:val="en-US" w:eastAsia="zh-CN"/>
              </w:rPr>
            </w:pPr>
            <w:r>
              <w:rPr>
                <w:rFonts w:hint="eastAsia"/>
                <w:lang w:val="en-US" w:eastAsia="zh-CN"/>
              </w:rPr>
              <w:t>26.0</w:t>
            </w:r>
          </w:p>
        </w:tc>
        <w:tc>
          <w:tcPr>
            <w:tcW w:w="176" w:type="pct"/>
            <w:tcBorders>
              <w:tl2br w:val="nil"/>
              <w:tr2bl w:val="nil"/>
            </w:tcBorders>
            <w:shd w:val="clear" w:color="auto" w:fill="FFFFFF"/>
            <w:tcMar>
              <w:top w:w="0" w:type="dxa"/>
              <w:left w:w="0" w:type="dxa"/>
              <w:bottom w:w="0" w:type="dxa"/>
              <w:right w:w="0" w:type="dxa"/>
            </w:tcMar>
            <w:vAlign w:val="center"/>
          </w:tcPr>
          <w:p w14:paraId="7293F703">
            <w:pPr>
              <w:pStyle w:val="106"/>
              <w:bidi w:val="0"/>
              <w:jc w:val="center"/>
              <w:rPr>
                <w:rFonts w:hint="default"/>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43B432AF">
            <w:pPr>
              <w:pStyle w:val="106"/>
              <w:bidi w:val="0"/>
              <w:jc w:val="center"/>
              <w:rPr>
                <w:rFonts w:hint="default"/>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68133981">
            <w:pPr>
              <w:pStyle w:val="106"/>
              <w:bidi w:val="0"/>
              <w:jc w:val="center"/>
              <w:rPr>
                <w:rFonts w:hint="default"/>
                <w:lang w:val="en-US" w:eastAsia="zh-CN"/>
              </w:rPr>
            </w:pPr>
            <w:r>
              <w:rPr>
                <w:rFonts w:hint="eastAsia"/>
                <w:lang w:val="en-US" w:eastAsia="zh-CN"/>
              </w:rPr>
              <w:t>29.8</w:t>
            </w:r>
          </w:p>
        </w:tc>
        <w:tc>
          <w:tcPr>
            <w:tcW w:w="176" w:type="pct"/>
            <w:tcBorders>
              <w:tl2br w:val="nil"/>
              <w:tr2bl w:val="nil"/>
            </w:tcBorders>
            <w:shd w:val="clear" w:color="auto" w:fill="FFFFFF"/>
            <w:tcMar>
              <w:top w:w="0" w:type="dxa"/>
              <w:left w:w="0" w:type="dxa"/>
              <w:bottom w:w="0" w:type="dxa"/>
              <w:right w:w="0" w:type="dxa"/>
            </w:tcMar>
            <w:vAlign w:val="center"/>
          </w:tcPr>
          <w:p w14:paraId="7ACDF8D6">
            <w:pPr>
              <w:pStyle w:val="106"/>
              <w:bidi w:val="0"/>
              <w:jc w:val="center"/>
              <w:rPr>
                <w:rFonts w:hint="default"/>
                <w:lang w:val="en-US" w:eastAsia="zh-CN"/>
              </w:rPr>
            </w:pPr>
            <w:r>
              <w:rPr>
                <w:rFonts w:hint="eastAsia"/>
                <w:lang w:val="en-US" w:eastAsia="zh-CN"/>
              </w:rPr>
              <w:t>29.8</w:t>
            </w:r>
          </w:p>
        </w:tc>
        <w:tc>
          <w:tcPr>
            <w:tcW w:w="258" w:type="pct"/>
            <w:tcBorders>
              <w:tl2br w:val="nil"/>
              <w:tr2bl w:val="nil"/>
            </w:tcBorders>
            <w:shd w:val="clear" w:color="auto" w:fill="FFFFFF"/>
            <w:tcMar>
              <w:top w:w="0" w:type="dxa"/>
              <w:left w:w="0" w:type="dxa"/>
              <w:bottom w:w="0" w:type="dxa"/>
              <w:right w:w="0" w:type="dxa"/>
            </w:tcMar>
            <w:vAlign w:val="center"/>
          </w:tcPr>
          <w:p w14:paraId="0B5C2F8E">
            <w:pPr>
              <w:pStyle w:val="106"/>
              <w:bidi w:val="0"/>
              <w:rPr>
                <w:rFonts w:hint="default"/>
                <w:lang w:val="en-US" w:eastAsia="zh-CN"/>
              </w:rPr>
            </w:pPr>
            <w:r>
              <w:t>1</w:t>
            </w:r>
          </w:p>
        </w:tc>
      </w:tr>
      <w:tr w14:paraId="7DCB1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4687AB65">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49EC200B">
            <w:pPr>
              <w:pStyle w:val="106"/>
              <w:bidi w:val="0"/>
              <w:rPr>
                <w:rFonts w:hint="eastAsia"/>
                <w:lang w:val="en-US" w:eastAsia="zh-CN"/>
              </w:rPr>
            </w:pPr>
          </w:p>
        </w:tc>
        <w:tc>
          <w:tcPr>
            <w:tcW w:w="490" w:type="pct"/>
            <w:tcBorders>
              <w:tl2br w:val="nil"/>
              <w:tr2bl w:val="nil"/>
            </w:tcBorders>
            <w:shd w:val="clear" w:color="auto" w:fill="auto"/>
            <w:vAlign w:val="center"/>
          </w:tcPr>
          <w:p w14:paraId="0C879CC4">
            <w:pPr>
              <w:pStyle w:val="106"/>
              <w:bidi w:val="0"/>
              <w:rPr>
                <w:rFonts w:hint="default"/>
                <w:lang w:val="en-US" w:eastAsia="zh-CN"/>
              </w:rPr>
            </w:pPr>
            <w:r>
              <w:rPr>
                <w:rFonts w:hint="eastAsia"/>
              </w:rPr>
              <w:t>提升定量灌装机</w:t>
            </w:r>
          </w:p>
        </w:tc>
        <w:tc>
          <w:tcPr>
            <w:tcW w:w="119" w:type="pct"/>
            <w:tcBorders>
              <w:tl2br w:val="nil"/>
              <w:tr2bl w:val="nil"/>
            </w:tcBorders>
            <w:shd w:val="clear" w:color="auto" w:fill="FFFFFF"/>
            <w:vAlign w:val="top"/>
          </w:tcPr>
          <w:p w14:paraId="3417C152">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1EFD4826">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Pr>
          <w:p w14:paraId="30289ED7">
            <w:pPr>
              <w:pStyle w:val="106"/>
              <w:bidi w:val="0"/>
              <w:rPr>
                <w:rFonts w:hint="eastAsia"/>
              </w:rPr>
            </w:pPr>
          </w:p>
        </w:tc>
        <w:tc>
          <w:tcPr>
            <w:tcW w:w="173" w:type="pct"/>
            <w:tcBorders>
              <w:tl2br w:val="nil"/>
              <w:tr2bl w:val="nil"/>
            </w:tcBorders>
            <w:shd w:val="clear" w:color="auto" w:fill="FFFFFF"/>
            <w:vAlign w:val="center"/>
          </w:tcPr>
          <w:p w14:paraId="3973319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-35</w:t>
            </w:r>
          </w:p>
        </w:tc>
        <w:tc>
          <w:tcPr>
            <w:tcW w:w="173" w:type="pct"/>
            <w:tcBorders>
              <w:tl2br w:val="nil"/>
              <w:tr2bl w:val="nil"/>
            </w:tcBorders>
            <w:shd w:val="clear" w:color="auto" w:fill="FFFFFF"/>
            <w:vAlign w:val="center"/>
          </w:tcPr>
          <w:p w14:paraId="39A8BD5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73" w:type="pct"/>
            <w:tcBorders>
              <w:tl2br w:val="nil"/>
              <w:tr2bl w:val="nil"/>
            </w:tcBorders>
            <w:shd w:val="clear" w:color="auto" w:fill="FFFFFF"/>
            <w:vAlign w:val="center"/>
          </w:tcPr>
          <w:p w14:paraId="7A48156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17B8B368">
            <w:pPr>
              <w:pStyle w:val="106"/>
              <w:bidi w:val="0"/>
              <w:jc w:val="center"/>
              <w:rPr>
                <w:rFonts w:hint="eastAsia"/>
                <w:lang w:val="en-US" w:eastAsia="zh-CN"/>
              </w:rPr>
            </w:pPr>
            <w:r>
              <w:rPr>
                <w:rFonts w:hint="default"/>
                <w:lang w:val="en-US" w:eastAsia="zh-CN"/>
              </w:rPr>
              <w:t>98</w:t>
            </w:r>
          </w:p>
        </w:tc>
        <w:tc>
          <w:tcPr>
            <w:tcW w:w="173" w:type="pct"/>
            <w:tcBorders>
              <w:tl2br w:val="nil"/>
              <w:tr2bl w:val="nil"/>
            </w:tcBorders>
            <w:shd w:val="clear" w:color="auto" w:fill="FFFFFF"/>
            <w:vAlign w:val="center"/>
          </w:tcPr>
          <w:p w14:paraId="43D9DD1A">
            <w:pPr>
              <w:pStyle w:val="106"/>
              <w:bidi w:val="0"/>
              <w:jc w:val="center"/>
              <w:rPr>
                <w:rFonts w:hint="eastAsia"/>
                <w:lang w:val="en-US" w:eastAsia="zh-CN"/>
              </w:rPr>
            </w:pPr>
            <w:r>
              <w:rPr>
                <w:rFonts w:hint="default"/>
                <w:lang w:val="en-US" w:eastAsia="zh-CN"/>
              </w:rPr>
              <w:t>35</w:t>
            </w:r>
          </w:p>
        </w:tc>
        <w:tc>
          <w:tcPr>
            <w:tcW w:w="173" w:type="pct"/>
            <w:tcBorders>
              <w:tl2br w:val="nil"/>
              <w:tr2bl w:val="nil"/>
            </w:tcBorders>
            <w:shd w:val="clear" w:color="auto" w:fill="FFFFFF"/>
            <w:vAlign w:val="center"/>
          </w:tcPr>
          <w:p w14:paraId="65C0DB89">
            <w:pPr>
              <w:pStyle w:val="106"/>
              <w:bidi w:val="0"/>
              <w:jc w:val="center"/>
              <w:rPr>
                <w:rFonts w:hint="default"/>
                <w:lang w:val="en-US" w:eastAsia="zh-CN"/>
              </w:rPr>
            </w:pPr>
            <w:r>
              <w:rPr>
                <w:rFonts w:hint="default"/>
                <w:lang w:val="en-US" w:eastAsia="zh-CN"/>
              </w:rPr>
              <w:t>28</w:t>
            </w:r>
          </w:p>
        </w:tc>
        <w:tc>
          <w:tcPr>
            <w:tcW w:w="173" w:type="pct"/>
            <w:tcBorders>
              <w:tl2br w:val="nil"/>
              <w:tr2bl w:val="nil"/>
            </w:tcBorders>
            <w:shd w:val="clear" w:color="auto" w:fill="FFFFFF"/>
            <w:vAlign w:val="center"/>
          </w:tcPr>
          <w:p w14:paraId="4B053189">
            <w:pPr>
              <w:pStyle w:val="106"/>
              <w:bidi w:val="0"/>
              <w:jc w:val="center"/>
              <w:rPr>
                <w:rFonts w:hint="eastAsia"/>
                <w:lang w:val="en-US" w:eastAsia="zh-CN"/>
              </w:rPr>
            </w:pPr>
            <w:r>
              <w:rPr>
                <w:rFonts w:hint="default"/>
                <w:lang w:val="en-US" w:eastAsia="zh-CN"/>
              </w:rPr>
              <w:t>15</w:t>
            </w:r>
          </w:p>
        </w:tc>
        <w:tc>
          <w:tcPr>
            <w:tcW w:w="173" w:type="pct"/>
            <w:tcBorders>
              <w:tl2br w:val="nil"/>
              <w:tr2bl w:val="nil"/>
            </w:tcBorders>
            <w:shd w:val="clear" w:color="auto" w:fill="FFFFFF"/>
            <w:vAlign w:val="center"/>
          </w:tcPr>
          <w:p w14:paraId="38538B6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45.7</w:t>
            </w:r>
          </w:p>
        </w:tc>
        <w:tc>
          <w:tcPr>
            <w:tcW w:w="173" w:type="pct"/>
            <w:tcBorders>
              <w:tl2br w:val="nil"/>
              <w:tr2bl w:val="nil"/>
            </w:tcBorders>
            <w:shd w:val="clear" w:color="auto" w:fill="FFFFFF"/>
            <w:vAlign w:val="center"/>
          </w:tcPr>
          <w:p w14:paraId="569E54B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45.7</w:t>
            </w:r>
          </w:p>
        </w:tc>
        <w:tc>
          <w:tcPr>
            <w:tcW w:w="173" w:type="pct"/>
            <w:tcBorders>
              <w:tl2br w:val="nil"/>
              <w:tr2bl w:val="nil"/>
            </w:tcBorders>
            <w:shd w:val="clear" w:color="auto" w:fill="FFFFFF"/>
            <w:vAlign w:val="center"/>
          </w:tcPr>
          <w:p w14:paraId="38D6AAF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45.7</w:t>
            </w:r>
          </w:p>
        </w:tc>
        <w:tc>
          <w:tcPr>
            <w:tcW w:w="177" w:type="pct"/>
            <w:tcBorders>
              <w:tl2br w:val="nil"/>
              <w:tr2bl w:val="nil"/>
            </w:tcBorders>
            <w:shd w:val="clear" w:color="auto" w:fill="FFFFFF"/>
            <w:vAlign w:val="center"/>
          </w:tcPr>
          <w:p w14:paraId="6DF7700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45.7</w:t>
            </w:r>
          </w:p>
        </w:tc>
        <w:tc>
          <w:tcPr>
            <w:tcW w:w="159" w:type="pct"/>
            <w:vMerge w:val="continue"/>
            <w:tcBorders>
              <w:tl2br w:val="nil"/>
              <w:tr2bl w:val="nil"/>
            </w:tcBorders>
            <w:shd w:val="clear" w:color="auto" w:fill="FFFFFF"/>
          </w:tcPr>
          <w:p w14:paraId="041FE55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56F2C19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69DE2B6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30B8AEA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28C3733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2CF703A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19.7</w:t>
            </w:r>
          </w:p>
        </w:tc>
        <w:tc>
          <w:tcPr>
            <w:tcW w:w="176" w:type="pct"/>
            <w:tcBorders>
              <w:tl2br w:val="nil"/>
              <w:tr2bl w:val="nil"/>
            </w:tcBorders>
            <w:shd w:val="clear" w:color="auto" w:fill="FFFFFF"/>
            <w:vAlign w:val="center"/>
          </w:tcPr>
          <w:p w14:paraId="0836D16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19.7</w:t>
            </w:r>
          </w:p>
        </w:tc>
        <w:tc>
          <w:tcPr>
            <w:tcW w:w="176" w:type="pct"/>
            <w:tcBorders>
              <w:tl2br w:val="nil"/>
              <w:tr2bl w:val="nil"/>
            </w:tcBorders>
            <w:shd w:val="clear" w:color="auto" w:fill="FFFFFF"/>
            <w:vAlign w:val="center"/>
          </w:tcPr>
          <w:p w14:paraId="33FE807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19.7</w:t>
            </w:r>
          </w:p>
        </w:tc>
        <w:tc>
          <w:tcPr>
            <w:tcW w:w="176" w:type="pct"/>
            <w:tcBorders>
              <w:tl2br w:val="nil"/>
              <w:tr2bl w:val="nil"/>
            </w:tcBorders>
            <w:shd w:val="clear" w:color="auto" w:fill="FFFFFF"/>
            <w:vAlign w:val="center"/>
          </w:tcPr>
          <w:p w14:paraId="1B69B1D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19.7</w:t>
            </w:r>
          </w:p>
        </w:tc>
        <w:tc>
          <w:tcPr>
            <w:tcW w:w="0" w:type="auto"/>
            <w:tcBorders>
              <w:tl2br w:val="nil"/>
              <w:tr2bl w:val="nil"/>
            </w:tcBorders>
            <w:shd w:val="clear" w:color="auto" w:fill="FFFFFF"/>
            <w:vAlign w:val="center"/>
          </w:tcPr>
          <w:p w14:paraId="00F1484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6B9E7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2CE49CFF">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6513F795">
            <w:pPr>
              <w:pStyle w:val="106"/>
              <w:bidi w:val="0"/>
              <w:rPr>
                <w:rFonts w:hint="eastAsia"/>
                <w:lang w:val="en-US" w:eastAsia="zh-CN"/>
              </w:rPr>
            </w:pPr>
          </w:p>
        </w:tc>
        <w:tc>
          <w:tcPr>
            <w:tcW w:w="490" w:type="pct"/>
            <w:tcBorders>
              <w:tl2br w:val="nil"/>
              <w:tr2bl w:val="nil"/>
            </w:tcBorders>
            <w:shd w:val="clear" w:color="auto" w:fill="auto"/>
            <w:vAlign w:val="center"/>
          </w:tcPr>
          <w:p w14:paraId="31930006">
            <w:pPr>
              <w:pStyle w:val="106"/>
              <w:bidi w:val="0"/>
              <w:rPr>
                <w:rFonts w:hint="default"/>
                <w:lang w:val="en-US" w:eastAsia="zh-CN"/>
              </w:rPr>
            </w:pPr>
            <w:r>
              <w:rPr>
                <w:rFonts w:hint="eastAsia"/>
              </w:rPr>
              <w:t>封罐机</w:t>
            </w:r>
          </w:p>
        </w:tc>
        <w:tc>
          <w:tcPr>
            <w:tcW w:w="119" w:type="pct"/>
            <w:tcBorders>
              <w:tl2br w:val="nil"/>
              <w:tr2bl w:val="nil"/>
            </w:tcBorders>
            <w:shd w:val="clear" w:color="auto" w:fill="FFFFFF"/>
            <w:vAlign w:val="top"/>
          </w:tcPr>
          <w:p w14:paraId="10BC5943">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752EE12B">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49E60D36">
            <w:pPr>
              <w:pStyle w:val="106"/>
              <w:bidi w:val="0"/>
              <w:rPr>
                <w:rFonts w:hint="eastAsia"/>
              </w:rPr>
            </w:pPr>
          </w:p>
        </w:tc>
        <w:tc>
          <w:tcPr>
            <w:tcW w:w="173" w:type="pct"/>
            <w:tcBorders>
              <w:tl2br w:val="nil"/>
              <w:tr2bl w:val="nil"/>
            </w:tcBorders>
            <w:shd w:val="clear" w:color="auto" w:fill="FFFFFF"/>
            <w:vAlign w:val="center"/>
          </w:tcPr>
          <w:p w14:paraId="0644336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w:t>
            </w:r>
          </w:p>
        </w:tc>
        <w:tc>
          <w:tcPr>
            <w:tcW w:w="173" w:type="pct"/>
            <w:tcBorders>
              <w:tl2br w:val="nil"/>
              <w:tr2bl w:val="nil"/>
            </w:tcBorders>
            <w:shd w:val="clear" w:color="auto" w:fill="FFFFFF"/>
            <w:vAlign w:val="center"/>
          </w:tcPr>
          <w:p w14:paraId="5D23CAA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73" w:type="pct"/>
            <w:tcBorders>
              <w:tl2br w:val="nil"/>
              <w:tr2bl w:val="nil"/>
            </w:tcBorders>
            <w:shd w:val="clear" w:color="auto" w:fill="FFFFFF"/>
            <w:vAlign w:val="center"/>
          </w:tcPr>
          <w:p w14:paraId="30D4FB0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625BEB10">
            <w:pPr>
              <w:pStyle w:val="106"/>
              <w:bidi w:val="0"/>
              <w:jc w:val="center"/>
              <w:rPr>
                <w:rFonts w:hint="eastAsia"/>
                <w:lang w:val="en-US" w:eastAsia="zh-CN"/>
              </w:rPr>
            </w:pPr>
            <w:r>
              <w:rPr>
                <w:rFonts w:hint="default"/>
                <w:lang w:val="en-US" w:eastAsia="zh-CN"/>
              </w:rPr>
              <w:t>93</w:t>
            </w:r>
          </w:p>
        </w:tc>
        <w:tc>
          <w:tcPr>
            <w:tcW w:w="173" w:type="pct"/>
            <w:tcBorders>
              <w:tl2br w:val="nil"/>
              <w:tr2bl w:val="nil"/>
            </w:tcBorders>
            <w:shd w:val="clear" w:color="auto" w:fill="FFFFFF"/>
            <w:vAlign w:val="center"/>
          </w:tcPr>
          <w:p w14:paraId="3913E45F">
            <w:pPr>
              <w:pStyle w:val="106"/>
              <w:bidi w:val="0"/>
              <w:jc w:val="center"/>
              <w:rPr>
                <w:rFonts w:hint="eastAsia"/>
                <w:lang w:val="en-US" w:eastAsia="zh-CN"/>
              </w:rPr>
            </w:pPr>
            <w:r>
              <w:rPr>
                <w:rFonts w:hint="default"/>
                <w:lang w:val="en-US" w:eastAsia="zh-CN"/>
              </w:rPr>
              <w:t>35</w:t>
            </w:r>
          </w:p>
        </w:tc>
        <w:tc>
          <w:tcPr>
            <w:tcW w:w="173" w:type="pct"/>
            <w:tcBorders>
              <w:tl2br w:val="nil"/>
              <w:tr2bl w:val="nil"/>
            </w:tcBorders>
            <w:shd w:val="clear" w:color="auto" w:fill="FFFFFF"/>
            <w:vAlign w:val="center"/>
          </w:tcPr>
          <w:p w14:paraId="2630AF7C">
            <w:pPr>
              <w:pStyle w:val="106"/>
              <w:bidi w:val="0"/>
              <w:jc w:val="center"/>
              <w:rPr>
                <w:rFonts w:hint="default"/>
                <w:lang w:val="en-US" w:eastAsia="zh-CN"/>
              </w:rPr>
            </w:pPr>
            <w:r>
              <w:rPr>
                <w:rFonts w:hint="default"/>
                <w:lang w:val="en-US" w:eastAsia="zh-CN"/>
              </w:rPr>
              <w:t>33</w:t>
            </w:r>
          </w:p>
        </w:tc>
        <w:tc>
          <w:tcPr>
            <w:tcW w:w="173" w:type="pct"/>
            <w:tcBorders>
              <w:tl2br w:val="nil"/>
              <w:tr2bl w:val="nil"/>
            </w:tcBorders>
            <w:shd w:val="clear" w:color="auto" w:fill="FFFFFF"/>
            <w:vAlign w:val="center"/>
          </w:tcPr>
          <w:p w14:paraId="202A1CDE">
            <w:pPr>
              <w:pStyle w:val="106"/>
              <w:bidi w:val="0"/>
              <w:jc w:val="center"/>
              <w:rPr>
                <w:rFonts w:hint="eastAsia"/>
                <w:lang w:val="en-US" w:eastAsia="zh-CN"/>
              </w:rPr>
            </w:pPr>
            <w:r>
              <w:rPr>
                <w:rFonts w:hint="default"/>
                <w:lang w:val="en-US" w:eastAsia="zh-CN"/>
              </w:rPr>
              <w:t>15</w:t>
            </w:r>
          </w:p>
        </w:tc>
        <w:tc>
          <w:tcPr>
            <w:tcW w:w="173" w:type="pct"/>
            <w:tcBorders>
              <w:tl2br w:val="nil"/>
              <w:tr2bl w:val="nil"/>
            </w:tcBorders>
            <w:shd w:val="clear" w:color="auto" w:fill="FFFFFF"/>
            <w:vAlign w:val="center"/>
          </w:tcPr>
          <w:p w14:paraId="29FFA59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73" w:type="pct"/>
            <w:tcBorders>
              <w:tl2br w:val="nil"/>
              <w:tr2bl w:val="nil"/>
            </w:tcBorders>
            <w:shd w:val="clear" w:color="auto" w:fill="FFFFFF"/>
            <w:vAlign w:val="center"/>
          </w:tcPr>
          <w:p w14:paraId="0C8D77C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73" w:type="pct"/>
            <w:tcBorders>
              <w:tl2br w:val="nil"/>
              <w:tr2bl w:val="nil"/>
            </w:tcBorders>
            <w:shd w:val="clear" w:color="auto" w:fill="FFFFFF"/>
            <w:vAlign w:val="center"/>
          </w:tcPr>
          <w:p w14:paraId="6255FBA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77" w:type="pct"/>
            <w:tcBorders>
              <w:tl2br w:val="nil"/>
              <w:tr2bl w:val="nil"/>
            </w:tcBorders>
            <w:shd w:val="clear" w:color="auto" w:fill="FFFFFF"/>
            <w:vAlign w:val="center"/>
          </w:tcPr>
          <w:p w14:paraId="7611320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Pr>
          <w:p w14:paraId="7B14F74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2A3062D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FA3257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952D5B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0891726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37C01C6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176" w:type="pct"/>
            <w:tcBorders>
              <w:tl2br w:val="nil"/>
              <w:tr2bl w:val="nil"/>
            </w:tcBorders>
            <w:shd w:val="clear" w:color="auto" w:fill="FFFFFF"/>
            <w:vAlign w:val="center"/>
          </w:tcPr>
          <w:p w14:paraId="0D5D162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176" w:type="pct"/>
            <w:tcBorders>
              <w:tl2br w:val="nil"/>
              <w:tr2bl w:val="nil"/>
            </w:tcBorders>
            <w:shd w:val="clear" w:color="auto" w:fill="FFFFFF"/>
            <w:vAlign w:val="center"/>
          </w:tcPr>
          <w:p w14:paraId="59D584A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176" w:type="pct"/>
            <w:tcBorders>
              <w:tl2br w:val="nil"/>
              <w:tr2bl w:val="nil"/>
            </w:tcBorders>
            <w:shd w:val="clear" w:color="auto" w:fill="FFFFFF"/>
            <w:vAlign w:val="center"/>
          </w:tcPr>
          <w:p w14:paraId="62DB412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0" w:type="auto"/>
            <w:tcBorders>
              <w:tl2br w:val="nil"/>
              <w:tr2bl w:val="nil"/>
            </w:tcBorders>
            <w:shd w:val="clear" w:color="auto" w:fill="FFFFFF"/>
            <w:vAlign w:val="center"/>
          </w:tcPr>
          <w:p w14:paraId="1D9A2BC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4DA3E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67FB33C0">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732AF7B5">
            <w:pPr>
              <w:pStyle w:val="106"/>
              <w:bidi w:val="0"/>
              <w:rPr>
                <w:rFonts w:hint="eastAsia"/>
                <w:lang w:val="en-US" w:eastAsia="zh-CN"/>
              </w:rPr>
            </w:pPr>
          </w:p>
        </w:tc>
        <w:tc>
          <w:tcPr>
            <w:tcW w:w="490" w:type="pct"/>
            <w:tcBorders>
              <w:tl2br w:val="nil"/>
              <w:tr2bl w:val="nil"/>
            </w:tcBorders>
            <w:shd w:val="clear" w:color="auto" w:fill="auto"/>
            <w:vAlign w:val="center"/>
          </w:tcPr>
          <w:p w14:paraId="0A410724">
            <w:pPr>
              <w:pStyle w:val="106"/>
              <w:bidi w:val="0"/>
              <w:rPr>
                <w:rFonts w:hint="default"/>
                <w:lang w:val="en-US" w:eastAsia="zh-CN"/>
              </w:rPr>
            </w:pPr>
            <w:r>
              <w:rPr>
                <w:rFonts w:hint="eastAsia"/>
              </w:rPr>
              <w:t>实罐清洗机</w:t>
            </w:r>
          </w:p>
        </w:tc>
        <w:tc>
          <w:tcPr>
            <w:tcW w:w="119" w:type="pct"/>
            <w:tcBorders>
              <w:tl2br w:val="nil"/>
              <w:tr2bl w:val="nil"/>
            </w:tcBorders>
            <w:shd w:val="clear" w:color="auto" w:fill="FFFFFF"/>
            <w:vAlign w:val="top"/>
          </w:tcPr>
          <w:p w14:paraId="5887103C">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595413A5">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Pr>
          <w:p w14:paraId="3D4BA2E3">
            <w:pPr>
              <w:pStyle w:val="106"/>
              <w:bidi w:val="0"/>
              <w:rPr>
                <w:rFonts w:hint="eastAsia"/>
              </w:rPr>
            </w:pPr>
          </w:p>
        </w:tc>
        <w:tc>
          <w:tcPr>
            <w:tcW w:w="173" w:type="pct"/>
            <w:tcBorders>
              <w:tl2br w:val="nil"/>
              <w:tr2bl w:val="nil"/>
            </w:tcBorders>
            <w:shd w:val="clear" w:color="auto" w:fill="FFFFFF"/>
            <w:vAlign w:val="center"/>
          </w:tcPr>
          <w:p w14:paraId="057F32D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73" w:type="pct"/>
            <w:tcBorders>
              <w:tl2br w:val="nil"/>
              <w:tr2bl w:val="nil"/>
            </w:tcBorders>
            <w:shd w:val="clear" w:color="auto" w:fill="FFFFFF"/>
            <w:vAlign w:val="center"/>
          </w:tcPr>
          <w:p w14:paraId="00ABB9E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73" w:type="pct"/>
            <w:tcBorders>
              <w:tl2br w:val="nil"/>
              <w:tr2bl w:val="nil"/>
            </w:tcBorders>
            <w:shd w:val="clear" w:color="auto" w:fill="FFFFFF"/>
            <w:vAlign w:val="center"/>
          </w:tcPr>
          <w:p w14:paraId="5B85EE3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0EAA681E">
            <w:pPr>
              <w:pStyle w:val="106"/>
              <w:bidi w:val="0"/>
              <w:jc w:val="center"/>
              <w:rPr>
                <w:rFonts w:hint="eastAsia"/>
                <w:lang w:val="en-US" w:eastAsia="zh-CN"/>
              </w:rPr>
            </w:pPr>
            <w:r>
              <w:rPr>
                <w:rFonts w:hint="default"/>
                <w:lang w:val="en-US" w:eastAsia="zh-CN"/>
              </w:rPr>
              <w:t>88</w:t>
            </w:r>
          </w:p>
        </w:tc>
        <w:tc>
          <w:tcPr>
            <w:tcW w:w="173" w:type="pct"/>
            <w:tcBorders>
              <w:tl2br w:val="nil"/>
              <w:tr2bl w:val="nil"/>
            </w:tcBorders>
            <w:shd w:val="clear" w:color="auto" w:fill="FFFFFF"/>
            <w:vAlign w:val="center"/>
          </w:tcPr>
          <w:p w14:paraId="2CE50646">
            <w:pPr>
              <w:pStyle w:val="106"/>
              <w:bidi w:val="0"/>
              <w:jc w:val="center"/>
              <w:rPr>
                <w:rFonts w:hint="eastAsia"/>
                <w:lang w:val="en-US" w:eastAsia="zh-CN"/>
              </w:rPr>
            </w:pPr>
            <w:r>
              <w:rPr>
                <w:rFonts w:hint="default"/>
                <w:lang w:val="en-US" w:eastAsia="zh-CN"/>
              </w:rPr>
              <w:t>35</w:t>
            </w:r>
          </w:p>
        </w:tc>
        <w:tc>
          <w:tcPr>
            <w:tcW w:w="173" w:type="pct"/>
            <w:tcBorders>
              <w:tl2br w:val="nil"/>
              <w:tr2bl w:val="nil"/>
            </w:tcBorders>
            <w:shd w:val="clear" w:color="auto" w:fill="FFFFFF"/>
            <w:vAlign w:val="center"/>
          </w:tcPr>
          <w:p w14:paraId="22F8BD87">
            <w:pPr>
              <w:pStyle w:val="106"/>
              <w:bidi w:val="0"/>
              <w:jc w:val="center"/>
              <w:rPr>
                <w:rFonts w:hint="default"/>
                <w:lang w:val="en-US" w:eastAsia="zh-CN"/>
              </w:rPr>
            </w:pPr>
            <w:r>
              <w:rPr>
                <w:rFonts w:hint="default"/>
                <w:lang w:val="en-US" w:eastAsia="zh-CN"/>
              </w:rPr>
              <w:t>38</w:t>
            </w:r>
          </w:p>
        </w:tc>
        <w:tc>
          <w:tcPr>
            <w:tcW w:w="173" w:type="pct"/>
            <w:tcBorders>
              <w:tl2br w:val="nil"/>
              <w:tr2bl w:val="nil"/>
            </w:tcBorders>
            <w:shd w:val="clear" w:color="auto" w:fill="FFFFFF"/>
            <w:vAlign w:val="center"/>
          </w:tcPr>
          <w:p w14:paraId="5EE5C546">
            <w:pPr>
              <w:pStyle w:val="106"/>
              <w:bidi w:val="0"/>
              <w:jc w:val="center"/>
              <w:rPr>
                <w:rFonts w:hint="eastAsia"/>
                <w:lang w:val="en-US" w:eastAsia="zh-CN"/>
              </w:rPr>
            </w:pPr>
            <w:r>
              <w:rPr>
                <w:rFonts w:hint="default"/>
                <w:lang w:val="en-US" w:eastAsia="zh-CN"/>
              </w:rPr>
              <w:t>15</w:t>
            </w:r>
          </w:p>
        </w:tc>
        <w:tc>
          <w:tcPr>
            <w:tcW w:w="173" w:type="pct"/>
            <w:tcBorders>
              <w:tl2br w:val="nil"/>
              <w:tr2bl w:val="nil"/>
            </w:tcBorders>
            <w:shd w:val="clear" w:color="auto" w:fill="FFFFFF"/>
            <w:vAlign w:val="center"/>
          </w:tcPr>
          <w:p w14:paraId="79E8E9F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73" w:type="pct"/>
            <w:tcBorders>
              <w:tl2br w:val="nil"/>
              <w:tr2bl w:val="nil"/>
            </w:tcBorders>
            <w:shd w:val="clear" w:color="auto" w:fill="FFFFFF"/>
            <w:vAlign w:val="center"/>
          </w:tcPr>
          <w:p w14:paraId="16055D0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73" w:type="pct"/>
            <w:tcBorders>
              <w:tl2br w:val="nil"/>
              <w:tr2bl w:val="nil"/>
            </w:tcBorders>
            <w:shd w:val="clear" w:color="auto" w:fill="FFFFFF"/>
            <w:vAlign w:val="center"/>
          </w:tcPr>
          <w:p w14:paraId="2B66DD0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77" w:type="pct"/>
            <w:tcBorders>
              <w:tl2br w:val="nil"/>
              <w:tr2bl w:val="nil"/>
            </w:tcBorders>
            <w:shd w:val="clear" w:color="auto" w:fill="FFFFFF"/>
            <w:vAlign w:val="center"/>
          </w:tcPr>
          <w:p w14:paraId="46FC589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59" w:type="pct"/>
            <w:vMerge w:val="continue"/>
            <w:tcBorders>
              <w:tl2br w:val="nil"/>
              <w:tr2bl w:val="nil"/>
            </w:tcBorders>
            <w:shd w:val="clear" w:color="auto" w:fill="FFFFFF"/>
          </w:tcPr>
          <w:p w14:paraId="696E9F3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6894E13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0EF60B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F89694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3D88E04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74CAE1F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176" w:type="pct"/>
            <w:tcBorders>
              <w:tl2br w:val="nil"/>
              <w:tr2bl w:val="nil"/>
            </w:tcBorders>
            <w:shd w:val="clear" w:color="auto" w:fill="FFFFFF"/>
            <w:vAlign w:val="center"/>
          </w:tcPr>
          <w:p w14:paraId="4363BCA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176" w:type="pct"/>
            <w:tcBorders>
              <w:tl2br w:val="nil"/>
              <w:tr2bl w:val="nil"/>
            </w:tcBorders>
            <w:shd w:val="clear" w:color="auto" w:fill="FFFFFF"/>
            <w:vAlign w:val="center"/>
          </w:tcPr>
          <w:p w14:paraId="3393064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176" w:type="pct"/>
            <w:tcBorders>
              <w:tl2br w:val="nil"/>
              <w:tr2bl w:val="nil"/>
            </w:tcBorders>
            <w:shd w:val="clear" w:color="auto" w:fill="FFFFFF"/>
            <w:vAlign w:val="center"/>
          </w:tcPr>
          <w:p w14:paraId="356DE1C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0" w:type="auto"/>
            <w:tcBorders>
              <w:tl2br w:val="nil"/>
              <w:tr2bl w:val="nil"/>
            </w:tcBorders>
            <w:shd w:val="clear" w:color="auto" w:fill="FFFFFF"/>
            <w:vAlign w:val="center"/>
          </w:tcPr>
          <w:p w14:paraId="007CCA2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5EBBF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1EC2F244">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2BB66E22">
            <w:pPr>
              <w:pStyle w:val="106"/>
              <w:bidi w:val="0"/>
              <w:rPr>
                <w:rFonts w:hint="eastAsia"/>
                <w:lang w:val="en-US" w:eastAsia="zh-CN"/>
              </w:rPr>
            </w:pPr>
          </w:p>
        </w:tc>
        <w:tc>
          <w:tcPr>
            <w:tcW w:w="490" w:type="pct"/>
            <w:tcBorders>
              <w:tl2br w:val="nil"/>
              <w:tr2bl w:val="nil"/>
            </w:tcBorders>
            <w:shd w:val="clear" w:color="auto" w:fill="auto"/>
            <w:vAlign w:val="center"/>
          </w:tcPr>
          <w:p w14:paraId="60260C21">
            <w:pPr>
              <w:pStyle w:val="106"/>
              <w:bidi w:val="0"/>
              <w:rPr>
                <w:rFonts w:hint="default"/>
                <w:lang w:val="en-US" w:eastAsia="zh-CN"/>
              </w:rPr>
            </w:pPr>
            <w:r>
              <w:rPr>
                <w:rFonts w:hint="eastAsia"/>
              </w:rPr>
              <w:t>半自动装卸笼机</w:t>
            </w:r>
          </w:p>
        </w:tc>
        <w:tc>
          <w:tcPr>
            <w:tcW w:w="119" w:type="pct"/>
            <w:tcBorders>
              <w:tl2br w:val="nil"/>
              <w:tr2bl w:val="nil"/>
            </w:tcBorders>
            <w:shd w:val="clear" w:color="auto" w:fill="FFFFFF"/>
            <w:vAlign w:val="top"/>
          </w:tcPr>
          <w:p w14:paraId="16A75CA3">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352C6867">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Pr>
          <w:p w14:paraId="6AF1E089">
            <w:pPr>
              <w:pStyle w:val="106"/>
              <w:bidi w:val="0"/>
              <w:rPr>
                <w:rFonts w:hint="eastAsia"/>
              </w:rPr>
            </w:pPr>
          </w:p>
        </w:tc>
        <w:tc>
          <w:tcPr>
            <w:tcW w:w="173" w:type="pct"/>
            <w:tcBorders>
              <w:tl2br w:val="nil"/>
              <w:tr2bl w:val="nil"/>
            </w:tcBorders>
            <w:shd w:val="clear" w:color="auto" w:fill="FFFFFF"/>
            <w:vAlign w:val="center"/>
          </w:tcPr>
          <w:p w14:paraId="288D462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c>
          <w:tcPr>
            <w:tcW w:w="173" w:type="pct"/>
            <w:tcBorders>
              <w:tl2br w:val="nil"/>
              <w:tr2bl w:val="nil"/>
            </w:tcBorders>
            <w:shd w:val="clear" w:color="auto" w:fill="FFFFFF"/>
            <w:vAlign w:val="center"/>
          </w:tcPr>
          <w:p w14:paraId="6E186FB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73" w:type="pct"/>
            <w:tcBorders>
              <w:tl2br w:val="nil"/>
              <w:tr2bl w:val="nil"/>
            </w:tcBorders>
            <w:shd w:val="clear" w:color="auto" w:fill="FFFFFF"/>
            <w:vAlign w:val="center"/>
          </w:tcPr>
          <w:p w14:paraId="1533A34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067C346F">
            <w:pPr>
              <w:pStyle w:val="106"/>
              <w:bidi w:val="0"/>
              <w:jc w:val="center"/>
              <w:rPr>
                <w:rFonts w:hint="eastAsia"/>
                <w:lang w:val="en-US" w:eastAsia="zh-CN"/>
              </w:rPr>
            </w:pPr>
            <w:r>
              <w:rPr>
                <w:rFonts w:hint="default"/>
                <w:lang w:val="en-US" w:eastAsia="zh-CN"/>
              </w:rPr>
              <w:t>73</w:t>
            </w:r>
          </w:p>
        </w:tc>
        <w:tc>
          <w:tcPr>
            <w:tcW w:w="173" w:type="pct"/>
            <w:tcBorders>
              <w:tl2br w:val="nil"/>
              <w:tr2bl w:val="nil"/>
            </w:tcBorders>
            <w:shd w:val="clear" w:color="auto" w:fill="FFFFFF"/>
            <w:vAlign w:val="center"/>
          </w:tcPr>
          <w:p w14:paraId="304AE5B5">
            <w:pPr>
              <w:pStyle w:val="106"/>
              <w:bidi w:val="0"/>
              <w:jc w:val="center"/>
              <w:rPr>
                <w:rFonts w:hint="eastAsia"/>
                <w:lang w:val="en-US" w:eastAsia="zh-CN"/>
              </w:rPr>
            </w:pPr>
            <w:r>
              <w:rPr>
                <w:rFonts w:hint="default"/>
                <w:lang w:val="en-US" w:eastAsia="zh-CN"/>
              </w:rPr>
              <w:t>35</w:t>
            </w:r>
          </w:p>
        </w:tc>
        <w:tc>
          <w:tcPr>
            <w:tcW w:w="173" w:type="pct"/>
            <w:tcBorders>
              <w:tl2br w:val="nil"/>
              <w:tr2bl w:val="nil"/>
            </w:tcBorders>
            <w:shd w:val="clear" w:color="auto" w:fill="FFFFFF"/>
            <w:vAlign w:val="center"/>
          </w:tcPr>
          <w:p w14:paraId="69CB5B1A">
            <w:pPr>
              <w:pStyle w:val="106"/>
              <w:bidi w:val="0"/>
              <w:jc w:val="center"/>
              <w:rPr>
                <w:rFonts w:hint="default"/>
                <w:lang w:val="en-US" w:eastAsia="zh-CN"/>
              </w:rPr>
            </w:pPr>
            <w:r>
              <w:rPr>
                <w:rFonts w:hint="default"/>
                <w:lang w:val="en-US" w:eastAsia="zh-CN"/>
              </w:rPr>
              <w:t>53</w:t>
            </w:r>
          </w:p>
        </w:tc>
        <w:tc>
          <w:tcPr>
            <w:tcW w:w="173" w:type="pct"/>
            <w:tcBorders>
              <w:tl2br w:val="nil"/>
              <w:tr2bl w:val="nil"/>
            </w:tcBorders>
            <w:shd w:val="clear" w:color="auto" w:fill="FFFFFF"/>
            <w:vAlign w:val="center"/>
          </w:tcPr>
          <w:p w14:paraId="15377AFD">
            <w:pPr>
              <w:pStyle w:val="106"/>
              <w:bidi w:val="0"/>
              <w:jc w:val="center"/>
              <w:rPr>
                <w:rFonts w:hint="eastAsia"/>
                <w:lang w:val="en-US" w:eastAsia="zh-CN"/>
              </w:rPr>
            </w:pPr>
            <w:r>
              <w:rPr>
                <w:rFonts w:hint="default"/>
                <w:lang w:val="en-US" w:eastAsia="zh-CN"/>
              </w:rPr>
              <w:t>15</w:t>
            </w:r>
          </w:p>
        </w:tc>
        <w:tc>
          <w:tcPr>
            <w:tcW w:w="173" w:type="pct"/>
            <w:tcBorders>
              <w:tl2br w:val="nil"/>
              <w:tr2bl w:val="nil"/>
            </w:tcBorders>
            <w:shd w:val="clear" w:color="auto" w:fill="FFFFFF"/>
            <w:vAlign w:val="center"/>
          </w:tcPr>
          <w:p w14:paraId="020C109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73" w:type="pct"/>
            <w:tcBorders>
              <w:tl2br w:val="nil"/>
              <w:tr2bl w:val="nil"/>
            </w:tcBorders>
            <w:shd w:val="clear" w:color="auto" w:fill="FFFFFF"/>
            <w:vAlign w:val="center"/>
          </w:tcPr>
          <w:p w14:paraId="546B8DF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73" w:type="pct"/>
            <w:tcBorders>
              <w:tl2br w:val="nil"/>
              <w:tr2bl w:val="nil"/>
            </w:tcBorders>
            <w:shd w:val="clear" w:color="auto" w:fill="FFFFFF"/>
            <w:vAlign w:val="center"/>
          </w:tcPr>
          <w:p w14:paraId="3B8CBA9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77" w:type="pct"/>
            <w:tcBorders>
              <w:tl2br w:val="nil"/>
              <w:tr2bl w:val="nil"/>
            </w:tcBorders>
            <w:shd w:val="clear" w:color="auto" w:fill="FFFFFF"/>
            <w:vAlign w:val="center"/>
          </w:tcPr>
          <w:p w14:paraId="6DCF84D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59" w:type="pct"/>
            <w:vMerge w:val="continue"/>
            <w:tcBorders>
              <w:tl2br w:val="nil"/>
              <w:tr2bl w:val="nil"/>
            </w:tcBorders>
            <w:shd w:val="clear" w:color="auto" w:fill="FFFFFF"/>
          </w:tcPr>
          <w:p w14:paraId="16F3F5D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1E5FE73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2F5109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5FEAC26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46AACF0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0938D6C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176" w:type="pct"/>
            <w:tcBorders>
              <w:tl2br w:val="nil"/>
              <w:tr2bl w:val="nil"/>
            </w:tcBorders>
            <w:shd w:val="clear" w:color="auto" w:fill="FFFFFF"/>
            <w:vAlign w:val="center"/>
          </w:tcPr>
          <w:p w14:paraId="0069224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176" w:type="pct"/>
            <w:tcBorders>
              <w:tl2br w:val="nil"/>
              <w:tr2bl w:val="nil"/>
            </w:tcBorders>
            <w:shd w:val="clear" w:color="auto" w:fill="FFFFFF"/>
            <w:vAlign w:val="center"/>
          </w:tcPr>
          <w:p w14:paraId="29DD364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176" w:type="pct"/>
            <w:tcBorders>
              <w:tl2br w:val="nil"/>
              <w:tr2bl w:val="nil"/>
            </w:tcBorders>
            <w:shd w:val="clear" w:color="auto" w:fill="FFFFFF"/>
            <w:vAlign w:val="center"/>
          </w:tcPr>
          <w:p w14:paraId="336DA6D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0" w:type="auto"/>
            <w:tcBorders>
              <w:tl2br w:val="nil"/>
              <w:tr2bl w:val="nil"/>
            </w:tcBorders>
            <w:shd w:val="clear" w:color="auto" w:fill="FFFFFF"/>
            <w:vAlign w:val="center"/>
          </w:tcPr>
          <w:p w14:paraId="5879C34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114B5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64D01F1E">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340A56D4">
            <w:pPr>
              <w:pStyle w:val="106"/>
              <w:bidi w:val="0"/>
              <w:rPr>
                <w:rFonts w:hint="eastAsia"/>
                <w:lang w:val="en-US" w:eastAsia="zh-CN"/>
              </w:rPr>
            </w:pPr>
          </w:p>
        </w:tc>
        <w:tc>
          <w:tcPr>
            <w:tcW w:w="490" w:type="pct"/>
            <w:tcBorders>
              <w:tl2br w:val="nil"/>
              <w:tr2bl w:val="nil"/>
            </w:tcBorders>
            <w:shd w:val="clear" w:color="auto" w:fill="auto"/>
            <w:vAlign w:val="center"/>
          </w:tcPr>
          <w:p w14:paraId="1F6BD290">
            <w:pPr>
              <w:pStyle w:val="106"/>
              <w:bidi w:val="0"/>
              <w:rPr>
                <w:rFonts w:hint="default"/>
                <w:lang w:val="en-US" w:eastAsia="zh-CN"/>
              </w:rPr>
            </w:pPr>
            <w:r>
              <w:rPr>
                <w:rFonts w:hint="eastAsia"/>
              </w:rPr>
              <w:t>杀菌锅</w:t>
            </w:r>
          </w:p>
        </w:tc>
        <w:tc>
          <w:tcPr>
            <w:tcW w:w="119" w:type="pct"/>
            <w:tcBorders>
              <w:tl2br w:val="nil"/>
              <w:tr2bl w:val="nil"/>
            </w:tcBorders>
            <w:shd w:val="clear" w:color="auto" w:fill="FFFFFF"/>
            <w:vAlign w:val="top"/>
          </w:tcPr>
          <w:p w14:paraId="034956CE">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01622E63">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485EE7FF">
            <w:pPr>
              <w:pStyle w:val="106"/>
              <w:bidi w:val="0"/>
              <w:rPr>
                <w:rFonts w:hint="eastAsia"/>
              </w:rPr>
            </w:pPr>
          </w:p>
        </w:tc>
        <w:tc>
          <w:tcPr>
            <w:tcW w:w="173" w:type="pct"/>
            <w:tcBorders>
              <w:tl2br w:val="nil"/>
              <w:tr2bl w:val="nil"/>
            </w:tcBorders>
            <w:shd w:val="clear" w:color="auto" w:fill="FFFFFF"/>
            <w:vAlign w:val="center"/>
          </w:tcPr>
          <w:p w14:paraId="5170489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0A95023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73" w:type="pct"/>
            <w:tcBorders>
              <w:tl2br w:val="nil"/>
              <w:tr2bl w:val="nil"/>
            </w:tcBorders>
            <w:shd w:val="clear" w:color="auto" w:fill="FFFFFF"/>
            <w:vAlign w:val="center"/>
          </w:tcPr>
          <w:p w14:paraId="6F2E9F0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5C591BE8">
            <w:pPr>
              <w:pStyle w:val="106"/>
              <w:bidi w:val="0"/>
              <w:jc w:val="center"/>
              <w:rPr>
                <w:rFonts w:hint="eastAsia"/>
                <w:lang w:val="en-US" w:eastAsia="zh-CN"/>
              </w:rPr>
            </w:pPr>
            <w:r>
              <w:rPr>
                <w:rFonts w:hint="default"/>
                <w:lang w:val="en-US" w:eastAsia="zh-CN"/>
              </w:rPr>
              <w:t>58</w:t>
            </w:r>
          </w:p>
        </w:tc>
        <w:tc>
          <w:tcPr>
            <w:tcW w:w="173" w:type="pct"/>
            <w:tcBorders>
              <w:tl2br w:val="nil"/>
              <w:tr2bl w:val="nil"/>
            </w:tcBorders>
            <w:shd w:val="clear" w:color="auto" w:fill="FFFFFF"/>
            <w:vAlign w:val="center"/>
          </w:tcPr>
          <w:p w14:paraId="3F678943">
            <w:pPr>
              <w:pStyle w:val="106"/>
              <w:bidi w:val="0"/>
              <w:jc w:val="center"/>
              <w:rPr>
                <w:rFonts w:hint="eastAsia"/>
                <w:lang w:val="en-US" w:eastAsia="zh-CN"/>
              </w:rPr>
            </w:pPr>
            <w:r>
              <w:rPr>
                <w:rFonts w:hint="default"/>
                <w:lang w:val="en-US" w:eastAsia="zh-CN"/>
              </w:rPr>
              <w:t>35</w:t>
            </w:r>
          </w:p>
        </w:tc>
        <w:tc>
          <w:tcPr>
            <w:tcW w:w="173" w:type="pct"/>
            <w:tcBorders>
              <w:tl2br w:val="nil"/>
              <w:tr2bl w:val="nil"/>
            </w:tcBorders>
            <w:shd w:val="clear" w:color="auto" w:fill="FFFFFF"/>
            <w:vAlign w:val="center"/>
          </w:tcPr>
          <w:p w14:paraId="1F3F3BFF">
            <w:pPr>
              <w:pStyle w:val="106"/>
              <w:bidi w:val="0"/>
              <w:jc w:val="center"/>
              <w:rPr>
                <w:rFonts w:hint="default"/>
                <w:lang w:val="en-US" w:eastAsia="zh-CN"/>
              </w:rPr>
            </w:pPr>
            <w:r>
              <w:rPr>
                <w:rFonts w:hint="default"/>
                <w:lang w:val="en-US" w:eastAsia="zh-CN"/>
              </w:rPr>
              <w:t>68</w:t>
            </w:r>
          </w:p>
        </w:tc>
        <w:tc>
          <w:tcPr>
            <w:tcW w:w="173" w:type="pct"/>
            <w:tcBorders>
              <w:tl2br w:val="nil"/>
              <w:tr2bl w:val="nil"/>
            </w:tcBorders>
            <w:shd w:val="clear" w:color="auto" w:fill="FFFFFF"/>
            <w:vAlign w:val="center"/>
          </w:tcPr>
          <w:p w14:paraId="4386D257">
            <w:pPr>
              <w:pStyle w:val="106"/>
              <w:bidi w:val="0"/>
              <w:jc w:val="center"/>
              <w:rPr>
                <w:rFonts w:hint="eastAsia"/>
                <w:lang w:val="en-US" w:eastAsia="zh-CN"/>
              </w:rPr>
            </w:pPr>
            <w:r>
              <w:rPr>
                <w:rFonts w:hint="default"/>
                <w:lang w:val="en-US" w:eastAsia="zh-CN"/>
              </w:rPr>
              <w:t>15</w:t>
            </w:r>
          </w:p>
        </w:tc>
        <w:tc>
          <w:tcPr>
            <w:tcW w:w="173" w:type="pct"/>
            <w:tcBorders>
              <w:tl2br w:val="nil"/>
              <w:tr2bl w:val="nil"/>
            </w:tcBorders>
            <w:shd w:val="clear" w:color="auto" w:fill="FFFFFF"/>
            <w:vAlign w:val="center"/>
          </w:tcPr>
          <w:p w14:paraId="2CE7F7A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73" w:type="pct"/>
            <w:tcBorders>
              <w:tl2br w:val="nil"/>
              <w:tr2bl w:val="nil"/>
            </w:tcBorders>
            <w:shd w:val="clear" w:color="auto" w:fill="FFFFFF"/>
            <w:vAlign w:val="center"/>
          </w:tcPr>
          <w:p w14:paraId="0BDAB3E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73" w:type="pct"/>
            <w:tcBorders>
              <w:tl2br w:val="nil"/>
              <w:tr2bl w:val="nil"/>
            </w:tcBorders>
            <w:shd w:val="clear" w:color="auto" w:fill="FFFFFF"/>
            <w:vAlign w:val="center"/>
          </w:tcPr>
          <w:p w14:paraId="044A946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77" w:type="pct"/>
            <w:tcBorders>
              <w:tl2br w:val="nil"/>
              <w:tr2bl w:val="nil"/>
            </w:tcBorders>
            <w:shd w:val="clear" w:color="auto" w:fill="FFFFFF"/>
            <w:vAlign w:val="center"/>
          </w:tcPr>
          <w:p w14:paraId="3323DB9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Pr>
          <w:p w14:paraId="1E7773F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6175A31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477CFB5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81ED75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6E5FFE1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209DDD8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176" w:type="pct"/>
            <w:tcBorders>
              <w:tl2br w:val="nil"/>
              <w:tr2bl w:val="nil"/>
            </w:tcBorders>
            <w:shd w:val="clear" w:color="auto" w:fill="FFFFFF"/>
            <w:vAlign w:val="center"/>
          </w:tcPr>
          <w:p w14:paraId="14A2FD6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176" w:type="pct"/>
            <w:tcBorders>
              <w:tl2br w:val="nil"/>
              <w:tr2bl w:val="nil"/>
            </w:tcBorders>
            <w:shd w:val="clear" w:color="auto" w:fill="FFFFFF"/>
            <w:vAlign w:val="center"/>
          </w:tcPr>
          <w:p w14:paraId="596AA65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176" w:type="pct"/>
            <w:tcBorders>
              <w:tl2br w:val="nil"/>
              <w:tr2bl w:val="nil"/>
            </w:tcBorders>
            <w:shd w:val="clear" w:color="auto" w:fill="FFFFFF"/>
            <w:vAlign w:val="center"/>
          </w:tcPr>
          <w:p w14:paraId="4B35CF3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0" w:type="auto"/>
            <w:tcBorders>
              <w:tl2br w:val="nil"/>
              <w:tr2bl w:val="nil"/>
            </w:tcBorders>
            <w:shd w:val="clear" w:color="auto" w:fill="FFFFFF"/>
            <w:vAlign w:val="center"/>
          </w:tcPr>
          <w:p w14:paraId="37369BF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2EBE9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677D353E">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0D3C7A65">
            <w:pPr>
              <w:pStyle w:val="106"/>
              <w:bidi w:val="0"/>
              <w:rPr>
                <w:rFonts w:hint="eastAsia"/>
                <w:lang w:val="en-US" w:eastAsia="zh-CN"/>
              </w:rPr>
            </w:pPr>
          </w:p>
        </w:tc>
        <w:tc>
          <w:tcPr>
            <w:tcW w:w="490" w:type="pct"/>
            <w:tcBorders>
              <w:tl2br w:val="nil"/>
              <w:tr2bl w:val="nil"/>
            </w:tcBorders>
            <w:shd w:val="clear" w:color="auto" w:fill="auto"/>
            <w:vAlign w:val="center"/>
          </w:tcPr>
          <w:p w14:paraId="74953EE5">
            <w:pPr>
              <w:pStyle w:val="106"/>
              <w:bidi w:val="0"/>
              <w:rPr>
                <w:rFonts w:hint="eastAsia"/>
              </w:rPr>
            </w:pPr>
            <w:r>
              <w:rPr>
                <w:rFonts w:hint="eastAsia"/>
              </w:rPr>
              <w:t>杀菌锅</w:t>
            </w:r>
          </w:p>
        </w:tc>
        <w:tc>
          <w:tcPr>
            <w:tcW w:w="119" w:type="pct"/>
            <w:tcBorders>
              <w:tl2br w:val="nil"/>
              <w:tr2bl w:val="nil"/>
            </w:tcBorders>
            <w:shd w:val="clear" w:color="auto" w:fill="FFFFFF"/>
            <w:vAlign w:val="top"/>
          </w:tcPr>
          <w:p w14:paraId="3BC8E223">
            <w:pPr>
              <w:pStyle w:val="106"/>
              <w:bidi w:val="0"/>
              <w:rPr>
                <w:rFonts w:hint="eastAsia"/>
              </w:rPr>
            </w:pPr>
            <w:r>
              <w:rPr>
                <w:rFonts w:hint="eastAsia"/>
              </w:rPr>
              <w:t>/</w:t>
            </w:r>
          </w:p>
        </w:tc>
        <w:tc>
          <w:tcPr>
            <w:tcW w:w="251" w:type="pct"/>
            <w:tcBorders>
              <w:tl2br w:val="nil"/>
              <w:tr2bl w:val="nil"/>
            </w:tcBorders>
            <w:shd w:val="clear" w:color="auto" w:fill="auto"/>
            <w:vAlign w:val="center"/>
          </w:tcPr>
          <w:p w14:paraId="684EB43B">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29FF7BD3">
            <w:pPr>
              <w:pStyle w:val="106"/>
              <w:bidi w:val="0"/>
              <w:rPr>
                <w:rFonts w:hint="eastAsia"/>
              </w:rPr>
            </w:pPr>
          </w:p>
        </w:tc>
        <w:tc>
          <w:tcPr>
            <w:tcW w:w="173" w:type="pct"/>
            <w:tcBorders>
              <w:tl2br w:val="nil"/>
              <w:tr2bl w:val="nil"/>
            </w:tcBorders>
            <w:shd w:val="clear" w:color="auto" w:fill="FFFFFF"/>
            <w:vAlign w:val="center"/>
          </w:tcPr>
          <w:p w14:paraId="72BADD3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7519DB1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-28</w:t>
            </w:r>
          </w:p>
        </w:tc>
        <w:tc>
          <w:tcPr>
            <w:tcW w:w="173" w:type="pct"/>
            <w:tcBorders>
              <w:tl2br w:val="nil"/>
              <w:tr2bl w:val="nil"/>
            </w:tcBorders>
            <w:shd w:val="clear" w:color="auto" w:fill="FFFFFF"/>
            <w:vAlign w:val="center"/>
          </w:tcPr>
          <w:p w14:paraId="59F5261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0599666A">
            <w:pPr>
              <w:pStyle w:val="106"/>
              <w:bidi w:val="0"/>
              <w:jc w:val="center"/>
              <w:rPr>
                <w:rFonts w:hint="eastAsia"/>
                <w:lang w:val="en-US" w:eastAsia="zh-CN"/>
              </w:rPr>
            </w:pPr>
            <w:r>
              <w:rPr>
                <w:rFonts w:hint="default"/>
                <w:lang w:val="en-US" w:eastAsia="zh-CN"/>
              </w:rPr>
              <w:t>58</w:t>
            </w:r>
          </w:p>
        </w:tc>
        <w:tc>
          <w:tcPr>
            <w:tcW w:w="173" w:type="pct"/>
            <w:tcBorders>
              <w:tl2br w:val="nil"/>
              <w:tr2bl w:val="nil"/>
            </w:tcBorders>
            <w:shd w:val="clear" w:color="auto" w:fill="FFFFFF"/>
            <w:vAlign w:val="center"/>
          </w:tcPr>
          <w:p w14:paraId="33D0D192">
            <w:pPr>
              <w:pStyle w:val="106"/>
              <w:bidi w:val="0"/>
              <w:jc w:val="center"/>
              <w:rPr>
                <w:rFonts w:hint="eastAsia"/>
                <w:lang w:val="en-US" w:eastAsia="zh-CN"/>
              </w:rPr>
            </w:pPr>
            <w:r>
              <w:rPr>
                <w:rFonts w:hint="default"/>
                <w:lang w:val="en-US" w:eastAsia="zh-CN"/>
              </w:rPr>
              <w:t>32</w:t>
            </w:r>
          </w:p>
        </w:tc>
        <w:tc>
          <w:tcPr>
            <w:tcW w:w="173" w:type="pct"/>
            <w:tcBorders>
              <w:tl2br w:val="nil"/>
              <w:tr2bl w:val="nil"/>
            </w:tcBorders>
            <w:shd w:val="clear" w:color="auto" w:fill="FFFFFF"/>
            <w:vAlign w:val="center"/>
          </w:tcPr>
          <w:p w14:paraId="336AFA3B">
            <w:pPr>
              <w:pStyle w:val="106"/>
              <w:bidi w:val="0"/>
              <w:jc w:val="center"/>
              <w:rPr>
                <w:rFonts w:hint="eastAsia"/>
                <w:lang w:val="en-US" w:eastAsia="zh-CN"/>
              </w:rPr>
            </w:pPr>
            <w:r>
              <w:rPr>
                <w:rFonts w:hint="default"/>
                <w:lang w:val="en-US" w:eastAsia="zh-CN"/>
              </w:rPr>
              <w:t>68</w:t>
            </w:r>
          </w:p>
        </w:tc>
        <w:tc>
          <w:tcPr>
            <w:tcW w:w="173" w:type="pct"/>
            <w:tcBorders>
              <w:tl2br w:val="nil"/>
              <w:tr2bl w:val="nil"/>
            </w:tcBorders>
            <w:shd w:val="clear" w:color="auto" w:fill="FFFFFF"/>
            <w:vAlign w:val="center"/>
          </w:tcPr>
          <w:p w14:paraId="6FA11C27">
            <w:pPr>
              <w:pStyle w:val="106"/>
              <w:bidi w:val="0"/>
              <w:jc w:val="center"/>
              <w:rPr>
                <w:rFonts w:hint="eastAsia"/>
                <w:lang w:val="en-US" w:eastAsia="zh-CN"/>
              </w:rPr>
            </w:pPr>
            <w:r>
              <w:rPr>
                <w:rFonts w:hint="default"/>
                <w:lang w:val="en-US" w:eastAsia="zh-CN"/>
              </w:rPr>
              <w:t>18</w:t>
            </w:r>
          </w:p>
        </w:tc>
        <w:tc>
          <w:tcPr>
            <w:tcW w:w="173" w:type="pct"/>
            <w:tcBorders>
              <w:tl2br w:val="nil"/>
              <w:tr2bl w:val="nil"/>
            </w:tcBorders>
            <w:shd w:val="clear" w:color="auto" w:fill="FFFFFF"/>
            <w:vAlign w:val="center"/>
          </w:tcPr>
          <w:p w14:paraId="4808B3B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55.8</w:t>
            </w:r>
          </w:p>
        </w:tc>
        <w:tc>
          <w:tcPr>
            <w:tcW w:w="173" w:type="pct"/>
            <w:tcBorders>
              <w:tl2br w:val="nil"/>
              <w:tr2bl w:val="nil"/>
            </w:tcBorders>
            <w:shd w:val="clear" w:color="auto" w:fill="FFFFFF"/>
            <w:vAlign w:val="center"/>
          </w:tcPr>
          <w:p w14:paraId="18215EF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55.8</w:t>
            </w:r>
          </w:p>
        </w:tc>
        <w:tc>
          <w:tcPr>
            <w:tcW w:w="173" w:type="pct"/>
            <w:tcBorders>
              <w:tl2br w:val="nil"/>
              <w:tr2bl w:val="nil"/>
            </w:tcBorders>
            <w:shd w:val="clear" w:color="auto" w:fill="FFFFFF"/>
            <w:vAlign w:val="center"/>
          </w:tcPr>
          <w:p w14:paraId="123C9BD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55.8</w:t>
            </w:r>
          </w:p>
        </w:tc>
        <w:tc>
          <w:tcPr>
            <w:tcW w:w="177" w:type="pct"/>
            <w:tcBorders>
              <w:tl2br w:val="nil"/>
              <w:tr2bl w:val="nil"/>
            </w:tcBorders>
            <w:shd w:val="clear" w:color="auto" w:fill="FFFFFF"/>
            <w:vAlign w:val="center"/>
          </w:tcPr>
          <w:p w14:paraId="668AFA8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Pr>
          <w:p w14:paraId="6F9CA46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24F22AD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58429D8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485ED05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580A157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56B0A3E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29.8</w:t>
            </w:r>
          </w:p>
        </w:tc>
        <w:tc>
          <w:tcPr>
            <w:tcW w:w="176" w:type="pct"/>
            <w:tcBorders>
              <w:tl2br w:val="nil"/>
              <w:tr2bl w:val="nil"/>
            </w:tcBorders>
            <w:shd w:val="clear" w:color="auto" w:fill="FFFFFF"/>
            <w:vAlign w:val="center"/>
          </w:tcPr>
          <w:p w14:paraId="4D42CED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29.8</w:t>
            </w:r>
          </w:p>
        </w:tc>
        <w:tc>
          <w:tcPr>
            <w:tcW w:w="176" w:type="pct"/>
            <w:tcBorders>
              <w:tl2br w:val="nil"/>
              <w:tr2bl w:val="nil"/>
            </w:tcBorders>
            <w:shd w:val="clear" w:color="auto" w:fill="FFFFFF"/>
            <w:vAlign w:val="center"/>
          </w:tcPr>
          <w:p w14:paraId="29546FA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29.8</w:t>
            </w:r>
          </w:p>
        </w:tc>
        <w:tc>
          <w:tcPr>
            <w:tcW w:w="176" w:type="pct"/>
            <w:tcBorders>
              <w:tl2br w:val="nil"/>
              <w:tr2bl w:val="nil"/>
            </w:tcBorders>
            <w:shd w:val="clear" w:color="auto" w:fill="FFFFFF"/>
            <w:vAlign w:val="center"/>
          </w:tcPr>
          <w:p w14:paraId="081FF15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29.8</w:t>
            </w:r>
          </w:p>
        </w:tc>
        <w:tc>
          <w:tcPr>
            <w:tcW w:w="0" w:type="auto"/>
            <w:tcBorders>
              <w:tl2br w:val="nil"/>
              <w:tr2bl w:val="nil"/>
            </w:tcBorders>
            <w:shd w:val="clear" w:color="auto" w:fill="FFFFFF"/>
            <w:vAlign w:val="center"/>
          </w:tcPr>
          <w:p w14:paraId="52A7734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4B3A0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003E4D47">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1783E91F">
            <w:pPr>
              <w:pStyle w:val="106"/>
              <w:bidi w:val="0"/>
              <w:rPr>
                <w:rFonts w:hint="eastAsia"/>
                <w:lang w:val="en-US" w:eastAsia="zh-CN"/>
              </w:rPr>
            </w:pPr>
          </w:p>
        </w:tc>
        <w:tc>
          <w:tcPr>
            <w:tcW w:w="490" w:type="pct"/>
            <w:tcBorders>
              <w:tl2br w:val="nil"/>
              <w:tr2bl w:val="nil"/>
            </w:tcBorders>
            <w:shd w:val="clear" w:color="auto" w:fill="auto"/>
            <w:vAlign w:val="center"/>
          </w:tcPr>
          <w:p w14:paraId="1C0B39A1">
            <w:pPr>
              <w:pStyle w:val="106"/>
              <w:bidi w:val="0"/>
              <w:rPr>
                <w:rFonts w:hint="eastAsia"/>
              </w:rPr>
            </w:pPr>
            <w:r>
              <w:rPr>
                <w:rFonts w:hint="eastAsia"/>
              </w:rPr>
              <w:t>杀菌锅</w:t>
            </w:r>
          </w:p>
        </w:tc>
        <w:tc>
          <w:tcPr>
            <w:tcW w:w="119" w:type="pct"/>
            <w:tcBorders>
              <w:tl2br w:val="nil"/>
              <w:tr2bl w:val="nil"/>
            </w:tcBorders>
            <w:shd w:val="clear" w:color="auto" w:fill="FFFFFF"/>
            <w:vAlign w:val="top"/>
          </w:tcPr>
          <w:p w14:paraId="3DD82899">
            <w:pPr>
              <w:pStyle w:val="106"/>
              <w:bidi w:val="0"/>
              <w:rPr>
                <w:rFonts w:hint="eastAsia"/>
              </w:rPr>
            </w:pPr>
            <w:r>
              <w:rPr>
                <w:rFonts w:hint="eastAsia"/>
              </w:rPr>
              <w:t>/</w:t>
            </w:r>
          </w:p>
        </w:tc>
        <w:tc>
          <w:tcPr>
            <w:tcW w:w="251" w:type="pct"/>
            <w:tcBorders>
              <w:tl2br w:val="nil"/>
              <w:tr2bl w:val="nil"/>
            </w:tcBorders>
            <w:shd w:val="clear" w:color="auto" w:fill="auto"/>
            <w:vAlign w:val="center"/>
          </w:tcPr>
          <w:p w14:paraId="43A85D48">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515318C0">
            <w:pPr>
              <w:pStyle w:val="106"/>
              <w:bidi w:val="0"/>
              <w:rPr>
                <w:rFonts w:hint="eastAsia"/>
              </w:rPr>
            </w:pPr>
          </w:p>
        </w:tc>
        <w:tc>
          <w:tcPr>
            <w:tcW w:w="173" w:type="pct"/>
            <w:tcBorders>
              <w:tl2br w:val="nil"/>
              <w:tr2bl w:val="nil"/>
            </w:tcBorders>
            <w:shd w:val="clear" w:color="auto" w:fill="FFFFFF"/>
            <w:vAlign w:val="center"/>
          </w:tcPr>
          <w:p w14:paraId="5CE9F3C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0DCADF0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w:t>
            </w:r>
          </w:p>
        </w:tc>
        <w:tc>
          <w:tcPr>
            <w:tcW w:w="173" w:type="pct"/>
            <w:tcBorders>
              <w:tl2br w:val="nil"/>
              <w:tr2bl w:val="nil"/>
            </w:tcBorders>
            <w:shd w:val="clear" w:color="auto" w:fill="FFFFFF"/>
            <w:vAlign w:val="center"/>
          </w:tcPr>
          <w:p w14:paraId="166EE97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4465D214">
            <w:pPr>
              <w:pStyle w:val="106"/>
              <w:bidi w:val="0"/>
              <w:jc w:val="center"/>
              <w:rPr>
                <w:rFonts w:hint="eastAsia"/>
                <w:lang w:val="en-US" w:eastAsia="zh-CN"/>
              </w:rPr>
            </w:pPr>
            <w:r>
              <w:rPr>
                <w:rFonts w:hint="default"/>
                <w:lang w:val="en-US" w:eastAsia="zh-CN"/>
              </w:rPr>
              <w:t>58</w:t>
            </w:r>
          </w:p>
        </w:tc>
        <w:tc>
          <w:tcPr>
            <w:tcW w:w="173" w:type="pct"/>
            <w:tcBorders>
              <w:tl2br w:val="nil"/>
              <w:tr2bl w:val="nil"/>
            </w:tcBorders>
            <w:shd w:val="clear" w:color="auto" w:fill="FFFFFF"/>
            <w:vAlign w:val="center"/>
          </w:tcPr>
          <w:p w14:paraId="7A4FFCDD">
            <w:pPr>
              <w:pStyle w:val="106"/>
              <w:bidi w:val="0"/>
              <w:jc w:val="center"/>
              <w:rPr>
                <w:rFonts w:hint="eastAsia"/>
                <w:lang w:val="en-US" w:eastAsia="zh-CN"/>
              </w:rPr>
            </w:pPr>
            <w:r>
              <w:rPr>
                <w:rFonts w:hint="default"/>
                <w:lang w:val="en-US" w:eastAsia="zh-CN"/>
              </w:rPr>
              <w:t>29</w:t>
            </w:r>
          </w:p>
        </w:tc>
        <w:tc>
          <w:tcPr>
            <w:tcW w:w="173" w:type="pct"/>
            <w:tcBorders>
              <w:tl2br w:val="nil"/>
              <w:tr2bl w:val="nil"/>
            </w:tcBorders>
            <w:shd w:val="clear" w:color="auto" w:fill="FFFFFF"/>
            <w:vAlign w:val="center"/>
          </w:tcPr>
          <w:p w14:paraId="01AE5B3E">
            <w:pPr>
              <w:pStyle w:val="106"/>
              <w:bidi w:val="0"/>
              <w:jc w:val="center"/>
              <w:rPr>
                <w:rFonts w:hint="eastAsia"/>
                <w:lang w:val="en-US" w:eastAsia="zh-CN"/>
              </w:rPr>
            </w:pPr>
            <w:r>
              <w:rPr>
                <w:rFonts w:hint="default"/>
                <w:lang w:val="en-US" w:eastAsia="zh-CN"/>
              </w:rPr>
              <w:t>68</w:t>
            </w:r>
          </w:p>
        </w:tc>
        <w:tc>
          <w:tcPr>
            <w:tcW w:w="173" w:type="pct"/>
            <w:tcBorders>
              <w:tl2br w:val="nil"/>
              <w:tr2bl w:val="nil"/>
            </w:tcBorders>
            <w:shd w:val="clear" w:color="auto" w:fill="FFFFFF"/>
            <w:vAlign w:val="center"/>
          </w:tcPr>
          <w:p w14:paraId="10208FB5">
            <w:pPr>
              <w:pStyle w:val="106"/>
              <w:bidi w:val="0"/>
              <w:jc w:val="center"/>
              <w:rPr>
                <w:rFonts w:hint="eastAsia"/>
                <w:lang w:val="en-US" w:eastAsia="zh-CN"/>
              </w:rPr>
            </w:pPr>
            <w:r>
              <w:rPr>
                <w:rFonts w:hint="default"/>
                <w:lang w:val="en-US" w:eastAsia="zh-CN"/>
              </w:rPr>
              <w:t>21</w:t>
            </w:r>
          </w:p>
        </w:tc>
        <w:tc>
          <w:tcPr>
            <w:tcW w:w="173" w:type="pct"/>
            <w:tcBorders>
              <w:tl2br w:val="nil"/>
              <w:tr2bl w:val="nil"/>
            </w:tcBorders>
            <w:shd w:val="clear" w:color="auto" w:fill="FFFFFF"/>
            <w:vAlign w:val="center"/>
          </w:tcPr>
          <w:p w14:paraId="5A14CFD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55.8</w:t>
            </w:r>
          </w:p>
        </w:tc>
        <w:tc>
          <w:tcPr>
            <w:tcW w:w="173" w:type="pct"/>
            <w:tcBorders>
              <w:tl2br w:val="nil"/>
              <w:tr2bl w:val="nil"/>
            </w:tcBorders>
            <w:shd w:val="clear" w:color="auto" w:fill="FFFFFF"/>
            <w:vAlign w:val="center"/>
          </w:tcPr>
          <w:p w14:paraId="31FE02B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55.8</w:t>
            </w:r>
          </w:p>
        </w:tc>
        <w:tc>
          <w:tcPr>
            <w:tcW w:w="173" w:type="pct"/>
            <w:tcBorders>
              <w:tl2br w:val="nil"/>
              <w:tr2bl w:val="nil"/>
            </w:tcBorders>
            <w:shd w:val="clear" w:color="auto" w:fill="FFFFFF"/>
            <w:vAlign w:val="center"/>
          </w:tcPr>
          <w:p w14:paraId="71F2C59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55.8</w:t>
            </w:r>
          </w:p>
        </w:tc>
        <w:tc>
          <w:tcPr>
            <w:tcW w:w="177" w:type="pct"/>
            <w:tcBorders>
              <w:tl2br w:val="nil"/>
              <w:tr2bl w:val="nil"/>
            </w:tcBorders>
            <w:shd w:val="clear" w:color="auto" w:fill="FFFFFF"/>
            <w:vAlign w:val="center"/>
          </w:tcPr>
          <w:p w14:paraId="6971C21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55.8</w:t>
            </w:r>
          </w:p>
        </w:tc>
        <w:tc>
          <w:tcPr>
            <w:tcW w:w="159" w:type="pct"/>
            <w:vMerge w:val="continue"/>
            <w:tcBorders>
              <w:tl2br w:val="nil"/>
              <w:tr2bl w:val="nil"/>
            </w:tcBorders>
            <w:shd w:val="clear" w:color="auto" w:fill="FFFFFF"/>
          </w:tcPr>
          <w:p w14:paraId="0C19ADA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47B4BF3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799C02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E074A6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737D0F5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30B7D3E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29.8</w:t>
            </w:r>
          </w:p>
        </w:tc>
        <w:tc>
          <w:tcPr>
            <w:tcW w:w="176" w:type="pct"/>
            <w:tcBorders>
              <w:tl2br w:val="nil"/>
              <w:tr2bl w:val="nil"/>
            </w:tcBorders>
            <w:shd w:val="clear" w:color="auto" w:fill="FFFFFF"/>
            <w:vAlign w:val="center"/>
          </w:tcPr>
          <w:p w14:paraId="5900CEE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29.8</w:t>
            </w:r>
          </w:p>
        </w:tc>
        <w:tc>
          <w:tcPr>
            <w:tcW w:w="176" w:type="pct"/>
            <w:tcBorders>
              <w:tl2br w:val="nil"/>
              <w:tr2bl w:val="nil"/>
            </w:tcBorders>
            <w:shd w:val="clear" w:color="auto" w:fill="FFFFFF"/>
            <w:vAlign w:val="center"/>
          </w:tcPr>
          <w:p w14:paraId="78C7AAE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29.8</w:t>
            </w:r>
          </w:p>
        </w:tc>
        <w:tc>
          <w:tcPr>
            <w:tcW w:w="176" w:type="pct"/>
            <w:tcBorders>
              <w:tl2br w:val="nil"/>
              <w:tr2bl w:val="nil"/>
            </w:tcBorders>
            <w:shd w:val="clear" w:color="auto" w:fill="FFFFFF"/>
            <w:vAlign w:val="center"/>
          </w:tcPr>
          <w:p w14:paraId="10AA774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29.8</w:t>
            </w:r>
          </w:p>
        </w:tc>
        <w:tc>
          <w:tcPr>
            <w:tcW w:w="0" w:type="auto"/>
            <w:tcBorders>
              <w:tl2br w:val="nil"/>
              <w:tr2bl w:val="nil"/>
            </w:tcBorders>
            <w:shd w:val="clear" w:color="auto" w:fill="FFFFFF"/>
            <w:vAlign w:val="center"/>
          </w:tcPr>
          <w:p w14:paraId="11AE5E1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33E30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660A7D13">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5EFD0784">
            <w:pPr>
              <w:pStyle w:val="106"/>
              <w:bidi w:val="0"/>
              <w:rPr>
                <w:rFonts w:hint="eastAsia"/>
                <w:lang w:val="en-US" w:eastAsia="zh-CN"/>
              </w:rPr>
            </w:pPr>
          </w:p>
        </w:tc>
        <w:tc>
          <w:tcPr>
            <w:tcW w:w="490" w:type="pct"/>
            <w:tcBorders>
              <w:tl2br w:val="nil"/>
              <w:tr2bl w:val="nil"/>
            </w:tcBorders>
            <w:shd w:val="clear" w:color="auto" w:fill="auto"/>
            <w:vAlign w:val="center"/>
          </w:tcPr>
          <w:p w14:paraId="1B36B745">
            <w:pPr>
              <w:pStyle w:val="106"/>
              <w:bidi w:val="0"/>
              <w:rPr>
                <w:rFonts w:hint="default"/>
                <w:lang w:val="en-US" w:eastAsia="zh-CN"/>
              </w:rPr>
            </w:pPr>
            <w:r>
              <w:rPr>
                <w:rFonts w:hint="eastAsia"/>
              </w:rPr>
              <w:t>吹干机</w:t>
            </w:r>
          </w:p>
        </w:tc>
        <w:tc>
          <w:tcPr>
            <w:tcW w:w="119" w:type="pct"/>
            <w:tcBorders>
              <w:tl2br w:val="nil"/>
              <w:tr2bl w:val="nil"/>
            </w:tcBorders>
            <w:shd w:val="clear" w:color="auto" w:fill="FFFFFF"/>
            <w:vAlign w:val="top"/>
          </w:tcPr>
          <w:p w14:paraId="52A8CC80">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73A31538">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15625CE3">
            <w:pPr>
              <w:pStyle w:val="106"/>
              <w:bidi w:val="0"/>
              <w:rPr>
                <w:rFonts w:hint="eastAsia"/>
              </w:rPr>
            </w:pPr>
          </w:p>
        </w:tc>
        <w:tc>
          <w:tcPr>
            <w:tcW w:w="173" w:type="pct"/>
            <w:tcBorders>
              <w:tl2br w:val="nil"/>
              <w:tr2bl w:val="nil"/>
            </w:tcBorders>
            <w:shd w:val="clear" w:color="auto" w:fill="FFFFFF"/>
            <w:vAlign w:val="center"/>
          </w:tcPr>
          <w:p w14:paraId="2E9EA50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15</w:t>
            </w:r>
          </w:p>
        </w:tc>
        <w:tc>
          <w:tcPr>
            <w:tcW w:w="173" w:type="pct"/>
            <w:tcBorders>
              <w:tl2br w:val="nil"/>
              <w:tr2bl w:val="nil"/>
            </w:tcBorders>
            <w:shd w:val="clear" w:color="auto" w:fill="FFFFFF"/>
            <w:vAlign w:val="center"/>
          </w:tcPr>
          <w:p w14:paraId="28574A8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w:t>
            </w:r>
          </w:p>
        </w:tc>
        <w:tc>
          <w:tcPr>
            <w:tcW w:w="173" w:type="pct"/>
            <w:tcBorders>
              <w:tl2br w:val="nil"/>
              <w:tr2bl w:val="nil"/>
            </w:tcBorders>
            <w:shd w:val="clear" w:color="auto" w:fill="FFFFFF"/>
            <w:vAlign w:val="center"/>
          </w:tcPr>
          <w:p w14:paraId="3D49546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04A9ECAD">
            <w:pPr>
              <w:pStyle w:val="106"/>
              <w:bidi w:val="0"/>
              <w:jc w:val="center"/>
              <w:rPr>
                <w:rFonts w:hint="eastAsia"/>
                <w:lang w:val="en-US" w:eastAsia="zh-CN"/>
              </w:rPr>
            </w:pPr>
            <w:r>
              <w:rPr>
                <w:rFonts w:hint="default"/>
                <w:lang w:val="en-US" w:eastAsia="zh-CN"/>
              </w:rPr>
              <w:t>48</w:t>
            </w:r>
          </w:p>
        </w:tc>
        <w:tc>
          <w:tcPr>
            <w:tcW w:w="173" w:type="pct"/>
            <w:tcBorders>
              <w:tl2br w:val="nil"/>
              <w:tr2bl w:val="nil"/>
            </w:tcBorders>
            <w:shd w:val="clear" w:color="auto" w:fill="FFFFFF"/>
            <w:vAlign w:val="center"/>
          </w:tcPr>
          <w:p w14:paraId="2EA3D1B6">
            <w:pPr>
              <w:pStyle w:val="106"/>
              <w:bidi w:val="0"/>
              <w:jc w:val="center"/>
              <w:rPr>
                <w:rFonts w:hint="eastAsia"/>
                <w:lang w:val="en-US" w:eastAsia="zh-CN"/>
              </w:rPr>
            </w:pPr>
            <w:r>
              <w:rPr>
                <w:rFonts w:hint="default"/>
                <w:lang w:val="en-US" w:eastAsia="zh-CN"/>
              </w:rPr>
              <w:t>29</w:t>
            </w:r>
          </w:p>
        </w:tc>
        <w:tc>
          <w:tcPr>
            <w:tcW w:w="173" w:type="pct"/>
            <w:tcBorders>
              <w:tl2br w:val="nil"/>
              <w:tr2bl w:val="nil"/>
            </w:tcBorders>
            <w:shd w:val="clear" w:color="auto" w:fill="FFFFFF"/>
            <w:vAlign w:val="center"/>
          </w:tcPr>
          <w:p w14:paraId="75426C5B">
            <w:pPr>
              <w:pStyle w:val="106"/>
              <w:bidi w:val="0"/>
              <w:jc w:val="center"/>
              <w:rPr>
                <w:rFonts w:hint="default"/>
                <w:lang w:val="en-US" w:eastAsia="zh-CN"/>
              </w:rPr>
            </w:pPr>
            <w:r>
              <w:rPr>
                <w:rFonts w:hint="default"/>
                <w:lang w:val="en-US" w:eastAsia="zh-CN"/>
              </w:rPr>
              <w:t>78</w:t>
            </w:r>
          </w:p>
        </w:tc>
        <w:tc>
          <w:tcPr>
            <w:tcW w:w="173" w:type="pct"/>
            <w:tcBorders>
              <w:tl2br w:val="nil"/>
              <w:tr2bl w:val="nil"/>
            </w:tcBorders>
            <w:shd w:val="clear" w:color="auto" w:fill="FFFFFF"/>
            <w:vAlign w:val="center"/>
          </w:tcPr>
          <w:p w14:paraId="63D2BE72">
            <w:pPr>
              <w:pStyle w:val="106"/>
              <w:bidi w:val="0"/>
              <w:jc w:val="center"/>
              <w:rPr>
                <w:rFonts w:hint="eastAsia"/>
                <w:lang w:val="en-US" w:eastAsia="zh-CN"/>
              </w:rPr>
            </w:pPr>
            <w:r>
              <w:rPr>
                <w:rFonts w:hint="default"/>
                <w:lang w:val="en-US" w:eastAsia="zh-CN"/>
              </w:rPr>
              <w:t>21</w:t>
            </w:r>
          </w:p>
        </w:tc>
        <w:tc>
          <w:tcPr>
            <w:tcW w:w="173" w:type="pct"/>
            <w:tcBorders>
              <w:tl2br w:val="nil"/>
              <w:tr2bl w:val="nil"/>
            </w:tcBorders>
            <w:shd w:val="clear" w:color="auto" w:fill="FFFFFF"/>
            <w:vAlign w:val="center"/>
          </w:tcPr>
          <w:p w14:paraId="4CB3CC3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73" w:type="pct"/>
            <w:tcBorders>
              <w:tl2br w:val="nil"/>
              <w:tr2bl w:val="nil"/>
            </w:tcBorders>
            <w:shd w:val="clear" w:color="auto" w:fill="FFFFFF"/>
            <w:vAlign w:val="center"/>
          </w:tcPr>
          <w:p w14:paraId="0585B0E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73" w:type="pct"/>
            <w:tcBorders>
              <w:tl2br w:val="nil"/>
              <w:tr2bl w:val="nil"/>
            </w:tcBorders>
            <w:shd w:val="clear" w:color="auto" w:fill="FFFFFF"/>
            <w:vAlign w:val="center"/>
          </w:tcPr>
          <w:p w14:paraId="3322372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77" w:type="pct"/>
            <w:tcBorders>
              <w:tl2br w:val="nil"/>
              <w:tr2bl w:val="nil"/>
            </w:tcBorders>
            <w:shd w:val="clear" w:color="auto" w:fill="FFFFFF"/>
            <w:vAlign w:val="center"/>
          </w:tcPr>
          <w:p w14:paraId="3625C0A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55.8</w:t>
            </w:r>
          </w:p>
        </w:tc>
        <w:tc>
          <w:tcPr>
            <w:tcW w:w="159" w:type="pct"/>
            <w:vMerge w:val="continue"/>
            <w:tcBorders>
              <w:tl2br w:val="nil"/>
              <w:tr2bl w:val="nil"/>
            </w:tcBorders>
            <w:shd w:val="clear" w:color="auto" w:fill="FFFFFF"/>
          </w:tcPr>
          <w:p w14:paraId="1F21FA1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3D1C6C3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15038D9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280EECD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691EBB4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5BA5838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176" w:type="pct"/>
            <w:tcBorders>
              <w:tl2br w:val="nil"/>
              <w:tr2bl w:val="nil"/>
            </w:tcBorders>
            <w:shd w:val="clear" w:color="auto" w:fill="FFFFFF"/>
            <w:vAlign w:val="center"/>
          </w:tcPr>
          <w:p w14:paraId="25CAC3D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176" w:type="pct"/>
            <w:tcBorders>
              <w:tl2br w:val="nil"/>
              <w:tr2bl w:val="nil"/>
            </w:tcBorders>
            <w:shd w:val="clear" w:color="auto" w:fill="FFFFFF"/>
            <w:vAlign w:val="center"/>
          </w:tcPr>
          <w:p w14:paraId="3B1E8E2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176" w:type="pct"/>
            <w:tcBorders>
              <w:tl2br w:val="nil"/>
              <w:tr2bl w:val="nil"/>
            </w:tcBorders>
            <w:shd w:val="clear" w:color="auto" w:fill="FFFFFF"/>
            <w:vAlign w:val="center"/>
          </w:tcPr>
          <w:p w14:paraId="1FC03C1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29.8</w:t>
            </w:r>
          </w:p>
        </w:tc>
        <w:tc>
          <w:tcPr>
            <w:tcW w:w="0" w:type="auto"/>
            <w:tcBorders>
              <w:tl2br w:val="nil"/>
              <w:tr2bl w:val="nil"/>
            </w:tcBorders>
            <w:shd w:val="clear" w:color="auto" w:fill="FFFFFF"/>
            <w:vAlign w:val="center"/>
          </w:tcPr>
          <w:p w14:paraId="5EFFC25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01876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627D7DF9">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68803C6E">
            <w:pPr>
              <w:pStyle w:val="106"/>
              <w:bidi w:val="0"/>
              <w:rPr>
                <w:rFonts w:hint="eastAsia"/>
                <w:lang w:val="en-US" w:eastAsia="zh-CN"/>
              </w:rPr>
            </w:pPr>
          </w:p>
        </w:tc>
        <w:tc>
          <w:tcPr>
            <w:tcW w:w="490" w:type="pct"/>
            <w:tcBorders>
              <w:tl2br w:val="nil"/>
              <w:tr2bl w:val="nil"/>
            </w:tcBorders>
            <w:shd w:val="clear" w:color="auto" w:fill="auto"/>
            <w:vAlign w:val="center"/>
          </w:tcPr>
          <w:p w14:paraId="4798BF61">
            <w:pPr>
              <w:pStyle w:val="106"/>
              <w:bidi w:val="0"/>
              <w:rPr>
                <w:rFonts w:hint="default"/>
                <w:lang w:val="en-US" w:eastAsia="zh-CN"/>
              </w:rPr>
            </w:pPr>
            <w:r>
              <w:rPr>
                <w:rFonts w:hint="eastAsia"/>
              </w:rPr>
              <w:t>贴标喷码机</w:t>
            </w:r>
          </w:p>
        </w:tc>
        <w:tc>
          <w:tcPr>
            <w:tcW w:w="119" w:type="pct"/>
            <w:tcBorders>
              <w:tl2br w:val="nil"/>
              <w:tr2bl w:val="nil"/>
            </w:tcBorders>
            <w:shd w:val="clear" w:color="auto" w:fill="FFFFFF"/>
            <w:vAlign w:val="top"/>
          </w:tcPr>
          <w:p w14:paraId="7CE8C758">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31080F60">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Pr>
          <w:p w14:paraId="0BEB56FD">
            <w:pPr>
              <w:pStyle w:val="106"/>
              <w:bidi w:val="0"/>
              <w:rPr>
                <w:rFonts w:hint="eastAsia"/>
              </w:rPr>
            </w:pPr>
          </w:p>
        </w:tc>
        <w:tc>
          <w:tcPr>
            <w:tcW w:w="173" w:type="pct"/>
            <w:tcBorders>
              <w:tl2br w:val="nil"/>
              <w:tr2bl w:val="nil"/>
            </w:tcBorders>
            <w:shd w:val="clear" w:color="auto" w:fill="FFFFFF"/>
            <w:vAlign w:val="center"/>
          </w:tcPr>
          <w:p w14:paraId="74293B4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40</w:t>
            </w:r>
          </w:p>
        </w:tc>
        <w:tc>
          <w:tcPr>
            <w:tcW w:w="173" w:type="pct"/>
            <w:tcBorders>
              <w:tl2br w:val="nil"/>
              <w:tr2bl w:val="nil"/>
            </w:tcBorders>
            <w:shd w:val="clear" w:color="auto" w:fill="FFFFFF"/>
            <w:vAlign w:val="center"/>
          </w:tcPr>
          <w:p w14:paraId="44F5348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w:t>
            </w:r>
          </w:p>
        </w:tc>
        <w:tc>
          <w:tcPr>
            <w:tcW w:w="173" w:type="pct"/>
            <w:tcBorders>
              <w:tl2br w:val="nil"/>
              <w:tr2bl w:val="nil"/>
            </w:tcBorders>
            <w:shd w:val="clear" w:color="auto" w:fill="FFFFFF"/>
            <w:vAlign w:val="center"/>
          </w:tcPr>
          <w:p w14:paraId="0889AEF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5F399C89">
            <w:pPr>
              <w:pStyle w:val="106"/>
              <w:bidi w:val="0"/>
              <w:jc w:val="center"/>
              <w:rPr>
                <w:rFonts w:hint="eastAsia"/>
                <w:lang w:val="en-US" w:eastAsia="zh-CN"/>
              </w:rPr>
            </w:pPr>
            <w:r>
              <w:rPr>
                <w:rFonts w:hint="default"/>
                <w:lang w:val="en-US" w:eastAsia="zh-CN"/>
              </w:rPr>
              <w:t>23</w:t>
            </w:r>
          </w:p>
        </w:tc>
        <w:tc>
          <w:tcPr>
            <w:tcW w:w="173" w:type="pct"/>
            <w:tcBorders>
              <w:tl2br w:val="nil"/>
              <w:tr2bl w:val="nil"/>
            </w:tcBorders>
            <w:shd w:val="clear" w:color="auto" w:fill="FFFFFF"/>
            <w:vAlign w:val="center"/>
          </w:tcPr>
          <w:p w14:paraId="36C43FD5">
            <w:pPr>
              <w:pStyle w:val="106"/>
              <w:bidi w:val="0"/>
              <w:jc w:val="center"/>
              <w:rPr>
                <w:rFonts w:hint="eastAsia"/>
                <w:lang w:val="en-US" w:eastAsia="zh-CN"/>
              </w:rPr>
            </w:pPr>
            <w:r>
              <w:rPr>
                <w:rFonts w:hint="default"/>
                <w:lang w:val="en-US" w:eastAsia="zh-CN"/>
              </w:rPr>
              <w:t>29</w:t>
            </w:r>
          </w:p>
        </w:tc>
        <w:tc>
          <w:tcPr>
            <w:tcW w:w="173" w:type="pct"/>
            <w:tcBorders>
              <w:tl2br w:val="nil"/>
              <w:tr2bl w:val="nil"/>
            </w:tcBorders>
            <w:shd w:val="clear" w:color="auto" w:fill="FFFFFF"/>
            <w:vAlign w:val="center"/>
          </w:tcPr>
          <w:p w14:paraId="30C1923F">
            <w:pPr>
              <w:pStyle w:val="106"/>
              <w:bidi w:val="0"/>
              <w:jc w:val="center"/>
              <w:rPr>
                <w:rFonts w:hint="default"/>
                <w:lang w:val="en-US" w:eastAsia="zh-CN"/>
              </w:rPr>
            </w:pPr>
            <w:r>
              <w:rPr>
                <w:rFonts w:hint="default"/>
                <w:lang w:val="en-US" w:eastAsia="zh-CN"/>
              </w:rPr>
              <w:t>103</w:t>
            </w:r>
          </w:p>
        </w:tc>
        <w:tc>
          <w:tcPr>
            <w:tcW w:w="173" w:type="pct"/>
            <w:tcBorders>
              <w:tl2br w:val="nil"/>
              <w:tr2bl w:val="nil"/>
            </w:tcBorders>
            <w:shd w:val="clear" w:color="auto" w:fill="FFFFFF"/>
            <w:vAlign w:val="center"/>
          </w:tcPr>
          <w:p w14:paraId="727450FA">
            <w:pPr>
              <w:pStyle w:val="106"/>
              <w:bidi w:val="0"/>
              <w:jc w:val="center"/>
              <w:rPr>
                <w:rFonts w:hint="eastAsia"/>
                <w:lang w:val="en-US" w:eastAsia="zh-CN"/>
              </w:rPr>
            </w:pPr>
            <w:r>
              <w:rPr>
                <w:rFonts w:hint="default"/>
                <w:lang w:val="en-US" w:eastAsia="zh-CN"/>
              </w:rPr>
              <w:t>21</w:t>
            </w:r>
          </w:p>
        </w:tc>
        <w:tc>
          <w:tcPr>
            <w:tcW w:w="173" w:type="pct"/>
            <w:tcBorders>
              <w:tl2br w:val="nil"/>
              <w:tr2bl w:val="nil"/>
            </w:tcBorders>
            <w:shd w:val="clear" w:color="auto" w:fill="FFFFFF"/>
            <w:vAlign w:val="center"/>
          </w:tcPr>
          <w:p w14:paraId="10A6F96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45.9</w:t>
            </w:r>
          </w:p>
        </w:tc>
        <w:tc>
          <w:tcPr>
            <w:tcW w:w="173" w:type="pct"/>
            <w:tcBorders>
              <w:tl2br w:val="nil"/>
              <w:tr2bl w:val="nil"/>
            </w:tcBorders>
            <w:shd w:val="clear" w:color="auto" w:fill="FFFFFF"/>
            <w:vAlign w:val="center"/>
          </w:tcPr>
          <w:p w14:paraId="1222DA4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45.9</w:t>
            </w:r>
          </w:p>
        </w:tc>
        <w:tc>
          <w:tcPr>
            <w:tcW w:w="173" w:type="pct"/>
            <w:tcBorders>
              <w:tl2br w:val="nil"/>
              <w:tr2bl w:val="nil"/>
            </w:tcBorders>
            <w:shd w:val="clear" w:color="auto" w:fill="FFFFFF"/>
            <w:vAlign w:val="center"/>
          </w:tcPr>
          <w:p w14:paraId="215C05E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45.9</w:t>
            </w:r>
          </w:p>
        </w:tc>
        <w:tc>
          <w:tcPr>
            <w:tcW w:w="177" w:type="pct"/>
            <w:tcBorders>
              <w:tl2br w:val="nil"/>
              <w:tr2bl w:val="nil"/>
            </w:tcBorders>
            <w:shd w:val="clear" w:color="auto" w:fill="FFFFFF"/>
            <w:vAlign w:val="center"/>
          </w:tcPr>
          <w:p w14:paraId="299F26D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45.9</w:t>
            </w:r>
          </w:p>
        </w:tc>
        <w:tc>
          <w:tcPr>
            <w:tcW w:w="159" w:type="pct"/>
            <w:vMerge w:val="continue"/>
            <w:tcBorders>
              <w:tl2br w:val="nil"/>
              <w:tr2bl w:val="nil"/>
            </w:tcBorders>
            <w:shd w:val="clear" w:color="auto" w:fill="FFFFFF"/>
          </w:tcPr>
          <w:p w14:paraId="07BB9BE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5D7AEA5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2058854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DC6907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5FB5EB6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1912D9D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19.9</w:t>
            </w:r>
          </w:p>
        </w:tc>
        <w:tc>
          <w:tcPr>
            <w:tcW w:w="176" w:type="pct"/>
            <w:tcBorders>
              <w:tl2br w:val="nil"/>
              <w:tr2bl w:val="nil"/>
            </w:tcBorders>
            <w:shd w:val="clear" w:color="auto" w:fill="FFFFFF"/>
            <w:vAlign w:val="center"/>
          </w:tcPr>
          <w:p w14:paraId="34983C3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19.9</w:t>
            </w:r>
          </w:p>
        </w:tc>
        <w:tc>
          <w:tcPr>
            <w:tcW w:w="176" w:type="pct"/>
            <w:tcBorders>
              <w:tl2br w:val="nil"/>
              <w:tr2bl w:val="nil"/>
            </w:tcBorders>
            <w:shd w:val="clear" w:color="auto" w:fill="FFFFFF"/>
            <w:vAlign w:val="center"/>
          </w:tcPr>
          <w:p w14:paraId="0D27AB0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19.9</w:t>
            </w:r>
          </w:p>
        </w:tc>
        <w:tc>
          <w:tcPr>
            <w:tcW w:w="176" w:type="pct"/>
            <w:tcBorders>
              <w:tl2br w:val="nil"/>
              <w:tr2bl w:val="nil"/>
            </w:tcBorders>
            <w:shd w:val="clear" w:color="auto" w:fill="FFFFFF"/>
            <w:vAlign w:val="center"/>
          </w:tcPr>
          <w:p w14:paraId="77058A7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19.9</w:t>
            </w:r>
          </w:p>
        </w:tc>
        <w:tc>
          <w:tcPr>
            <w:tcW w:w="0" w:type="auto"/>
            <w:tcBorders>
              <w:tl2br w:val="nil"/>
              <w:tr2bl w:val="nil"/>
            </w:tcBorders>
            <w:shd w:val="clear" w:color="auto" w:fill="FFFFFF"/>
            <w:vAlign w:val="center"/>
          </w:tcPr>
          <w:p w14:paraId="27F461A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3E935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1C96FAFD">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73319AD0">
            <w:pPr>
              <w:pStyle w:val="106"/>
              <w:bidi w:val="0"/>
              <w:rPr>
                <w:rFonts w:hint="eastAsia"/>
                <w:lang w:val="en-US" w:eastAsia="zh-CN"/>
              </w:rPr>
            </w:pPr>
          </w:p>
        </w:tc>
        <w:tc>
          <w:tcPr>
            <w:tcW w:w="490" w:type="pct"/>
            <w:tcBorders>
              <w:tl2br w:val="nil"/>
              <w:tr2bl w:val="nil"/>
            </w:tcBorders>
            <w:shd w:val="clear" w:color="auto" w:fill="auto"/>
            <w:vAlign w:val="center"/>
          </w:tcPr>
          <w:p w14:paraId="69AA2DA1">
            <w:pPr>
              <w:pStyle w:val="106"/>
              <w:bidi w:val="0"/>
              <w:rPr>
                <w:rFonts w:hint="default"/>
                <w:lang w:val="en-US" w:eastAsia="zh-CN"/>
              </w:rPr>
            </w:pPr>
            <w:r>
              <w:rPr>
                <w:rFonts w:hint="eastAsia"/>
              </w:rPr>
              <w:t>装箱机</w:t>
            </w:r>
          </w:p>
        </w:tc>
        <w:tc>
          <w:tcPr>
            <w:tcW w:w="119" w:type="pct"/>
            <w:tcBorders>
              <w:tl2br w:val="nil"/>
              <w:tr2bl w:val="nil"/>
            </w:tcBorders>
            <w:shd w:val="clear" w:color="auto" w:fill="FFFFFF"/>
            <w:vAlign w:val="top"/>
          </w:tcPr>
          <w:p w14:paraId="336AF7C7">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6A56BC92">
            <w:pPr>
              <w:pStyle w:val="106"/>
              <w:bidi w:val="0"/>
              <w:rPr>
                <w:rFonts w:hint="default"/>
                <w:lang w:val="en-US" w:eastAsia="zh-CN"/>
              </w:rPr>
            </w:pPr>
            <w:r>
              <w:rPr>
                <w:rFonts w:hint="eastAsia"/>
                <w:lang w:val="en-US" w:eastAsia="zh-CN"/>
              </w:rPr>
              <w:t>75</w:t>
            </w:r>
          </w:p>
        </w:tc>
        <w:tc>
          <w:tcPr>
            <w:tcW w:w="139" w:type="pct"/>
            <w:vMerge w:val="continue"/>
            <w:tcBorders>
              <w:tl2br w:val="nil"/>
              <w:tr2bl w:val="nil"/>
            </w:tcBorders>
            <w:shd w:val="clear" w:color="auto" w:fill="FFFFFF"/>
          </w:tcPr>
          <w:p w14:paraId="728BD950">
            <w:pPr>
              <w:pStyle w:val="106"/>
              <w:bidi w:val="0"/>
              <w:rPr>
                <w:rFonts w:hint="eastAsia"/>
              </w:rPr>
            </w:pPr>
          </w:p>
        </w:tc>
        <w:tc>
          <w:tcPr>
            <w:tcW w:w="173" w:type="pct"/>
            <w:tcBorders>
              <w:tl2br w:val="nil"/>
              <w:tr2bl w:val="nil"/>
            </w:tcBorders>
            <w:shd w:val="clear" w:color="auto" w:fill="FFFFFF"/>
            <w:vAlign w:val="center"/>
          </w:tcPr>
          <w:p w14:paraId="55AA47A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w:t>
            </w:r>
          </w:p>
        </w:tc>
        <w:tc>
          <w:tcPr>
            <w:tcW w:w="173" w:type="pct"/>
            <w:tcBorders>
              <w:tl2br w:val="nil"/>
              <w:tr2bl w:val="nil"/>
            </w:tcBorders>
            <w:shd w:val="clear" w:color="auto" w:fill="FFFFFF"/>
            <w:vAlign w:val="center"/>
          </w:tcPr>
          <w:p w14:paraId="674B97E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w:t>
            </w:r>
          </w:p>
        </w:tc>
        <w:tc>
          <w:tcPr>
            <w:tcW w:w="173" w:type="pct"/>
            <w:tcBorders>
              <w:tl2br w:val="nil"/>
              <w:tr2bl w:val="nil"/>
            </w:tcBorders>
            <w:shd w:val="clear" w:color="auto" w:fill="FFFFFF"/>
            <w:vAlign w:val="center"/>
          </w:tcPr>
          <w:p w14:paraId="18E2820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2D601F49">
            <w:pPr>
              <w:pStyle w:val="106"/>
              <w:bidi w:val="0"/>
              <w:jc w:val="center"/>
              <w:rPr>
                <w:rFonts w:hint="eastAsia"/>
                <w:lang w:val="en-US" w:eastAsia="zh-CN"/>
              </w:rPr>
            </w:pPr>
            <w:r>
              <w:rPr>
                <w:rFonts w:hint="default"/>
                <w:lang w:val="en-US" w:eastAsia="zh-CN"/>
              </w:rPr>
              <w:t>18</w:t>
            </w:r>
          </w:p>
        </w:tc>
        <w:tc>
          <w:tcPr>
            <w:tcW w:w="173" w:type="pct"/>
            <w:tcBorders>
              <w:tl2br w:val="nil"/>
              <w:tr2bl w:val="nil"/>
            </w:tcBorders>
            <w:shd w:val="clear" w:color="auto" w:fill="FFFFFF"/>
            <w:vAlign w:val="center"/>
          </w:tcPr>
          <w:p w14:paraId="656A706D">
            <w:pPr>
              <w:pStyle w:val="106"/>
              <w:bidi w:val="0"/>
              <w:jc w:val="center"/>
              <w:rPr>
                <w:rFonts w:hint="eastAsia"/>
                <w:lang w:val="en-US" w:eastAsia="zh-CN"/>
              </w:rPr>
            </w:pPr>
            <w:r>
              <w:rPr>
                <w:rFonts w:hint="default"/>
                <w:lang w:val="en-US" w:eastAsia="zh-CN"/>
              </w:rPr>
              <w:t>29</w:t>
            </w:r>
          </w:p>
        </w:tc>
        <w:tc>
          <w:tcPr>
            <w:tcW w:w="173" w:type="pct"/>
            <w:tcBorders>
              <w:tl2br w:val="nil"/>
              <w:tr2bl w:val="nil"/>
            </w:tcBorders>
            <w:shd w:val="clear" w:color="auto" w:fill="FFFFFF"/>
            <w:vAlign w:val="center"/>
          </w:tcPr>
          <w:p w14:paraId="3994C5A1">
            <w:pPr>
              <w:pStyle w:val="106"/>
              <w:bidi w:val="0"/>
              <w:jc w:val="center"/>
              <w:rPr>
                <w:rFonts w:hint="default"/>
                <w:lang w:val="en-US" w:eastAsia="zh-CN"/>
              </w:rPr>
            </w:pPr>
            <w:r>
              <w:rPr>
                <w:rFonts w:hint="default"/>
                <w:lang w:val="en-US" w:eastAsia="zh-CN"/>
              </w:rPr>
              <w:t>108</w:t>
            </w:r>
          </w:p>
        </w:tc>
        <w:tc>
          <w:tcPr>
            <w:tcW w:w="173" w:type="pct"/>
            <w:tcBorders>
              <w:tl2br w:val="nil"/>
              <w:tr2bl w:val="nil"/>
            </w:tcBorders>
            <w:shd w:val="clear" w:color="auto" w:fill="FFFFFF"/>
            <w:vAlign w:val="center"/>
          </w:tcPr>
          <w:p w14:paraId="70436EA1">
            <w:pPr>
              <w:pStyle w:val="106"/>
              <w:bidi w:val="0"/>
              <w:jc w:val="center"/>
              <w:rPr>
                <w:rFonts w:hint="eastAsia"/>
                <w:lang w:val="en-US" w:eastAsia="zh-CN"/>
              </w:rPr>
            </w:pPr>
            <w:r>
              <w:rPr>
                <w:rFonts w:hint="default"/>
                <w:lang w:val="en-US" w:eastAsia="zh-CN"/>
              </w:rPr>
              <w:t>21</w:t>
            </w:r>
          </w:p>
        </w:tc>
        <w:tc>
          <w:tcPr>
            <w:tcW w:w="173" w:type="pct"/>
            <w:tcBorders>
              <w:tl2br w:val="nil"/>
              <w:tr2bl w:val="nil"/>
            </w:tcBorders>
            <w:shd w:val="clear" w:color="auto" w:fill="FFFFFF"/>
            <w:vAlign w:val="center"/>
          </w:tcPr>
          <w:p w14:paraId="25F5E23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51.0</w:t>
            </w:r>
          </w:p>
        </w:tc>
        <w:tc>
          <w:tcPr>
            <w:tcW w:w="173" w:type="pct"/>
            <w:tcBorders>
              <w:tl2br w:val="nil"/>
              <w:tr2bl w:val="nil"/>
            </w:tcBorders>
            <w:shd w:val="clear" w:color="auto" w:fill="FFFFFF"/>
            <w:vAlign w:val="center"/>
          </w:tcPr>
          <w:p w14:paraId="5AD1005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51.0</w:t>
            </w:r>
          </w:p>
        </w:tc>
        <w:tc>
          <w:tcPr>
            <w:tcW w:w="173" w:type="pct"/>
            <w:tcBorders>
              <w:tl2br w:val="nil"/>
              <w:tr2bl w:val="nil"/>
            </w:tcBorders>
            <w:shd w:val="clear" w:color="auto" w:fill="FFFFFF"/>
            <w:vAlign w:val="center"/>
          </w:tcPr>
          <w:p w14:paraId="44F571D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51.0</w:t>
            </w:r>
          </w:p>
        </w:tc>
        <w:tc>
          <w:tcPr>
            <w:tcW w:w="177" w:type="pct"/>
            <w:tcBorders>
              <w:tl2br w:val="nil"/>
              <w:tr2bl w:val="nil"/>
            </w:tcBorders>
            <w:shd w:val="clear" w:color="auto" w:fill="FFFFFF"/>
            <w:vAlign w:val="center"/>
          </w:tcPr>
          <w:p w14:paraId="65DE287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51.0</w:t>
            </w:r>
          </w:p>
        </w:tc>
        <w:tc>
          <w:tcPr>
            <w:tcW w:w="159" w:type="pct"/>
            <w:vMerge w:val="continue"/>
            <w:tcBorders>
              <w:tl2br w:val="nil"/>
              <w:tr2bl w:val="nil"/>
            </w:tcBorders>
            <w:shd w:val="clear" w:color="auto" w:fill="FFFFFF"/>
          </w:tcPr>
          <w:p w14:paraId="7CEC29B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5F81F96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B4BFE4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4864EA3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3AD4FE0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541BA44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25.0</w:t>
            </w:r>
          </w:p>
        </w:tc>
        <w:tc>
          <w:tcPr>
            <w:tcW w:w="176" w:type="pct"/>
            <w:tcBorders>
              <w:tl2br w:val="nil"/>
              <w:tr2bl w:val="nil"/>
            </w:tcBorders>
            <w:shd w:val="clear" w:color="auto" w:fill="FFFFFF"/>
            <w:vAlign w:val="center"/>
          </w:tcPr>
          <w:p w14:paraId="0E932FE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25.0</w:t>
            </w:r>
          </w:p>
        </w:tc>
        <w:tc>
          <w:tcPr>
            <w:tcW w:w="176" w:type="pct"/>
            <w:tcBorders>
              <w:tl2br w:val="nil"/>
              <w:tr2bl w:val="nil"/>
            </w:tcBorders>
            <w:shd w:val="clear" w:color="auto" w:fill="FFFFFF"/>
            <w:vAlign w:val="center"/>
          </w:tcPr>
          <w:p w14:paraId="67686B0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25.0</w:t>
            </w:r>
          </w:p>
        </w:tc>
        <w:tc>
          <w:tcPr>
            <w:tcW w:w="176" w:type="pct"/>
            <w:tcBorders>
              <w:tl2br w:val="nil"/>
              <w:tr2bl w:val="nil"/>
            </w:tcBorders>
            <w:shd w:val="clear" w:color="auto" w:fill="FFFFFF"/>
            <w:vAlign w:val="center"/>
          </w:tcPr>
          <w:p w14:paraId="7D1A82F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25.0</w:t>
            </w:r>
          </w:p>
        </w:tc>
        <w:tc>
          <w:tcPr>
            <w:tcW w:w="0" w:type="auto"/>
            <w:tcBorders>
              <w:tl2br w:val="nil"/>
              <w:tr2bl w:val="nil"/>
            </w:tcBorders>
            <w:shd w:val="clear" w:color="auto" w:fill="FFFFFF"/>
            <w:vAlign w:val="center"/>
          </w:tcPr>
          <w:p w14:paraId="553E69B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63EC1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059FB315">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423027D6">
            <w:pPr>
              <w:pStyle w:val="106"/>
              <w:bidi w:val="0"/>
              <w:rPr>
                <w:rFonts w:hint="eastAsia"/>
                <w:lang w:val="en-US" w:eastAsia="zh-CN"/>
              </w:rPr>
            </w:pPr>
          </w:p>
        </w:tc>
        <w:tc>
          <w:tcPr>
            <w:tcW w:w="490" w:type="pct"/>
            <w:tcBorders>
              <w:tl2br w:val="nil"/>
              <w:tr2bl w:val="nil"/>
            </w:tcBorders>
            <w:shd w:val="clear" w:color="auto" w:fill="auto"/>
            <w:vAlign w:val="center"/>
          </w:tcPr>
          <w:p w14:paraId="3674A862">
            <w:pPr>
              <w:pStyle w:val="106"/>
              <w:bidi w:val="0"/>
              <w:rPr>
                <w:rFonts w:hint="default"/>
                <w:lang w:val="en-US" w:eastAsia="zh-CN"/>
              </w:rPr>
            </w:pPr>
            <w:r>
              <w:rPr>
                <w:rFonts w:hint="eastAsia"/>
              </w:rPr>
              <w:t>码垛机</w:t>
            </w:r>
          </w:p>
        </w:tc>
        <w:tc>
          <w:tcPr>
            <w:tcW w:w="119" w:type="pct"/>
            <w:tcBorders>
              <w:tl2br w:val="nil"/>
              <w:tr2bl w:val="nil"/>
            </w:tcBorders>
            <w:shd w:val="clear" w:color="auto" w:fill="FFFFFF"/>
            <w:vAlign w:val="top"/>
          </w:tcPr>
          <w:p w14:paraId="2C790527">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356B6BBC">
            <w:pPr>
              <w:pStyle w:val="106"/>
              <w:bidi w:val="0"/>
              <w:rPr>
                <w:rFonts w:hint="default"/>
                <w:lang w:val="en-US" w:eastAsia="zh-CN"/>
              </w:rPr>
            </w:pPr>
            <w:r>
              <w:rPr>
                <w:rFonts w:hint="eastAsia"/>
                <w:lang w:val="en-US" w:eastAsia="zh-CN"/>
              </w:rPr>
              <w:t>75</w:t>
            </w:r>
          </w:p>
        </w:tc>
        <w:tc>
          <w:tcPr>
            <w:tcW w:w="139" w:type="pct"/>
            <w:vMerge w:val="continue"/>
            <w:tcBorders>
              <w:tl2br w:val="nil"/>
              <w:tr2bl w:val="nil"/>
            </w:tcBorders>
            <w:shd w:val="clear" w:color="auto" w:fill="FFFFFF"/>
          </w:tcPr>
          <w:p w14:paraId="22F4DABA">
            <w:pPr>
              <w:pStyle w:val="106"/>
              <w:bidi w:val="0"/>
              <w:rPr>
                <w:rFonts w:hint="eastAsia"/>
              </w:rPr>
            </w:pPr>
          </w:p>
        </w:tc>
        <w:tc>
          <w:tcPr>
            <w:tcW w:w="173" w:type="pct"/>
            <w:tcBorders>
              <w:tl2br w:val="nil"/>
              <w:tr2bl w:val="nil"/>
            </w:tcBorders>
            <w:shd w:val="clear" w:color="auto" w:fill="FFFFFF"/>
            <w:vAlign w:val="center"/>
          </w:tcPr>
          <w:p w14:paraId="3068CA6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w:t>
            </w:r>
          </w:p>
        </w:tc>
        <w:tc>
          <w:tcPr>
            <w:tcW w:w="173" w:type="pct"/>
            <w:tcBorders>
              <w:tl2br w:val="nil"/>
              <w:tr2bl w:val="nil"/>
            </w:tcBorders>
            <w:shd w:val="clear" w:color="auto" w:fill="FFFFFF"/>
            <w:vAlign w:val="center"/>
          </w:tcPr>
          <w:p w14:paraId="3402CDB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-35</w:t>
            </w:r>
          </w:p>
        </w:tc>
        <w:tc>
          <w:tcPr>
            <w:tcW w:w="173" w:type="pct"/>
            <w:tcBorders>
              <w:tl2br w:val="nil"/>
              <w:tr2bl w:val="nil"/>
            </w:tcBorders>
            <w:shd w:val="clear" w:color="auto" w:fill="FFFFFF"/>
            <w:vAlign w:val="center"/>
          </w:tcPr>
          <w:p w14:paraId="43B5F5A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70408237">
            <w:pPr>
              <w:pStyle w:val="106"/>
              <w:bidi w:val="0"/>
              <w:jc w:val="center"/>
              <w:rPr>
                <w:rFonts w:hint="eastAsia"/>
                <w:lang w:val="en-US" w:eastAsia="zh-CN"/>
              </w:rPr>
            </w:pPr>
            <w:r>
              <w:rPr>
                <w:rFonts w:hint="default"/>
                <w:lang w:val="en-US" w:eastAsia="zh-CN"/>
              </w:rPr>
              <w:t>18</w:t>
            </w:r>
          </w:p>
        </w:tc>
        <w:tc>
          <w:tcPr>
            <w:tcW w:w="173" w:type="pct"/>
            <w:tcBorders>
              <w:tl2br w:val="nil"/>
              <w:tr2bl w:val="nil"/>
            </w:tcBorders>
            <w:shd w:val="clear" w:color="auto" w:fill="FFFFFF"/>
            <w:vAlign w:val="center"/>
          </w:tcPr>
          <w:p w14:paraId="05E19338">
            <w:pPr>
              <w:pStyle w:val="106"/>
              <w:bidi w:val="0"/>
              <w:jc w:val="center"/>
              <w:rPr>
                <w:rFonts w:hint="eastAsia"/>
                <w:lang w:val="en-US" w:eastAsia="zh-CN"/>
              </w:rPr>
            </w:pPr>
            <w:r>
              <w:rPr>
                <w:rFonts w:hint="default"/>
                <w:lang w:val="en-US" w:eastAsia="zh-CN"/>
              </w:rPr>
              <w:t>25</w:t>
            </w:r>
          </w:p>
        </w:tc>
        <w:tc>
          <w:tcPr>
            <w:tcW w:w="173" w:type="pct"/>
            <w:tcBorders>
              <w:tl2br w:val="nil"/>
              <w:tr2bl w:val="nil"/>
            </w:tcBorders>
            <w:shd w:val="clear" w:color="auto" w:fill="FFFFFF"/>
            <w:vAlign w:val="center"/>
          </w:tcPr>
          <w:p w14:paraId="32DD3340">
            <w:pPr>
              <w:pStyle w:val="106"/>
              <w:bidi w:val="0"/>
              <w:jc w:val="center"/>
              <w:rPr>
                <w:rFonts w:hint="default"/>
                <w:lang w:val="en-US" w:eastAsia="zh-CN"/>
              </w:rPr>
            </w:pPr>
            <w:r>
              <w:rPr>
                <w:rFonts w:hint="default"/>
                <w:lang w:val="en-US" w:eastAsia="zh-CN"/>
              </w:rPr>
              <w:t>108</w:t>
            </w:r>
          </w:p>
        </w:tc>
        <w:tc>
          <w:tcPr>
            <w:tcW w:w="173" w:type="pct"/>
            <w:tcBorders>
              <w:tl2br w:val="nil"/>
              <w:tr2bl w:val="nil"/>
            </w:tcBorders>
            <w:shd w:val="clear" w:color="auto" w:fill="FFFFFF"/>
            <w:vAlign w:val="center"/>
          </w:tcPr>
          <w:p w14:paraId="5C287B91">
            <w:pPr>
              <w:pStyle w:val="106"/>
              <w:bidi w:val="0"/>
              <w:jc w:val="center"/>
              <w:rPr>
                <w:rFonts w:hint="eastAsia"/>
                <w:lang w:val="en-US" w:eastAsia="zh-CN"/>
              </w:rPr>
            </w:pPr>
            <w:r>
              <w:rPr>
                <w:rFonts w:hint="default"/>
                <w:lang w:val="en-US" w:eastAsia="zh-CN"/>
              </w:rPr>
              <w:t>25</w:t>
            </w:r>
          </w:p>
        </w:tc>
        <w:tc>
          <w:tcPr>
            <w:tcW w:w="173" w:type="pct"/>
            <w:tcBorders>
              <w:tl2br w:val="nil"/>
              <w:tr2bl w:val="nil"/>
            </w:tcBorders>
            <w:shd w:val="clear" w:color="auto" w:fill="FFFFFF"/>
            <w:vAlign w:val="center"/>
          </w:tcPr>
          <w:p w14:paraId="39F80F6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51.0</w:t>
            </w:r>
          </w:p>
        </w:tc>
        <w:tc>
          <w:tcPr>
            <w:tcW w:w="173" w:type="pct"/>
            <w:tcBorders>
              <w:tl2br w:val="nil"/>
              <w:tr2bl w:val="nil"/>
            </w:tcBorders>
            <w:shd w:val="clear" w:color="auto" w:fill="FFFFFF"/>
            <w:vAlign w:val="center"/>
          </w:tcPr>
          <w:p w14:paraId="28F7D4C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51.0</w:t>
            </w:r>
          </w:p>
        </w:tc>
        <w:tc>
          <w:tcPr>
            <w:tcW w:w="173" w:type="pct"/>
            <w:tcBorders>
              <w:tl2br w:val="nil"/>
              <w:tr2bl w:val="nil"/>
            </w:tcBorders>
            <w:shd w:val="clear" w:color="auto" w:fill="FFFFFF"/>
            <w:vAlign w:val="center"/>
          </w:tcPr>
          <w:p w14:paraId="415E852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51.0</w:t>
            </w:r>
          </w:p>
        </w:tc>
        <w:tc>
          <w:tcPr>
            <w:tcW w:w="177" w:type="pct"/>
            <w:tcBorders>
              <w:tl2br w:val="nil"/>
              <w:tr2bl w:val="nil"/>
            </w:tcBorders>
            <w:shd w:val="clear" w:color="auto" w:fill="FFFFFF"/>
            <w:vAlign w:val="center"/>
          </w:tcPr>
          <w:p w14:paraId="5DA9531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51.0</w:t>
            </w:r>
          </w:p>
        </w:tc>
        <w:tc>
          <w:tcPr>
            <w:tcW w:w="159" w:type="pct"/>
            <w:vMerge w:val="continue"/>
            <w:tcBorders>
              <w:tl2br w:val="nil"/>
              <w:tr2bl w:val="nil"/>
            </w:tcBorders>
            <w:shd w:val="clear" w:color="auto" w:fill="FFFFFF"/>
          </w:tcPr>
          <w:p w14:paraId="41C8DE7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4DAD0ED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470E69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4DB0CC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23D61CD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77436BD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25.0</w:t>
            </w:r>
          </w:p>
        </w:tc>
        <w:tc>
          <w:tcPr>
            <w:tcW w:w="176" w:type="pct"/>
            <w:tcBorders>
              <w:tl2br w:val="nil"/>
              <w:tr2bl w:val="nil"/>
            </w:tcBorders>
            <w:shd w:val="clear" w:color="auto" w:fill="FFFFFF"/>
            <w:vAlign w:val="center"/>
          </w:tcPr>
          <w:p w14:paraId="5191A38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25.0</w:t>
            </w:r>
          </w:p>
        </w:tc>
        <w:tc>
          <w:tcPr>
            <w:tcW w:w="176" w:type="pct"/>
            <w:tcBorders>
              <w:tl2br w:val="nil"/>
              <w:tr2bl w:val="nil"/>
            </w:tcBorders>
            <w:shd w:val="clear" w:color="auto" w:fill="FFFFFF"/>
            <w:vAlign w:val="center"/>
          </w:tcPr>
          <w:p w14:paraId="1DC5A9A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25.0</w:t>
            </w:r>
          </w:p>
        </w:tc>
        <w:tc>
          <w:tcPr>
            <w:tcW w:w="176" w:type="pct"/>
            <w:tcBorders>
              <w:tl2br w:val="nil"/>
              <w:tr2bl w:val="nil"/>
            </w:tcBorders>
            <w:shd w:val="clear" w:color="auto" w:fill="FFFFFF"/>
            <w:vAlign w:val="center"/>
          </w:tcPr>
          <w:p w14:paraId="14DB541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25.0</w:t>
            </w:r>
          </w:p>
        </w:tc>
        <w:tc>
          <w:tcPr>
            <w:tcW w:w="0" w:type="auto"/>
            <w:tcBorders>
              <w:tl2br w:val="nil"/>
              <w:tr2bl w:val="nil"/>
            </w:tcBorders>
            <w:shd w:val="clear" w:color="auto" w:fill="FFFFFF"/>
            <w:vAlign w:val="center"/>
          </w:tcPr>
          <w:p w14:paraId="46489EC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61413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380D210A">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5BD42F49">
            <w:pPr>
              <w:pStyle w:val="106"/>
              <w:bidi w:val="0"/>
              <w:rPr>
                <w:rFonts w:hint="eastAsia"/>
                <w:lang w:val="en-US" w:eastAsia="zh-CN"/>
              </w:rPr>
            </w:pPr>
          </w:p>
        </w:tc>
        <w:tc>
          <w:tcPr>
            <w:tcW w:w="490" w:type="pct"/>
            <w:tcBorders>
              <w:tl2br w:val="nil"/>
              <w:tr2bl w:val="nil"/>
            </w:tcBorders>
            <w:shd w:val="clear" w:color="auto" w:fill="auto"/>
            <w:vAlign w:val="center"/>
          </w:tcPr>
          <w:p w14:paraId="7B82CB54">
            <w:pPr>
              <w:pStyle w:val="106"/>
              <w:bidi w:val="0"/>
              <w:rPr>
                <w:rFonts w:hint="default"/>
                <w:lang w:val="en-US" w:eastAsia="zh-CN"/>
              </w:rPr>
            </w:pPr>
            <w:r>
              <w:rPr>
                <w:rFonts w:hint="eastAsia"/>
              </w:rPr>
              <w:t>蒸汽发生器</w:t>
            </w:r>
          </w:p>
        </w:tc>
        <w:tc>
          <w:tcPr>
            <w:tcW w:w="119" w:type="pct"/>
            <w:tcBorders>
              <w:tl2br w:val="nil"/>
              <w:tr2bl w:val="nil"/>
            </w:tcBorders>
            <w:shd w:val="clear" w:color="auto" w:fill="FFFFFF"/>
            <w:vAlign w:val="top"/>
          </w:tcPr>
          <w:p w14:paraId="27E72166">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36F36C43">
            <w:pPr>
              <w:pStyle w:val="106"/>
              <w:bidi w:val="0"/>
              <w:rPr>
                <w:rFonts w:hint="default"/>
                <w:lang w:val="en-US" w:eastAsia="zh-CN"/>
              </w:rPr>
            </w:pPr>
            <w:r>
              <w:rPr>
                <w:rFonts w:hint="eastAsia"/>
                <w:lang w:val="en-US" w:eastAsia="zh-CN"/>
              </w:rPr>
              <w:t>70</w:t>
            </w:r>
          </w:p>
        </w:tc>
        <w:tc>
          <w:tcPr>
            <w:tcW w:w="139" w:type="pct"/>
            <w:vMerge w:val="continue"/>
            <w:tcBorders>
              <w:tl2br w:val="nil"/>
              <w:tr2bl w:val="nil"/>
            </w:tcBorders>
            <w:shd w:val="clear" w:color="auto" w:fill="FFFFFF"/>
          </w:tcPr>
          <w:p w14:paraId="124D96DA">
            <w:pPr>
              <w:pStyle w:val="106"/>
              <w:bidi w:val="0"/>
              <w:rPr>
                <w:rFonts w:hint="eastAsia"/>
              </w:rPr>
            </w:pPr>
          </w:p>
        </w:tc>
        <w:tc>
          <w:tcPr>
            <w:tcW w:w="173" w:type="pct"/>
            <w:tcBorders>
              <w:tl2br w:val="nil"/>
              <w:tr2bl w:val="nil"/>
            </w:tcBorders>
            <w:shd w:val="clear" w:color="auto" w:fill="FFFFFF"/>
            <w:vAlign w:val="center"/>
          </w:tcPr>
          <w:p w14:paraId="78C5AFC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w:t>
            </w:r>
          </w:p>
        </w:tc>
        <w:tc>
          <w:tcPr>
            <w:tcW w:w="173" w:type="pct"/>
            <w:tcBorders>
              <w:tl2br w:val="nil"/>
              <w:tr2bl w:val="nil"/>
            </w:tcBorders>
            <w:shd w:val="clear" w:color="auto" w:fill="FFFFFF"/>
            <w:vAlign w:val="center"/>
          </w:tcPr>
          <w:p w14:paraId="78E8B92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-15</w:t>
            </w:r>
          </w:p>
        </w:tc>
        <w:tc>
          <w:tcPr>
            <w:tcW w:w="173" w:type="pct"/>
            <w:tcBorders>
              <w:tl2br w:val="nil"/>
              <w:tr2bl w:val="nil"/>
            </w:tcBorders>
            <w:shd w:val="clear" w:color="auto" w:fill="FFFFFF"/>
            <w:vAlign w:val="center"/>
          </w:tcPr>
          <w:p w14:paraId="7F1AC75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6923458F">
            <w:pPr>
              <w:pStyle w:val="106"/>
              <w:bidi w:val="0"/>
              <w:jc w:val="center"/>
              <w:rPr>
                <w:rFonts w:hint="eastAsia"/>
                <w:lang w:val="en-US" w:eastAsia="zh-CN"/>
              </w:rPr>
            </w:pPr>
            <w:r>
              <w:rPr>
                <w:rFonts w:hint="default"/>
                <w:lang w:val="en-US" w:eastAsia="zh-CN"/>
              </w:rPr>
              <w:t>75</w:t>
            </w:r>
          </w:p>
        </w:tc>
        <w:tc>
          <w:tcPr>
            <w:tcW w:w="173" w:type="pct"/>
            <w:tcBorders>
              <w:tl2br w:val="nil"/>
              <w:tr2bl w:val="nil"/>
            </w:tcBorders>
            <w:shd w:val="clear" w:color="auto" w:fill="FFFFFF"/>
            <w:vAlign w:val="center"/>
          </w:tcPr>
          <w:p w14:paraId="3FCB67A5">
            <w:pPr>
              <w:pStyle w:val="106"/>
              <w:bidi w:val="0"/>
              <w:jc w:val="center"/>
              <w:rPr>
                <w:rFonts w:hint="eastAsia"/>
                <w:lang w:val="en-US" w:eastAsia="zh-CN"/>
              </w:rPr>
            </w:pPr>
            <w:r>
              <w:rPr>
                <w:rFonts w:hint="default"/>
                <w:lang w:val="en-US" w:eastAsia="zh-CN"/>
              </w:rPr>
              <w:t>45</w:t>
            </w:r>
          </w:p>
        </w:tc>
        <w:tc>
          <w:tcPr>
            <w:tcW w:w="173" w:type="pct"/>
            <w:tcBorders>
              <w:tl2br w:val="nil"/>
              <w:tr2bl w:val="nil"/>
            </w:tcBorders>
            <w:shd w:val="clear" w:color="auto" w:fill="FFFFFF"/>
            <w:vAlign w:val="center"/>
          </w:tcPr>
          <w:p w14:paraId="050540EE">
            <w:pPr>
              <w:pStyle w:val="106"/>
              <w:bidi w:val="0"/>
              <w:jc w:val="center"/>
              <w:rPr>
                <w:rFonts w:hint="default"/>
                <w:lang w:val="en-US" w:eastAsia="zh-CN"/>
              </w:rPr>
            </w:pPr>
            <w:r>
              <w:rPr>
                <w:rFonts w:hint="default"/>
                <w:lang w:val="en-US" w:eastAsia="zh-CN"/>
              </w:rPr>
              <w:t>51</w:t>
            </w:r>
          </w:p>
        </w:tc>
        <w:tc>
          <w:tcPr>
            <w:tcW w:w="173" w:type="pct"/>
            <w:tcBorders>
              <w:tl2br w:val="nil"/>
              <w:tr2bl w:val="nil"/>
            </w:tcBorders>
            <w:shd w:val="clear" w:color="auto" w:fill="FFFFFF"/>
            <w:vAlign w:val="center"/>
          </w:tcPr>
          <w:p w14:paraId="3B55F48D">
            <w:pPr>
              <w:pStyle w:val="106"/>
              <w:bidi w:val="0"/>
              <w:jc w:val="center"/>
              <w:rPr>
                <w:rFonts w:hint="eastAsia"/>
                <w:lang w:val="en-US" w:eastAsia="zh-CN"/>
              </w:rPr>
            </w:pPr>
            <w:r>
              <w:rPr>
                <w:rFonts w:hint="default"/>
                <w:lang w:val="en-US" w:eastAsia="zh-CN"/>
              </w:rPr>
              <w:t>5</w:t>
            </w:r>
          </w:p>
        </w:tc>
        <w:tc>
          <w:tcPr>
            <w:tcW w:w="173" w:type="pct"/>
            <w:tcBorders>
              <w:tl2br w:val="nil"/>
              <w:tr2bl w:val="nil"/>
            </w:tcBorders>
            <w:shd w:val="clear" w:color="auto" w:fill="FFFFFF"/>
            <w:vAlign w:val="center"/>
          </w:tcPr>
          <w:p w14:paraId="7A88353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73" w:type="pct"/>
            <w:tcBorders>
              <w:tl2br w:val="nil"/>
              <w:tr2bl w:val="nil"/>
            </w:tcBorders>
            <w:shd w:val="clear" w:color="auto" w:fill="FFFFFF"/>
            <w:vAlign w:val="center"/>
          </w:tcPr>
          <w:p w14:paraId="3884648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73" w:type="pct"/>
            <w:tcBorders>
              <w:tl2br w:val="nil"/>
              <w:tr2bl w:val="nil"/>
            </w:tcBorders>
            <w:shd w:val="clear" w:color="auto" w:fill="FFFFFF"/>
            <w:vAlign w:val="center"/>
          </w:tcPr>
          <w:p w14:paraId="45C545E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77" w:type="pct"/>
            <w:tcBorders>
              <w:tl2br w:val="nil"/>
              <w:tr2bl w:val="nil"/>
            </w:tcBorders>
            <w:shd w:val="clear" w:color="auto" w:fill="FFFFFF"/>
            <w:vAlign w:val="center"/>
          </w:tcPr>
          <w:p w14:paraId="68E91D3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45.8</w:t>
            </w:r>
          </w:p>
        </w:tc>
        <w:tc>
          <w:tcPr>
            <w:tcW w:w="159" w:type="pct"/>
            <w:vMerge w:val="continue"/>
            <w:tcBorders>
              <w:tl2br w:val="nil"/>
              <w:tr2bl w:val="nil"/>
            </w:tcBorders>
            <w:shd w:val="clear" w:color="auto" w:fill="FFFFFF"/>
          </w:tcPr>
          <w:p w14:paraId="21D4C89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166E292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2B0D9E0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AC17C4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2169E95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3B05C8A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176" w:type="pct"/>
            <w:tcBorders>
              <w:tl2br w:val="nil"/>
              <w:tr2bl w:val="nil"/>
            </w:tcBorders>
            <w:shd w:val="clear" w:color="auto" w:fill="FFFFFF"/>
            <w:vAlign w:val="center"/>
          </w:tcPr>
          <w:p w14:paraId="75DC5EF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176" w:type="pct"/>
            <w:tcBorders>
              <w:tl2br w:val="nil"/>
              <w:tr2bl w:val="nil"/>
            </w:tcBorders>
            <w:shd w:val="clear" w:color="auto" w:fill="FFFFFF"/>
            <w:vAlign w:val="center"/>
          </w:tcPr>
          <w:p w14:paraId="2F4BC09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176" w:type="pct"/>
            <w:tcBorders>
              <w:tl2br w:val="nil"/>
              <w:tr2bl w:val="nil"/>
            </w:tcBorders>
            <w:shd w:val="clear" w:color="auto" w:fill="FFFFFF"/>
            <w:vAlign w:val="center"/>
          </w:tcPr>
          <w:p w14:paraId="26B7965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19.8</w:t>
            </w:r>
          </w:p>
        </w:tc>
        <w:tc>
          <w:tcPr>
            <w:tcW w:w="0" w:type="auto"/>
            <w:tcBorders>
              <w:tl2br w:val="nil"/>
              <w:tr2bl w:val="nil"/>
            </w:tcBorders>
            <w:shd w:val="clear" w:color="auto" w:fill="FFFFFF"/>
            <w:vAlign w:val="center"/>
          </w:tcPr>
          <w:p w14:paraId="695B079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6CFB0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2EDCCE7F">
            <w:pPr>
              <w:pStyle w:val="106"/>
              <w:numPr>
                <w:ilvl w:val="0"/>
                <w:numId w:val="12"/>
              </w:numPr>
              <w:bidi w:val="0"/>
              <w:ind w:left="0" w:leftChars="0" w:firstLine="0" w:firstLineChars="0"/>
              <w:rPr>
                <w:rFonts w:hint="eastAsia"/>
                <w:lang w:val="en-US" w:eastAsia="zh-CN"/>
              </w:rPr>
            </w:pPr>
          </w:p>
        </w:tc>
        <w:tc>
          <w:tcPr>
            <w:tcW w:w="140" w:type="pct"/>
            <w:vMerge w:val="restart"/>
            <w:tcBorders>
              <w:tl2br w:val="nil"/>
              <w:tr2bl w:val="nil"/>
            </w:tcBorders>
            <w:shd w:val="clear" w:color="auto" w:fill="FFFFFF"/>
            <w:vAlign w:val="center"/>
          </w:tcPr>
          <w:p w14:paraId="1EA16A7F">
            <w:pPr>
              <w:pStyle w:val="106"/>
              <w:bidi w:val="0"/>
              <w:rPr>
                <w:rFonts w:hint="default"/>
                <w:lang w:val="en-US" w:eastAsia="zh-CN"/>
              </w:rPr>
            </w:pPr>
            <w:r>
              <w:rPr>
                <w:rFonts w:hint="eastAsia"/>
                <w:lang w:val="en-US" w:eastAsia="zh-CN"/>
              </w:rPr>
              <w:t>一车间</w:t>
            </w:r>
          </w:p>
        </w:tc>
        <w:tc>
          <w:tcPr>
            <w:tcW w:w="490" w:type="pct"/>
            <w:tcBorders>
              <w:tl2br w:val="nil"/>
              <w:tr2bl w:val="nil"/>
            </w:tcBorders>
            <w:shd w:val="clear" w:color="auto" w:fill="auto"/>
            <w:vAlign w:val="center"/>
          </w:tcPr>
          <w:p w14:paraId="51D7CCE0">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rPr>
              <w:t>无芯复卷</w:t>
            </w:r>
            <w:r>
              <w:rPr>
                <w:rFonts w:hint="eastAsia"/>
                <w:lang w:val="en-US" w:eastAsia="zh-CN"/>
              </w:rPr>
              <w:t>机</w:t>
            </w:r>
            <w:r>
              <w:rPr>
                <w:rFonts w:hint="eastAsia"/>
              </w:rPr>
              <w:t>（圆卷）</w:t>
            </w:r>
          </w:p>
        </w:tc>
        <w:tc>
          <w:tcPr>
            <w:tcW w:w="119" w:type="pct"/>
            <w:tcBorders>
              <w:tl2br w:val="nil"/>
              <w:tr2bl w:val="nil"/>
            </w:tcBorders>
            <w:shd w:val="clear" w:color="auto" w:fill="FFFFFF"/>
            <w:vAlign w:val="top"/>
          </w:tcPr>
          <w:p w14:paraId="0672E1C7">
            <w:pPr>
              <w:pStyle w:val="106"/>
              <w:bidi w:val="0"/>
              <w:rPr>
                <w:rFonts w:hint="eastAsia"/>
                <w:lang w:val="en-US" w:eastAsia="zh-CN"/>
              </w:rPr>
            </w:pPr>
            <w:r>
              <w:rPr>
                <w:rFonts w:hint="eastAsia"/>
              </w:rPr>
              <w:t>/</w:t>
            </w:r>
          </w:p>
        </w:tc>
        <w:tc>
          <w:tcPr>
            <w:tcW w:w="251" w:type="pct"/>
            <w:tcBorders>
              <w:tl2br w:val="nil"/>
              <w:tr2bl w:val="nil"/>
            </w:tcBorders>
            <w:shd w:val="clear" w:color="auto" w:fill="auto"/>
            <w:vAlign w:val="center"/>
          </w:tcPr>
          <w:p w14:paraId="0EB2DB40">
            <w:pPr>
              <w:pStyle w:val="106"/>
              <w:bidi w:val="0"/>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80</w:t>
            </w:r>
          </w:p>
        </w:tc>
        <w:tc>
          <w:tcPr>
            <w:tcW w:w="139" w:type="pct"/>
            <w:vMerge w:val="continue"/>
            <w:tcBorders>
              <w:tl2br w:val="nil"/>
              <w:tr2bl w:val="nil"/>
            </w:tcBorders>
            <w:shd w:val="clear" w:color="auto" w:fill="FFFFFF"/>
          </w:tcPr>
          <w:p w14:paraId="39CF4F98">
            <w:pPr>
              <w:pStyle w:val="106"/>
              <w:bidi w:val="0"/>
              <w:rPr>
                <w:rFonts w:hint="eastAsia"/>
              </w:rPr>
            </w:pPr>
          </w:p>
        </w:tc>
        <w:tc>
          <w:tcPr>
            <w:tcW w:w="173" w:type="pct"/>
            <w:tcBorders>
              <w:tl2br w:val="nil"/>
              <w:tr2bl w:val="nil"/>
            </w:tcBorders>
            <w:shd w:val="clear" w:color="auto" w:fill="FFFFFF"/>
            <w:vAlign w:val="center"/>
          </w:tcPr>
          <w:p w14:paraId="6B49003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35</w:t>
            </w:r>
          </w:p>
        </w:tc>
        <w:tc>
          <w:tcPr>
            <w:tcW w:w="173" w:type="pct"/>
            <w:tcBorders>
              <w:tl2br w:val="nil"/>
              <w:tr2bl w:val="nil"/>
            </w:tcBorders>
            <w:shd w:val="clear" w:color="auto" w:fill="FFFFFF"/>
            <w:vAlign w:val="center"/>
          </w:tcPr>
          <w:p w14:paraId="384C48F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42</w:t>
            </w:r>
          </w:p>
        </w:tc>
        <w:tc>
          <w:tcPr>
            <w:tcW w:w="173" w:type="pct"/>
            <w:tcBorders>
              <w:tl2br w:val="nil"/>
              <w:tr2bl w:val="nil"/>
            </w:tcBorders>
            <w:shd w:val="clear" w:color="auto" w:fill="FFFFFF"/>
            <w:vAlign w:val="center"/>
          </w:tcPr>
          <w:p w14:paraId="0B274C8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3F1511F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73" w:type="pct"/>
            <w:tcBorders>
              <w:tl2br w:val="nil"/>
              <w:tr2bl w:val="nil"/>
            </w:tcBorders>
            <w:shd w:val="clear" w:color="auto" w:fill="FFFFFF"/>
            <w:vAlign w:val="center"/>
          </w:tcPr>
          <w:p w14:paraId="4BCFFB4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73" w:type="pct"/>
            <w:tcBorders>
              <w:tl2br w:val="nil"/>
              <w:tr2bl w:val="nil"/>
            </w:tcBorders>
            <w:shd w:val="clear" w:color="auto" w:fill="FFFFFF"/>
            <w:vAlign w:val="center"/>
          </w:tcPr>
          <w:p w14:paraId="61C694B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73" w:type="pct"/>
            <w:tcBorders>
              <w:tl2br w:val="nil"/>
              <w:tr2bl w:val="nil"/>
            </w:tcBorders>
            <w:shd w:val="clear" w:color="auto" w:fill="FFFFFF"/>
            <w:vAlign w:val="center"/>
          </w:tcPr>
          <w:p w14:paraId="09DB009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73" w:type="pct"/>
            <w:tcBorders>
              <w:tl2br w:val="nil"/>
              <w:tr2bl w:val="nil"/>
            </w:tcBorders>
            <w:shd w:val="clear" w:color="auto" w:fill="FFFFFF"/>
            <w:vAlign w:val="center"/>
          </w:tcPr>
          <w:p w14:paraId="7673FB4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56.9</w:t>
            </w:r>
          </w:p>
        </w:tc>
        <w:tc>
          <w:tcPr>
            <w:tcW w:w="173" w:type="pct"/>
            <w:tcBorders>
              <w:tl2br w:val="nil"/>
              <w:tr2bl w:val="nil"/>
            </w:tcBorders>
            <w:shd w:val="clear" w:color="auto" w:fill="FFFFFF"/>
            <w:vAlign w:val="center"/>
          </w:tcPr>
          <w:p w14:paraId="5C184F7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56.9</w:t>
            </w:r>
          </w:p>
        </w:tc>
        <w:tc>
          <w:tcPr>
            <w:tcW w:w="173" w:type="pct"/>
            <w:tcBorders>
              <w:tl2br w:val="nil"/>
              <w:tr2bl w:val="nil"/>
            </w:tcBorders>
            <w:shd w:val="clear" w:color="auto" w:fill="FFFFFF"/>
            <w:vAlign w:val="center"/>
          </w:tcPr>
          <w:p w14:paraId="0090342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56.9</w:t>
            </w:r>
          </w:p>
        </w:tc>
        <w:tc>
          <w:tcPr>
            <w:tcW w:w="177" w:type="pct"/>
            <w:tcBorders>
              <w:tl2br w:val="nil"/>
              <w:tr2bl w:val="nil"/>
            </w:tcBorders>
            <w:shd w:val="clear" w:color="auto" w:fill="FFFFFF"/>
            <w:vAlign w:val="center"/>
          </w:tcPr>
          <w:p w14:paraId="6B68267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56.9</w:t>
            </w:r>
          </w:p>
        </w:tc>
        <w:tc>
          <w:tcPr>
            <w:tcW w:w="159" w:type="pct"/>
            <w:vMerge w:val="continue"/>
            <w:tcBorders>
              <w:tl2br w:val="nil"/>
              <w:tr2bl w:val="nil"/>
            </w:tcBorders>
            <w:shd w:val="clear" w:color="auto" w:fill="FFFFFF"/>
          </w:tcPr>
          <w:p w14:paraId="7FFE9AF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3559840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5EEA537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69848BB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1E50030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eastAsia"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69B9F6C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30.9</w:t>
            </w:r>
          </w:p>
        </w:tc>
        <w:tc>
          <w:tcPr>
            <w:tcW w:w="176" w:type="pct"/>
            <w:tcBorders>
              <w:tl2br w:val="nil"/>
              <w:tr2bl w:val="nil"/>
            </w:tcBorders>
            <w:shd w:val="clear" w:color="auto" w:fill="FFFFFF"/>
            <w:vAlign w:val="center"/>
          </w:tcPr>
          <w:p w14:paraId="0D98367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30.9</w:t>
            </w:r>
          </w:p>
        </w:tc>
        <w:tc>
          <w:tcPr>
            <w:tcW w:w="176" w:type="pct"/>
            <w:tcBorders>
              <w:tl2br w:val="nil"/>
              <w:tr2bl w:val="nil"/>
            </w:tcBorders>
            <w:shd w:val="clear" w:color="auto" w:fill="FFFFFF"/>
            <w:vAlign w:val="center"/>
          </w:tcPr>
          <w:p w14:paraId="17AD8FD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30.9</w:t>
            </w:r>
          </w:p>
        </w:tc>
        <w:tc>
          <w:tcPr>
            <w:tcW w:w="176" w:type="pct"/>
            <w:tcBorders>
              <w:tl2br w:val="nil"/>
              <w:tr2bl w:val="nil"/>
            </w:tcBorders>
            <w:shd w:val="clear" w:color="auto" w:fill="FFFFFF"/>
            <w:vAlign w:val="center"/>
          </w:tcPr>
          <w:p w14:paraId="2D6CA5A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eastAsia"/>
                <w:lang w:val="en-US" w:eastAsia="zh-CN"/>
              </w:rPr>
            </w:pPr>
            <w:r>
              <w:rPr>
                <w:rFonts w:hint="eastAsia"/>
                <w:lang w:val="en-US" w:eastAsia="zh-CN"/>
              </w:rPr>
              <w:t>30.9</w:t>
            </w:r>
          </w:p>
        </w:tc>
        <w:tc>
          <w:tcPr>
            <w:tcW w:w="0" w:type="auto"/>
            <w:tcBorders>
              <w:tl2br w:val="nil"/>
              <w:tr2bl w:val="nil"/>
            </w:tcBorders>
            <w:shd w:val="clear" w:color="auto" w:fill="FFFFFF"/>
            <w:vAlign w:val="center"/>
          </w:tcPr>
          <w:p w14:paraId="59B1359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052FF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2F6D0AC1">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vAlign w:val="center"/>
          </w:tcPr>
          <w:p w14:paraId="4A5C5BDF">
            <w:pPr>
              <w:pStyle w:val="106"/>
              <w:bidi w:val="0"/>
              <w:rPr>
                <w:rFonts w:hint="default"/>
                <w:lang w:val="en-US" w:eastAsia="zh-CN"/>
              </w:rPr>
            </w:pPr>
          </w:p>
        </w:tc>
        <w:tc>
          <w:tcPr>
            <w:tcW w:w="490" w:type="pct"/>
            <w:tcBorders>
              <w:tl2br w:val="nil"/>
              <w:tr2bl w:val="nil"/>
            </w:tcBorders>
            <w:shd w:val="clear" w:color="auto" w:fill="auto"/>
            <w:vAlign w:val="center"/>
          </w:tcPr>
          <w:p w14:paraId="2926F8E7">
            <w:pPr>
              <w:pStyle w:val="106"/>
              <w:bidi w:val="0"/>
              <w:rPr>
                <w:rFonts w:hint="default"/>
                <w:lang w:val="en-US" w:eastAsia="zh-CN"/>
              </w:rPr>
            </w:pPr>
            <w:r>
              <w:rPr>
                <w:rFonts w:hint="eastAsia"/>
              </w:rPr>
              <w:t>无芯复卷</w:t>
            </w:r>
            <w:r>
              <w:rPr>
                <w:rFonts w:hint="eastAsia"/>
                <w:lang w:val="en-US" w:eastAsia="zh-CN"/>
              </w:rPr>
              <w:t>机</w:t>
            </w:r>
            <w:r>
              <w:rPr>
                <w:rFonts w:hint="eastAsia"/>
              </w:rPr>
              <w:t>（扁卷）</w:t>
            </w:r>
          </w:p>
        </w:tc>
        <w:tc>
          <w:tcPr>
            <w:tcW w:w="119" w:type="pct"/>
            <w:tcBorders>
              <w:tl2br w:val="nil"/>
              <w:tr2bl w:val="nil"/>
            </w:tcBorders>
            <w:shd w:val="clear" w:color="auto" w:fill="FFFFFF"/>
            <w:vAlign w:val="top"/>
          </w:tcPr>
          <w:p w14:paraId="7E3A43D2">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79D98EF6">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73CB02A9">
            <w:pPr>
              <w:pStyle w:val="106"/>
              <w:bidi w:val="0"/>
              <w:rPr>
                <w:rFonts w:hint="eastAsia"/>
              </w:rPr>
            </w:pPr>
          </w:p>
        </w:tc>
        <w:tc>
          <w:tcPr>
            <w:tcW w:w="173" w:type="pct"/>
            <w:tcBorders>
              <w:tl2br w:val="nil"/>
              <w:tr2bl w:val="nil"/>
            </w:tcBorders>
            <w:shd w:val="clear" w:color="auto" w:fill="FFFFFF"/>
            <w:vAlign w:val="center"/>
          </w:tcPr>
          <w:p w14:paraId="2EB93A6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35</w:t>
            </w:r>
          </w:p>
        </w:tc>
        <w:tc>
          <w:tcPr>
            <w:tcW w:w="173" w:type="pct"/>
            <w:tcBorders>
              <w:tl2br w:val="nil"/>
              <w:tr2bl w:val="nil"/>
            </w:tcBorders>
            <w:shd w:val="clear" w:color="auto" w:fill="FFFFFF"/>
            <w:vAlign w:val="center"/>
          </w:tcPr>
          <w:p w14:paraId="33005B9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39</w:t>
            </w:r>
          </w:p>
        </w:tc>
        <w:tc>
          <w:tcPr>
            <w:tcW w:w="173" w:type="pct"/>
            <w:tcBorders>
              <w:tl2br w:val="nil"/>
              <w:tr2bl w:val="nil"/>
            </w:tcBorders>
            <w:shd w:val="clear" w:color="auto" w:fill="FFFFFF"/>
            <w:vAlign w:val="center"/>
          </w:tcPr>
          <w:p w14:paraId="261782B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36D7814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17</w:t>
            </w:r>
          </w:p>
        </w:tc>
        <w:tc>
          <w:tcPr>
            <w:tcW w:w="173" w:type="pct"/>
            <w:tcBorders>
              <w:tl2br w:val="nil"/>
              <w:tr2bl w:val="nil"/>
            </w:tcBorders>
            <w:shd w:val="clear" w:color="auto" w:fill="FFFFFF"/>
            <w:vAlign w:val="center"/>
          </w:tcPr>
          <w:p w14:paraId="4DC9990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35</w:t>
            </w:r>
          </w:p>
        </w:tc>
        <w:tc>
          <w:tcPr>
            <w:tcW w:w="173" w:type="pct"/>
            <w:tcBorders>
              <w:tl2br w:val="nil"/>
              <w:tr2bl w:val="nil"/>
            </w:tcBorders>
            <w:shd w:val="clear" w:color="auto" w:fill="FFFFFF"/>
            <w:vAlign w:val="center"/>
          </w:tcPr>
          <w:p w14:paraId="2EFBA23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17</w:t>
            </w:r>
          </w:p>
        </w:tc>
        <w:tc>
          <w:tcPr>
            <w:tcW w:w="173" w:type="pct"/>
            <w:tcBorders>
              <w:tl2br w:val="nil"/>
              <w:tr2bl w:val="nil"/>
            </w:tcBorders>
            <w:shd w:val="clear" w:color="auto" w:fill="FFFFFF"/>
            <w:vAlign w:val="center"/>
          </w:tcPr>
          <w:p w14:paraId="6666EB5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71</w:t>
            </w:r>
          </w:p>
        </w:tc>
        <w:tc>
          <w:tcPr>
            <w:tcW w:w="173" w:type="pct"/>
            <w:tcBorders>
              <w:tl2br w:val="nil"/>
              <w:tr2bl w:val="nil"/>
            </w:tcBorders>
            <w:shd w:val="clear" w:color="auto" w:fill="FFFFFF"/>
            <w:vAlign w:val="center"/>
          </w:tcPr>
          <w:p w14:paraId="7D5C969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3" w:type="pct"/>
            <w:tcBorders>
              <w:tl2br w:val="nil"/>
              <w:tr2bl w:val="nil"/>
            </w:tcBorders>
            <w:shd w:val="clear" w:color="auto" w:fill="FFFFFF"/>
            <w:vAlign w:val="center"/>
          </w:tcPr>
          <w:p w14:paraId="68B52FD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3" w:type="pct"/>
            <w:tcBorders>
              <w:tl2br w:val="nil"/>
              <w:tr2bl w:val="nil"/>
            </w:tcBorders>
            <w:shd w:val="clear" w:color="auto" w:fill="FFFFFF"/>
            <w:vAlign w:val="center"/>
          </w:tcPr>
          <w:p w14:paraId="3D1167B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7" w:type="pct"/>
            <w:tcBorders>
              <w:tl2br w:val="nil"/>
              <w:tr2bl w:val="nil"/>
            </w:tcBorders>
            <w:shd w:val="clear" w:color="auto" w:fill="FFFFFF"/>
            <w:vAlign w:val="center"/>
          </w:tcPr>
          <w:p w14:paraId="700F328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59" w:type="pct"/>
            <w:vMerge w:val="continue"/>
            <w:tcBorders>
              <w:tl2br w:val="nil"/>
              <w:tr2bl w:val="nil"/>
            </w:tcBorders>
            <w:shd w:val="clear" w:color="auto" w:fill="FFFFFF"/>
          </w:tcPr>
          <w:p w14:paraId="37897AA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0B2AF79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5D87B69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95F452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5A0246E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7B983CB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7FF2876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390E810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5573FFD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0" w:type="auto"/>
            <w:tcBorders>
              <w:tl2br w:val="nil"/>
              <w:tr2bl w:val="nil"/>
            </w:tcBorders>
            <w:shd w:val="clear" w:color="auto" w:fill="FFFFFF"/>
            <w:vAlign w:val="center"/>
          </w:tcPr>
          <w:p w14:paraId="3AEFA46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21AE9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5D3AFA29">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71E0469D">
            <w:pPr>
              <w:pStyle w:val="106"/>
              <w:bidi w:val="0"/>
              <w:rPr>
                <w:rFonts w:hint="eastAsia"/>
                <w:lang w:val="en-US" w:eastAsia="zh-CN"/>
              </w:rPr>
            </w:pPr>
          </w:p>
        </w:tc>
        <w:tc>
          <w:tcPr>
            <w:tcW w:w="490" w:type="pct"/>
            <w:tcBorders>
              <w:tl2br w:val="nil"/>
              <w:tr2bl w:val="nil"/>
            </w:tcBorders>
            <w:shd w:val="clear" w:color="auto" w:fill="auto"/>
            <w:vAlign w:val="center"/>
          </w:tcPr>
          <w:p w14:paraId="7CD5695A">
            <w:pPr>
              <w:pStyle w:val="106"/>
              <w:bidi w:val="0"/>
              <w:rPr>
                <w:rFonts w:hint="default"/>
                <w:lang w:val="en-US" w:eastAsia="zh-CN"/>
              </w:rPr>
            </w:pPr>
            <w:r>
              <w:rPr>
                <w:rFonts w:hint="eastAsia"/>
                <w:lang w:val="en-US" w:eastAsia="zh-CN"/>
              </w:rPr>
              <w:t>切纸机</w:t>
            </w:r>
          </w:p>
        </w:tc>
        <w:tc>
          <w:tcPr>
            <w:tcW w:w="119" w:type="pct"/>
            <w:tcBorders>
              <w:tl2br w:val="nil"/>
              <w:tr2bl w:val="nil"/>
            </w:tcBorders>
            <w:shd w:val="clear" w:color="auto" w:fill="FFFFFF"/>
            <w:vAlign w:val="top"/>
          </w:tcPr>
          <w:p w14:paraId="7AF27E60">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3DE7075E">
            <w:pPr>
              <w:pStyle w:val="106"/>
              <w:bidi w:val="0"/>
              <w:rPr>
                <w:rFonts w:hint="default"/>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16BC3F59">
            <w:pPr>
              <w:pStyle w:val="106"/>
              <w:bidi w:val="0"/>
              <w:rPr>
                <w:rFonts w:hint="eastAsia"/>
              </w:rPr>
            </w:pPr>
          </w:p>
        </w:tc>
        <w:tc>
          <w:tcPr>
            <w:tcW w:w="173" w:type="pct"/>
            <w:tcBorders>
              <w:tl2br w:val="nil"/>
              <w:tr2bl w:val="nil"/>
            </w:tcBorders>
            <w:shd w:val="clear" w:color="auto" w:fill="FFFFFF"/>
            <w:vAlign w:val="center"/>
          </w:tcPr>
          <w:p w14:paraId="564D49D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w:t>
            </w:r>
          </w:p>
        </w:tc>
        <w:tc>
          <w:tcPr>
            <w:tcW w:w="173" w:type="pct"/>
            <w:tcBorders>
              <w:tl2br w:val="nil"/>
              <w:tr2bl w:val="nil"/>
            </w:tcBorders>
            <w:shd w:val="clear" w:color="auto" w:fill="FFFFFF"/>
            <w:vAlign w:val="center"/>
          </w:tcPr>
          <w:p w14:paraId="1C5B464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39</w:t>
            </w:r>
          </w:p>
        </w:tc>
        <w:tc>
          <w:tcPr>
            <w:tcW w:w="173" w:type="pct"/>
            <w:tcBorders>
              <w:tl2br w:val="nil"/>
              <w:tr2bl w:val="nil"/>
            </w:tcBorders>
            <w:shd w:val="clear" w:color="auto" w:fill="FFFFFF"/>
            <w:vAlign w:val="center"/>
          </w:tcPr>
          <w:p w14:paraId="5F75758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023185A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73" w:type="pct"/>
            <w:tcBorders>
              <w:tl2br w:val="nil"/>
              <w:tr2bl w:val="nil"/>
            </w:tcBorders>
            <w:shd w:val="clear" w:color="auto" w:fill="FFFFFF"/>
            <w:vAlign w:val="center"/>
          </w:tcPr>
          <w:p w14:paraId="1465CEB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60</w:t>
            </w:r>
          </w:p>
        </w:tc>
        <w:tc>
          <w:tcPr>
            <w:tcW w:w="173" w:type="pct"/>
            <w:tcBorders>
              <w:tl2br w:val="nil"/>
              <w:tr2bl w:val="nil"/>
            </w:tcBorders>
            <w:shd w:val="clear" w:color="auto" w:fill="FFFFFF"/>
            <w:vAlign w:val="center"/>
          </w:tcPr>
          <w:p w14:paraId="651AF41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w:t>
            </w:r>
          </w:p>
        </w:tc>
        <w:tc>
          <w:tcPr>
            <w:tcW w:w="173" w:type="pct"/>
            <w:tcBorders>
              <w:tl2br w:val="nil"/>
              <w:tr2bl w:val="nil"/>
            </w:tcBorders>
            <w:shd w:val="clear" w:color="auto" w:fill="FFFFFF"/>
            <w:vAlign w:val="center"/>
          </w:tcPr>
          <w:p w14:paraId="7A7055A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46</w:t>
            </w:r>
          </w:p>
        </w:tc>
        <w:tc>
          <w:tcPr>
            <w:tcW w:w="173" w:type="pct"/>
            <w:tcBorders>
              <w:tl2br w:val="nil"/>
              <w:tr2bl w:val="nil"/>
            </w:tcBorders>
            <w:shd w:val="clear" w:color="auto" w:fill="FFFFFF"/>
            <w:vAlign w:val="center"/>
          </w:tcPr>
          <w:p w14:paraId="6319330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61.9</w:t>
            </w:r>
          </w:p>
        </w:tc>
        <w:tc>
          <w:tcPr>
            <w:tcW w:w="173" w:type="pct"/>
            <w:tcBorders>
              <w:tl2br w:val="nil"/>
              <w:tr2bl w:val="nil"/>
            </w:tcBorders>
            <w:shd w:val="clear" w:color="auto" w:fill="FFFFFF"/>
            <w:vAlign w:val="center"/>
          </w:tcPr>
          <w:p w14:paraId="55900E9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61.9</w:t>
            </w:r>
          </w:p>
        </w:tc>
        <w:tc>
          <w:tcPr>
            <w:tcW w:w="173" w:type="pct"/>
            <w:tcBorders>
              <w:tl2br w:val="nil"/>
              <w:tr2bl w:val="nil"/>
            </w:tcBorders>
            <w:shd w:val="clear" w:color="auto" w:fill="FFFFFF"/>
            <w:vAlign w:val="center"/>
          </w:tcPr>
          <w:p w14:paraId="351A495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61.9</w:t>
            </w:r>
          </w:p>
        </w:tc>
        <w:tc>
          <w:tcPr>
            <w:tcW w:w="177" w:type="pct"/>
            <w:tcBorders>
              <w:tl2br w:val="nil"/>
              <w:tr2bl w:val="nil"/>
            </w:tcBorders>
            <w:shd w:val="clear" w:color="auto" w:fill="FFFFFF"/>
            <w:vAlign w:val="center"/>
          </w:tcPr>
          <w:p w14:paraId="6DA41CA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61.9</w:t>
            </w:r>
          </w:p>
        </w:tc>
        <w:tc>
          <w:tcPr>
            <w:tcW w:w="159" w:type="pct"/>
            <w:vMerge w:val="continue"/>
            <w:tcBorders>
              <w:tl2br w:val="nil"/>
              <w:tr2bl w:val="nil"/>
            </w:tcBorders>
            <w:shd w:val="clear" w:color="auto" w:fill="FFFFFF"/>
          </w:tcPr>
          <w:p w14:paraId="1A032D1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4343A53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1937767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86D888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6BCD76D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17FB6C9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35.9</w:t>
            </w:r>
          </w:p>
        </w:tc>
        <w:tc>
          <w:tcPr>
            <w:tcW w:w="176" w:type="pct"/>
            <w:tcBorders>
              <w:tl2br w:val="nil"/>
              <w:tr2bl w:val="nil"/>
            </w:tcBorders>
            <w:shd w:val="clear" w:color="auto" w:fill="FFFFFF"/>
            <w:vAlign w:val="center"/>
          </w:tcPr>
          <w:p w14:paraId="21E72BE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35.9</w:t>
            </w:r>
          </w:p>
        </w:tc>
        <w:tc>
          <w:tcPr>
            <w:tcW w:w="176" w:type="pct"/>
            <w:tcBorders>
              <w:tl2br w:val="nil"/>
              <w:tr2bl w:val="nil"/>
            </w:tcBorders>
            <w:shd w:val="clear" w:color="auto" w:fill="FFFFFF"/>
            <w:vAlign w:val="center"/>
          </w:tcPr>
          <w:p w14:paraId="04C95D4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35.9</w:t>
            </w:r>
          </w:p>
        </w:tc>
        <w:tc>
          <w:tcPr>
            <w:tcW w:w="176" w:type="pct"/>
            <w:tcBorders>
              <w:tl2br w:val="nil"/>
              <w:tr2bl w:val="nil"/>
            </w:tcBorders>
            <w:shd w:val="clear" w:color="auto" w:fill="FFFFFF"/>
            <w:vAlign w:val="center"/>
          </w:tcPr>
          <w:p w14:paraId="5C3D393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35.9</w:t>
            </w:r>
          </w:p>
        </w:tc>
        <w:tc>
          <w:tcPr>
            <w:tcW w:w="0" w:type="auto"/>
            <w:tcBorders>
              <w:tl2br w:val="nil"/>
              <w:tr2bl w:val="nil"/>
            </w:tcBorders>
            <w:shd w:val="clear" w:color="auto" w:fill="FFFFFF"/>
            <w:vAlign w:val="center"/>
          </w:tcPr>
          <w:p w14:paraId="1DDEA2E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7435E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49845E82">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7EC53B95">
            <w:pPr>
              <w:pStyle w:val="106"/>
              <w:bidi w:val="0"/>
              <w:rPr>
                <w:rFonts w:hint="eastAsia"/>
                <w:lang w:val="en-US" w:eastAsia="zh-CN"/>
              </w:rPr>
            </w:pPr>
          </w:p>
        </w:tc>
        <w:tc>
          <w:tcPr>
            <w:tcW w:w="490" w:type="pct"/>
            <w:tcBorders>
              <w:tl2br w:val="nil"/>
              <w:tr2bl w:val="nil"/>
            </w:tcBorders>
            <w:shd w:val="clear" w:color="auto" w:fill="auto"/>
            <w:vAlign w:val="center"/>
          </w:tcPr>
          <w:p w14:paraId="609F6D9A">
            <w:pPr>
              <w:pStyle w:val="106"/>
              <w:bidi w:val="0"/>
              <w:rPr>
                <w:rFonts w:hint="default"/>
                <w:lang w:val="en-US" w:eastAsia="zh-CN"/>
              </w:rPr>
            </w:pPr>
            <w:r>
              <w:rPr>
                <w:rFonts w:hint="eastAsia"/>
                <w:lang w:val="en-US" w:eastAsia="zh-CN"/>
              </w:rPr>
              <w:t>包装机</w:t>
            </w:r>
          </w:p>
        </w:tc>
        <w:tc>
          <w:tcPr>
            <w:tcW w:w="119" w:type="pct"/>
            <w:tcBorders>
              <w:tl2br w:val="nil"/>
              <w:tr2bl w:val="nil"/>
            </w:tcBorders>
            <w:shd w:val="clear" w:color="auto" w:fill="FFFFFF"/>
            <w:vAlign w:val="top"/>
          </w:tcPr>
          <w:p w14:paraId="3FB9A001">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0434DAF8">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6C5F2841">
            <w:pPr>
              <w:pStyle w:val="106"/>
              <w:bidi w:val="0"/>
              <w:rPr>
                <w:rFonts w:hint="eastAsia"/>
              </w:rPr>
            </w:pPr>
          </w:p>
        </w:tc>
        <w:tc>
          <w:tcPr>
            <w:tcW w:w="173" w:type="pct"/>
            <w:tcBorders>
              <w:tl2br w:val="nil"/>
              <w:tr2bl w:val="nil"/>
            </w:tcBorders>
            <w:shd w:val="clear" w:color="auto" w:fill="FFFFFF"/>
            <w:vAlign w:val="center"/>
          </w:tcPr>
          <w:p w14:paraId="59D7860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26</w:t>
            </w:r>
          </w:p>
        </w:tc>
        <w:tc>
          <w:tcPr>
            <w:tcW w:w="173" w:type="pct"/>
            <w:tcBorders>
              <w:tl2br w:val="nil"/>
              <w:tr2bl w:val="nil"/>
            </w:tcBorders>
            <w:shd w:val="clear" w:color="auto" w:fill="FFFFFF"/>
            <w:vAlign w:val="center"/>
          </w:tcPr>
          <w:p w14:paraId="58CD392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39</w:t>
            </w:r>
          </w:p>
        </w:tc>
        <w:tc>
          <w:tcPr>
            <w:tcW w:w="173" w:type="pct"/>
            <w:tcBorders>
              <w:tl2br w:val="nil"/>
              <w:tr2bl w:val="nil"/>
            </w:tcBorders>
            <w:shd w:val="clear" w:color="auto" w:fill="FFFFFF"/>
            <w:vAlign w:val="center"/>
          </w:tcPr>
          <w:p w14:paraId="4FC6F5F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03C99DD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73" w:type="pct"/>
            <w:tcBorders>
              <w:tl2br w:val="nil"/>
              <w:tr2bl w:val="nil"/>
            </w:tcBorders>
            <w:shd w:val="clear" w:color="auto" w:fill="FFFFFF"/>
            <w:vAlign w:val="center"/>
          </w:tcPr>
          <w:p w14:paraId="0388C3B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75</w:t>
            </w:r>
          </w:p>
        </w:tc>
        <w:tc>
          <w:tcPr>
            <w:tcW w:w="173" w:type="pct"/>
            <w:tcBorders>
              <w:tl2br w:val="nil"/>
              <w:tr2bl w:val="nil"/>
            </w:tcBorders>
            <w:shd w:val="clear" w:color="auto" w:fill="FFFFFF"/>
            <w:vAlign w:val="center"/>
          </w:tcPr>
          <w:p w14:paraId="77C21B8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w:t>
            </w:r>
          </w:p>
        </w:tc>
        <w:tc>
          <w:tcPr>
            <w:tcW w:w="173" w:type="pct"/>
            <w:tcBorders>
              <w:tl2br w:val="nil"/>
              <w:tr2bl w:val="nil"/>
            </w:tcBorders>
            <w:shd w:val="clear" w:color="auto" w:fill="FFFFFF"/>
            <w:vAlign w:val="center"/>
          </w:tcPr>
          <w:p w14:paraId="27FBE9B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31</w:t>
            </w:r>
          </w:p>
        </w:tc>
        <w:tc>
          <w:tcPr>
            <w:tcW w:w="173" w:type="pct"/>
            <w:tcBorders>
              <w:tl2br w:val="nil"/>
              <w:tr2bl w:val="nil"/>
            </w:tcBorders>
            <w:shd w:val="clear" w:color="auto" w:fill="FFFFFF"/>
            <w:vAlign w:val="center"/>
          </w:tcPr>
          <w:p w14:paraId="4277EE0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3" w:type="pct"/>
            <w:tcBorders>
              <w:tl2br w:val="nil"/>
              <w:tr2bl w:val="nil"/>
            </w:tcBorders>
            <w:shd w:val="clear" w:color="auto" w:fill="FFFFFF"/>
            <w:vAlign w:val="center"/>
          </w:tcPr>
          <w:p w14:paraId="7FB1221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3" w:type="pct"/>
            <w:tcBorders>
              <w:tl2br w:val="nil"/>
              <w:tr2bl w:val="nil"/>
            </w:tcBorders>
            <w:shd w:val="clear" w:color="auto" w:fill="FFFFFF"/>
            <w:vAlign w:val="center"/>
          </w:tcPr>
          <w:p w14:paraId="5C37BFF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7" w:type="pct"/>
            <w:tcBorders>
              <w:tl2br w:val="nil"/>
              <w:tr2bl w:val="nil"/>
            </w:tcBorders>
            <w:shd w:val="clear" w:color="auto" w:fill="FFFFFF"/>
            <w:vAlign w:val="center"/>
          </w:tcPr>
          <w:p w14:paraId="6772096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59" w:type="pct"/>
            <w:vMerge w:val="continue"/>
            <w:tcBorders>
              <w:tl2br w:val="nil"/>
              <w:tr2bl w:val="nil"/>
            </w:tcBorders>
            <w:shd w:val="clear" w:color="auto" w:fill="FFFFFF"/>
          </w:tcPr>
          <w:p w14:paraId="2F52BFD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4E4A1E3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3A1EA2B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F39446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6BDCC73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1278A7A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0BFEEBC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5607463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540AA32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0" w:type="auto"/>
            <w:tcBorders>
              <w:tl2br w:val="nil"/>
              <w:tr2bl w:val="nil"/>
            </w:tcBorders>
            <w:shd w:val="clear" w:color="auto" w:fill="FFFFFF"/>
            <w:vAlign w:val="center"/>
          </w:tcPr>
          <w:p w14:paraId="360B4DC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0575A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FFFFFF"/>
            <w:vAlign w:val="center"/>
          </w:tcPr>
          <w:p w14:paraId="3409FBF0">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5DFCFC32">
            <w:pPr>
              <w:pStyle w:val="106"/>
              <w:bidi w:val="0"/>
              <w:rPr>
                <w:rFonts w:hint="eastAsia"/>
                <w:lang w:val="en-US" w:eastAsia="zh-CN"/>
              </w:rPr>
            </w:pPr>
          </w:p>
        </w:tc>
        <w:tc>
          <w:tcPr>
            <w:tcW w:w="490" w:type="pct"/>
            <w:tcBorders>
              <w:tl2br w:val="nil"/>
              <w:tr2bl w:val="nil"/>
            </w:tcBorders>
            <w:shd w:val="clear" w:color="auto" w:fill="auto"/>
            <w:vAlign w:val="center"/>
          </w:tcPr>
          <w:p w14:paraId="0DBC6D1D">
            <w:pPr>
              <w:pStyle w:val="106"/>
              <w:bidi w:val="0"/>
              <w:rPr>
                <w:rFonts w:hint="default"/>
                <w:lang w:val="en-US" w:eastAsia="zh-CN"/>
              </w:rPr>
            </w:pPr>
            <w:r>
              <w:rPr>
                <w:rFonts w:hint="eastAsia"/>
                <w:lang w:val="en-US" w:eastAsia="zh-CN"/>
              </w:rPr>
              <w:t>激光喷码机</w:t>
            </w:r>
          </w:p>
        </w:tc>
        <w:tc>
          <w:tcPr>
            <w:tcW w:w="119" w:type="pct"/>
            <w:tcBorders>
              <w:tl2br w:val="nil"/>
              <w:tr2bl w:val="nil"/>
            </w:tcBorders>
            <w:shd w:val="clear" w:color="auto" w:fill="FFFFFF"/>
            <w:vAlign w:val="center"/>
          </w:tcPr>
          <w:p w14:paraId="554FD95E">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536D9608">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619FBFEB">
            <w:pPr>
              <w:pStyle w:val="106"/>
              <w:bidi w:val="0"/>
              <w:rPr>
                <w:rFonts w:hint="eastAsia"/>
              </w:rPr>
            </w:pPr>
          </w:p>
        </w:tc>
        <w:tc>
          <w:tcPr>
            <w:tcW w:w="173" w:type="pct"/>
            <w:tcBorders>
              <w:tl2br w:val="nil"/>
              <w:tr2bl w:val="nil"/>
            </w:tcBorders>
            <w:shd w:val="clear" w:color="auto" w:fill="FFFFFF"/>
            <w:vAlign w:val="center"/>
          </w:tcPr>
          <w:p w14:paraId="17923A9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22</w:t>
            </w:r>
          </w:p>
        </w:tc>
        <w:tc>
          <w:tcPr>
            <w:tcW w:w="173" w:type="pct"/>
            <w:tcBorders>
              <w:tl2br w:val="nil"/>
              <w:tr2bl w:val="nil"/>
            </w:tcBorders>
            <w:shd w:val="clear" w:color="auto" w:fill="FFFFFF"/>
            <w:vAlign w:val="center"/>
          </w:tcPr>
          <w:p w14:paraId="7814D50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w:t>
            </w:r>
          </w:p>
        </w:tc>
        <w:tc>
          <w:tcPr>
            <w:tcW w:w="173" w:type="pct"/>
            <w:tcBorders>
              <w:tl2br w:val="nil"/>
              <w:tr2bl w:val="nil"/>
            </w:tcBorders>
            <w:shd w:val="clear" w:color="auto" w:fill="FFFFFF"/>
            <w:vAlign w:val="center"/>
          </w:tcPr>
          <w:p w14:paraId="1412FD9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37E5BA2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73" w:type="pct"/>
            <w:tcBorders>
              <w:tl2br w:val="nil"/>
              <w:tr2bl w:val="nil"/>
            </w:tcBorders>
            <w:shd w:val="clear" w:color="auto" w:fill="FFFFFF"/>
            <w:vAlign w:val="center"/>
          </w:tcPr>
          <w:p w14:paraId="692B430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76</w:t>
            </w:r>
          </w:p>
        </w:tc>
        <w:tc>
          <w:tcPr>
            <w:tcW w:w="173" w:type="pct"/>
            <w:tcBorders>
              <w:tl2br w:val="nil"/>
              <w:tr2bl w:val="nil"/>
            </w:tcBorders>
            <w:shd w:val="clear" w:color="auto" w:fill="FFFFFF"/>
            <w:vAlign w:val="center"/>
          </w:tcPr>
          <w:p w14:paraId="7D6195C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w:t>
            </w:r>
          </w:p>
        </w:tc>
        <w:tc>
          <w:tcPr>
            <w:tcW w:w="173" w:type="pct"/>
            <w:tcBorders>
              <w:tl2br w:val="nil"/>
              <w:tr2bl w:val="nil"/>
            </w:tcBorders>
            <w:shd w:val="clear" w:color="auto" w:fill="FFFFFF"/>
            <w:vAlign w:val="center"/>
          </w:tcPr>
          <w:p w14:paraId="352EF24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30</w:t>
            </w:r>
          </w:p>
        </w:tc>
        <w:tc>
          <w:tcPr>
            <w:tcW w:w="173" w:type="pct"/>
            <w:tcBorders>
              <w:tl2br w:val="nil"/>
              <w:tr2bl w:val="nil"/>
            </w:tcBorders>
            <w:shd w:val="clear" w:color="auto" w:fill="FFFFFF"/>
            <w:vAlign w:val="center"/>
          </w:tcPr>
          <w:p w14:paraId="14FBBA0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55E4871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472B9CB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4513791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tcPr>
          <w:p w14:paraId="0F01779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3A71663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09EBDF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1C3BFDE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1210241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19F5308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464307A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1DF8E43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569DEBA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5E156F6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783A5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796DCFE0">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3898AD87">
            <w:pPr>
              <w:pStyle w:val="106"/>
              <w:bidi w:val="0"/>
              <w:rPr>
                <w:rFonts w:hint="eastAsia"/>
                <w:lang w:val="en-US" w:eastAsia="zh-CN"/>
              </w:rPr>
            </w:pPr>
          </w:p>
        </w:tc>
        <w:tc>
          <w:tcPr>
            <w:tcW w:w="490" w:type="pct"/>
            <w:tcBorders>
              <w:tl2br w:val="nil"/>
              <w:tr2bl w:val="nil"/>
            </w:tcBorders>
            <w:shd w:val="clear" w:color="auto" w:fill="auto"/>
            <w:vAlign w:val="center"/>
          </w:tcPr>
          <w:p w14:paraId="6ADFDB15">
            <w:pPr>
              <w:pStyle w:val="106"/>
              <w:bidi w:val="0"/>
              <w:rPr>
                <w:rFonts w:hint="default"/>
                <w:lang w:val="en-US" w:eastAsia="zh-CN"/>
              </w:rPr>
            </w:pPr>
            <w:r>
              <w:rPr>
                <w:rFonts w:hint="eastAsia"/>
                <w:lang w:val="en-US" w:eastAsia="zh-CN"/>
              </w:rPr>
              <w:t>装箱装袋机</w:t>
            </w:r>
          </w:p>
        </w:tc>
        <w:tc>
          <w:tcPr>
            <w:tcW w:w="119" w:type="pct"/>
            <w:tcBorders>
              <w:tl2br w:val="nil"/>
              <w:tr2bl w:val="nil"/>
            </w:tcBorders>
            <w:shd w:val="clear" w:color="auto" w:fill="FFFFFF"/>
            <w:vAlign w:val="center"/>
          </w:tcPr>
          <w:p w14:paraId="74597F25">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354B9EFE">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5E7FCE77">
            <w:pPr>
              <w:pStyle w:val="106"/>
              <w:bidi w:val="0"/>
              <w:rPr>
                <w:rFonts w:hint="eastAsia"/>
              </w:rPr>
            </w:pPr>
          </w:p>
        </w:tc>
        <w:tc>
          <w:tcPr>
            <w:tcW w:w="173" w:type="pct"/>
            <w:tcBorders>
              <w:tl2br w:val="nil"/>
              <w:tr2bl w:val="nil"/>
            </w:tcBorders>
            <w:shd w:val="clear" w:color="auto" w:fill="FFFFFF"/>
            <w:vAlign w:val="center"/>
          </w:tcPr>
          <w:p w14:paraId="7C0FFCE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22</w:t>
            </w:r>
          </w:p>
        </w:tc>
        <w:tc>
          <w:tcPr>
            <w:tcW w:w="173" w:type="pct"/>
            <w:tcBorders>
              <w:tl2br w:val="nil"/>
              <w:tr2bl w:val="nil"/>
            </w:tcBorders>
            <w:shd w:val="clear" w:color="auto" w:fill="FFFFFF"/>
            <w:vAlign w:val="center"/>
          </w:tcPr>
          <w:p w14:paraId="6CFDEC5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49</w:t>
            </w:r>
          </w:p>
        </w:tc>
        <w:tc>
          <w:tcPr>
            <w:tcW w:w="173" w:type="pct"/>
            <w:tcBorders>
              <w:tl2br w:val="nil"/>
              <w:tr2bl w:val="nil"/>
            </w:tcBorders>
            <w:shd w:val="clear" w:color="auto" w:fill="FFFFFF"/>
            <w:vAlign w:val="center"/>
          </w:tcPr>
          <w:p w14:paraId="061FD8A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3E957482">
            <w:pPr>
              <w:pStyle w:val="106"/>
              <w:bidi w:val="0"/>
              <w:jc w:val="center"/>
              <w:rPr>
                <w:rFonts w:hint="eastAsia"/>
                <w:lang w:val="en-US" w:eastAsia="zh-CN"/>
              </w:rPr>
            </w:pPr>
            <w:r>
              <w:rPr>
                <w:rFonts w:hint="eastAsia"/>
                <w:lang w:val="en-US" w:eastAsia="zh-CN"/>
              </w:rPr>
              <w:t>33</w:t>
            </w:r>
          </w:p>
        </w:tc>
        <w:tc>
          <w:tcPr>
            <w:tcW w:w="173" w:type="pct"/>
            <w:tcBorders>
              <w:tl2br w:val="nil"/>
              <w:tr2bl w:val="nil"/>
            </w:tcBorders>
            <w:shd w:val="clear" w:color="auto" w:fill="FFFFFF"/>
            <w:vAlign w:val="center"/>
          </w:tcPr>
          <w:p w14:paraId="04E3EE74">
            <w:pPr>
              <w:pStyle w:val="106"/>
              <w:bidi w:val="0"/>
              <w:jc w:val="center"/>
              <w:rPr>
                <w:rFonts w:hint="eastAsia"/>
                <w:lang w:val="en-US" w:eastAsia="zh-CN"/>
              </w:rPr>
            </w:pPr>
            <w:r>
              <w:rPr>
                <w:rFonts w:hint="eastAsia"/>
                <w:lang w:val="en-US" w:eastAsia="zh-CN"/>
              </w:rPr>
              <w:t>37</w:t>
            </w:r>
          </w:p>
        </w:tc>
        <w:tc>
          <w:tcPr>
            <w:tcW w:w="173" w:type="pct"/>
            <w:tcBorders>
              <w:tl2br w:val="nil"/>
              <w:tr2bl w:val="nil"/>
            </w:tcBorders>
            <w:shd w:val="clear" w:color="auto" w:fill="FFFFFF"/>
            <w:vAlign w:val="center"/>
          </w:tcPr>
          <w:p w14:paraId="04FEFA9E">
            <w:pPr>
              <w:pStyle w:val="106"/>
              <w:bidi w:val="0"/>
              <w:jc w:val="center"/>
              <w:rPr>
                <w:rFonts w:hint="default"/>
                <w:lang w:val="en-US" w:eastAsia="zh-CN"/>
              </w:rPr>
            </w:pPr>
            <w:r>
              <w:rPr>
                <w:rFonts w:hint="eastAsia"/>
                <w:lang w:val="en-US" w:eastAsia="zh-CN"/>
              </w:rPr>
              <w:t>103</w:t>
            </w:r>
          </w:p>
        </w:tc>
        <w:tc>
          <w:tcPr>
            <w:tcW w:w="173" w:type="pct"/>
            <w:tcBorders>
              <w:tl2br w:val="nil"/>
              <w:tr2bl w:val="nil"/>
            </w:tcBorders>
            <w:shd w:val="clear" w:color="auto" w:fill="FFFFFF"/>
            <w:vAlign w:val="center"/>
          </w:tcPr>
          <w:p w14:paraId="7C91FD90">
            <w:pPr>
              <w:pStyle w:val="106"/>
              <w:bidi w:val="0"/>
              <w:jc w:val="center"/>
              <w:rPr>
                <w:rFonts w:hint="eastAsia"/>
                <w:lang w:val="en-US" w:eastAsia="zh-CN"/>
              </w:rPr>
            </w:pPr>
            <w:r>
              <w:rPr>
                <w:rFonts w:hint="eastAsia"/>
                <w:lang w:val="en-US" w:eastAsia="zh-CN"/>
              </w:rPr>
              <w:t>29</w:t>
            </w:r>
          </w:p>
        </w:tc>
        <w:tc>
          <w:tcPr>
            <w:tcW w:w="173" w:type="pct"/>
            <w:tcBorders>
              <w:tl2br w:val="nil"/>
              <w:tr2bl w:val="nil"/>
            </w:tcBorders>
            <w:shd w:val="clear" w:color="auto" w:fill="FFFFFF"/>
            <w:vAlign w:val="center"/>
          </w:tcPr>
          <w:p w14:paraId="54544C4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368C8E9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33A3501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453354D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656B7BA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1715A88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35464FA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6606938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3AEBD82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07154AA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14D4166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5785930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3D1134A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0435CF9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0876D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0918A628">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68504A0F">
            <w:pPr>
              <w:pStyle w:val="106"/>
              <w:bidi w:val="0"/>
              <w:rPr>
                <w:rFonts w:hint="eastAsia"/>
                <w:lang w:val="en-US" w:eastAsia="zh-CN"/>
              </w:rPr>
            </w:pPr>
          </w:p>
        </w:tc>
        <w:tc>
          <w:tcPr>
            <w:tcW w:w="490" w:type="pct"/>
            <w:tcBorders>
              <w:tl2br w:val="nil"/>
              <w:tr2bl w:val="nil"/>
            </w:tcBorders>
            <w:shd w:val="clear" w:color="auto" w:fill="auto"/>
            <w:vAlign w:val="center"/>
          </w:tcPr>
          <w:p w14:paraId="049E164D">
            <w:pPr>
              <w:pStyle w:val="106"/>
              <w:bidi w:val="0"/>
              <w:rPr>
                <w:rFonts w:hint="default"/>
                <w:lang w:val="en-US" w:eastAsia="zh-CN"/>
              </w:rPr>
            </w:pPr>
            <w:r>
              <w:rPr>
                <w:rFonts w:hint="eastAsia"/>
              </w:rPr>
              <w:t>高速盘纸分切复卷机</w:t>
            </w:r>
          </w:p>
        </w:tc>
        <w:tc>
          <w:tcPr>
            <w:tcW w:w="119" w:type="pct"/>
            <w:tcBorders>
              <w:tl2br w:val="nil"/>
              <w:tr2bl w:val="nil"/>
            </w:tcBorders>
            <w:shd w:val="clear" w:color="auto" w:fill="FFFFFF"/>
            <w:vAlign w:val="center"/>
          </w:tcPr>
          <w:p w14:paraId="78A8545E">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1506D7B3">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2DB65C9C">
            <w:pPr>
              <w:pStyle w:val="106"/>
              <w:bidi w:val="0"/>
              <w:rPr>
                <w:rFonts w:hint="eastAsia"/>
              </w:rPr>
            </w:pPr>
          </w:p>
        </w:tc>
        <w:tc>
          <w:tcPr>
            <w:tcW w:w="173" w:type="pct"/>
            <w:tcBorders>
              <w:tl2br w:val="nil"/>
              <w:tr2bl w:val="nil"/>
            </w:tcBorders>
            <w:shd w:val="clear" w:color="auto" w:fill="FFFFFF"/>
            <w:vAlign w:val="center"/>
          </w:tcPr>
          <w:p w14:paraId="6E49B41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73" w:type="pct"/>
            <w:tcBorders>
              <w:tl2br w:val="nil"/>
              <w:tr2bl w:val="nil"/>
            </w:tcBorders>
            <w:shd w:val="clear" w:color="auto" w:fill="FFFFFF"/>
            <w:vAlign w:val="center"/>
          </w:tcPr>
          <w:p w14:paraId="295BA19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62</w:t>
            </w:r>
          </w:p>
        </w:tc>
        <w:tc>
          <w:tcPr>
            <w:tcW w:w="173" w:type="pct"/>
            <w:tcBorders>
              <w:tl2br w:val="nil"/>
              <w:tr2bl w:val="nil"/>
            </w:tcBorders>
            <w:shd w:val="clear" w:color="auto" w:fill="FFFFFF"/>
            <w:vAlign w:val="center"/>
          </w:tcPr>
          <w:p w14:paraId="18DCD1F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2B64C559">
            <w:pPr>
              <w:pStyle w:val="106"/>
              <w:bidi w:val="0"/>
              <w:jc w:val="center"/>
              <w:rPr>
                <w:rFonts w:hint="eastAsia"/>
                <w:lang w:val="en-US" w:eastAsia="zh-CN"/>
              </w:rPr>
            </w:pPr>
            <w:r>
              <w:rPr>
                <w:rFonts w:hint="eastAsia"/>
                <w:lang w:val="en-US" w:eastAsia="zh-CN"/>
              </w:rPr>
              <w:t>37</w:t>
            </w:r>
          </w:p>
        </w:tc>
        <w:tc>
          <w:tcPr>
            <w:tcW w:w="173" w:type="pct"/>
            <w:tcBorders>
              <w:tl2br w:val="nil"/>
              <w:tr2bl w:val="nil"/>
            </w:tcBorders>
            <w:shd w:val="clear" w:color="auto" w:fill="FFFFFF"/>
            <w:vAlign w:val="center"/>
          </w:tcPr>
          <w:p w14:paraId="0B1D0726">
            <w:pPr>
              <w:pStyle w:val="106"/>
              <w:bidi w:val="0"/>
              <w:jc w:val="center"/>
              <w:rPr>
                <w:rFonts w:hint="eastAsia"/>
                <w:lang w:val="en-US" w:eastAsia="zh-CN"/>
              </w:rPr>
            </w:pPr>
            <w:r>
              <w:rPr>
                <w:rFonts w:hint="eastAsia"/>
                <w:lang w:val="en-US" w:eastAsia="zh-CN"/>
              </w:rPr>
              <w:t>37</w:t>
            </w:r>
          </w:p>
        </w:tc>
        <w:tc>
          <w:tcPr>
            <w:tcW w:w="173" w:type="pct"/>
            <w:tcBorders>
              <w:tl2br w:val="nil"/>
              <w:tr2bl w:val="nil"/>
            </w:tcBorders>
            <w:shd w:val="clear" w:color="auto" w:fill="FFFFFF"/>
            <w:vAlign w:val="center"/>
          </w:tcPr>
          <w:p w14:paraId="43794C8B">
            <w:pPr>
              <w:pStyle w:val="106"/>
              <w:bidi w:val="0"/>
              <w:jc w:val="center"/>
              <w:rPr>
                <w:rFonts w:hint="default"/>
                <w:lang w:val="en-US" w:eastAsia="zh-CN"/>
              </w:rPr>
            </w:pPr>
            <w:r>
              <w:rPr>
                <w:rFonts w:hint="eastAsia"/>
                <w:lang w:val="en-US" w:eastAsia="zh-CN"/>
              </w:rPr>
              <w:t>99</w:t>
            </w:r>
          </w:p>
        </w:tc>
        <w:tc>
          <w:tcPr>
            <w:tcW w:w="173" w:type="pct"/>
            <w:tcBorders>
              <w:tl2br w:val="nil"/>
              <w:tr2bl w:val="nil"/>
            </w:tcBorders>
            <w:shd w:val="clear" w:color="auto" w:fill="FFFFFF"/>
            <w:vAlign w:val="center"/>
          </w:tcPr>
          <w:p w14:paraId="0DEB4395">
            <w:pPr>
              <w:pStyle w:val="106"/>
              <w:bidi w:val="0"/>
              <w:jc w:val="center"/>
              <w:rPr>
                <w:rFonts w:hint="eastAsia"/>
                <w:lang w:val="en-US" w:eastAsia="zh-CN"/>
              </w:rPr>
            </w:pPr>
            <w:r>
              <w:rPr>
                <w:rFonts w:hint="eastAsia"/>
                <w:lang w:val="en-US" w:eastAsia="zh-CN"/>
              </w:rPr>
              <w:t>29</w:t>
            </w:r>
          </w:p>
        </w:tc>
        <w:tc>
          <w:tcPr>
            <w:tcW w:w="173" w:type="pct"/>
            <w:tcBorders>
              <w:tl2br w:val="nil"/>
              <w:tr2bl w:val="nil"/>
            </w:tcBorders>
            <w:shd w:val="clear" w:color="auto" w:fill="FFFFFF"/>
            <w:vAlign w:val="center"/>
          </w:tcPr>
          <w:p w14:paraId="2F7FF2E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3" w:type="pct"/>
            <w:tcBorders>
              <w:tl2br w:val="nil"/>
              <w:tr2bl w:val="nil"/>
            </w:tcBorders>
            <w:shd w:val="clear" w:color="auto" w:fill="FFFFFF"/>
            <w:vAlign w:val="center"/>
          </w:tcPr>
          <w:p w14:paraId="20CF133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3" w:type="pct"/>
            <w:tcBorders>
              <w:tl2br w:val="nil"/>
              <w:tr2bl w:val="nil"/>
            </w:tcBorders>
            <w:shd w:val="clear" w:color="auto" w:fill="FFFFFF"/>
            <w:vAlign w:val="center"/>
          </w:tcPr>
          <w:p w14:paraId="3913679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7" w:type="pct"/>
            <w:tcBorders>
              <w:tl2br w:val="nil"/>
              <w:tr2bl w:val="nil"/>
            </w:tcBorders>
            <w:shd w:val="clear" w:color="auto" w:fill="FFFFFF"/>
            <w:vAlign w:val="center"/>
          </w:tcPr>
          <w:p w14:paraId="2DF4D65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59" w:type="pct"/>
            <w:vMerge w:val="continue"/>
            <w:tcBorders>
              <w:tl2br w:val="nil"/>
              <w:tr2bl w:val="nil"/>
            </w:tcBorders>
            <w:shd w:val="clear" w:color="auto" w:fill="FFFFFF"/>
            <w:vAlign w:val="center"/>
          </w:tcPr>
          <w:p w14:paraId="46591AA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37ACCB4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4654FDD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682B3D9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7F55DB8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5639174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6394587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3AC02CE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5F6D52B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0" w:type="auto"/>
            <w:tcBorders>
              <w:tl2br w:val="nil"/>
              <w:tr2bl w:val="nil"/>
            </w:tcBorders>
            <w:shd w:val="clear" w:color="auto" w:fill="FFFFFF"/>
            <w:vAlign w:val="center"/>
          </w:tcPr>
          <w:p w14:paraId="4694E5D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1B6E5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auto"/>
            <w:vAlign w:val="center"/>
          </w:tcPr>
          <w:p w14:paraId="4084FB70">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62F3C734">
            <w:pPr>
              <w:pStyle w:val="106"/>
              <w:bidi w:val="0"/>
              <w:rPr>
                <w:rFonts w:hint="eastAsia"/>
                <w:lang w:val="en-US" w:eastAsia="zh-CN"/>
              </w:rPr>
            </w:pPr>
          </w:p>
        </w:tc>
        <w:tc>
          <w:tcPr>
            <w:tcW w:w="490" w:type="pct"/>
            <w:tcBorders>
              <w:tl2br w:val="nil"/>
              <w:tr2bl w:val="nil"/>
            </w:tcBorders>
            <w:shd w:val="clear" w:color="auto" w:fill="auto"/>
            <w:vAlign w:val="center"/>
          </w:tcPr>
          <w:p w14:paraId="4FE70A01">
            <w:pPr>
              <w:pStyle w:val="106"/>
              <w:bidi w:val="0"/>
              <w:rPr>
                <w:rFonts w:hint="default"/>
                <w:lang w:val="en-US" w:eastAsia="zh-CN"/>
              </w:rPr>
            </w:pPr>
            <w:r>
              <w:rPr>
                <w:rFonts w:hint="eastAsia"/>
                <w:lang w:val="en-US" w:eastAsia="zh-CN"/>
              </w:rPr>
              <w:t>打纸机</w:t>
            </w:r>
          </w:p>
        </w:tc>
        <w:tc>
          <w:tcPr>
            <w:tcW w:w="119" w:type="pct"/>
            <w:tcBorders>
              <w:tl2br w:val="nil"/>
              <w:tr2bl w:val="nil"/>
            </w:tcBorders>
            <w:shd w:val="clear" w:color="auto" w:fill="FFFFFF"/>
            <w:vAlign w:val="center"/>
          </w:tcPr>
          <w:p w14:paraId="5E47FC49">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1FE1D3E3">
            <w:pPr>
              <w:pStyle w:val="106"/>
              <w:bidi w:val="0"/>
              <w:rPr>
                <w:rFonts w:hint="default"/>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5F5F8FFA">
            <w:pPr>
              <w:pStyle w:val="106"/>
              <w:bidi w:val="0"/>
              <w:rPr>
                <w:rFonts w:hint="eastAsia"/>
              </w:rPr>
            </w:pPr>
          </w:p>
        </w:tc>
        <w:tc>
          <w:tcPr>
            <w:tcW w:w="173" w:type="pct"/>
            <w:tcBorders>
              <w:tl2br w:val="nil"/>
              <w:tr2bl w:val="nil"/>
            </w:tcBorders>
            <w:shd w:val="clear" w:color="auto" w:fill="FFFFFF"/>
            <w:vAlign w:val="center"/>
          </w:tcPr>
          <w:p w14:paraId="42C7AA5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c>
          <w:tcPr>
            <w:tcW w:w="173" w:type="pct"/>
            <w:tcBorders>
              <w:tl2br w:val="nil"/>
              <w:tr2bl w:val="nil"/>
            </w:tcBorders>
            <w:shd w:val="clear" w:color="auto" w:fill="FFFFFF"/>
            <w:vAlign w:val="center"/>
          </w:tcPr>
          <w:p w14:paraId="4B501DA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38</w:t>
            </w:r>
          </w:p>
        </w:tc>
        <w:tc>
          <w:tcPr>
            <w:tcW w:w="173" w:type="pct"/>
            <w:tcBorders>
              <w:tl2br w:val="nil"/>
              <w:tr2bl w:val="nil"/>
            </w:tcBorders>
            <w:shd w:val="clear" w:color="auto" w:fill="FFFFFF"/>
            <w:vAlign w:val="center"/>
          </w:tcPr>
          <w:p w14:paraId="619DE96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37181EA5">
            <w:pPr>
              <w:pStyle w:val="106"/>
              <w:bidi w:val="0"/>
              <w:jc w:val="center"/>
              <w:rPr>
                <w:rFonts w:hint="eastAsia"/>
                <w:lang w:val="en-US" w:eastAsia="zh-CN"/>
              </w:rPr>
            </w:pPr>
            <w:r>
              <w:rPr>
                <w:rFonts w:hint="eastAsia"/>
                <w:lang w:val="en-US" w:eastAsia="zh-CN"/>
              </w:rPr>
              <w:t>42</w:t>
            </w:r>
          </w:p>
        </w:tc>
        <w:tc>
          <w:tcPr>
            <w:tcW w:w="173" w:type="pct"/>
            <w:tcBorders>
              <w:tl2br w:val="nil"/>
              <w:tr2bl w:val="nil"/>
            </w:tcBorders>
            <w:shd w:val="clear" w:color="auto" w:fill="FFFFFF"/>
            <w:vAlign w:val="center"/>
          </w:tcPr>
          <w:p w14:paraId="16183E7A">
            <w:pPr>
              <w:pStyle w:val="106"/>
              <w:bidi w:val="0"/>
              <w:jc w:val="center"/>
              <w:rPr>
                <w:rFonts w:hint="eastAsia"/>
                <w:lang w:val="en-US" w:eastAsia="zh-CN"/>
              </w:rPr>
            </w:pPr>
            <w:r>
              <w:rPr>
                <w:rFonts w:hint="eastAsia"/>
                <w:lang w:val="en-US" w:eastAsia="zh-CN"/>
              </w:rPr>
              <w:t>37</w:t>
            </w:r>
          </w:p>
        </w:tc>
        <w:tc>
          <w:tcPr>
            <w:tcW w:w="173" w:type="pct"/>
            <w:tcBorders>
              <w:tl2br w:val="nil"/>
              <w:tr2bl w:val="nil"/>
            </w:tcBorders>
            <w:shd w:val="clear" w:color="auto" w:fill="FFFFFF"/>
            <w:vAlign w:val="center"/>
          </w:tcPr>
          <w:p w14:paraId="21553CAE">
            <w:pPr>
              <w:pStyle w:val="106"/>
              <w:bidi w:val="0"/>
              <w:jc w:val="center"/>
              <w:rPr>
                <w:rFonts w:hint="default"/>
                <w:lang w:val="en-US" w:eastAsia="zh-CN"/>
              </w:rPr>
            </w:pPr>
            <w:r>
              <w:rPr>
                <w:rFonts w:hint="eastAsia"/>
                <w:lang w:val="en-US" w:eastAsia="zh-CN"/>
              </w:rPr>
              <w:t>94</w:t>
            </w:r>
          </w:p>
        </w:tc>
        <w:tc>
          <w:tcPr>
            <w:tcW w:w="173" w:type="pct"/>
            <w:tcBorders>
              <w:tl2br w:val="nil"/>
              <w:tr2bl w:val="nil"/>
            </w:tcBorders>
            <w:shd w:val="clear" w:color="auto" w:fill="FFFFFF"/>
            <w:vAlign w:val="center"/>
          </w:tcPr>
          <w:p w14:paraId="3A6DF5D9">
            <w:pPr>
              <w:pStyle w:val="106"/>
              <w:bidi w:val="0"/>
              <w:jc w:val="center"/>
              <w:rPr>
                <w:rFonts w:hint="eastAsia"/>
                <w:lang w:val="en-US" w:eastAsia="zh-CN"/>
              </w:rPr>
            </w:pPr>
            <w:r>
              <w:rPr>
                <w:rFonts w:hint="eastAsia"/>
                <w:lang w:val="en-US" w:eastAsia="zh-CN"/>
              </w:rPr>
              <w:t>29</w:t>
            </w:r>
          </w:p>
        </w:tc>
        <w:tc>
          <w:tcPr>
            <w:tcW w:w="173" w:type="pct"/>
            <w:tcBorders>
              <w:tl2br w:val="nil"/>
              <w:tr2bl w:val="nil"/>
            </w:tcBorders>
            <w:shd w:val="clear" w:color="auto" w:fill="FFFFFF"/>
            <w:vAlign w:val="center"/>
          </w:tcPr>
          <w:p w14:paraId="423D3EA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4DFAAFE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6B49017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7" w:type="pct"/>
            <w:tcBorders>
              <w:tl2br w:val="nil"/>
              <w:tr2bl w:val="nil"/>
            </w:tcBorders>
            <w:shd w:val="clear" w:color="auto" w:fill="FFFFFF"/>
            <w:vAlign w:val="center"/>
          </w:tcPr>
          <w:p w14:paraId="41B4A2B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59" w:type="pct"/>
            <w:vMerge w:val="continue"/>
            <w:tcBorders>
              <w:tl2br w:val="nil"/>
              <w:tr2bl w:val="nil"/>
            </w:tcBorders>
            <w:shd w:val="clear" w:color="auto" w:fill="FFFFFF"/>
            <w:vAlign w:val="center"/>
          </w:tcPr>
          <w:p w14:paraId="25949F7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1922222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399C92E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3D2B92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50C2631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3B98B1B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0E6E4F3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3A5112A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406A553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0" w:type="auto"/>
            <w:tcBorders>
              <w:tl2br w:val="nil"/>
              <w:tr2bl w:val="nil"/>
            </w:tcBorders>
            <w:shd w:val="clear" w:color="auto" w:fill="FFFFFF"/>
            <w:vAlign w:val="center"/>
          </w:tcPr>
          <w:p w14:paraId="19540CA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7A4CE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auto"/>
            <w:vAlign w:val="center"/>
          </w:tcPr>
          <w:p w14:paraId="0521A83B">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630C1DC0">
            <w:pPr>
              <w:pStyle w:val="106"/>
              <w:bidi w:val="0"/>
              <w:rPr>
                <w:rFonts w:hint="eastAsia"/>
                <w:lang w:val="en-US" w:eastAsia="zh-CN"/>
              </w:rPr>
            </w:pPr>
          </w:p>
        </w:tc>
        <w:tc>
          <w:tcPr>
            <w:tcW w:w="490" w:type="pct"/>
            <w:tcBorders>
              <w:tl2br w:val="nil"/>
              <w:tr2bl w:val="nil"/>
            </w:tcBorders>
            <w:shd w:val="clear" w:color="auto" w:fill="auto"/>
            <w:vAlign w:val="center"/>
          </w:tcPr>
          <w:p w14:paraId="1BB3FB4C">
            <w:pPr>
              <w:pStyle w:val="106"/>
              <w:bidi w:val="0"/>
              <w:rPr>
                <w:rFonts w:hint="eastAsia"/>
                <w:lang w:val="en-US" w:eastAsia="zh-CN"/>
              </w:rPr>
            </w:pPr>
            <w:r>
              <w:rPr>
                <w:rFonts w:hint="eastAsia"/>
                <w:lang w:val="en-US" w:eastAsia="zh-CN"/>
              </w:rPr>
              <w:t>打纸机</w:t>
            </w:r>
          </w:p>
        </w:tc>
        <w:tc>
          <w:tcPr>
            <w:tcW w:w="119" w:type="pct"/>
            <w:tcBorders>
              <w:tl2br w:val="nil"/>
              <w:tr2bl w:val="nil"/>
            </w:tcBorders>
            <w:shd w:val="clear" w:color="auto" w:fill="FFFFFF"/>
            <w:vAlign w:val="center"/>
          </w:tcPr>
          <w:p w14:paraId="5F40939B">
            <w:pPr>
              <w:pStyle w:val="106"/>
              <w:bidi w:val="0"/>
              <w:rPr>
                <w:rFonts w:hint="eastAsia"/>
              </w:rPr>
            </w:pPr>
            <w:r>
              <w:rPr>
                <w:rFonts w:hint="eastAsia"/>
              </w:rPr>
              <w:t>/</w:t>
            </w:r>
          </w:p>
        </w:tc>
        <w:tc>
          <w:tcPr>
            <w:tcW w:w="251" w:type="pct"/>
            <w:tcBorders>
              <w:tl2br w:val="nil"/>
              <w:tr2bl w:val="nil"/>
            </w:tcBorders>
            <w:shd w:val="clear" w:color="auto" w:fill="auto"/>
            <w:vAlign w:val="center"/>
          </w:tcPr>
          <w:p w14:paraId="1FCA5820">
            <w:pPr>
              <w:pStyle w:val="106"/>
              <w:bidi w:val="0"/>
              <w:rPr>
                <w:rFonts w:hint="eastAsia"/>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76C471A5">
            <w:pPr>
              <w:pStyle w:val="106"/>
              <w:bidi w:val="0"/>
              <w:rPr>
                <w:rFonts w:hint="eastAsia"/>
              </w:rPr>
            </w:pPr>
          </w:p>
        </w:tc>
        <w:tc>
          <w:tcPr>
            <w:tcW w:w="173" w:type="pct"/>
            <w:tcBorders>
              <w:tl2br w:val="nil"/>
              <w:tr2bl w:val="nil"/>
            </w:tcBorders>
            <w:shd w:val="clear" w:color="auto" w:fill="FFFFFF"/>
            <w:vAlign w:val="center"/>
          </w:tcPr>
          <w:p w14:paraId="45BD069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2ED54D71">
            <w:pPr>
              <w:pStyle w:val="106"/>
              <w:bidi w:val="0"/>
              <w:rPr>
                <w:rFonts w:hint="default"/>
                <w:lang w:val="en-US" w:eastAsia="zh-CN"/>
              </w:rPr>
            </w:pPr>
            <w:r>
              <w:rPr>
                <w:rFonts w:hint="eastAsia"/>
                <w:lang w:val="en-US" w:eastAsia="zh-CN"/>
              </w:rPr>
              <w:t>38</w:t>
            </w:r>
          </w:p>
        </w:tc>
        <w:tc>
          <w:tcPr>
            <w:tcW w:w="173" w:type="pct"/>
            <w:tcBorders>
              <w:tl2br w:val="nil"/>
              <w:tr2bl w:val="nil"/>
            </w:tcBorders>
            <w:shd w:val="clear" w:color="auto" w:fill="FFFFFF"/>
            <w:vAlign w:val="center"/>
          </w:tcPr>
          <w:p w14:paraId="1DC6A84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61AF6728">
            <w:pPr>
              <w:pStyle w:val="106"/>
              <w:bidi w:val="0"/>
              <w:jc w:val="center"/>
              <w:rPr>
                <w:rFonts w:hint="eastAsia"/>
                <w:lang w:val="en-US" w:eastAsia="zh-CN"/>
              </w:rPr>
            </w:pPr>
            <w:r>
              <w:rPr>
                <w:rFonts w:hint="eastAsia"/>
                <w:lang w:val="en-US" w:eastAsia="zh-CN"/>
              </w:rPr>
              <w:t>46</w:t>
            </w:r>
          </w:p>
        </w:tc>
        <w:tc>
          <w:tcPr>
            <w:tcW w:w="173" w:type="pct"/>
            <w:tcBorders>
              <w:tl2br w:val="nil"/>
              <w:tr2bl w:val="nil"/>
            </w:tcBorders>
            <w:shd w:val="clear" w:color="auto" w:fill="FFFFFF"/>
            <w:vAlign w:val="center"/>
          </w:tcPr>
          <w:p w14:paraId="3D9DC1A2">
            <w:pPr>
              <w:pStyle w:val="106"/>
              <w:bidi w:val="0"/>
              <w:jc w:val="center"/>
              <w:rPr>
                <w:rFonts w:hint="eastAsia"/>
                <w:lang w:val="en-US" w:eastAsia="zh-CN"/>
              </w:rPr>
            </w:pPr>
            <w:r>
              <w:rPr>
                <w:rFonts w:hint="eastAsia"/>
                <w:lang w:val="en-US" w:eastAsia="zh-CN"/>
              </w:rPr>
              <w:t>31</w:t>
            </w:r>
          </w:p>
        </w:tc>
        <w:tc>
          <w:tcPr>
            <w:tcW w:w="173" w:type="pct"/>
            <w:tcBorders>
              <w:tl2br w:val="nil"/>
              <w:tr2bl w:val="nil"/>
            </w:tcBorders>
            <w:shd w:val="clear" w:color="auto" w:fill="FFFFFF"/>
            <w:vAlign w:val="center"/>
          </w:tcPr>
          <w:p w14:paraId="5D5B8BBB">
            <w:pPr>
              <w:pStyle w:val="106"/>
              <w:bidi w:val="0"/>
              <w:jc w:val="center"/>
              <w:rPr>
                <w:rFonts w:hint="default"/>
                <w:lang w:val="en-US" w:eastAsia="zh-CN"/>
              </w:rPr>
            </w:pPr>
            <w:r>
              <w:rPr>
                <w:rFonts w:hint="eastAsia"/>
                <w:lang w:val="en-US" w:eastAsia="zh-CN"/>
              </w:rPr>
              <w:t>90</w:t>
            </w:r>
          </w:p>
        </w:tc>
        <w:tc>
          <w:tcPr>
            <w:tcW w:w="173" w:type="pct"/>
            <w:tcBorders>
              <w:tl2br w:val="nil"/>
              <w:tr2bl w:val="nil"/>
            </w:tcBorders>
            <w:shd w:val="clear" w:color="auto" w:fill="FFFFFF"/>
            <w:vAlign w:val="center"/>
          </w:tcPr>
          <w:p w14:paraId="72E2F8CC">
            <w:pPr>
              <w:pStyle w:val="106"/>
              <w:bidi w:val="0"/>
              <w:jc w:val="center"/>
              <w:rPr>
                <w:rFonts w:hint="eastAsia"/>
                <w:lang w:val="en-US" w:eastAsia="zh-CN"/>
              </w:rPr>
            </w:pPr>
            <w:r>
              <w:rPr>
                <w:rFonts w:hint="eastAsia"/>
                <w:lang w:val="en-US" w:eastAsia="zh-CN"/>
              </w:rPr>
              <w:t>35</w:t>
            </w:r>
          </w:p>
        </w:tc>
        <w:tc>
          <w:tcPr>
            <w:tcW w:w="173" w:type="pct"/>
            <w:tcBorders>
              <w:tl2br w:val="nil"/>
              <w:tr2bl w:val="nil"/>
            </w:tcBorders>
            <w:shd w:val="clear" w:color="auto" w:fill="FFFFFF"/>
            <w:vAlign w:val="center"/>
          </w:tcPr>
          <w:p w14:paraId="2476575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248D241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005E59A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7" w:type="pct"/>
            <w:tcBorders>
              <w:tl2br w:val="nil"/>
              <w:tr2bl w:val="nil"/>
            </w:tcBorders>
            <w:shd w:val="clear" w:color="auto" w:fill="FFFFFF"/>
            <w:vAlign w:val="center"/>
          </w:tcPr>
          <w:p w14:paraId="673673C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59" w:type="pct"/>
            <w:vMerge w:val="continue"/>
            <w:tcBorders>
              <w:tl2br w:val="nil"/>
              <w:tr2bl w:val="nil"/>
            </w:tcBorders>
            <w:shd w:val="clear" w:color="auto" w:fill="FFFFFF"/>
            <w:vAlign w:val="center"/>
          </w:tcPr>
          <w:p w14:paraId="75CE41E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04CC8A0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3871E2D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549500B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2C9EDE4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6791BB7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1522412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7901850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13818FE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0" w:type="auto"/>
            <w:tcBorders>
              <w:tl2br w:val="nil"/>
              <w:tr2bl w:val="nil"/>
            </w:tcBorders>
            <w:shd w:val="clear" w:color="auto" w:fill="FFFFFF"/>
            <w:vAlign w:val="center"/>
          </w:tcPr>
          <w:p w14:paraId="2655C8C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2E961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auto"/>
            <w:vAlign w:val="center"/>
          </w:tcPr>
          <w:p w14:paraId="41130525">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385F1C98">
            <w:pPr>
              <w:pStyle w:val="106"/>
              <w:bidi w:val="0"/>
              <w:rPr>
                <w:rFonts w:hint="eastAsia"/>
                <w:lang w:val="en-US" w:eastAsia="zh-CN"/>
              </w:rPr>
            </w:pPr>
          </w:p>
        </w:tc>
        <w:tc>
          <w:tcPr>
            <w:tcW w:w="490" w:type="pct"/>
            <w:tcBorders>
              <w:tl2br w:val="nil"/>
              <w:tr2bl w:val="nil"/>
            </w:tcBorders>
            <w:shd w:val="clear" w:color="auto" w:fill="auto"/>
            <w:vAlign w:val="center"/>
          </w:tcPr>
          <w:p w14:paraId="53BFFF5A">
            <w:pPr>
              <w:pStyle w:val="106"/>
              <w:bidi w:val="0"/>
              <w:rPr>
                <w:rFonts w:hint="eastAsia"/>
                <w:lang w:val="en-US" w:eastAsia="zh-CN"/>
              </w:rPr>
            </w:pPr>
            <w:r>
              <w:rPr>
                <w:rFonts w:hint="eastAsia"/>
                <w:lang w:val="en-US" w:eastAsia="zh-CN"/>
              </w:rPr>
              <w:t>打纸机</w:t>
            </w:r>
          </w:p>
        </w:tc>
        <w:tc>
          <w:tcPr>
            <w:tcW w:w="119" w:type="pct"/>
            <w:tcBorders>
              <w:tl2br w:val="nil"/>
              <w:tr2bl w:val="nil"/>
            </w:tcBorders>
            <w:shd w:val="clear" w:color="auto" w:fill="FFFFFF"/>
            <w:vAlign w:val="center"/>
          </w:tcPr>
          <w:p w14:paraId="6268EFF5">
            <w:pPr>
              <w:pStyle w:val="106"/>
              <w:bidi w:val="0"/>
              <w:rPr>
                <w:rFonts w:hint="eastAsia"/>
              </w:rPr>
            </w:pPr>
            <w:r>
              <w:rPr>
                <w:rFonts w:hint="eastAsia"/>
              </w:rPr>
              <w:t>/</w:t>
            </w:r>
          </w:p>
        </w:tc>
        <w:tc>
          <w:tcPr>
            <w:tcW w:w="251" w:type="pct"/>
            <w:tcBorders>
              <w:tl2br w:val="nil"/>
              <w:tr2bl w:val="nil"/>
            </w:tcBorders>
            <w:shd w:val="clear" w:color="auto" w:fill="auto"/>
            <w:vAlign w:val="center"/>
          </w:tcPr>
          <w:p w14:paraId="0BB6E6E5">
            <w:pPr>
              <w:pStyle w:val="106"/>
              <w:bidi w:val="0"/>
              <w:rPr>
                <w:rFonts w:hint="eastAsia"/>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64C8241A">
            <w:pPr>
              <w:pStyle w:val="106"/>
              <w:bidi w:val="0"/>
              <w:rPr>
                <w:rFonts w:hint="eastAsia"/>
              </w:rPr>
            </w:pPr>
          </w:p>
        </w:tc>
        <w:tc>
          <w:tcPr>
            <w:tcW w:w="173" w:type="pct"/>
            <w:tcBorders>
              <w:tl2br w:val="nil"/>
              <w:tr2bl w:val="nil"/>
            </w:tcBorders>
            <w:shd w:val="clear" w:color="auto" w:fill="FFFFFF"/>
            <w:vAlign w:val="center"/>
          </w:tcPr>
          <w:p w14:paraId="4F1112C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173" w:type="pct"/>
            <w:tcBorders>
              <w:tl2br w:val="nil"/>
              <w:tr2bl w:val="nil"/>
            </w:tcBorders>
            <w:shd w:val="clear" w:color="auto" w:fill="FFFFFF"/>
            <w:vAlign w:val="center"/>
          </w:tcPr>
          <w:p w14:paraId="10C84709">
            <w:pPr>
              <w:pStyle w:val="106"/>
              <w:bidi w:val="0"/>
              <w:rPr>
                <w:rFonts w:hint="default"/>
                <w:lang w:val="en-US" w:eastAsia="zh-CN"/>
              </w:rPr>
            </w:pPr>
            <w:r>
              <w:rPr>
                <w:rFonts w:hint="eastAsia"/>
                <w:lang w:val="en-US" w:eastAsia="zh-CN"/>
              </w:rPr>
              <w:t>38</w:t>
            </w:r>
          </w:p>
        </w:tc>
        <w:tc>
          <w:tcPr>
            <w:tcW w:w="173" w:type="pct"/>
            <w:tcBorders>
              <w:tl2br w:val="nil"/>
              <w:tr2bl w:val="nil"/>
            </w:tcBorders>
            <w:shd w:val="clear" w:color="auto" w:fill="FFFFFF"/>
            <w:vAlign w:val="center"/>
          </w:tcPr>
          <w:p w14:paraId="7F55B3D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7396E2EF">
            <w:pPr>
              <w:pStyle w:val="106"/>
              <w:bidi w:val="0"/>
              <w:jc w:val="center"/>
              <w:rPr>
                <w:rFonts w:hint="eastAsia"/>
                <w:lang w:val="en-US" w:eastAsia="zh-CN"/>
              </w:rPr>
            </w:pPr>
            <w:r>
              <w:rPr>
                <w:rFonts w:hint="eastAsia"/>
                <w:lang w:val="en-US" w:eastAsia="zh-CN"/>
              </w:rPr>
              <w:t>46</w:t>
            </w:r>
          </w:p>
        </w:tc>
        <w:tc>
          <w:tcPr>
            <w:tcW w:w="173" w:type="pct"/>
            <w:tcBorders>
              <w:tl2br w:val="nil"/>
              <w:tr2bl w:val="nil"/>
            </w:tcBorders>
            <w:shd w:val="clear" w:color="auto" w:fill="FFFFFF"/>
            <w:vAlign w:val="center"/>
          </w:tcPr>
          <w:p w14:paraId="1881AAA0">
            <w:pPr>
              <w:pStyle w:val="106"/>
              <w:bidi w:val="0"/>
              <w:jc w:val="center"/>
              <w:rPr>
                <w:rFonts w:hint="eastAsia"/>
                <w:lang w:val="en-US" w:eastAsia="zh-CN"/>
              </w:rPr>
            </w:pPr>
            <w:r>
              <w:rPr>
                <w:rFonts w:hint="eastAsia"/>
                <w:lang w:val="en-US" w:eastAsia="zh-CN"/>
              </w:rPr>
              <w:t>27</w:t>
            </w:r>
          </w:p>
        </w:tc>
        <w:tc>
          <w:tcPr>
            <w:tcW w:w="173" w:type="pct"/>
            <w:tcBorders>
              <w:tl2br w:val="nil"/>
              <w:tr2bl w:val="nil"/>
            </w:tcBorders>
            <w:shd w:val="clear" w:color="auto" w:fill="FFFFFF"/>
            <w:vAlign w:val="center"/>
          </w:tcPr>
          <w:p w14:paraId="28269C1B">
            <w:pPr>
              <w:pStyle w:val="106"/>
              <w:bidi w:val="0"/>
              <w:jc w:val="center"/>
              <w:rPr>
                <w:rFonts w:hint="default"/>
                <w:lang w:val="en-US" w:eastAsia="zh-CN"/>
              </w:rPr>
            </w:pPr>
            <w:r>
              <w:rPr>
                <w:rFonts w:hint="eastAsia"/>
                <w:lang w:val="en-US" w:eastAsia="zh-CN"/>
              </w:rPr>
              <w:t>90</w:t>
            </w:r>
          </w:p>
        </w:tc>
        <w:tc>
          <w:tcPr>
            <w:tcW w:w="173" w:type="pct"/>
            <w:tcBorders>
              <w:tl2br w:val="nil"/>
              <w:tr2bl w:val="nil"/>
            </w:tcBorders>
            <w:shd w:val="clear" w:color="auto" w:fill="FFFFFF"/>
            <w:vAlign w:val="center"/>
          </w:tcPr>
          <w:p w14:paraId="3B45E3E5">
            <w:pPr>
              <w:pStyle w:val="106"/>
              <w:bidi w:val="0"/>
              <w:jc w:val="center"/>
              <w:rPr>
                <w:rFonts w:hint="eastAsia"/>
                <w:lang w:val="en-US" w:eastAsia="zh-CN"/>
              </w:rPr>
            </w:pPr>
            <w:r>
              <w:rPr>
                <w:rFonts w:hint="eastAsia"/>
                <w:lang w:val="en-US" w:eastAsia="zh-CN"/>
              </w:rPr>
              <w:t>39</w:t>
            </w:r>
          </w:p>
        </w:tc>
        <w:tc>
          <w:tcPr>
            <w:tcW w:w="173" w:type="pct"/>
            <w:tcBorders>
              <w:tl2br w:val="nil"/>
              <w:tr2bl w:val="nil"/>
            </w:tcBorders>
            <w:shd w:val="clear" w:color="auto" w:fill="FFFFFF"/>
            <w:vAlign w:val="center"/>
          </w:tcPr>
          <w:p w14:paraId="79B4F1F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431F223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07F6D30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7" w:type="pct"/>
            <w:tcBorders>
              <w:tl2br w:val="nil"/>
              <w:tr2bl w:val="nil"/>
            </w:tcBorders>
            <w:shd w:val="clear" w:color="auto" w:fill="FFFFFF"/>
            <w:vAlign w:val="center"/>
          </w:tcPr>
          <w:p w14:paraId="68026A7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59" w:type="pct"/>
            <w:vMerge w:val="continue"/>
            <w:tcBorders>
              <w:tl2br w:val="nil"/>
              <w:tr2bl w:val="nil"/>
            </w:tcBorders>
            <w:shd w:val="clear" w:color="auto" w:fill="FFFFFF"/>
            <w:vAlign w:val="center"/>
          </w:tcPr>
          <w:p w14:paraId="355BD33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5196B67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67EBE5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5501BBF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266E0DC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66A3C7E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59FDB71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19A796C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13D691E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0" w:type="auto"/>
            <w:tcBorders>
              <w:tl2br w:val="nil"/>
              <w:tr2bl w:val="nil"/>
            </w:tcBorders>
            <w:shd w:val="clear" w:color="auto" w:fill="FFFFFF"/>
            <w:vAlign w:val="center"/>
          </w:tcPr>
          <w:p w14:paraId="5916C74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6F251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auto"/>
            <w:vAlign w:val="center"/>
          </w:tcPr>
          <w:p w14:paraId="33986E0C">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0FA3D78B">
            <w:pPr>
              <w:pStyle w:val="106"/>
              <w:bidi w:val="0"/>
              <w:rPr>
                <w:rFonts w:hint="eastAsia"/>
                <w:lang w:val="en-US" w:eastAsia="zh-CN"/>
              </w:rPr>
            </w:pPr>
          </w:p>
        </w:tc>
        <w:tc>
          <w:tcPr>
            <w:tcW w:w="490" w:type="pct"/>
            <w:tcBorders>
              <w:tl2br w:val="nil"/>
              <w:tr2bl w:val="nil"/>
            </w:tcBorders>
            <w:shd w:val="clear" w:color="auto" w:fill="auto"/>
            <w:vAlign w:val="center"/>
          </w:tcPr>
          <w:p w14:paraId="6A0CA2B1">
            <w:pPr>
              <w:pStyle w:val="106"/>
              <w:bidi w:val="0"/>
              <w:rPr>
                <w:rFonts w:hint="eastAsia"/>
                <w:lang w:val="en-US" w:eastAsia="zh-CN"/>
              </w:rPr>
            </w:pPr>
            <w:r>
              <w:rPr>
                <w:rFonts w:hint="eastAsia"/>
                <w:lang w:val="en-US" w:eastAsia="zh-CN"/>
              </w:rPr>
              <w:t>打纸机</w:t>
            </w:r>
          </w:p>
        </w:tc>
        <w:tc>
          <w:tcPr>
            <w:tcW w:w="119" w:type="pct"/>
            <w:tcBorders>
              <w:tl2br w:val="nil"/>
              <w:tr2bl w:val="nil"/>
            </w:tcBorders>
            <w:shd w:val="clear" w:color="auto" w:fill="FFFFFF"/>
            <w:vAlign w:val="center"/>
          </w:tcPr>
          <w:p w14:paraId="13A35869">
            <w:pPr>
              <w:pStyle w:val="106"/>
              <w:bidi w:val="0"/>
              <w:rPr>
                <w:rFonts w:hint="eastAsia"/>
              </w:rPr>
            </w:pPr>
            <w:r>
              <w:rPr>
                <w:rFonts w:hint="eastAsia"/>
              </w:rPr>
              <w:t>/</w:t>
            </w:r>
          </w:p>
        </w:tc>
        <w:tc>
          <w:tcPr>
            <w:tcW w:w="251" w:type="pct"/>
            <w:tcBorders>
              <w:tl2br w:val="nil"/>
              <w:tr2bl w:val="nil"/>
            </w:tcBorders>
            <w:shd w:val="clear" w:color="auto" w:fill="auto"/>
            <w:vAlign w:val="center"/>
          </w:tcPr>
          <w:p w14:paraId="743D82DC">
            <w:pPr>
              <w:pStyle w:val="106"/>
              <w:bidi w:val="0"/>
              <w:rPr>
                <w:rFonts w:hint="eastAsia"/>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66177F01">
            <w:pPr>
              <w:pStyle w:val="106"/>
              <w:bidi w:val="0"/>
              <w:rPr>
                <w:rFonts w:hint="eastAsia"/>
              </w:rPr>
            </w:pPr>
          </w:p>
        </w:tc>
        <w:tc>
          <w:tcPr>
            <w:tcW w:w="173" w:type="pct"/>
            <w:tcBorders>
              <w:tl2br w:val="nil"/>
              <w:tr2bl w:val="nil"/>
            </w:tcBorders>
            <w:shd w:val="clear" w:color="auto" w:fill="FFFFFF"/>
            <w:vAlign w:val="center"/>
          </w:tcPr>
          <w:p w14:paraId="3E244F8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6C2F1F53">
            <w:pPr>
              <w:pStyle w:val="106"/>
              <w:bidi w:val="0"/>
              <w:rPr>
                <w:rFonts w:hint="default"/>
                <w:lang w:val="en-US" w:eastAsia="zh-CN"/>
              </w:rPr>
            </w:pPr>
            <w:r>
              <w:rPr>
                <w:rFonts w:hint="eastAsia"/>
                <w:lang w:val="en-US" w:eastAsia="zh-CN"/>
              </w:rPr>
              <w:t>38</w:t>
            </w:r>
          </w:p>
        </w:tc>
        <w:tc>
          <w:tcPr>
            <w:tcW w:w="173" w:type="pct"/>
            <w:tcBorders>
              <w:tl2br w:val="nil"/>
              <w:tr2bl w:val="nil"/>
            </w:tcBorders>
            <w:shd w:val="clear" w:color="auto" w:fill="FFFFFF"/>
            <w:vAlign w:val="center"/>
          </w:tcPr>
          <w:p w14:paraId="11905CD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7FF87384">
            <w:pPr>
              <w:pStyle w:val="106"/>
              <w:bidi w:val="0"/>
              <w:jc w:val="center"/>
              <w:rPr>
                <w:rFonts w:hint="eastAsia"/>
                <w:lang w:val="en-US" w:eastAsia="zh-CN"/>
              </w:rPr>
            </w:pPr>
            <w:r>
              <w:rPr>
                <w:rFonts w:hint="eastAsia"/>
                <w:lang w:val="en-US" w:eastAsia="zh-CN"/>
              </w:rPr>
              <w:t>43</w:t>
            </w:r>
          </w:p>
        </w:tc>
        <w:tc>
          <w:tcPr>
            <w:tcW w:w="173" w:type="pct"/>
            <w:tcBorders>
              <w:tl2br w:val="nil"/>
              <w:tr2bl w:val="nil"/>
            </w:tcBorders>
            <w:shd w:val="clear" w:color="auto" w:fill="FFFFFF"/>
            <w:vAlign w:val="center"/>
          </w:tcPr>
          <w:p w14:paraId="50905E27">
            <w:pPr>
              <w:pStyle w:val="106"/>
              <w:bidi w:val="0"/>
              <w:jc w:val="center"/>
              <w:rPr>
                <w:rFonts w:hint="eastAsia"/>
                <w:lang w:val="en-US" w:eastAsia="zh-CN"/>
              </w:rPr>
            </w:pPr>
            <w:r>
              <w:rPr>
                <w:rFonts w:hint="eastAsia"/>
                <w:lang w:val="en-US" w:eastAsia="zh-CN"/>
              </w:rPr>
              <w:t>14</w:t>
            </w:r>
          </w:p>
        </w:tc>
        <w:tc>
          <w:tcPr>
            <w:tcW w:w="173" w:type="pct"/>
            <w:tcBorders>
              <w:tl2br w:val="nil"/>
              <w:tr2bl w:val="nil"/>
            </w:tcBorders>
            <w:shd w:val="clear" w:color="auto" w:fill="FFFFFF"/>
            <w:vAlign w:val="center"/>
          </w:tcPr>
          <w:p w14:paraId="2ED20EE9">
            <w:pPr>
              <w:pStyle w:val="106"/>
              <w:bidi w:val="0"/>
              <w:jc w:val="center"/>
              <w:rPr>
                <w:rFonts w:hint="default"/>
                <w:lang w:val="en-US" w:eastAsia="zh-CN"/>
              </w:rPr>
            </w:pPr>
            <w:r>
              <w:rPr>
                <w:rFonts w:hint="eastAsia"/>
                <w:lang w:val="en-US" w:eastAsia="zh-CN"/>
              </w:rPr>
              <w:t>93</w:t>
            </w:r>
          </w:p>
        </w:tc>
        <w:tc>
          <w:tcPr>
            <w:tcW w:w="173" w:type="pct"/>
            <w:tcBorders>
              <w:tl2br w:val="nil"/>
              <w:tr2bl w:val="nil"/>
            </w:tcBorders>
            <w:shd w:val="clear" w:color="auto" w:fill="FFFFFF"/>
            <w:vAlign w:val="center"/>
          </w:tcPr>
          <w:p w14:paraId="2A0796E2">
            <w:pPr>
              <w:pStyle w:val="106"/>
              <w:bidi w:val="0"/>
              <w:jc w:val="center"/>
              <w:rPr>
                <w:rFonts w:hint="eastAsia"/>
                <w:lang w:val="en-US" w:eastAsia="zh-CN"/>
              </w:rPr>
            </w:pPr>
            <w:r>
              <w:rPr>
                <w:rFonts w:hint="eastAsia"/>
                <w:lang w:val="en-US" w:eastAsia="zh-CN"/>
              </w:rPr>
              <w:t>52</w:t>
            </w:r>
          </w:p>
        </w:tc>
        <w:tc>
          <w:tcPr>
            <w:tcW w:w="173" w:type="pct"/>
            <w:tcBorders>
              <w:tl2br w:val="nil"/>
              <w:tr2bl w:val="nil"/>
            </w:tcBorders>
            <w:shd w:val="clear" w:color="auto" w:fill="FFFFFF"/>
            <w:vAlign w:val="center"/>
          </w:tcPr>
          <w:p w14:paraId="2F2E93A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600B3BE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2EA9BD7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7" w:type="pct"/>
            <w:tcBorders>
              <w:tl2br w:val="nil"/>
              <w:tr2bl w:val="nil"/>
            </w:tcBorders>
            <w:shd w:val="clear" w:color="auto" w:fill="FFFFFF"/>
            <w:vAlign w:val="center"/>
          </w:tcPr>
          <w:p w14:paraId="1A72E1C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59" w:type="pct"/>
            <w:vMerge w:val="continue"/>
            <w:tcBorders>
              <w:tl2br w:val="nil"/>
              <w:tr2bl w:val="nil"/>
            </w:tcBorders>
            <w:shd w:val="clear" w:color="auto" w:fill="FFFFFF"/>
            <w:vAlign w:val="center"/>
          </w:tcPr>
          <w:p w14:paraId="563E662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08FE22D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575851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54AA04A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5F487A6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55DDFBA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5C9F5ED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2C2E475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7EEE75B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0" w:type="auto"/>
            <w:tcBorders>
              <w:tl2br w:val="nil"/>
              <w:tr2bl w:val="nil"/>
            </w:tcBorders>
            <w:shd w:val="clear" w:color="auto" w:fill="FFFFFF"/>
            <w:vAlign w:val="center"/>
          </w:tcPr>
          <w:p w14:paraId="6BAD31C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1AB64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158" w:type="pct"/>
            <w:tcBorders>
              <w:tl2br w:val="nil"/>
              <w:tr2bl w:val="nil"/>
            </w:tcBorders>
            <w:shd w:val="clear" w:color="auto" w:fill="auto"/>
            <w:vAlign w:val="center"/>
          </w:tcPr>
          <w:p w14:paraId="30C9C72E">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729A6852">
            <w:pPr>
              <w:pStyle w:val="106"/>
              <w:bidi w:val="0"/>
              <w:rPr>
                <w:rFonts w:hint="eastAsia"/>
                <w:lang w:val="en-US" w:eastAsia="zh-CN"/>
              </w:rPr>
            </w:pPr>
          </w:p>
        </w:tc>
        <w:tc>
          <w:tcPr>
            <w:tcW w:w="490" w:type="pct"/>
            <w:tcBorders>
              <w:tl2br w:val="nil"/>
              <w:tr2bl w:val="nil"/>
            </w:tcBorders>
            <w:shd w:val="clear" w:color="auto" w:fill="auto"/>
            <w:vAlign w:val="center"/>
          </w:tcPr>
          <w:p w14:paraId="6A117FD2">
            <w:pPr>
              <w:pStyle w:val="106"/>
              <w:bidi w:val="0"/>
              <w:rPr>
                <w:rFonts w:hint="eastAsia"/>
                <w:lang w:val="en-US" w:eastAsia="zh-CN"/>
              </w:rPr>
            </w:pPr>
            <w:r>
              <w:rPr>
                <w:rFonts w:hint="eastAsia"/>
                <w:lang w:val="en-US" w:eastAsia="zh-CN"/>
              </w:rPr>
              <w:t>打纸机</w:t>
            </w:r>
          </w:p>
        </w:tc>
        <w:tc>
          <w:tcPr>
            <w:tcW w:w="119" w:type="pct"/>
            <w:tcBorders>
              <w:tl2br w:val="nil"/>
              <w:tr2bl w:val="nil"/>
            </w:tcBorders>
            <w:shd w:val="clear" w:color="auto" w:fill="FFFFFF"/>
            <w:vAlign w:val="center"/>
          </w:tcPr>
          <w:p w14:paraId="77BF108A">
            <w:pPr>
              <w:pStyle w:val="106"/>
              <w:bidi w:val="0"/>
              <w:rPr>
                <w:rFonts w:hint="eastAsia"/>
              </w:rPr>
            </w:pPr>
            <w:r>
              <w:rPr>
                <w:rFonts w:hint="eastAsia"/>
              </w:rPr>
              <w:t>/</w:t>
            </w:r>
          </w:p>
        </w:tc>
        <w:tc>
          <w:tcPr>
            <w:tcW w:w="251" w:type="pct"/>
            <w:tcBorders>
              <w:tl2br w:val="nil"/>
              <w:tr2bl w:val="nil"/>
            </w:tcBorders>
            <w:shd w:val="clear" w:color="auto" w:fill="auto"/>
            <w:vAlign w:val="center"/>
          </w:tcPr>
          <w:p w14:paraId="63289EEE">
            <w:pPr>
              <w:pStyle w:val="106"/>
              <w:bidi w:val="0"/>
              <w:rPr>
                <w:rFonts w:hint="eastAsia"/>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0C17A4CF">
            <w:pPr>
              <w:pStyle w:val="106"/>
              <w:bidi w:val="0"/>
              <w:rPr>
                <w:rFonts w:hint="eastAsia"/>
              </w:rPr>
            </w:pPr>
          </w:p>
        </w:tc>
        <w:tc>
          <w:tcPr>
            <w:tcW w:w="173" w:type="pct"/>
            <w:tcBorders>
              <w:tl2br w:val="nil"/>
              <w:tr2bl w:val="nil"/>
            </w:tcBorders>
            <w:shd w:val="clear" w:color="auto" w:fill="FFFFFF"/>
            <w:vAlign w:val="center"/>
          </w:tcPr>
          <w:p w14:paraId="670F952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c>
          <w:tcPr>
            <w:tcW w:w="173" w:type="pct"/>
            <w:tcBorders>
              <w:tl2br w:val="nil"/>
              <w:tr2bl w:val="nil"/>
            </w:tcBorders>
            <w:shd w:val="clear" w:color="auto" w:fill="FFFFFF"/>
            <w:vAlign w:val="center"/>
          </w:tcPr>
          <w:p w14:paraId="01E80C6D">
            <w:pPr>
              <w:pStyle w:val="106"/>
              <w:bidi w:val="0"/>
              <w:rPr>
                <w:rFonts w:hint="default"/>
                <w:lang w:val="en-US" w:eastAsia="zh-CN"/>
              </w:rPr>
            </w:pPr>
            <w:r>
              <w:rPr>
                <w:rFonts w:hint="eastAsia"/>
                <w:lang w:val="en-US" w:eastAsia="zh-CN"/>
              </w:rPr>
              <w:t>38</w:t>
            </w:r>
          </w:p>
        </w:tc>
        <w:tc>
          <w:tcPr>
            <w:tcW w:w="173" w:type="pct"/>
            <w:tcBorders>
              <w:tl2br w:val="nil"/>
              <w:tr2bl w:val="nil"/>
            </w:tcBorders>
            <w:shd w:val="clear" w:color="auto" w:fill="FFFFFF"/>
            <w:vAlign w:val="center"/>
          </w:tcPr>
          <w:p w14:paraId="55D6B36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32B1C13B">
            <w:pPr>
              <w:pStyle w:val="106"/>
              <w:bidi w:val="0"/>
              <w:jc w:val="center"/>
              <w:rPr>
                <w:rFonts w:hint="eastAsia"/>
                <w:lang w:val="en-US" w:eastAsia="zh-CN"/>
              </w:rPr>
            </w:pPr>
            <w:r>
              <w:rPr>
                <w:rFonts w:hint="eastAsia"/>
                <w:lang w:val="en-US" w:eastAsia="zh-CN"/>
              </w:rPr>
              <w:t>78</w:t>
            </w:r>
          </w:p>
        </w:tc>
        <w:tc>
          <w:tcPr>
            <w:tcW w:w="173" w:type="pct"/>
            <w:tcBorders>
              <w:tl2br w:val="nil"/>
              <w:tr2bl w:val="nil"/>
            </w:tcBorders>
            <w:shd w:val="clear" w:color="auto" w:fill="FFFFFF"/>
            <w:vAlign w:val="center"/>
          </w:tcPr>
          <w:p w14:paraId="5982219E">
            <w:pPr>
              <w:pStyle w:val="106"/>
              <w:bidi w:val="0"/>
              <w:jc w:val="center"/>
              <w:rPr>
                <w:rFonts w:hint="eastAsia"/>
                <w:lang w:val="en-US" w:eastAsia="zh-CN"/>
              </w:rPr>
            </w:pPr>
            <w:r>
              <w:rPr>
                <w:rFonts w:hint="eastAsia"/>
                <w:lang w:val="en-US" w:eastAsia="zh-CN"/>
              </w:rPr>
              <w:t>38</w:t>
            </w:r>
          </w:p>
        </w:tc>
        <w:tc>
          <w:tcPr>
            <w:tcW w:w="173" w:type="pct"/>
            <w:tcBorders>
              <w:tl2br w:val="nil"/>
              <w:tr2bl w:val="nil"/>
            </w:tcBorders>
            <w:shd w:val="clear" w:color="auto" w:fill="FFFFFF"/>
            <w:vAlign w:val="center"/>
          </w:tcPr>
          <w:p w14:paraId="29199679">
            <w:pPr>
              <w:pStyle w:val="106"/>
              <w:bidi w:val="0"/>
              <w:jc w:val="center"/>
              <w:rPr>
                <w:rFonts w:hint="default"/>
                <w:lang w:val="en-US" w:eastAsia="zh-CN"/>
              </w:rPr>
            </w:pPr>
            <w:r>
              <w:rPr>
                <w:rFonts w:hint="eastAsia"/>
                <w:lang w:val="en-US" w:eastAsia="zh-CN"/>
              </w:rPr>
              <w:t>58</w:t>
            </w:r>
          </w:p>
        </w:tc>
        <w:tc>
          <w:tcPr>
            <w:tcW w:w="173" w:type="pct"/>
            <w:tcBorders>
              <w:tl2br w:val="nil"/>
              <w:tr2bl w:val="nil"/>
            </w:tcBorders>
            <w:shd w:val="clear" w:color="auto" w:fill="FFFFFF"/>
            <w:vAlign w:val="center"/>
          </w:tcPr>
          <w:p w14:paraId="04284B18">
            <w:pPr>
              <w:pStyle w:val="106"/>
              <w:bidi w:val="0"/>
              <w:jc w:val="center"/>
              <w:rPr>
                <w:rFonts w:hint="eastAsia"/>
                <w:lang w:val="en-US" w:eastAsia="zh-CN"/>
              </w:rPr>
            </w:pPr>
            <w:r>
              <w:rPr>
                <w:rFonts w:hint="eastAsia"/>
                <w:lang w:val="en-US" w:eastAsia="zh-CN"/>
              </w:rPr>
              <w:t>28</w:t>
            </w:r>
          </w:p>
        </w:tc>
        <w:tc>
          <w:tcPr>
            <w:tcW w:w="173" w:type="pct"/>
            <w:tcBorders>
              <w:tl2br w:val="nil"/>
              <w:tr2bl w:val="nil"/>
            </w:tcBorders>
            <w:shd w:val="clear" w:color="auto" w:fill="FFFFFF"/>
            <w:vAlign w:val="center"/>
          </w:tcPr>
          <w:p w14:paraId="2F4628F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37BFA74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6B155DD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7" w:type="pct"/>
            <w:tcBorders>
              <w:tl2br w:val="nil"/>
              <w:tr2bl w:val="nil"/>
            </w:tcBorders>
            <w:shd w:val="clear" w:color="auto" w:fill="FFFFFF"/>
            <w:vAlign w:val="center"/>
          </w:tcPr>
          <w:p w14:paraId="2E2696A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59" w:type="pct"/>
            <w:vMerge w:val="continue"/>
            <w:tcBorders>
              <w:tl2br w:val="nil"/>
              <w:tr2bl w:val="nil"/>
            </w:tcBorders>
            <w:shd w:val="clear" w:color="auto" w:fill="FFFFFF"/>
            <w:vAlign w:val="center"/>
          </w:tcPr>
          <w:p w14:paraId="7602072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056EA1D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94A4DE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1E141AB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7EB56E7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7C78441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0A104FC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77D0D06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574E9FB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0" w:type="auto"/>
            <w:tcBorders>
              <w:tl2br w:val="nil"/>
              <w:tr2bl w:val="nil"/>
            </w:tcBorders>
            <w:shd w:val="clear" w:color="auto" w:fill="FFFFFF"/>
            <w:vAlign w:val="center"/>
          </w:tcPr>
          <w:p w14:paraId="450A059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23EB1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3027A8FD">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480112C3">
            <w:pPr>
              <w:pStyle w:val="106"/>
              <w:bidi w:val="0"/>
              <w:rPr>
                <w:rFonts w:hint="eastAsia"/>
                <w:lang w:val="en-US" w:eastAsia="zh-CN"/>
              </w:rPr>
            </w:pPr>
          </w:p>
        </w:tc>
        <w:tc>
          <w:tcPr>
            <w:tcW w:w="490" w:type="pct"/>
            <w:tcBorders>
              <w:tl2br w:val="nil"/>
              <w:tr2bl w:val="nil"/>
            </w:tcBorders>
            <w:shd w:val="clear" w:color="auto" w:fill="auto"/>
            <w:vAlign w:val="center"/>
          </w:tcPr>
          <w:p w14:paraId="2D12D63B">
            <w:pPr>
              <w:pStyle w:val="106"/>
              <w:bidi w:val="0"/>
              <w:rPr>
                <w:rFonts w:hint="default"/>
                <w:lang w:val="en-US" w:eastAsia="zh-CN"/>
              </w:rPr>
            </w:pPr>
            <w:r>
              <w:rPr>
                <w:rFonts w:hint="eastAsia"/>
                <w:lang w:val="en-US" w:eastAsia="zh-CN"/>
              </w:rPr>
              <w:t>切纸机</w:t>
            </w:r>
          </w:p>
        </w:tc>
        <w:tc>
          <w:tcPr>
            <w:tcW w:w="119" w:type="pct"/>
            <w:tcBorders>
              <w:tl2br w:val="nil"/>
              <w:tr2bl w:val="nil"/>
            </w:tcBorders>
            <w:shd w:val="clear" w:color="auto" w:fill="FFFFFF"/>
            <w:vAlign w:val="center"/>
          </w:tcPr>
          <w:p w14:paraId="58780226">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3FB7D08E">
            <w:pPr>
              <w:pStyle w:val="106"/>
              <w:bidi w:val="0"/>
              <w:rPr>
                <w:rFonts w:hint="default"/>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14C802DF">
            <w:pPr>
              <w:pStyle w:val="106"/>
              <w:bidi w:val="0"/>
              <w:rPr>
                <w:rFonts w:hint="eastAsia"/>
              </w:rPr>
            </w:pPr>
          </w:p>
        </w:tc>
        <w:tc>
          <w:tcPr>
            <w:tcW w:w="173" w:type="pct"/>
            <w:tcBorders>
              <w:tl2br w:val="nil"/>
              <w:tr2bl w:val="nil"/>
            </w:tcBorders>
            <w:shd w:val="clear" w:color="auto" w:fill="FFFFFF"/>
            <w:vAlign w:val="center"/>
          </w:tcPr>
          <w:p w14:paraId="2576DE9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-10</w:t>
            </w:r>
          </w:p>
        </w:tc>
        <w:tc>
          <w:tcPr>
            <w:tcW w:w="173" w:type="pct"/>
            <w:tcBorders>
              <w:tl2br w:val="nil"/>
              <w:tr2bl w:val="nil"/>
            </w:tcBorders>
            <w:shd w:val="clear" w:color="auto" w:fill="FFFFFF"/>
            <w:vAlign w:val="center"/>
          </w:tcPr>
          <w:p w14:paraId="21C54C0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35</w:t>
            </w:r>
          </w:p>
        </w:tc>
        <w:tc>
          <w:tcPr>
            <w:tcW w:w="173" w:type="pct"/>
            <w:tcBorders>
              <w:tl2br w:val="nil"/>
              <w:tr2bl w:val="nil"/>
            </w:tcBorders>
            <w:shd w:val="clear" w:color="auto" w:fill="FFFFFF"/>
            <w:vAlign w:val="center"/>
          </w:tcPr>
          <w:p w14:paraId="0D26D6B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3562E21C">
            <w:pPr>
              <w:pStyle w:val="106"/>
              <w:bidi w:val="0"/>
              <w:jc w:val="center"/>
              <w:rPr>
                <w:rFonts w:hint="eastAsia"/>
                <w:lang w:val="en-US" w:eastAsia="zh-CN"/>
              </w:rPr>
            </w:pPr>
            <w:r>
              <w:rPr>
                <w:rFonts w:hint="eastAsia"/>
                <w:lang w:val="en-US" w:eastAsia="zh-CN"/>
              </w:rPr>
              <w:t>73</w:t>
            </w:r>
          </w:p>
        </w:tc>
        <w:tc>
          <w:tcPr>
            <w:tcW w:w="173" w:type="pct"/>
            <w:tcBorders>
              <w:tl2br w:val="nil"/>
              <w:tr2bl w:val="nil"/>
            </w:tcBorders>
            <w:shd w:val="clear" w:color="auto" w:fill="FFFFFF"/>
            <w:vAlign w:val="center"/>
          </w:tcPr>
          <w:p w14:paraId="61A8002A">
            <w:pPr>
              <w:pStyle w:val="106"/>
              <w:bidi w:val="0"/>
              <w:jc w:val="center"/>
              <w:rPr>
                <w:rFonts w:hint="eastAsia"/>
                <w:lang w:val="en-US" w:eastAsia="zh-CN"/>
              </w:rPr>
            </w:pPr>
            <w:r>
              <w:rPr>
                <w:rFonts w:hint="eastAsia"/>
                <w:lang w:val="en-US" w:eastAsia="zh-CN"/>
              </w:rPr>
              <w:t>38</w:t>
            </w:r>
          </w:p>
        </w:tc>
        <w:tc>
          <w:tcPr>
            <w:tcW w:w="173" w:type="pct"/>
            <w:tcBorders>
              <w:tl2br w:val="nil"/>
              <w:tr2bl w:val="nil"/>
            </w:tcBorders>
            <w:shd w:val="clear" w:color="auto" w:fill="FFFFFF"/>
            <w:vAlign w:val="center"/>
          </w:tcPr>
          <w:p w14:paraId="0F6CB6F2">
            <w:pPr>
              <w:pStyle w:val="106"/>
              <w:bidi w:val="0"/>
              <w:jc w:val="center"/>
              <w:rPr>
                <w:rFonts w:hint="default"/>
                <w:lang w:val="en-US" w:eastAsia="zh-CN"/>
              </w:rPr>
            </w:pPr>
            <w:r>
              <w:rPr>
                <w:rFonts w:hint="eastAsia"/>
                <w:lang w:val="en-US" w:eastAsia="zh-CN"/>
              </w:rPr>
              <w:t>63</w:t>
            </w:r>
          </w:p>
        </w:tc>
        <w:tc>
          <w:tcPr>
            <w:tcW w:w="173" w:type="pct"/>
            <w:tcBorders>
              <w:tl2br w:val="nil"/>
              <w:tr2bl w:val="nil"/>
            </w:tcBorders>
            <w:shd w:val="clear" w:color="auto" w:fill="FFFFFF"/>
            <w:vAlign w:val="center"/>
          </w:tcPr>
          <w:p w14:paraId="195228E7">
            <w:pPr>
              <w:pStyle w:val="106"/>
              <w:bidi w:val="0"/>
              <w:jc w:val="center"/>
              <w:rPr>
                <w:rFonts w:hint="eastAsia"/>
                <w:lang w:val="en-US" w:eastAsia="zh-CN"/>
              </w:rPr>
            </w:pPr>
            <w:r>
              <w:rPr>
                <w:rFonts w:hint="eastAsia"/>
                <w:lang w:val="en-US" w:eastAsia="zh-CN"/>
              </w:rPr>
              <w:t>28</w:t>
            </w:r>
          </w:p>
        </w:tc>
        <w:tc>
          <w:tcPr>
            <w:tcW w:w="173" w:type="pct"/>
            <w:tcBorders>
              <w:tl2br w:val="nil"/>
              <w:tr2bl w:val="nil"/>
            </w:tcBorders>
            <w:shd w:val="clear" w:color="auto" w:fill="FFFFFF"/>
            <w:vAlign w:val="center"/>
          </w:tcPr>
          <w:p w14:paraId="09FC349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060503F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0DA9EEA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7" w:type="pct"/>
            <w:tcBorders>
              <w:tl2br w:val="nil"/>
              <w:tr2bl w:val="nil"/>
            </w:tcBorders>
            <w:shd w:val="clear" w:color="auto" w:fill="FFFFFF"/>
            <w:vAlign w:val="center"/>
          </w:tcPr>
          <w:p w14:paraId="4DE194A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59" w:type="pct"/>
            <w:vMerge w:val="continue"/>
            <w:tcBorders>
              <w:tl2br w:val="nil"/>
              <w:tr2bl w:val="nil"/>
            </w:tcBorders>
            <w:shd w:val="clear" w:color="auto" w:fill="FFFFFF"/>
            <w:vAlign w:val="center"/>
          </w:tcPr>
          <w:p w14:paraId="266ED62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6D80CB9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2BD542A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3601053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03F66E7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2BCA47C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3168C57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1BF0248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4D615D0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0" w:type="auto"/>
            <w:tcBorders>
              <w:tl2br w:val="nil"/>
              <w:tr2bl w:val="nil"/>
            </w:tcBorders>
            <w:shd w:val="clear" w:color="auto" w:fill="FFFFFF"/>
            <w:vAlign w:val="center"/>
          </w:tcPr>
          <w:p w14:paraId="5C66116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4DBF6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4E01485E">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6E2E1921">
            <w:pPr>
              <w:pStyle w:val="106"/>
              <w:bidi w:val="0"/>
              <w:rPr>
                <w:rFonts w:hint="eastAsia"/>
                <w:lang w:val="en-US" w:eastAsia="zh-CN"/>
              </w:rPr>
            </w:pPr>
          </w:p>
        </w:tc>
        <w:tc>
          <w:tcPr>
            <w:tcW w:w="490" w:type="pct"/>
            <w:tcBorders>
              <w:tl2br w:val="nil"/>
              <w:tr2bl w:val="nil"/>
            </w:tcBorders>
            <w:shd w:val="clear" w:color="auto" w:fill="auto"/>
            <w:vAlign w:val="center"/>
          </w:tcPr>
          <w:p w14:paraId="2FA21BEE">
            <w:pPr>
              <w:pStyle w:val="106"/>
              <w:bidi w:val="0"/>
              <w:rPr>
                <w:rFonts w:hint="eastAsia"/>
                <w:lang w:val="en-US" w:eastAsia="zh-CN"/>
              </w:rPr>
            </w:pPr>
            <w:r>
              <w:rPr>
                <w:rFonts w:hint="eastAsia"/>
                <w:lang w:val="en-US" w:eastAsia="zh-CN"/>
              </w:rPr>
              <w:t>切纸机</w:t>
            </w:r>
          </w:p>
        </w:tc>
        <w:tc>
          <w:tcPr>
            <w:tcW w:w="119" w:type="pct"/>
            <w:tcBorders>
              <w:tl2br w:val="nil"/>
              <w:tr2bl w:val="nil"/>
            </w:tcBorders>
            <w:shd w:val="clear" w:color="auto" w:fill="FFFFFF"/>
            <w:vAlign w:val="center"/>
          </w:tcPr>
          <w:p w14:paraId="51E11756">
            <w:pPr>
              <w:pStyle w:val="106"/>
              <w:bidi w:val="0"/>
              <w:rPr>
                <w:rFonts w:hint="eastAsia"/>
              </w:rPr>
            </w:pPr>
            <w:r>
              <w:rPr>
                <w:rFonts w:hint="eastAsia"/>
              </w:rPr>
              <w:t>/</w:t>
            </w:r>
          </w:p>
        </w:tc>
        <w:tc>
          <w:tcPr>
            <w:tcW w:w="251" w:type="pct"/>
            <w:tcBorders>
              <w:tl2br w:val="nil"/>
              <w:tr2bl w:val="nil"/>
            </w:tcBorders>
            <w:shd w:val="clear" w:color="auto" w:fill="auto"/>
            <w:vAlign w:val="center"/>
          </w:tcPr>
          <w:p w14:paraId="79FB976E">
            <w:pPr>
              <w:pStyle w:val="106"/>
              <w:bidi w:val="0"/>
              <w:rPr>
                <w:rFonts w:hint="eastAsia"/>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709C40F8">
            <w:pPr>
              <w:pStyle w:val="106"/>
              <w:bidi w:val="0"/>
              <w:rPr>
                <w:rFonts w:hint="eastAsia"/>
              </w:rPr>
            </w:pPr>
          </w:p>
        </w:tc>
        <w:tc>
          <w:tcPr>
            <w:tcW w:w="173" w:type="pct"/>
            <w:tcBorders>
              <w:tl2br w:val="nil"/>
              <w:tr2bl w:val="nil"/>
            </w:tcBorders>
            <w:shd w:val="clear" w:color="auto" w:fill="FFFFFF"/>
            <w:vAlign w:val="center"/>
          </w:tcPr>
          <w:p w14:paraId="5B08ED0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5A72818E">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vAlign w:val="center"/>
          </w:tcPr>
          <w:p w14:paraId="470BF5B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0F071A86">
            <w:pPr>
              <w:pStyle w:val="106"/>
              <w:bidi w:val="0"/>
              <w:jc w:val="center"/>
              <w:rPr>
                <w:rFonts w:hint="eastAsia"/>
                <w:lang w:val="en-US" w:eastAsia="zh-CN"/>
              </w:rPr>
            </w:pPr>
            <w:r>
              <w:rPr>
                <w:rFonts w:hint="eastAsia"/>
                <w:lang w:val="en-US" w:eastAsia="zh-CN"/>
              </w:rPr>
              <w:t>68</w:t>
            </w:r>
          </w:p>
        </w:tc>
        <w:tc>
          <w:tcPr>
            <w:tcW w:w="173" w:type="pct"/>
            <w:tcBorders>
              <w:tl2br w:val="nil"/>
              <w:tr2bl w:val="nil"/>
            </w:tcBorders>
            <w:shd w:val="clear" w:color="auto" w:fill="FFFFFF"/>
            <w:vAlign w:val="center"/>
          </w:tcPr>
          <w:p w14:paraId="1586F1E1">
            <w:pPr>
              <w:pStyle w:val="106"/>
              <w:bidi w:val="0"/>
              <w:jc w:val="center"/>
              <w:rPr>
                <w:rFonts w:hint="eastAsia"/>
                <w:lang w:val="en-US" w:eastAsia="zh-CN"/>
              </w:rPr>
            </w:pPr>
            <w:r>
              <w:rPr>
                <w:rFonts w:hint="eastAsia"/>
                <w:lang w:val="en-US" w:eastAsia="zh-CN"/>
              </w:rPr>
              <w:t>38</w:t>
            </w:r>
          </w:p>
        </w:tc>
        <w:tc>
          <w:tcPr>
            <w:tcW w:w="173" w:type="pct"/>
            <w:tcBorders>
              <w:tl2br w:val="nil"/>
              <w:tr2bl w:val="nil"/>
            </w:tcBorders>
            <w:shd w:val="clear" w:color="auto" w:fill="FFFFFF"/>
            <w:vAlign w:val="center"/>
          </w:tcPr>
          <w:p w14:paraId="31CB9B92">
            <w:pPr>
              <w:pStyle w:val="106"/>
              <w:bidi w:val="0"/>
              <w:jc w:val="center"/>
              <w:rPr>
                <w:rFonts w:hint="default"/>
                <w:lang w:val="en-US" w:eastAsia="zh-CN"/>
              </w:rPr>
            </w:pPr>
            <w:r>
              <w:rPr>
                <w:rFonts w:hint="eastAsia"/>
                <w:lang w:val="en-US" w:eastAsia="zh-CN"/>
              </w:rPr>
              <w:t>68</w:t>
            </w:r>
          </w:p>
        </w:tc>
        <w:tc>
          <w:tcPr>
            <w:tcW w:w="173" w:type="pct"/>
            <w:tcBorders>
              <w:tl2br w:val="nil"/>
              <w:tr2bl w:val="nil"/>
            </w:tcBorders>
            <w:shd w:val="clear" w:color="auto" w:fill="FFFFFF"/>
            <w:vAlign w:val="center"/>
          </w:tcPr>
          <w:p w14:paraId="4C77068A">
            <w:pPr>
              <w:pStyle w:val="106"/>
              <w:bidi w:val="0"/>
              <w:jc w:val="center"/>
              <w:rPr>
                <w:rFonts w:hint="eastAsia"/>
                <w:lang w:val="en-US" w:eastAsia="zh-CN"/>
              </w:rPr>
            </w:pPr>
            <w:r>
              <w:rPr>
                <w:rFonts w:hint="eastAsia"/>
                <w:lang w:val="en-US" w:eastAsia="zh-CN"/>
              </w:rPr>
              <w:t>28</w:t>
            </w:r>
          </w:p>
        </w:tc>
        <w:tc>
          <w:tcPr>
            <w:tcW w:w="173" w:type="pct"/>
            <w:tcBorders>
              <w:tl2br w:val="nil"/>
              <w:tr2bl w:val="nil"/>
            </w:tcBorders>
            <w:shd w:val="clear" w:color="auto" w:fill="FFFFFF"/>
            <w:vAlign w:val="center"/>
          </w:tcPr>
          <w:p w14:paraId="2E0F6E3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7DE59D6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4C62B40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7" w:type="pct"/>
            <w:tcBorders>
              <w:tl2br w:val="nil"/>
              <w:tr2bl w:val="nil"/>
            </w:tcBorders>
            <w:shd w:val="clear" w:color="auto" w:fill="FFFFFF"/>
            <w:vAlign w:val="center"/>
          </w:tcPr>
          <w:p w14:paraId="4066EA0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59" w:type="pct"/>
            <w:vMerge w:val="continue"/>
            <w:tcBorders>
              <w:tl2br w:val="nil"/>
              <w:tr2bl w:val="nil"/>
            </w:tcBorders>
            <w:shd w:val="clear" w:color="auto" w:fill="FFFFFF"/>
            <w:vAlign w:val="center"/>
          </w:tcPr>
          <w:p w14:paraId="6DEC913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17C96B4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2B8954A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F7C2BC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331FBE1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29D01C6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2A17968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1E54B9B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236BB7C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0" w:type="auto"/>
            <w:tcBorders>
              <w:tl2br w:val="nil"/>
              <w:tr2bl w:val="nil"/>
            </w:tcBorders>
            <w:shd w:val="clear" w:color="auto" w:fill="FFFFFF"/>
            <w:vAlign w:val="center"/>
          </w:tcPr>
          <w:p w14:paraId="1733945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7AF67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03E6F9A7">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61001EA1">
            <w:pPr>
              <w:pStyle w:val="106"/>
              <w:bidi w:val="0"/>
              <w:rPr>
                <w:rFonts w:hint="eastAsia"/>
                <w:lang w:val="en-US" w:eastAsia="zh-CN"/>
              </w:rPr>
            </w:pPr>
          </w:p>
        </w:tc>
        <w:tc>
          <w:tcPr>
            <w:tcW w:w="490" w:type="pct"/>
            <w:tcBorders>
              <w:tl2br w:val="nil"/>
              <w:tr2bl w:val="nil"/>
            </w:tcBorders>
            <w:shd w:val="clear" w:color="auto" w:fill="auto"/>
            <w:vAlign w:val="center"/>
          </w:tcPr>
          <w:p w14:paraId="13D93C73">
            <w:pPr>
              <w:pStyle w:val="106"/>
              <w:bidi w:val="0"/>
              <w:rPr>
                <w:rFonts w:hint="eastAsia"/>
                <w:lang w:val="en-US" w:eastAsia="zh-CN"/>
              </w:rPr>
            </w:pPr>
            <w:r>
              <w:rPr>
                <w:rFonts w:hint="eastAsia"/>
                <w:lang w:val="en-US" w:eastAsia="zh-CN"/>
              </w:rPr>
              <w:t>切纸机</w:t>
            </w:r>
          </w:p>
        </w:tc>
        <w:tc>
          <w:tcPr>
            <w:tcW w:w="119" w:type="pct"/>
            <w:tcBorders>
              <w:tl2br w:val="nil"/>
              <w:tr2bl w:val="nil"/>
            </w:tcBorders>
            <w:shd w:val="clear" w:color="auto" w:fill="FFFFFF"/>
            <w:vAlign w:val="center"/>
          </w:tcPr>
          <w:p w14:paraId="7688846E">
            <w:pPr>
              <w:pStyle w:val="106"/>
              <w:bidi w:val="0"/>
              <w:rPr>
                <w:rFonts w:hint="eastAsia"/>
              </w:rPr>
            </w:pPr>
            <w:r>
              <w:rPr>
                <w:rFonts w:hint="eastAsia"/>
              </w:rPr>
              <w:t>/</w:t>
            </w:r>
          </w:p>
        </w:tc>
        <w:tc>
          <w:tcPr>
            <w:tcW w:w="251" w:type="pct"/>
            <w:tcBorders>
              <w:tl2br w:val="nil"/>
              <w:tr2bl w:val="nil"/>
            </w:tcBorders>
            <w:shd w:val="clear" w:color="auto" w:fill="auto"/>
            <w:vAlign w:val="center"/>
          </w:tcPr>
          <w:p w14:paraId="0926B99B">
            <w:pPr>
              <w:pStyle w:val="106"/>
              <w:bidi w:val="0"/>
              <w:rPr>
                <w:rFonts w:hint="eastAsia"/>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1BFE651C">
            <w:pPr>
              <w:pStyle w:val="106"/>
              <w:bidi w:val="0"/>
              <w:rPr>
                <w:rFonts w:hint="eastAsia"/>
              </w:rPr>
            </w:pPr>
          </w:p>
        </w:tc>
        <w:tc>
          <w:tcPr>
            <w:tcW w:w="173" w:type="pct"/>
            <w:tcBorders>
              <w:tl2br w:val="nil"/>
              <w:tr2bl w:val="nil"/>
            </w:tcBorders>
            <w:shd w:val="clear" w:color="auto" w:fill="FFFFFF"/>
            <w:vAlign w:val="center"/>
          </w:tcPr>
          <w:p w14:paraId="2EDF916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0</w:t>
            </w:r>
          </w:p>
        </w:tc>
        <w:tc>
          <w:tcPr>
            <w:tcW w:w="173" w:type="pct"/>
            <w:tcBorders>
              <w:tl2br w:val="nil"/>
              <w:tr2bl w:val="nil"/>
            </w:tcBorders>
            <w:shd w:val="clear" w:color="auto" w:fill="FFFFFF"/>
            <w:vAlign w:val="center"/>
          </w:tcPr>
          <w:p w14:paraId="6D960EB0">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vAlign w:val="center"/>
          </w:tcPr>
          <w:p w14:paraId="4DD4C4E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6C2873FB">
            <w:pPr>
              <w:pStyle w:val="106"/>
              <w:bidi w:val="0"/>
              <w:jc w:val="center"/>
              <w:rPr>
                <w:rFonts w:hint="eastAsia"/>
                <w:lang w:val="en-US" w:eastAsia="zh-CN"/>
              </w:rPr>
            </w:pPr>
            <w:r>
              <w:rPr>
                <w:rFonts w:hint="eastAsia"/>
                <w:lang w:val="en-US" w:eastAsia="zh-CN"/>
              </w:rPr>
              <w:t>63</w:t>
            </w:r>
          </w:p>
        </w:tc>
        <w:tc>
          <w:tcPr>
            <w:tcW w:w="173" w:type="pct"/>
            <w:tcBorders>
              <w:tl2br w:val="nil"/>
              <w:tr2bl w:val="nil"/>
            </w:tcBorders>
            <w:shd w:val="clear" w:color="auto" w:fill="FFFFFF"/>
            <w:vAlign w:val="center"/>
          </w:tcPr>
          <w:p w14:paraId="6BADABFF">
            <w:pPr>
              <w:pStyle w:val="106"/>
              <w:bidi w:val="0"/>
              <w:jc w:val="center"/>
              <w:rPr>
                <w:rFonts w:hint="eastAsia"/>
                <w:lang w:val="en-US" w:eastAsia="zh-CN"/>
              </w:rPr>
            </w:pPr>
            <w:r>
              <w:rPr>
                <w:rFonts w:hint="eastAsia"/>
                <w:lang w:val="en-US" w:eastAsia="zh-CN"/>
              </w:rPr>
              <w:t>38</w:t>
            </w:r>
          </w:p>
        </w:tc>
        <w:tc>
          <w:tcPr>
            <w:tcW w:w="173" w:type="pct"/>
            <w:tcBorders>
              <w:tl2br w:val="nil"/>
              <w:tr2bl w:val="nil"/>
            </w:tcBorders>
            <w:shd w:val="clear" w:color="auto" w:fill="FFFFFF"/>
            <w:vAlign w:val="center"/>
          </w:tcPr>
          <w:p w14:paraId="581F517F">
            <w:pPr>
              <w:pStyle w:val="106"/>
              <w:bidi w:val="0"/>
              <w:jc w:val="center"/>
              <w:rPr>
                <w:rFonts w:hint="default"/>
                <w:lang w:val="en-US" w:eastAsia="zh-CN"/>
              </w:rPr>
            </w:pPr>
            <w:r>
              <w:rPr>
                <w:rFonts w:hint="eastAsia"/>
                <w:lang w:val="en-US" w:eastAsia="zh-CN"/>
              </w:rPr>
              <w:t>73</w:t>
            </w:r>
          </w:p>
        </w:tc>
        <w:tc>
          <w:tcPr>
            <w:tcW w:w="173" w:type="pct"/>
            <w:tcBorders>
              <w:tl2br w:val="nil"/>
              <w:tr2bl w:val="nil"/>
            </w:tcBorders>
            <w:shd w:val="clear" w:color="auto" w:fill="FFFFFF"/>
            <w:vAlign w:val="center"/>
          </w:tcPr>
          <w:p w14:paraId="4F632FD2">
            <w:pPr>
              <w:pStyle w:val="106"/>
              <w:bidi w:val="0"/>
              <w:jc w:val="center"/>
              <w:rPr>
                <w:rFonts w:hint="eastAsia"/>
                <w:lang w:val="en-US" w:eastAsia="zh-CN"/>
              </w:rPr>
            </w:pPr>
            <w:r>
              <w:rPr>
                <w:rFonts w:hint="eastAsia"/>
                <w:lang w:val="en-US" w:eastAsia="zh-CN"/>
              </w:rPr>
              <w:t>28</w:t>
            </w:r>
          </w:p>
        </w:tc>
        <w:tc>
          <w:tcPr>
            <w:tcW w:w="173" w:type="pct"/>
            <w:tcBorders>
              <w:tl2br w:val="nil"/>
              <w:tr2bl w:val="nil"/>
            </w:tcBorders>
            <w:shd w:val="clear" w:color="auto" w:fill="FFFFFF"/>
            <w:vAlign w:val="center"/>
          </w:tcPr>
          <w:p w14:paraId="3F7E53C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723063F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64201BA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7" w:type="pct"/>
            <w:tcBorders>
              <w:tl2br w:val="nil"/>
              <w:tr2bl w:val="nil"/>
            </w:tcBorders>
            <w:shd w:val="clear" w:color="auto" w:fill="FFFFFF"/>
            <w:vAlign w:val="center"/>
          </w:tcPr>
          <w:p w14:paraId="04E177B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59" w:type="pct"/>
            <w:vMerge w:val="continue"/>
            <w:tcBorders>
              <w:tl2br w:val="nil"/>
              <w:tr2bl w:val="nil"/>
            </w:tcBorders>
            <w:shd w:val="clear" w:color="auto" w:fill="FFFFFF"/>
            <w:vAlign w:val="center"/>
          </w:tcPr>
          <w:p w14:paraId="78EAFF9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77821D2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ACEA76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480272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15BF069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5271259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77DB879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26C91AA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0FF185B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0" w:type="auto"/>
            <w:tcBorders>
              <w:tl2br w:val="nil"/>
              <w:tr2bl w:val="nil"/>
            </w:tcBorders>
            <w:shd w:val="clear" w:color="auto" w:fill="FFFFFF"/>
            <w:vAlign w:val="center"/>
          </w:tcPr>
          <w:p w14:paraId="44CE568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7744B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439BF6A3">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3FD35A23">
            <w:pPr>
              <w:pStyle w:val="106"/>
              <w:bidi w:val="0"/>
              <w:rPr>
                <w:rFonts w:hint="eastAsia"/>
                <w:lang w:val="en-US" w:eastAsia="zh-CN"/>
              </w:rPr>
            </w:pPr>
          </w:p>
        </w:tc>
        <w:tc>
          <w:tcPr>
            <w:tcW w:w="490" w:type="pct"/>
            <w:tcBorders>
              <w:tl2br w:val="nil"/>
              <w:tr2bl w:val="nil"/>
            </w:tcBorders>
            <w:shd w:val="clear" w:color="auto" w:fill="auto"/>
            <w:vAlign w:val="center"/>
          </w:tcPr>
          <w:p w14:paraId="6AE01E5A">
            <w:pPr>
              <w:pStyle w:val="106"/>
              <w:bidi w:val="0"/>
              <w:rPr>
                <w:rFonts w:hint="eastAsia"/>
                <w:lang w:val="en-US" w:eastAsia="zh-CN"/>
              </w:rPr>
            </w:pPr>
            <w:r>
              <w:rPr>
                <w:rFonts w:hint="eastAsia"/>
                <w:lang w:val="en-US" w:eastAsia="zh-CN"/>
              </w:rPr>
              <w:t>切纸机</w:t>
            </w:r>
          </w:p>
        </w:tc>
        <w:tc>
          <w:tcPr>
            <w:tcW w:w="119" w:type="pct"/>
            <w:tcBorders>
              <w:tl2br w:val="nil"/>
              <w:tr2bl w:val="nil"/>
            </w:tcBorders>
            <w:shd w:val="clear" w:color="auto" w:fill="FFFFFF"/>
            <w:vAlign w:val="center"/>
          </w:tcPr>
          <w:p w14:paraId="4C802F4D">
            <w:pPr>
              <w:pStyle w:val="106"/>
              <w:bidi w:val="0"/>
              <w:rPr>
                <w:rFonts w:hint="eastAsia"/>
              </w:rPr>
            </w:pPr>
            <w:r>
              <w:rPr>
                <w:rFonts w:hint="eastAsia"/>
              </w:rPr>
              <w:t>/</w:t>
            </w:r>
          </w:p>
        </w:tc>
        <w:tc>
          <w:tcPr>
            <w:tcW w:w="251" w:type="pct"/>
            <w:tcBorders>
              <w:tl2br w:val="nil"/>
              <w:tr2bl w:val="nil"/>
            </w:tcBorders>
            <w:shd w:val="clear" w:color="auto" w:fill="auto"/>
            <w:vAlign w:val="center"/>
          </w:tcPr>
          <w:p w14:paraId="49379347">
            <w:pPr>
              <w:pStyle w:val="106"/>
              <w:bidi w:val="0"/>
              <w:rPr>
                <w:rFonts w:hint="eastAsia"/>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24D43399">
            <w:pPr>
              <w:pStyle w:val="106"/>
              <w:bidi w:val="0"/>
              <w:rPr>
                <w:rFonts w:hint="eastAsia"/>
              </w:rPr>
            </w:pPr>
          </w:p>
        </w:tc>
        <w:tc>
          <w:tcPr>
            <w:tcW w:w="173" w:type="pct"/>
            <w:tcBorders>
              <w:tl2br w:val="nil"/>
              <w:tr2bl w:val="nil"/>
            </w:tcBorders>
            <w:shd w:val="clear" w:color="auto" w:fill="FFFFFF"/>
            <w:vAlign w:val="center"/>
          </w:tcPr>
          <w:p w14:paraId="4C43DFE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544AB104">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vAlign w:val="center"/>
          </w:tcPr>
          <w:p w14:paraId="7B5A592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45125834">
            <w:pPr>
              <w:pStyle w:val="106"/>
              <w:bidi w:val="0"/>
              <w:jc w:val="center"/>
              <w:rPr>
                <w:rFonts w:hint="eastAsia"/>
                <w:lang w:val="en-US" w:eastAsia="zh-CN"/>
              </w:rPr>
            </w:pPr>
            <w:r>
              <w:rPr>
                <w:rFonts w:hint="eastAsia"/>
                <w:lang w:val="en-US" w:eastAsia="zh-CN"/>
              </w:rPr>
              <w:t>58</w:t>
            </w:r>
          </w:p>
        </w:tc>
        <w:tc>
          <w:tcPr>
            <w:tcW w:w="173" w:type="pct"/>
            <w:tcBorders>
              <w:tl2br w:val="nil"/>
              <w:tr2bl w:val="nil"/>
            </w:tcBorders>
            <w:shd w:val="clear" w:color="auto" w:fill="FFFFFF"/>
            <w:vAlign w:val="center"/>
          </w:tcPr>
          <w:p w14:paraId="0C5A0E3D">
            <w:pPr>
              <w:pStyle w:val="106"/>
              <w:bidi w:val="0"/>
              <w:jc w:val="center"/>
              <w:rPr>
                <w:rFonts w:hint="eastAsia"/>
                <w:lang w:val="en-US" w:eastAsia="zh-CN"/>
              </w:rPr>
            </w:pPr>
            <w:r>
              <w:rPr>
                <w:rFonts w:hint="eastAsia"/>
                <w:lang w:val="en-US" w:eastAsia="zh-CN"/>
              </w:rPr>
              <w:t>38</w:t>
            </w:r>
          </w:p>
        </w:tc>
        <w:tc>
          <w:tcPr>
            <w:tcW w:w="173" w:type="pct"/>
            <w:tcBorders>
              <w:tl2br w:val="nil"/>
              <w:tr2bl w:val="nil"/>
            </w:tcBorders>
            <w:shd w:val="clear" w:color="auto" w:fill="FFFFFF"/>
            <w:vAlign w:val="center"/>
          </w:tcPr>
          <w:p w14:paraId="031D93D8">
            <w:pPr>
              <w:pStyle w:val="106"/>
              <w:bidi w:val="0"/>
              <w:jc w:val="center"/>
              <w:rPr>
                <w:rFonts w:hint="default"/>
                <w:lang w:val="en-US" w:eastAsia="zh-CN"/>
              </w:rPr>
            </w:pPr>
            <w:r>
              <w:rPr>
                <w:rFonts w:hint="eastAsia"/>
                <w:lang w:val="en-US" w:eastAsia="zh-CN"/>
              </w:rPr>
              <w:t>78</w:t>
            </w:r>
          </w:p>
        </w:tc>
        <w:tc>
          <w:tcPr>
            <w:tcW w:w="173" w:type="pct"/>
            <w:tcBorders>
              <w:tl2br w:val="nil"/>
              <w:tr2bl w:val="nil"/>
            </w:tcBorders>
            <w:shd w:val="clear" w:color="auto" w:fill="FFFFFF"/>
            <w:vAlign w:val="center"/>
          </w:tcPr>
          <w:p w14:paraId="214D7363">
            <w:pPr>
              <w:pStyle w:val="106"/>
              <w:bidi w:val="0"/>
              <w:jc w:val="center"/>
              <w:rPr>
                <w:rFonts w:hint="eastAsia"/>
                <w:lang w:val="en-US" w:eastAsia="zh-CN"/>
              </w:rPr>
            </w:pPr>
            <w:r>
              <w:rPr>
                <w:rFonts w:hint="eastAsia"/>
                <w:lang w:val="en-US" w:eastAsia="zh-CN"/>
              </w:rPr>
              <w:t>28</w:t>
            </w:r>
          </w:p>
        </w:tc>
        <w:tc>
          <w:tcPr>
            <w:tcW w:w="173" w:type="pct"/>
            <w:tcBorders>
              <w:tl2br w:val="nil"/>
              <w:tr2bl w:val="nil"/>
            </w:tcBorders>
            <w:shd w:val="clear" w:color="auto" w:fill="FFFFFF"/>
            <w:vAlign w:val="center"/>
          </w:tcPr>
          <w:p w14:paraId="738E20D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0FE24C9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3128A37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7" w:type="pct"/>
            <w:tcBorders>
              <w:tl2br w:val="nil"/>
              <w:tr2bl w:val="nil"/>
            </w:tcBorders>
            <w:shd w:val="clear" w:color="auto" w:fill="FFFFFF"/>
            <w:vAlign w:val="center"/>
          </w:tcPr>
          <w:p w14:paraId="5EE41EA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59" w:type="pct"/>
            <w:vMerge w:val="continue"/>
            <w:tcBorders>
              <w:tl2br w:val="nil"/>
              <w:tr2bl w:val="nil"/>
            </w:tcBorders>
            <w:shd w:val="clear" w:color="auto" w:fill="FFFFFF"/>
            <w:vAlign w:val="center"/>
          </w:tcPr>
          <w:p w14:paraId="09F6C88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596E120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23688C2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18401B2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00B56E8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5F0EE73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2A9E4C8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05DD3A3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668B56B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0" w:type="auto"/>
            <w:tcBorders>
              <w:tl2br w:val="nil"/>
              <w:tr2bl w:val="nil"/>
            </w:tcBorders>
            <w:shd w:val="clear" w:color="auto" w:fill="FFFFFF"/>
            <w:vAlign w:val="center"/>
          </w:tcPr>
          <w:p w14:paraId="4AA1EF0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13C88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05977137">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31DB6F62">
            <w:pPr>
              <w:pStyle w:val="106"/>
              <w:bidi w:val="0"/>
              <w:rPr>
                <w:rFonts w:hint="eastAsia"/>
                <w:lang w:val="en-US" w:eastAsia="zh-CN"/>
              </w:rPr>
            </w:pPr>
          </w:p>
        </w:tc>
        <w:tc>
          <w:tcPr>
            <w:tcW w:w="490" w:type="pct"/>
            <w:tcBorders>
              <w:tl2br w:val="nil"/>
              <w:tr2bl w:val="nil"/>
            </w:tcBorders>
            <w:shd w:val="clear" w:color="auto" w:fill="auto"/>
            <w:vAlign w:val="center"/>
          </w:tcPr>
          <w:p w14:paraId="009C4E4D">
            <w:pPr>
              <w:pStyle w:val="106"/>
              <w:bidi w:val="0"/>
              <w:rPr>
                <w:rFonts w:hint="eastAsia"/>
                <w:lang w:val="en-US" w:eastAsia="zh-CN"/>
              </w:rPr>
            </w:pPr>
            <w:r>
              <w:rPr>
                <w:rFonts w:hint="eastAsia"/>
                <w:lang w:val="en-US" w:eastAsia="zh-CN"/>
              </w:rPr>
              <w:t>切纸机</w:t>
            </w:r>
          </w:p>
        </w:tc>
        <w:tc>
          <w:tcPr>
            <w:tcW w:w="119" w:type="pct"/>
            <w:tcBorders>
              <w:tl2br w:val="nil"/>
              <w:tr2bl w:val="nil"/>
            </w:tcBorders>
            <w:shd w:val="clear" w:color="auto" w:fill="FFFFFF"/>
            <w:vAlign w:val="center"/>
          </w:tcPr>
          <w:p w14:paraId="7FBE3D9B">
            <w:pPr>
              <w:pStyle w:val="106"/>
              <w:bidi w:val="0"/>
              <w:rPr>
                <w:rFonts w:hint="eastAsia"/>
              </w:rPr>
            </w:pPr>
            <w:r>
              <w:rPr>
                <w:rFonts w:hint="eastAsia"/>
              </w:rPr>
              <w:t>/</w:t>
            </w:r>
          </w:p>
        </w:tc>
        <w:tc>
          <w:tcPr>
            <w:tcW w:w="251" w:type="pct"/>
            <w:tcBorders>
              <w:tl2br w:val="nil"/>
              <w:tr2bl w:val="nil"/>
            </w:tcBorders>
            <w:shd w:val="clear" w:color="auto" w:fill="auto"/>
            <w:vAlign w:val="center"/>
          </w:tcPr>
          <w:p w14:paraId="20207C71">
            <w:pPr>
              <w:pStyle w:val="106"/>
              <w:bidi w:val="0"/>
              <w:rPr>
                <w:rFonts w:hint="eastAsia"/>
                <w:lang w:val="en-US" w:eastAsia="zh-CN"/>
              </w:rPr>
            </w:pPr>
            <w:r>
              <w:rPr>
                <w:rFonts w:hint="eastAsia"/>
                <w:lang w:val="en-US" w:eastAsia="zh-CN"/>
              </w:rPr>
              <w:t>85</w:t>
            </w:r>
          </w:p>
        </w:tc>
        <w:tc>
          <w:tcPr>
            <w:tcW w:w="139" w:type="pct"/>
            <w:vMerge w:val="continue"/>
            <w:tcBorders>
              <w:tl2br w:val="nil"/>
              <w:tr2bl w:val="nil"/>
            </w:tcBorders>
            <w:shd w:val="clear" w:color="auto" w:fill="FFFFFF"/>
          </w:tcPr>
          <w:p w14:paraId="03B14E47">
            <w:pPr>
              <w:pStyle w:val="106"/>
              <w:bidi w:val="0"/>
              <w:rPr>
                <w:rFonts w:hint="eastAsia"/>
              </w:rPr>
            </w:pPr>
          </w:p>
        </w:tc>
        <w:tc>
          <w:tcPr>
            <w:tcW w:w="173" w:type="pct"/>
            <w:tcBorders>
              <w:tl2br w:val="nil"/>
              <w:tr2bl w:val="nil"/>
            </w:tcBorders>
            <w:shd w:val="clear" w:color="auto" w:fill="FFFFFF"/>
            <w:vAlign w:val="center"/>
          </w:tcPr>
          <w:p w14:paraId="0BA58B4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10</w:t>
            </w:r>
          </w:p>
        </w:tc>
        <w:tc>
          <w:tcPr>
            <w:tcW w:w="173" w:type="pct"/>
            <w:tcBorders>
              <w:tl2br w:val="nil"/>
              <w:tr2bl w:val="nil"/>
            </w:tcBorders>
            <w:shd w:val="clear" w:color="auto" w:fill="FFFFFF"/>
            <w:vAlign w:val="center"/>
          </w:tcPr>
          <w:p w14:paraId="52560407">
            <w:pPr>
              <w:pStyle w:val="106"/>
              <w:bidi w:val="0"/>
              <w:rPr>
                <w:rFonts w:hint="default"/>
                <w:lang w:val="en-US" w:eastAsia="zh-CN"/>
              </w:rPr>
            </w:pPr>
            <w:r>
              <w:rPr>
                <w:rFonts w:hint="eastAsia"/>
                <w:lang w:val="en-US" w:eastAsia="zh-CN"/>
              </w:rPr>
              <w:t>35</w:t>
            </w:r>
          </w:p>
        </w:tc>
        <w:tc>
          <w:tcPr>
            <w:tcW w:w="173" w:type="pct"/>
            <w:tcBorders>
              <w:tl2br w:val="nil"/>
              <w:tr2bl w:val="nil"/>
            </w:tcBorders>
            <w:shd w:val="clear" w:color="auto" w:fill="FFFFFF"/>
            <w:vAlign w:val="center"/>
          </w:tcPr>
          <w:p w14:paraId="64373C1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0A25F49E">
            <w:pPr>
              <w:pStyle w:val="106"/>
              <w:bidi w:val="0"/>
              <w:jc w:val="center"/>
              <w:rPr>
                <w:rFonts w:hint="eastAsia"/>
                <w:lang w:val="en-US" w:eastAsia="zh-CN"/>
              </w:rPr>
            </w:pPr>
            <w:r>
              <w:rPr>
                <w:rFonts w:hint="eastAsia"/>
                <w:lang w:val="en-US" w:eastAsia="zh-CN"/>
              </w:rPr>
              <w:t>78</w:t>
            </w:r>
          </w:p>
        </w:tc>
        <w:tc>
          <w:tcPr>
            <w:tcW w:w="173" w:type="pct"/>
            <w:tcBorders>
              <w:tl2br w:val="nil"/>
              <w:tr2bl w:val="nil"/>
            </w:tcBorders>
            <w:shd w:val="clear" w:color="auto" w:fill="FFFFFF"/>
            <w:vAlign w:val="center"/>
          </w:tcPr>
          <w:p w14:paraId="5BF71480">
            <w:pPr>
              <w:pStyle w:val="106"/>
              <w:bidi w:val="0"/>
              <w:jc w:val="center"/>
              <w:rPr>
                <w:rFonts w:hint="eastAsia"/>
                <w:lang w:val="en-US" w:eastAsia="zh-CN"/>
              </w:rPr>
            </w:pPr>
            <w:r>
              <w:rPr>
                <w:rFonts w:hint="eastAsia"/>
                <w:lang w:val="en-US" w:eastAsia="zh-CN"/>
              </w:rPr>
              <w:t>41</w:t>
            </w:r>
          </w:p>
        </w:tc>
        <w:tc>
          <w:tcPr>
            <w:tcW w:w="173" w:type="pct"/>
            <w:tcBorders>
              <w:tl2br w:val="nil"/>
              <w:tr2bl w:val="nil"/>
            </w:tcBorders>
            <w:shd w:val="clear" w:color="auto" w:fill="FFFFFF"/>
            <w:vAlign w:val="center"/>
          </w:tcPr>
          <w:p w14:paraId="525C3CA7">
            <w:pPr>
              <w:pStyle w:val="106"/>
              <w:bidi w:val="0"/>
              <w:jc w:val="center"/>
              <w:rPr>
                <w:rFonts w:hint="default"/>
                <w:lang w:val="en-US" w:eastAsia="zh-CN"/>
              </w:rPr>
            </w:pPr>
            <w:r>
              <w:rPr>
                <w:rFonts w:hint="eastAsia"/>
                <w:lang w:val="en-US" w:eastAsia="zh-CN"/>
              </w:rPr>
              <w:t>58</w:t>
            </w:r>
          </w:p>
        </w:tc>
        <w:tc>
          <w:tcPr>
            <w:tcW w:w="173" w:type="pct"/>
            <w:tcBorders>
              <w:tl2br w:val="nil"/>
              <w:tr2bl w:val="nil"/>
            </w:tcBorders>
            <w:shd w:val="clear" w:color="auto" w:fill="FFFFFF"/>
            <w:vAlign w:val="center"/>
          </w:tcPr>
          <w:p w14:paraId="29793D4F">
            <w:pPr>
              <w:pStyle w:val="106"/>
              <w:bidi w:val="0"/>
              <w:jc w:val="center"/>
              <w:rPr>
                <w:rFonts w:hint="eastAsia"/>
                <w:lang w:val="en-US" w:eastAsia="zh-CN"/>
              </w:rPr>
            </w:pPr>
            <w:r>
              <w:rPr>
                <w:rFonts w:hint="eastAsia"/>
                <w:lang w:val="en-US" w:eastAsia="zh-CN"/>
              </w:rPr>
              <w:t>25</w:t>
            </w:r>
          </w:p>
        </w:tc>
        <w:tc>
          <w:tcPr>
            <w:tcW w:w="173" w:type="pct"/>
            <w:tcBorders>
              <w:tl2br w:val="nil"/>
              <w:tr2bl w:val="nil"/>
            </w:tcBorders>
            <w:shd w:val="clear" w:color="auto" w:fill="FFFFFF"/>
            <w:vAlign w:val="center"/>
          </w:tcPr>
          <w:p w14:paraId="0A22C81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597361E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3" w:type="pct"/>
            <w:tcBorders>
              <w:tl2br w:val="nil"/>
              <w:tr2bl w:val="nil"/>
            </w:tcBorders>
            <w:shd w:val="clear" w:color="auto" w:fill="FFFFFF"/>
            <w:vAlign w:val="center"/>
          </w:tcPr>
          <w:p w14:paraId="42A32CE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77" w:type="pct"/>
            <w:tcBorders>
              <w:tl2br w:val="nil"/>
              <w:tr2bl w:val="nil"/>
            </w:tcBorders>
            <w:shd w:val="clear" w:color="auto" w:fill="FFFFFF"/>
            <w:vAlign w:val="center"/>
          </w:tcPr>
          <w:p w14:paraId="06FE3CB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61.8</w:t>
            </w:r>
          </w:p>
        </w:tc>
        <w:tc>
          <w:tcPr>
            <w:tcW w:w="159" w:type="pct"/>
            <w:vMerge w:val="continue"/>
            <w:tcBorders>
              <w:tl2br w:val="nil"/>
              <w:tr2bl w:val="nil"/>
            </w:tcBorders>
            <w:shd w:val="clear" w:color="auto" w:fill="FFFFFF"/>
            <w:vAlign w:val="center"/>
          </w:tcPr>
          <w:p w14:paraId="67B0A57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34086B4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2B931E6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F8C58F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384A325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32E8AA3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7367909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3DFE2A2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176" w:type="pct"/>
            <w:tcBorders>
              <w:tl2br w:val="nil"/>
              <w:tr2bl w:val="nil"/>
            </w:tcBorders>
            <w:shd w:val="clear" w:color="auto" w:fill="FFFFFF"/>
            <w:vAlign w:val="center"/>
          </w:tcPr>
          <w:p w14:paraId="02B3CD1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35.8</w:t>
            </w:r>
          </w:p>
        </w:tc>
        <w:tc>
          <w:tcPr>
            <w:tcW w:w="0" w:type="auto"/>
            <w:tcBorders>
              <w:tl2br w:val="nil"/>
              <w:tr2bl w:val="nil"/>
            </w:tcBorders>
            <w:shd w:val="clear" w:color="auto" w:fill="FFFFFF"/>
            <w:vAlign w:val="center"/>
          </w:tcPr>
          <w:p w14:paraId="3B8AFB3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214FB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5EDE5A3A">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73E6FA28">
            <w:pPr>
              <w:pStyle w:val="106"/>
              <w:bidi w:val="0"/>
              <w:rPr>
                <w:rFonts w:hint="eastAsia"/>
                <w:lang w:val="en-US" w:eastAsia="zh-CN"/>
              </w:rPr>
            </w:pPr>
          </w:p>
        </w:tc>
        <w:tc>
          <w:tcPr>
            <w:tcW w:w="490" w:type="pct"/>
            <w:tcBorders>
              <w:tl2br w:val="nil"/>
              <w:tr2bl w:val="nil"/>
            </w:tcBorders>
            <w:shd w:val="clear" w:color="auto" w:fill="auto"/>
            <w:vAlign w:val="center"/>
          </w:tcPr>
          <w:p w14:paraId="71C3EA6D">
            <w:pPr>
              <w:pStyle w:val="106"/>
              <w:bidi w:val="0"/>
              <w:rPr>
                <w:rFonts w:hint="default"/>
                <w:lang w:val="en-US" w:eastAsia="zh-CN"/>
              </w:rPr>
            </w:pPr>
            <w:r>
              <w:rPr>
                <w:rFonts w:hint="eastAsia"/>
                <w:lang w:val="en-US" w:eastAsia="zh-CN"/>
              </w:rPr>
              <w:t>折叠机</w:t>
            </w:r>
          </w:p>
        </w:tc>
        <w:tc>
          <w:tcPr>
            <w:tcW w:w="119" w:type="pct"/>
            <w:tcBorders>
              <w:tl2br w:val="nil"/>
              <w:tr2bl w:val="nil"/>
            </w:tcBorders>
            <w:shd w:val="clear" w:color="auto" w:fill="FFFFFF"/>
            <w:vAlign w:val="center"/>
          </w:tcPr>
          <w:p w14:paraId="7E154D9F">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074E47C9">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471BA576">
            <w:pPr>
              <w:pStyle w:val="106"/>
              <w:bidi w:val="0"/>
              <w:rPr>
                <w:rFonts w:hint="eastAsia"/>
              </w:rPr>
            </w:pPr>
          </w:p>
        </w:tc>
        <w:tc>
          <w:tcPr>
            <w:tcW w:w="173" w:type="pct"/>
            <w:tcBorders>
              <w:tl2br w:val="nil"/>
              <w:tr2bl w:val="nil"/>
            </w:tcBorders>
            <w:shd w:val="clear" w:color="auto" w:fill="FFFFFF"/>
            <w:vAlign w:val="center"/>
          </w:tcPr>
          <w:p w14:paraId="4D7C293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-10</w:t>
            </w:r>
          </w:p>
        </w:tc>
        <w:tc>
          <w:tcPr>
            <w:tcW w:w="173" w:type="pct"/>
            <w:tcBorders>
              <w:tl2br w:val="nil"/>
              <w:tr2bl w:val="nil"/>
            </w:tcBorders>
            <w:shd w:val="clear" w:color="auto" w:fill="FFFFFF"/>
            <w:vAlign w:val="center"/>
          </w:tcPr>
          <w:p w14:paraId="5354DF8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32</w:t>
            </w:r>
          </w:p>
        </w:tc>
        <w:tc>
          <w:tcPr>
            <w:tcW w:w="173" w:type="pct"/>
            <w:tcBorders>
              <w:tl2br w:val="nil"/>
              <w:tr2bl w:val="nil"/>
            </w:tcBorders>
            <w:shd w:val="clear" w:color="auto" w:fill="FFFFFF"/>
            <w:vAlign w:val="center"/>
          </w:tcPr>
          <w:p w14:paraId="3140664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3E82641B">
            <w:pPr>
              <w:pStyle w:val="106"/>
              <w:bidi w:val="0"/>
              <w:jc w:val="center"/>
              <w:rPr>
                <w:rFonts w:hint="eastAsia"/>
                <w:lang w:val="en-US" w:eastAsia="zh-CN"/>
              </w:rPr>
            </w:pPr>
            <w:r>
              <w:rPr>
                <w:rFonts w:hint="eastAsia"/>
                <w:lang w:val="en-US" w:eastAsia="zh-CN"/>
              </w:rPr>
              <w:t>73</w:t>
            </w:r>
          </w:p>
        </w:tc>
        <w:tc>
          <w:tcPr>
            <w:tcW w:w="173" w:type="pct"/>
            <w:tcBorders>
              <w:tl2br w:val="nil"/>
              <w:tr2bl w:val="nil"/>
            </w:tcBorders>
            <w:shd w:val="clear" w:color="auto" w:fill="FFFFFF"/>
            <w:vAlign w:val="center"/>
          </w:tcPr>
          <w:p w14:paraId="487355BC">
            <w:pPr>
              <w:pStyle w:val="106"/>
              <w:bidi w:val="0"/>
              <w:jc w:val="center"/>
              <w:rPr>
                <w:rFonts w:hint="eastAsia"/>
                <w:lang w:val="en-US" w:eastAsia="zh-CN"/>
              </w:rPr>
            </w:pPr>
            <w:r>
              <w:rPr>
                <w:rFonts w:hint="eastAsia"/>
                <w:lang w:val="en-US" w:eastAsia="zh-CN"/>
              </w:rPr>
              <w:t>41</w:t>
            </w:r>
          </w:p>
        </w:tc>
        <w:tc>
          <w:tcPr>
            <w:tcW w:w="173" w:type="pct"/>
            <w:tcBorders>
              <w:tl2br w:val="nil"/>
              <w:tr2bl w:val="nil"/>
            </w:tcBorders>
            <w:shd w:val="clear" w:color="auto" w:fill="FFFFFF"/>
            <w:vAlign w:val="center"/>
          </w:tcPr>
          <w:p w14:paraId="157A335F">
            <w:pPr>
              <w:pStyle w:val="106"/>
              <w:bidi w:val="0"/>
              <w:jc w:val="center"/>
              <w:rPr>
                <w:rFonts w:hint="default"/>
                <w:lang w:val="en-US" w:eastAsia="zh-CN"/>
              </w:rPr>
            </w:pPr>
            <w:r>
              <w:rPr>
                <w:rFonts w:hint="eastAsia"/>
                <w:lang w:val="en-US" w:eastAsia="zh-CN"/>
              </w:rPr>
              <w:t>63</w:t>
            </w:r>
          </w:p>
        </w:tc>
        <w:tc>
          <w:tcPr>
            <w:tcW w:w="173" w:type="pct"/>
            <w:tcBorders>
              <w:tl2br w:val="nil"/>
              <w:tr2bl w:val="nil"/>
            </w:tcBorders>
            <w:shd w:val="clear" w:color="auto" w:fill="FFFFFF"/>
            <w:vAlign w:val="center"/>
          </w:tcPr>
          <w:p w14:paraId="0425D181">
            <w:pPr>
              <w:pStyle w:val="106"/>
              <w:bidi w:val="0"/>
              <w:jc w:val="center"/>
              <w:rPr>
                <w:rFonts w:hint="eastAsia"/>
                <w:lang w:val="en-US" w:eastAsia="zh-CN"/>
              </w:rPr>
            </w:pPr>
            <w:r>
              <w:rPr>
                <w:rFonts w:hint="eastAsia"/>
                <w:lang w:val="en-US" w:eastAsia="zh-CN"/>
              </w:rPr>
              <w:t>25</w:t>
            </w:r>
          </w:p>
        </w:tc>
        <w:tc>
          <w:tcPr>
            <w:tcW w:w="173" w:type="pct"/>
            <w:tcBorders>
              <w:tl2br w:val="nil"/>
              <w:tr2bl w:val="nil"/>
            </w:tcBorders>
            <w:shd w:val="clear" w:color="auto" w:fill="FFFFFF"/>
            <w:vAlign w:val="center"/>
          </w:tcPr>
          <w:p w14:paraId="01D214E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4D3BD36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27AC3A3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45FD01A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4DF11A5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474DAC6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11B62F8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15DCCAE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081D36E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41C6020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5189E9C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5AEFE5B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4A94F5F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12DE97A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611F9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2A79BA56">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327000AF">
            <w:pPr>
              <w:pStyle w:val="106"/>
              <w:bidi w:val="0"/>
              <w:rPr>
                <w:rFonts w:hint="eastAsia"/>
                <w:lang w:val="en-US" w:eastAsia="zh-CN"/>
              </w:rPr>
            </w:pPr>
          </w:p>
        </w:tc>
        <w:tc>
          <w:tcPr>
            <w:tcW w:w="490" w:type="pct"/>
            <w:tcBorders>
              <w:tl2br w:val="nil"/>
              <w:tr2bl w:val="nil"/>
            </w:tcBorders>
            <w:shd w:val="clear" w:color="auto" w:fill="auto"/>
            <w:vAlign w:val="center"/>
          </w:tcPr>
          <w:p w14:paraId="57410B76">
            <w:pPr>
              <w:pStyle w:val="106"/>
              <w:bidi w:val="0"/>
              <w:rPr>
                <w:rFonts w:hint="eastAsia"/>
                <w:lang w:val="en-US" w:eastAsia="zh-CN"/>
              </w:rPr>
            </w:pPr>
            <w:r>
              <w:rPr>
                <w:rFonts w:hint="eastAsia"/>
                <w:lang w:val="en-US" w:eastAsia="zh-CN"/>
              </w:rPr>
              <w:t>折叠机</w:t>
            </w:r>
          </w:p>
        </w:tc>
        <w:tc>
          <w:tcPr>
            <w:tcW w:w="119" w:type="pct"/>
            <w:tcBorders>
              <w:tl2br w:val="nil"/>
              <w:tr2bl w:val="nil"/>
            </w:tcBorders>
            <w:shd w:val="clear" w:color="auto" w:fill="FFFFFF"/>
            <w:vAlign w:val="center"/>
          </w:tcPr>
          <w:p w14:paraId="5AD02418">
            <w:pPr>
              <w:pStyle w:val="106"/>
              <w:bidi w:val="0"/>
              <w:rPr>
                <w:rFonts w:hint="eastAsia"/>
              </w:rPr>
            </w:pPr>
            <w:r>
              <w:rPr>
                <w:rFonts w:hint="eastAsia"/>
              </w:rPr>
              <w:t>/</w:t>
            </w:r>
          </w:p>
        </w:tc>
        <w:tc>
          <w:tcPr>
            <w:tcW w:w="251" w:type="pct"/>
            <w:tcBorders>
              <w:tl2br w:val="nil"/>
              <w:tr2bl w:val="nil"/>
            </w:tcBorders>
            <w:shd w:val="clear" w:color="auto" w:fill="auto"/>
            <w:vAlign w:val="center"/>
          </w:tcPr>
          <w:p w14:paraId="7DF55CF8">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53DDDE47">
            <w:pPr>
              <w:pStyle w:val="106"/>
              <w:bidi w:val="0"/>
              <w:rPr>
                <w:rFonts w:hint="eastAsia"/>
              </w:rPr>
            </w:pPr>
          </w:p>
        </w:tc>
        <w:tc>
          <w:tcPr>
            <w:tcW w:w="173" w:type="pct"/>
            <w:tcBorders>
              <w:tl2br w:val="nil"/>
              <w:tr2bl w:val="nil"/>
            </w:tcBorders>
            <w:shd w:val="clear" w:color="auto" w:fill="FFFFFF"/>
            <w:vAlign w:val="center"/>
          </w:tcPr>
          <w:p w14:paraId="1F96C6D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7AD403DC">
            <w:pPr>
              <w:pStyle w:val="106"/>
              <w:bidi w:val="0"/>
              <w:rPr>
                <w:rFonts w:hint="default"/>
                <w:lang w:val="en-US" w:eastAsia="zh-CN"/>
              </w:rPr>
            </w:pPr>
            <w:r>
              <w:rPr>
                <w:rFonts w:hint="eastAsia"/>
                <w:lang w:val="en-US" w:eastAsia="zh-CN"/>
              </w:rPr>
              <w:t>32</w:t>
            </w:r>
          </w:p>
        </w:tc>
        <w:tc>
          <w:tcPr>
            <w:tcW w:w="173" w:type="pct"/>
            <w:tcBorders>
              <w:tl2br w:val="nil"/>
              <w:tr2bl w:val="nil"/>
            </w:tcBorders>
            <w:shd w:val="clear" w:color="auto" w:fill="FFFFFF"/>
            <w:vAlign w:val="center"/>
          </w:tcPr>
          <w:p w14:paraId="01B3C34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5F121E2B">
            <w:pPr>
              <w:pStyle w:val="106"/>
              <w:bidi w:val="0"/>
              <w:jc w:val="center"/>
              <w:rPr>
                <w:rFonts w:hint="eastAsia"/>
                <w:lang w:val="en-US" w:eastAsia="zh-CN"/>
              </w:rPr>
            </w:pPr>
            <w:r>
              <w:rPr>
                <w:rFonts w:hint="eastAsia"/>
                <w:lang w:val="en-US" w:eastAsia="zh-CN"/>
              </w:rPr>
              <w:t>68</w:t>
            </w:r>
          </w:p>
        </w:tc>
        <w:tc>
          <w:tcPr>
            <w:tcW w:w="173" w:type="pct"/>
            <w:tcBorders>
              <w:tl2br w:val="nil"/>
              <w:tr2bl w:val="nil"/>
            </w:tcBorders>
            <w:shd w:val="clear" w:color="auto" w:fill="FFFFFF"/>
            <w:vAlign w:val="center"/>
          </w:tcPr>
          <w:p w14:paraId="50D24A50">
            <w:pPr>
              <w:pStyle w:val="106"/>
              <w:bidi w:val="0"/>
              <w:jc w:val="center"/>
              <w:rPr>
                <w:rFonts w:hint="eastAsia"/>
                <w:lang w:val="en-US" w:eastAsia="zh-CN"/>
              </w:rPr>
            </w:pPr>
            <w:r>
              <w:rPr>
                <w:rFonts w:hint="eastAsia"/>
                <w:lang w:val="en-US" w:eastAsia="zh-CN"/>
              </w:rPr>
              <w:t>41</w:t>
            </w:r>
          </w:p>
        </w:tc>
        <w:tc>
          <w:tcPr>
            <w:tcW w:w="173" w:type="pct"/>
            <w:tcBorders>
              <w:tl2br w:val="nil"/>
              <w:tr2bl w:val="nil"/>
            </w:tcBorders>
            <w:shd w:val="clear" w:color="auto" w:fill="FFFFFF"/>
            <w:vAlign w:val="center"/>
          </w:tcPr>
          <w:p w14:paraId="626D9B30">
            <w:pPr>
              <w:pStyle w:val="106"/>
              <w:bidi w:val="0"/>
              <w:jc w:val="center"/>
              <w:rPr>
                <w:rFonts w:hint="default"/>
                <w:lang w:val="en-US" w:eastAsia="zh-CN"/>
              </w:rPr>
            </w:pPr>
            <w:r>
              <w:rPr>
                <w:rFonts w:hint="eastAsia"/>
                <w:lang w:val="en-US" w:eastAsia="zh-CN"/>
              </w:rPr>
              <w:t>68</w:t>
            </w:r>
          </w:p>
        </w:tc>
        <w:tc>
          <w:tcPr>
            <w:tcW w:w="173" w:type="pct"/>
            <w:tcBorders>
              <w:tl2br w:val="nil"/>
              <w:tr2bl w:val="nil"/>
            </w:tcBorders>
            <w:shd w:val="clear" w:color="auto" w:fill="FFFFFF"/>
            <w:vAlign w:val="center"/>
          </w:tcPr>
          <w:p w14:paraId="07CDC1AA">
            <w:pPr>
              <w:pStyle w:val="106"/>
              <w:bidi w:val="0"/>
              <w:jc w:val="center"/>
              <w:rPr>
                <w:rFonts w:hint="eastAsia"/>
                <w:lang w:val="en-US" w:eastAsia="zh-CN"/>
              </w:rPr>
            </w:pPr>
            <w:r>
              <w:rPr>
                <w:rFonts w:hint="eastAsia"/>
                <w:lang w:val="en-US" w:eastAsia="zh-CN"/>
              </w:rPr>
              <w:t>25</w:t>
            </w:r>
          </w:p>
        </w:tc>
        <w:tc>
          <w:tcPr>
            <w:tcW w:w="173" w:type="pct"/>
            <w:tcBorders>
              <w:tl2br w:val="nil"/>
              <w:tr2bl w:val="nil"/>
            </w:tcBorders>
            <w:shd w:val="clear" w:color="auto" w:fill="FFFFFF"/>
            <w:vAlign w:val="center"/>
          </w:tcPr>
          <w:p w14:paraId="2309C57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4D9137E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3233235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05A63EB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3A84675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2E3D590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786C21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6B01332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6F4CF4C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443409C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16E10AC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247E8E1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3362246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7E38315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1A74D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1FC7548F">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0AA7039C">
            <w:pPr>
              <w:pStyle w:val="106"/>
              <w:bidi w:val="0"/>
              <w:rPr>
                <w:rFonts w:hint="eastAsia"/>
                <w:lang w:val="en-US" w:eastAsia="zh-CN"/>
              </w:rPr>
            </w:pPr>
          </w:p>
        </w:tc>
        <w:tc>
          <w:tcPr>
            <w:tcW w:w="490" w:type="pct"/>
            <w:tcBorders>
              <w:tl2br w:val="nil"/>
              <w:tr2bl w:val="nil"/>
            </w:tcBorders>
            <w:shd w:val="clear" w:color="auto" w:fill="auto"/>
            <w:vAlign w:val="center"/>
          </w:tcPr>
          <w:p w14:paraId="00B08EEC">
            <w:pPr>
              <w:pStyle w:val="106"/>
              <w:bidi w:val="0"/>
              <w:rPr>
                <w:rFonts w:hint="eastAsia"/>
                <w:lang w:val="en-US" w:eastAsia="zh-CN"/>
              </w:rPr>
            </w:pPr>
            <w:r>
              <w:rPr>
                <w:rFonts w:hint="eastAsia"/>
                <w:lang w:val="en-US" w:eastAsia="zh-CN"/>
              </w:rPr>
              <w:t>折叠机</w:t>
            </w:r>
          </w:p>
        </w:tc>
        <w:tc>
          <w:tcPr>
            <w:tcW w:w="119" w:type="pct"/>
            <w:tcBorders>
              <w:tl2br w:val="nil"/>
              <w:tr2bl w:val="nil"/>
            </w:tcBorders>
            <w:shd w:val="clear" w:color="auto" w:fill="FFFFFF"/>
            <w:vAlign w:val="center"/>
          </w:tcPr>
          <w:p w14:paraId="40D763B9">
            <w:pPr>
              <w:pStyle w:val="106"/>
              <w:bidi w:val="0"/>
              <w:rPr>
                <w:rFonts w:hint="eastAsia"/>
              </w:rPr>
            </w:pPr>
            <w:r>
              <w:rPr>
                <w:rFonts w:hint="eastAsia"/>
              </w:rPr>
              <w:t>/</w:t>
            </w:r>
          </w:p>
        </w:tc>
        <w:tc>
          <w:tcPr>
            <w:tcW w:w="251" w:type="pct"/>
            <w:tcBorders>
              <w:tl2br w:val="nil"/>
              <w:tr2bl w:val="nil"/>
            </w:tcBorders>
            <w:shd w:val="clear" w:color="auto" w:fill="auto"/>
            <w:vAlign w:val="center"/>
          </w:tcPr>
          <w:p w14:paraId="298BE11A">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613928D7">
            <w:pPr>
              <w:pStyle w:val="106"/>
              <w:bidi w:val="0"/>
              <w:rPr>
                <w:rFonts w:hint="eastAsia"/>
              </w:rPr>
            </w:pPr>
          </w:p>
        </w:tc>
        <w:tc>
          <w:tcPr>
            <w:tcW w:w="173" w:type="pct"/>
            <w:tcBorders>
              <w:tl2br w:val="nil"/>
              <w:tr2bl w:val="nil"/>
            </w:tcBorders>
            <w:shd w:val="clear" w:color="auto" w:fill="FFFFFF"/>
            <w:vAlign w:val="center"/>
          </w:tcPr>
          <w:p w14:paraId="77F855B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0</w:t>
            </w:r>
          </w:p>
        </w:tc>
        <w:tc>
          <w:tcPr>
            <w:tcW w:w="173" w:type="pct"/>
            <w:tcBorders>
              <w:tl2br w:val="nil"/>
              <w:tr2bl w:val="nil"/>
            </w:tcBorders>
            <w:shd w:val="clear" w:color="auto" w:fill="FFFFFF"/>
            <w:vAlign w:val="center"/>
          </w:tcPr>
          <w:p w14:paraId="1BDB5886">
            <w:pPr>
              <w:pStyle w:val="106"/>
              <w:bidi w:val="0"/>
              <w:rPr>
                <w:rFonts w:hint="default"/>
                <w:lang w:val="en-US" w:eastAsia="zh-CN"/>
              </w:rPr>
            </w:pPr>
            <w:r>
              <w:rPr>
                <w:rFonts w:hint="eastAsia"/>
                <w:lang w:val="en-US" w:eastAsia="zh-CN"/>
              </w:rPr>
              <w:t>32</w:t>
            </w:r>
          </w:p>
        </w:tc>
        <w:tc>
          <w:tcPr>
            <w:tcW w:w="173" w:type="pct"/>
            <w:tcBorders>
              <w:tl2br w:val="nil"/>
              <w:tr2bl w:val="nil"/>
            </w:tcBorders>
            <w:shd w:val="clear" w:color="auto" w:fill="FFFFFF"/>
            <w:vAlign w:val="center"/>
          </w:tcPr>
          <w:p w14:paraId="076415A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6D8CD6E5">
            <w:pPr>
              <w:pStyle w:val="106"/>
              <w:bidi w:val="0"/>
              <w:jc w:val="center"/>
              <w:rPr>
                <w:rFonts w:hint="eastAsia"/>
                <w:lang w:val="en-US" w:eastAsia="zh-CN"/>
              </w:rPr>
            </w:pPr>
            <w:r>
              <w:rPr>
                <w:rFonts w:hint="eastAsia"/>
                <w:lang w:val="en-US" w:eastAsia="zh-CN"/>
              </w:rPr>
              <w:t>63</w:t>
            </w:r>
          </w:p>
        </w:tc>
        <w:tc>
          <w:tcPr>
            <w:tcW w:w="173" w:type="pct"/>
            <w:tcBorders>
              <w:tl2br w:val="nil"/>
              <w:tr2bl w:val="nil"/>
            </w:tcBorders>
            <w:shd w:val="clear" w:color="auto" w:fill="FFFFFF"/>
            <w:vAlign w:val="center"/>
          </w:tcPr>
          <w:p w14:paraId="258EB30B">
            <w:pPr>
              <w:pStyle w:val="106"/>
              <w:bidi w:val="0"/>
              <w:jc w:val="center"/>
              <w:rPr>
                <w:rFonts w:hint="eastAsia"/>
                <w:lang w:val="en-US" w:eastAsia="zh-CN"/>
              </w:rPr>
            </w:pPr>
            <w:r>
              <w:rPr>
                <w:rFonts w:hint="eastAsia"/>
                <w:lang w:val="en-US" w:eastAsia="zh-CN"/>
              </w:rPr>
              <w:t>41</w:t>
            </w:r>
          </w:p>
        </w:tc>
        <w:tc>
          <w:tcPr>
            <w:tcW w:w="173" w:type="pct"/>
            <w:tcBorders>
              <w:tl2br w:val="nil"/>
              <w:tr2bl w:val="nil"/>
            </w:tcBorders>
            <w:shd w:val="clear" w:color="auto" w:fill="FFFFFF"/>
            <w:vAlign w:val="center"/>
          </w:tcPr>
          <w:p w14:paraId="7314D6CD">
            <w:pPr>
              <w:pStyle w:val="106"/>
              <w:bidi w:val="0"/>
              <w:jc w:val="center"/>
              <w:rPr>
                <w:rFonts w:hint="default"/>
                <w:lang w:val="en-US" w:eastAsia="zh-CN"/>
              </w:rPr>
            </w:pPr>
            <w:r>
              <w:rPr>
                <w:rFonts w:hint="eastAsia"/>
                <w:lang w:val="en-US" w:eastAsia="zh-CN"/>
              </w:rPr>
              <w:t>73</w:t>
            </w:r>
          </w:p>
        </w:tc>
        <w:tc>
          <w:tcPr>
            <w:tcW w:w="173" w:type="pct"/>
            <w:tcBorders>
              <w:tl2br w:val="nil"/>
              <w:tr2bl w:val="nil"/>
            </w:tcBorders>
            <w:shd w:val="clear" w:color="auto" w:fill="FFFFFF"/>
            <w:vAlign w:val="center"/>
          </w:tcPr>
          <w:p w14:paraId="065575F1">
            <w:pPr>
              <w:pStyle w:val="106"/>
              <w:bidi w:val="0"/>
              <w:jc w:val="center"/>
              <w:rPr>
                <w:rFonts w:hint="eastAsia"/>
                <w:lang w:val="en-US" w:eastAsia="zh-CN"/>
              </w:rPr>
            </w:pPr>
            <w:r>
              <w:rPr>
                <w:rFonts w:hint="eastAsia"/>
                <w:lang w:val="en-US" w:eastAsia="zh-CN"/>
              </w:rPr>
              <w:t>25</w:t>
            </w:r>
          </w:p>
        </w:tc>
        <w:tc>
          <w:tcPr>
            <w:tcW w:w="173" w:type="pct"/>
            <w:tcBorders>
              <w:tl2br w:val="nil"/>
              <w:tr2bl w:val="nil"/>
            </w:tcBorders>
            <w:shd w:val="clear" w:color="auto" w:fill="FFFFFF"/>
            <w:vAlign w:val="center"/>
          </w:tcPr>
          <w:p w14:paraId="4EE5617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025CA2E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7144A09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5EDF198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62FEC15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0580B0D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62ECFF9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43A846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41F2CBB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7C9F1AB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331C490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21FCB22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3BF5FD2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07F6749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5E69E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148AF680">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0A007FF1">
            <w:pPr>
              <w:pStyle w:val="106"/>
              <w:bidi w:val="0"/>
              <w:rPr>
                <w:rFonts w:hint="eastAsia"/>
                <w:lang w:val="en-US" w:eastAsia="zh-CN"/>
              </w:rPr>
            </w:pPr>
          </w:p>
        </w:tc>
        <w:tc>
          <w:tcPr>
            <w:tcW w:w="490" w:type="pct"/>
            <w:tcBorders>
              <w:tl2br w:val="nil"/>
              <w:tr2bl w:val="nil"/>
            </w:tcBorders>
            <w:shd w:val="clear" w:color="auto" w:fill="auto"/>
            <w:vAlign w:val="center"/>
          </w:tcPr>
          <w:p w14:paraId="31C76439">
            <w:pPr>
              <w:pStyle w:val="106"/>
              <w:bidi w:val="0"/>
              <w:rPr>
                <w:rFonts w:hint="eastAsia"/>
                <w:lang w:val="en-US" w:eastAsia="zh-CN"/>
              </w:rPr>
            </w:pPr>
            <w:r>
              <w:rPr>
                <w:rFonts w:hint="eastAsia"/>
                <w:lang w:val="en-US" w:eastAsia="zh-CN"/>
              </w:rPr>
              <w:t>折叠机</w:t>
            </w:r>
          </w:p>
        </w:tc>
        <w:tc>
          <w:tcPr>
            <w:tcW w:w="119" w:type="pct"/>
            <w:tcBorders>
              <w:tl2br w:val="nil"/>
              <w:tr2bl w:val="nil"/>
            </w:tcBorders>
            <w:shd w:val="clear" w:color="auto" w:fill="FFFFFF"/>
            <w:vAlign w:val="center"/>
          </w:tcPr>
          <w:p w14:paraId="3FF89B82">
            <w:pPr>
              <w:pStyle w:val="106"/>
              <w:bidi w:val="0"/>
              <w:rPr>
                <w:rFonts w:hint="eastAsia"/>
              </w:rPr>
            </w:pPr>
            <w:r>
              <w:rPr>
                <w:rFonts w:hint="eastAsia"/>
              </w:rPr>
              <w:t>/</w:t>
            </w:r>
          </w:p>
        </w:tc>
        <w:tc>
          <w:tcPr>
            <w:tcW w:w="251" w:type="pct"/>
            <w:tcBorders>
              <w:tl2br w:val="nil"/>
              <w:tr2bl w:val="nil"/>
            </w:tcBorders>
            <w:shd w:val="clear" w:color="auto" w:fill="auto"/>
            <w:vAlign w:val="center"/>
          </w:tcPr>
          <w:p w14:paraId="0EC2DE18">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09D3F8E9">
            <w:pPr>
              <w:pStyle w:val="106"/>
              <w:bidi w:val="0"/>
              <w:rPr>
                <w:rFonts w:hint="eastAsia"/>
              </w:rPr>
            </w:pPr>
          </w:p>
        </w:tc>
        <w:tc>
          <w:tcPr>
            <w:tcW w:w="173" w:type="pct"/>
            <w:tcBorders>
              <w:tl2br w:val="nil"/>
              <w:tr2bl w:val="nil"/>
            </w:tcBorders>
            <w:shd w:val="clear" w:color="auto" w:fill="FFFFFF"/>
            <w:vAlign w:val="center"/>
          </w:tcPr>
          <w:p w14:paraId="445E854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137F3338">
            <w:pPr>
              <w:pStyle w:val="106"/>
              <w:bidi w:val="0"/>
              <w:rPr>
                <w:rFonts w:hint="default"/>
                <w:lang w:val="en-US" w:eastAsia="zh-CN"/>
              </w:rPr>
            </w:pPr>
            <w:r>
              <w:rPr>
                <w:rFonts w:hint="eastAsia"/>
                <w:lang w:val="en-US" w:eastAsia="zh-CN"/>
              </w:rPr>
              <w:t>32</w:t>
            </w:r>
          </w:p>
        </w:tc>
        <w:tc>
          <w:tcPr>
            <w:tcW w:w="173" w:type="pct"/>
            <w:tcBorders>
              <w:tl2br w:val="nil"/>
              <w:tr2bl w:val="nil"/>
            </w:tcBorders>
            <w:shd w:val="clear" w:color="auto" w:fill="FFFFFF"/>
            <w:vAlign w:val="center"/>
          </w:tcPr>
          <w:p w14:paraId="43C5E83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7F38C3E4">
            <w:pPr>
              <w:pStyle w:val="106"/>
              <w:bidi w:val="0"/>
              <w:jc w:val="center"/>
              <w:rPr>
                <w:rFonts w:hint="eastAsia"/>
                <w:lang w:val="en-US" w:eastAsia="zh-CN"/>
              </w:rPr>
            </w:pPr>
            <w:r>
              <w:rPr>
                <w:rFonts w:hint="eastAsia"/>
                <w:lang w:val="en-US" w:eastAsia="zh-CN"/>
              </w:rPr>
              <w:t>58</w:t>
            </w:r>
          </w:p>
        </w:tc>
        <w:tc>
          <w:tcPr>
            <w:tcW w:w="173" w:type="pct"/>
            <w:tcBorders>
              <w:tl2br w:val="nil"/>
              <w:tr2bl w:val="nil"/>
            </w:tcBorders>
            <w:shd w:val="clear" w:color="auto" w:fill="FFFFFF"/>
            <w:vAlign w:val="center"/>
          </w:tcPr>
          <w:p w14:paraId="3B0DCD41">
            <w:pPr>
              <w:pStyle w:val="106"/>
              <w:bidi w:val="0"/>
              <w:jc w:val="center"/>
              <w:rPr>
                <w:rFonts w:hint="eastAsia"/>
                <w:lang w:val="en-US" w:eastAsia="zh-CN"/>
              </w:rPr>
            </w:pPr>
            <w:r>
              <w:rPr>
                <w:rFonts w:hint="eastAsia"/>
                <w:lang w:val="en-US" w:eastAsia="zh-CN"/>
              </w:rPr>
              <w:t>41</w:t>
            </w:r>
          </w:p>
        </w:tc>
        <w:tc>
          <w:tcPr>
            <w:tcW w:w="173" w:type="pct"/>
            <w:tcBorders>
              <w:tl2br w:val="nil"/>
              <w:tr2bl w:val="nil"/>
            </w:tcBorders>
            <w:shd w:val="clear" w:color="auto" w:fill="FFFFFF"/>
            <w:vAlign w:val="center"/>
          </w:tcPr>
          <w:p w14:paraId="4A757373">
            <w:pPr>
              <w:pStyle w:val="106"/>
              <w:bidi w:val="0"/>
              <w:jc w:val="center"/>
              <w:rPr>
                <w:rFonts w:hint="default"/>
                <w:lang w:val="en-US" w:eastAsia="zh-CN"/>
              </w:rPr>
            </w:pPr>
            <w:r>
              <w:rPr>
                <w:rFonts w:hint="eastAsia"/>
                <w:lang w:val="en-US" w:eastAsia="zh-CN"/>
              </w:rPr>
              <w:t>78</w:t>
            </w:r>
          </w:p>
        </w:tc>
        <w:tc>
          <w:tcPr>
            <w:tcW w:w="173" w:type="pct"/>
            <w:tcBorders>
              <w:tl2br w:val="nil"/>
              <w:tr2bl w:val="nil"/>
            </w:tcBorders>
            <w:shd w:val="clear" w:color="auto" w:fill="FFFFFF"/>
            <w:vAlign w:val="center"/>
          </w:tcPr>
          <w:p w14:paraId="1055AC19">
            <w:pPr>
              <w:pStyle w:val="106"/>
              <w:bidi w:val="0"/>
              <w:jc w:val="center"/>
              <w:rPr>
                <w:rFonts w:hint="eastAsia"/>
                <w:lang w:val="en-US" w:eastAsia="zh-CN"/>
              </w:rPr>
            </w:pPr>
            <w:r>
              <w:rPr>
                <w:rFonts w:hint="eastAsia"/>
                <w:lang w:val="en-US" w:eastAsia="zh-CN"/>
              </w:rPr>
              <w:t>25</w:t>
            </w:r>
          </w:p>
        </w:tc>
        <w:tc>
          <w:tcPr>
            <w:tcW w:w="173" w:type="pct"/>
            <w:tcBorders>
              <w:tl2br w:val="nil"/>
              <w:tr2bl w:val="nil"/>
            </w:tcBorders>
            <w:shd w:val="clear" w:color="auto" w:fill="FFFFFF"/>
            <w:vAlign w:val="center"/>
          </w:tcPr>
          <w:p w14:paraId="3167BEA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17DF264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3D05A05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2279CAB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26EE943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46AD2F1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42437BD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3DE6DA1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585E305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43E276D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02DA300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5914B6B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53AE16E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0F0E2B9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50C8C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078FB1F6">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3A264DFA">
            <w:pPr>
              <w:pStyle w:val="106"/>
              <w:bidi w:val="0"/>
              <w:rPr>
                <w:rFonts w:hint="eastAsia"/>
                <w:lang w:val="en-US" w:eastAsia="zh-CN"/>
              </w:rPr>
            </w:pPr>
          </w:p>
        </w:tc>
        <w:tc>
          <w:tcPr>
            <w:tcW w:w="490" w:type="pct"/>
            <w:tcBorders>
              <w:tl2br w:val="nil"/>
              <w:tr2bl w:val="nil"/>
            </w:tcBorders>
            <w:shd w:val="clear" w:color="auto" w:fill="auto"/>
            <w:vAlign w:val="center"/>
          </w:tcPr>
          <w:p w14:paraId="3D0C8362">
            <w:pPr>
              <w:pStyle w:val="106"/>
              <w:bidi w:val="0"/>
              <w:rPr>
                <w:rFonts w:hint="eastAsia"/>
                <w:lang w:val="en-US" w:eastAsia="zh-CN"/>
              </w:rPr>
            </w:pPr>
            <w:r>
              <w:rPr>
                <w:rFonts w:hint="eastAsia"/>
                <w:lang w:val="en-US" w:eastAsia="zh-CN"/>
              </w:rPr>
              <w:t>折叠机</w:t>
            </w:r>
          </w:p>
        </w:tc>
        <w:tc>
          <w:tcPr>
            <w:tcW w:w="119" w:type="pct"/>
            <w:tcBorders>
              <w:tl2br w:val="nil"/>
              <w:tr2bl w:val="nil"/>
            </w:tcBorders>
            <w:shd w:val="clear" w:color="auto" w:fill="FFFFFF"/>
            <w:vAlign w:val="center"/>
          </w:tcPr>
          <w:p w14:paraId="7F845A25">
            <w:pPr>
              <w:pStyle w:val="106"/>
              <w:bidi w:val="0"/>
              <w:rPr>
                <w:rFonts w:hint="eastAsia"/>
              </w:rPr>
            </w:pPr>
            <w:r>
              <w:rPr>
                <w:rFonts w:hint="eastAsia"/>
              </w:rPr>
              <w:t>/</w:t>
            </w:r>
          </w:p>
        </w:tc>
        <w:tc>
          <w:tcPr>
            <w:tcW w:w="251" w:type="pct"/>
            <w:tcBorders>
              <w:tl2br w:val="nil"/>
              <w:tr2bl w:val="nil"/>
            </w:tcBorders>
            <w:shd w:val="clear" w:color="auto" w:fill="auto"/>
            <w:vAlign w:val="center"/>
          </w:tcPr>
          <w:p w14:paraId="598AD001">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6A8101C7">
            <w:pPr>
              <w:pStyle w:val="106"/>
              <w:bidi w:val="0"/>
              <w:rPr>
                <w:rFonts w:hint="eastAsia"/>
              </w:rPr>
            </w:pPr>
          </w:p>
        </w:tc>
        <w:tc>
          <w:tcPr>
            <w:tcW w:w="173" w:type="pct"/>
            <w:tcBorders>
              <w:tl2br w:val="nil"/>
              <w:tr2bl w:val="nil"/>
            </w:tcBorders>
            <w:shd w:val="clear" w:color="auto" w:fill="FFFFFF"/>
            <w:vAlign w:val="center"/>
          </w:tcPr>
          <w:p w14:paraId="1D33249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10</w:t>
            </w:r>
          </w:p>
        </w:tc>
        <w:tc>
          <w:tcPr>
            <w:tcW w:w="173" w:type="pct"/>
            <w:tcBorders>
              <w:tl2br w:val="nil"/>
              <w:tr2bl w:val="nil"/>
            </w:tcBorders>
            <w:shd w:val="clear" w:color="auto" w:fill="FFFFFF"/>
            <w:vAlign w:val="center"/>
          </w:tcPr>
          <w:p w14:paraId="68FAE043">
            <w:pPr>
              <w:pStyle w:val="106"/>
              <w:bidi w:val="0"/>
              <w:rPr>
                <w:rFonts w:hint="default"/>
                <w:lang w:val="en-US" w:eastAsia="zh-CN"/>
              </w:rPr>
            </w:pPr>
            <w:r>
              <w:rPr>
                <w:rFonts w:hint="eastAsia"/>
                <w:lang w:val="en-US" w:eastAsia="zh-CN"/>
              </w:rPr>
              <w:t>32</w:t>
            </w:r>
          </w:p>
        </w:tc>
        <w:tc>
          <w:tcPr>
            <w:tcW w:w="173" w:type="pct"/>
            <w:tcBorders>
              <w:tl2br w:val="nil"/>
              <w:tr2bl w:val="nil"/>
            </w:tcBorders>
            <w:shd w:val="clear" w:color="auto" w:fill="FFFFFF"/>
            <w:vAlign w:val="center"/>
          </w:tcPr>
          <w:p w14:paraId="417078E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67726E10">
            <w:pPr>
              <w:pStyle w:val="106"/>
              <w:bidi w:val="0"/>
              <w:jc w:val="center"/>
              <w:rPr>
                <w:rFonts w:hint="eastAsia"/>
                <w:lang w:val="en-US" w:eastAsia="zh-CN"/>
              </w:rPr>
            </w:pPr>
            <w:r>
              <w:rPr>
                <w:rFonts w:hint="eastAsia"/>
                <w:lang w:val="en-US" w:eastAsia="zh-CN"/>
              </w:rPr>
              <w:t>78</w:t>
            </w:r>
          </w:p>
        </w:tc>
        <w:tc>
          <w:tcPr>
            <w:tcW w:w="173" w:type="pct"/>
            <w:tcBorders>
              <w:tl2br w:val="nil"/>
              <w:tr2bl w:val="nil"/>
            </w:tcBorders>
            <w:shd w:val="clear" w:color="auto" w:fill="FFFFFF"/>
            <w:vAlign w:val="center"/>
          </w:tcPr>
          <w:p w14:paraId="43E74BDA">
            <w:pPr>
              <w:pStyle w:val="106"/>
              <w:bidi w:val="0"/>
              <w:jc w:val="center"/>
              <w:rPr>
                <w:rFonts w:hint="eastAsia"/>
                <w:lang w:val="en-US" w:eastAsia="zh-CN"/>
              </w:rPr>
            </w:pPr>
            <w:r>
              <w:rPr>
                <w:rFonts w:hint="eastAsia"/>
                <w:lang w:val="en-US" w:eastAsia="zh-CN"/>
              </w:rPr>
              <w:t>44</w:t>
            </w:r>
          </w:p>
        </w:tc>
        <w:tc>
          <w:tcPr>
            <w:tcW w:w="173" w:type="pct"/>
            <w:tcBorders>
              <w:tl2br w:val="nil"/>
              <w:tr2bl w:val="nil"/>
            </w:tcBorders>
            <w:shd w:val="clear" w:color="auto" w:fill="FFFFFF"/>
            <w:vAlign w:val="center"/>
          </w:tcPr>
          <w:p w14:paraId="378AADD2">
            <w:pPr>
              <w:pStyle w:val="106"/>
              <w:bidi w:val="0"/>
              <w:jc w:val="center"/>
              <w:rPr>
                <w:rFonts w:hint="default"/>
                <w:lang w:val="en-US" w:eastAsia="zh-CN"/>
              </w:rPr>
            </w:pPr>
            <w:r>
              <w:rPr>
                <w:rFonts w:hint="eastAsia"/>
                <w:lang w:val="en-US" w:eastAsia="zh-CN"/>
              </w:rPr>
              <w:t>58</w:t>
            </w:r>
          </w:p>
        </w:tc>
        <w:tc>
          <w:tcPr>
            <w:tcW w:w="173" w:type="pct"/>
            <w:tcBorders>
              <w:tl2br w:val="nil"/>
              <w:tr2bl w:val="nil"/>
            </w:tcBorders>
            <w:shd w:val="clear" w:color="auto" w:fill="FFFFFF"/>
            <w:vAlign w:val="center"/>
          </w:tcPr>
          <w:p w14:paraId="7EA826E8">
            <w:pPr>
              <w:pStyle w:val="106"/>
              <w:bidi w:val="0"/>
              <w:jc w:val="center"/>
              <w:rPr>
                <w:rFonts w:hint="eastAsia"/>
                <w:lang w:val="en-US" w:eastAsia="zh-CN"/>
              </w:rPr>
            </w:pPr>
            <w:r>
              <w:rPr>
                <w:rFonts w:hint="eastAsia"/>
                <w:lang w:val="en-US" w:eastAsia="zh-CN"/>
              </w:rPr>
              <w:t>22</w:t>
            </w:r>
          </w:p>
        </w:tc>
        <w:tc>
          <w:tcPr>
            <w:tcW w:w="173" w:type="pct"/>
            <w:tcBorders>
              <w:tl2br w:val="nil"/>
              <w:tr2bl w:val="nil"/>
            </w:tcBorders>
            <w:shd w:val="clear" w:color="auto" w:fill="FFFFFF"/>
            <w:vAlign w:val="center"/>
          </w:tcPr>
          <w:p w14:paraId="57CD29C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113D75D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708C980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4BEC84E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4149BBE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1B9DA61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115306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46CCE7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6D36A5A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3EFF6EF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22DE097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6384F02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68ABB21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6119FF1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0F030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241E434A">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37EF08C5">
            <w:pPr>
              <w:pStyle w:val="106"/>
              <w:bidi w:val="0"/>
              <w:rPr>
                <w:rFonts w:hint="eastAsia"/>
                <w:lang w:val="en-US" w:eastAsia="zh-CN"/>
              </w:rPr>
            </w:pPr>
          </w:p>
        </w:tc>
        <w:tc>
          <w:tcPr>
            <w:tcW w:w="490" w:type="pct"/>
            <w:tcBorders>
              <w:tl2br w:val="nil"/>
              <w:tr2bl w:val="nil"/>
            </w:tcBorders>
            <w:shd w:val="clear" w:color="auto" w:fill="auto"/>
            <w:vAlign w:val="center"/>
          </w:tcPr>
          <w:p w14:paraId="55B2EB76">
            <w:pPr>
              <w:pStyle w:val="106"/>
              <w:bidi w:val="0"/>
              <w:rPr>
                <w:rFonts w:hint="default"/>
                <w:lang w:val="en-US" w:eastAsia="zh-CN"/>
              </w:rPr>
            </w:pPr>
            <w:r>
              <w:rPr>
                <w:rFonts w:hint="eastAsia"/>
                <w:lang w:val="en-US" w:eastAsia="zh-CN"/>
              </w:rPr>
              <w:t>包装机</w:t>
            </w:r>
          </w:p>
        </w:tc>
        <w:tc>
          <w:tcPr>
            <w:tcW w:w="119" w:type="pct"/>
            <w:tcBorders>
              <w:tl2br w:val="nil"/>
              <w:tr2bl w:val="nil"/>
            </w:tcBorders>
            <w:shd w:val="clear" w:color="auto" w:fill="FFFFFF"/>
            <w:vAlign w:val="center"/>
          </w:tcPr>
          <w:p w14:paraId="3442236D">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7CD1DD44">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46AB639F">
            <w:pPr>
              <w:pStyle w:val="106"/>
              <w:bidi w:val="0"/>
              <w:rPr>
                <w:rFonts w:hint="eastAsia"/>
              </w:rPr>
            </w:pPr>
          </w:p>
        </w:tc>
        <w:tc>
          <w:tcPr>
            <w:tcW w:w="173" w:type="pct"/>
            <w:tcBorders>
              <w:tl2br w:val="nil"/>
              <w:tr2bl w:val="nil"/>
            </w:tcBorders>
            <w:shd w:val="clear" w:color="auto" w:fill="FFFFFF"/>
            <w:vAlign w:val="center"/>
          </w:tcPr>
          <w:p w14:paraId="119E9C6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-10</w:t>
            </w:r>
          </w:p>
        </w:tc>
        <w:tc>
          <w:tcPr>
            <w:tcW w:w="173" w:type="pct"/>
            <w:tcBorders>
              <w:tl2br w:val="nil"/>
              <w:tr2bl w:val="nil"/>
            </w:tcBorders>
            <w:shd w:val="clear" w:color="auto" w:fill="FFFFFF"/>
            <w:vAlign w:val="center"/>
          </w:tcPr>
          <w:p w14:paraId="28C54E7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29</w:t>
            </w:r>
          </w:p>
        </w:tc>
        <w:tc>
          <w:tcPr>
            <w:tcW w:w="173" w:type="pct"/>
            <w:tcBorders>
              <w:tl2br w:val="nil"/>
              <w:tr2bl w:val="nil"/>
            </w:tcBorders>
            <w:shd w:val="clear" w:color="auto" w:fill="FFFFFF"/>
            <w:vAlign w:val="center"/>
          </w:tcPr>
          <w:p w14:paraId="7911293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63482A0B">
            <w:pPr>
              <w:pStyle w:val="106"/>
              <w:bidi w:val="0"/>
              <w:jc w:val="center"/>
              <w:rPr>
                <w:rFonts w:hint="eastAsia"/>
                <w:lang w:val="en-US" w:eastAsia="zh-CN"/>
              </w:rPr>
            </w:pPr>
            <w:r>
              <w:rPr>
                <w:rFonts w:hint="eastAsia"/>
                <w:lang w:val="en-US" w:eastAsia="zh-CN"/>
              </w:rPr>
              <w:t>73</w:t>
            </w:r>
          </w:p>
        </w:tc>
        <w:tc>
          <w:tcPr>
            <w:tcW w:w="173" w:type="pct"/>
            <w:tcBorders>
              <w:tl2br w:val="nil"/>
              <w:tr2bl w:val="nil"/>
            </w:tcBorders>
            <w:shd w:val="clear" w:color="auto" w:fill="FFFFFF"/>
            <w:vAlign w:val="center"/>
          </w:tcPr>
          <w:p w14:paraId="7AB4E1A2">
            <w:pPr>
              <w:pStyle w:val="106"/>
              <w:bidi w:val="0"/>
              <w:jc w:val="center"/>
              <w:rPr>
                <w:rFonts w:hint="eastAsia"/>
                <w:lang w:val="en-US" w:eastAsia="zh-CN"/>
              </w:rPr>
            </w:pPr>
            <w:r>
              <w:rPr>
                <w:rFonts w:hint="eastAsia"/>
                <w:lang w:val="en-US" w:eastAsia="zh-CN"/>
              </w:rPr>
              <w:t>44</w:t>
            </w:r>
          </w:p>
        </w:tc>
        <w:tc>
          <w:tcPr>
            <w:tcW w:w="173" w:type="pct"/>
            <w:tcBorders>
              <w:tl2br w:val="nil"/>
              <w:tr2bl w:val="nil"/>
            </w:tcBorders>
            <w:shd w:val="clear" w:color="auto" w:fill="FFFFFF"/>
            <w:vAlign w:val="center"/>
          </w:tcPr>
          <w:p w14:paraId="26A7F87B">
            <w:pPr>
              <w:pStyle w:val="106"/>
              <w:bidi w:val="0"/>
              <w:jc w:val="center"/>
              <w:rPr>
                <w:rFonts w:hint="default"/>
                <w:lang w:val="en-US" w:eastAsia="zh-CN"/>
              </w:rPr>
            </w:pPr>
            <w:r>
              <w:rPr>
                <w:rFonts w:hint="eastAsia"/>
                <w:lang w:val="en-US" w:eastAsia="zh-CN"/>
              </w:rPr>
              <w:t>63</w:t>
            </w:r>
          </w:p>
        </w:tc>
        <w:tc>
          <w:tcPr>
            <w:tcW w:w="173" w:type="pct"/>
            <w:tcBorders>
              <w:tl2br w:val="nil"/>
              <w:tr2bl w:val="nil"/>
            </w:tcBorders>
            <w:shd w:val="clear" w:color="auto" w:fill="FFFFFF"/>
            <w:vAlign w:val="center"/>
          </w:tcPr>
          <w:p w14:paraId="6149F042">
            <w:pPr>
              <w:pStyle w:val="106"/>
              <w:bidi w:val="0"/>
              <w:jc w:val="center"/>
              <w:rPr>
                <w:rFonts w:hint="eastAsia"/>
                <w:lang w:val="en-US" w:eastAsia="zh-CN"/>
              </w:rPr>
            </w:pPr>
            <w:r>
              <w:rPr>
                <w:rFonts w:hint="eastAsia"/>
                <w:lang w:val="en-US" w:eastAsia="zh-CN"/>
              </w:rPr>
              <w:t>22</w:t>
            </w:r>
          </w:p>
        </w:tc>
        <w:tc>
          <w:tcPr>
            <w:tcW w:w="173" w:type="pct"/>
            <w:tcBorders>
              <w:tl2br w:val="nil"/>
              <w:tr2bl w:val="nil"/>
            </w:tcBorders>
            <w:shd w:val="clear" w:color="auto" w:fill="FFFFFF"/>
            <w:vAlign w:val="center"/>
          </w:tcPr>
          <w:p w14:paraId="700D73E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23DC215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0354348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12FFAF9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1E7235D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3F29BA6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F0AA38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1224CF3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7BC0A22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74FC963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7BB277B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7E3ECD5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346CDAC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39905DF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170C9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30A34405">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63EA2A81">
            <w:pPr>
              <w:pStyle w:val="106"/>
              <w:bidi w:val="0"/>
              <w:rPr>
                <w:rFonts w:hint="eastAsia"/>
                <w:lang w:val="en-US" w:eastAsia="zh-CN"/>
              </w:rPr>
            </w:pPr>
          </w:p>
        </w:tc>
        <w:tc>
          <w:tcPr>
            <w:tcW w:w="490" w:type="pct"/>
            <w:tcBorders>
              <w:tl2br w:val="nil"/>
              <w:tr2bl w:val="nil"/>
            </w:tcBorders>
            <w:shd w:val="clear" w:color="auto" w:fill="auto"/>
            <w:vAlign w:val="center"/>
          </w:tcPr>
          <w:p w14:paraId="02EF3141">
            <w:pPr>
              <w:pStyle w:val="106"/>
              <w:bidi w:val="0"/>
              <w:rPr>
                <w:rFonts w:hint="eastAsia"/>
                <w:lang w:val="en-US" w:eastAsia="zh-CN"/>
              </w:rPr>
            </w:pPr>
            <w:r>
              <w:rPr>
                <w:rFonts w:hint="eastAsia"/>
                <w:lang w:val="en-US" w:eastAsia="zh-CN"/>
              </w:rPr>
              <w:t>包装机</w:t>
            </w:r>
          </w:p>
        </w:tc>
        <w:tc>
          <w:tcPr>
            <w:tcW w:w="119" w:type="pct"/>
            <w:tcBorders>
              <w:tl2br w:val="nil"/>
              <w:tr2bl w:val="nil"/>
            </w:tcBorders>
            <w:shd w:val="clear" w:color="auto" w:fill="FFFFFF"/>
            <w:vAlign w:val="center"/>
          </w:tcPr>
          <w:p w14:paraId="21BF1A5B">
            <w:pPr>
              <w:pStyle w:val="106"/>
              <w:bidi w:val="0"/>
              <w:rPr>
                <w:rFonts w:hint="eastAsia"/>
              </w:rPr>
            </w:pPr>
            <w:r>
              <w:rPr>
                <w:rFonts w:hint="eastAsia"/>
              </w:rPr>
              <w:t>/</w:t>
            </w:r>
          </w:p>
        </w:tc>
        <w:tc>
          <w:tcPr>
            <w:tcW w:w="251" w:type="pct"/>
            <w:tcBorders>
              <w:tl2br w:val="nil"/>
              <w:tr2bl w:val="nil"/>
            </w:tcBorders>
            <w:shd w:val="clear" w:color="auto" w:fill="auto"/>
            <w:vAlign w:val="center"/>
          </w:tcPr>
          <w:p w14:paraId="46FC741A">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1DADE88E">
            <w:pPr>
              <w:pStyle w:val="106"/>
              <w:bidi w:val="0"/>
              <w:rPr>
                <w:rFonts w:hint="eastAsia"/>
              </w:rPr>
            </w:pPr>
          </w:p>
        </w:tc>
        <w:tc>
          <w:tcPr>
            <w:tcW w:w="173" w:type="pct"/>
            <w:tcBorders>
              <w:tl2br w:val="nil"/>
              <w:tr2bl w:val="nil"/>
            </w:tcBorders>
            <w:shd w:val="clear" w:color="auto" w:fill="FFFFFF"/>
            <w:vAlign w:val="center"/>
          </w:tcPr>
          <w:p w14:paraId="6C27C3D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3450E3A9">
            <w:pPr>
              <w:pStyle w:val="106"/>
              <w:bidi w:val="0"/>
              <w:rPr>
                <w:rFonts w:hint="default"/>
                <w:lang w:val="en-US" w:eastAsia="zh-CN"/>
              </w:rPr>
            </w:pPr>
            <w:r>
              <w:rPr>
                <w:rFonts w:hint="eastAsia"/>
                <w:lang w:val="en-US" w:eastAsia="zh-CN"/>
              </w:rPr>
              <w:t>29</w:t>
            </w:r>
          </w:p>
        </w:tc>
        <w:tc>
          <w:tcPr>
            <w:tcW w:w="173" w:type="pct"/>
            <w:tcBorders>
              <w:tl2br w:val="nil"/>
              <w:tr2bl w:val="nil"/>
            </w:tcBorders>
            <w:shd w:val="clear" w:color="auto" w:fill="FFFFFF"/>
            <w:vAlign w:val="center"/>
          </w:tcPr>
          <w:p w14:paraId="494CE2D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687D079A">
            <w:pPr>
              <w:pStyle w:val="106"/>
              <w:bidi w:val="0"/>
              <w:jc w:val="center"/>
              <w:rPr>
                <w:rFonts w:hint="eastAsia"/>
                <w:lang w:val="en-US" w:eastAsia="zh-CN"/>
              </w:rPr>
            </w:pPr>
            <w:r>
              <w:rPr>
                <w:rFonts w:hint="eastAsia"/>
                <w:lang w:val="en-US" w:eastAsia="zh-CN"/>
              </w:rPr>
              <w:t>68</w:t>
            </w:r>
          </w:p>
        </w:tc>
        <w:tc>
          <w:tcPr>
            <w:tcW w:w="173" w:type="pct"/>
            <w:tcBorders>
              <w:tl2br w:val="nil"/>
              <w:tr2bl w:val="nil"/>
            </w:tcBorders>
            <w:shd w:val="clear" w:color="auto" w:fill="FFFFFF"/>
            <w:vAlign w:val="center"/>
          </w:tcPr>
          <w:p w14:paraId="4DADB282">
            <w:pPr>
              <w:pStyle w:val="106"/>
              <w:bidi w:val="0"/>
              <w:jc w:val="center"/>
              <w:rPr>
                <w:rFonts w:hint="eastAsia"/>
                <w:lang w:val="en-US" w:eastAsia="zh-CN"/>
              </w:rPr>
            </w:pPr>
            <w:r>
              <w:rPr>
                <w:rFonts w:hint="eastAsia"/>
                <w:lang w:val="en-US" w:eastAsia="zh-CN"/>
              </w:rPr>
              <w:t>44</w:t>
            </w:r>
          </w:p>
        </w:tc>
        <w:tc>
          <w:tcPr>
            <w:tcW w:w="173" w:type="pct"/>
            <w:tcBorders>
              <w:tl2br w:val="nil"/>
              <w:tr2bl w:val="nil"/>
            </w:tcBorders>
            <w:shd w:val="clear" w:color="auto" w:fill="FFFFFF"/>
            <w:vAlign w:val="center"/>
          </w:tcPr>
          <w:p w14:paraId="46C84EC7">
            <w:pPr>
              <w:pStyle w:val="106"/>
              <w:bidi w:val="0"/>
              <w:jc w:val="center"/>
              <w:rPr>
                <w:rFonts w:hint="default"/>
                <w:lang w:val="en-US" w:eastAsia="zh-CN"/>
              </w:rPr>
            </w:pPr>
            <w:r>
              <w:rPr>
                <w:rFonts w:hint="eastAsia"/>
                <w:lang w:val="en-US" w:eastAsia="zh-CN"/>
              </w:rPr>
              <w:t>68</w:t>
            </w:r>
          </w:p>
        </w:tc>
        <w:tc>
          <w:tcPr>
            <w:tcW w:w="173" w:type="pct"/>
            <w:tcBorders>
              <w:tl2br w:val="nil"/>
              <w:tr2bl w:val="nil"/>
            </w:tcBorders>
            <w:shd w:val="clear" w:color="auto" w:fill="FFFFFF"/>
            <w:vAlign w:val="center"/>
          </w:tcPr>
          <w:p w14:paraId="3B87393C">
            <w:pPr>
              <w:pStyle w:val="106"/>
              <w:bidi w:val="0"/>
              <w:jc w:val="center"/>
              <w:rPr>
                <w:rFonts w:hint="eastAsia"/>
                <w:lang w:val="en-US" w:eastAsia="zh-CN"/>
              </w:rPr>
            </w:pPr>
            <w:r>
              <w:rPr>
                <w:rFonts w:hint="eastAsia"/>
                <w:lang w:val="en-US" w:eastAsia="zh-CN"/>
              </w:rPr>
              <w:t>22</w:t>
            </w:r>
          </w:p>
        </w:tc>
        <w:tc>
          <w:tcPr>
            <w:tcW w:w="173" w:type="pct"/>
            <w:tcBorders>
              <w:tl2br w:val="nil"/>
              <w:tr2bl w:val="nil"/>
            </w:tcBorders>
            <w:shd w:val="clear" w:color="auto" w:fill="FFFFFF"/>
            <w:vAlign w:val="center"/>
          </w:tcPr>
          <w:p w14:paraId="484A07A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73F35FB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50D131E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79CF3C8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2037DA5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268BD69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137F37F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33ED813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3D582DA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394F7B1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5F0272F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1A9E665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7656636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7A58257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473CE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77AFEE9F">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3CCE411B">
            <w:pPr>
              <w:pStyle w:val="106"/>
              <w:bidi w:val="0"/>
              <w:rPr>
                <w:rFonts w:hint="eastAsia"/>
                <w:lang w:val="en-US" w:eastAsia="zh-CN"/>
              </w:rPr>
            </w:pPr>
          </w:p>
        </w:tc>
        <w:tc>
          <w:tcPr>
            <w:tcW w:w="490" w:type="pct"/>
            <w:tcBorders>
              <w:tl2br w:val="nil"/>
              <w:tr2bl w:val="nil"/>
            </w:tcBorders>
            <w:shd w:val="clear" w:color="auto" w:fill="auto"/>
            <w:vAlign w:val="center"/>
          </w:tcPr>
          <w:p w14:paraId="67A15A72">
            <w:pPr>
              <w:pStyle w:val="106"/>
              <w:bidi w:val="0"/>
              <w:rPr>
                <w:rFonts w:hint="eastAsia"/>
                <w:lang w:val="en-US" w:eastAsia="zh-CN"/>
              </w:rPr>
            </w:pPr>
            <w:r>
              <w:rPr>
                <w:rFonts w:hint="eastAsia"/>
                <w:lang w:val="en-US" w:eastAsia="zh-CN"/>
              </w:rPr>
              <w:t>包装机</w:t>
            </w:r>
          </w:p>
        </w:tc>
        <w:tc>
          <w:tcPr>
            <w:tcW w:w="119" w:type="pct"/>
            <w:tcBorders>
              <w:tl2br w:val="nil"/>
              <w:tr2bl w:val="nil"/>
            </w:tcBorders>
            <w:shd w:val="clear" w:color="auto" w:fill="FFFFFF"/>
            <w:vAlign w:val="center"/>
          </w:tcPr>
          <w:p w14:paraId="574EEDED">
            <w:pPr>
              <w:pStyle w:val="106"/>
              <w:bidi w:val="0"/>
              <w:rPr>
                <w:rFonts w:hint="eastAsia"/>
              </w:rPr>
            </w:pPr>
            <w:r>
              <w:rPr>
                <w:rFonts w:hint="eastAsia"/>
              </w:rPr>
              <w:t>/</w:t>
            </w:r>
          </w:p>
        </w:tc>
        <w:tc>
          <w:tcPr>
            <w:tcW w:w="251" w:type="pct"/>
            <w:tcBorders>
              <w:tl2br w:val="nil"/>
              <w:tr2bl w:val="nil"/>
            </w:tcBorders>
            <w:shd w:val="clear" w:color="auto" w:fill="auto"/>
            <w:vAlign w:val="center"/>
          </w:tcPr>
          <w:p w14:paraId="36765458">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75F0DA5C">
            <w:pPr>
              <w:pStyle w:val="106"/>
              <w:bidi w:val="0"/>
              <w:rPr>
                <w:rFonts w:hint="eastAsia"/>
              </w:rPr>
            </w:pPr>
          </w:p>
        </w:tc>
        <w:tc>
          <w:tcPr>
            <w:tcW w:w="173" w:type="pct"/>
            <w:tcBorders>
              <w:tl2br w:val="nil"/>
              <w:tr2bl w:val="nil"/>
            </w:tcBorders>
            <w:shd w:val="clear" w:color="auto" w:fill="FFFFFF"/>
            <w:vAlign w:val="center"/>
          </w:tcPr>
          <w:p w14:paraId="7E38D68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0</w:t>
            </w:r>
          </w:p>
        </w:tc>
        <w:tc>
          <w:tcPr>
            <w:tcW w:w="173" w:type="pct"/>
            <w:tcBorders>
              <w:tl2br w:val="nil"/>
              <w:tr2bl w:val="nil"/>
            </w:tcBorders>
            <w:shd w:val="clear" w:color="auto" w:fill="FFFFFF"/>
            <w:vAlign w:val="center"/>
          </w:tcPr>
          <w:p w14:paraId="5FBB28D2">
            <w:pPr>
              <w:pStyle w:val="106"/>
              <w:bidi w:val="0"/>
              <w:rPr>
                <w:rFonts w:hint="default"/>
                <w:lang w:val="en-US" w:eastAsia="zh-CN"/>
              </w:rPr>
            </w:pPr>
            <w:r>
              <w:rPr>
                <w:rFonts w:hint="eastAsia"/>
                <w:lang w:val="en-US" w:eastAsia="zh-CN"/>
              </w:rPr>
              <w:t>29</w:t>
            </w:r>
          </w:p>
        </w:tc>
        <w:tc>
          <w:tcPr>
            <w:tcW w:w="173" w:type="pct"/>
            <w:tcBorders>
              <w:tl2br w:val="nil"/>
              <w:tr2bl w:val="nil"/>
            </w:tcBorders>
            <w:shd w:val="clear" w:color="auto" w:fill="FFFFFF"/>
            <w:vAlign w:val="center"/>
          </w:tcPr>
          <w:p w14:paraId="774DB97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1D9DDFC1">
            <w:pPr>
              <w:pStyle w:val="106"/>
              <w:bidi w:val="0"/>
              <w:jc w:val="center"/>
              <w:rPr>
                <w:rFonts w:hint="eastAsia"/>
                <w:lang w:val="en-US" w:eastAsia="zh-CN"/>
              </w:rPr>
            </w:pPr>
            <w:r>
              <w:rPr>
                <w:rFonts w:hint="eastAsia"/>
                <w:lang w:val="en-US" w:eastAsia="zh-CN"/>
              </w:rPr>
              <w:t>63</w:t>
            </w:r>
          </w:p>
        </w:tc>
        <w:tc>
          <w:tcPr>
            <w:tcW w:w="173" w:type="pct"/>
            <w:tcBorders>
              <w:tl2br w:val="nil"/>
              <w:tr2bl w:val="nil"/>
            </w:tcBorders>
            <w:shd w:val="clear" w:color="auto" w:fill="FFFFFF"/>
            <w:vAlign w:val="center"/>
          </w:tcPr>
          <w:p w14:paraId="4050C189">
            <w:pPr>
              <w:pStyle w:val="106"/>
              <w:bidi w:val="0"/>
              <w:jc w:val="center"/>
              <w:rPr>
                <w:rFonts w:hint="eastAsia"/>
                <w:lang w:val="en-US" w:eastAsia="zh-CN"/>
              </w:rPr>
            </w:pPr>
            <w:r>
              <w:rPr>
                <w:rFonts w:hint="eastAsia"/>
                <w:lang w:val="en-US" w:eastAsia="zh-CN"/>
              </w:rPr>
              <w:t>44</w:t>
            </w:r>
          </w:p>
        </w:tc>
        <w:tc>
          <w:tcPr>
            <w:tcW w:w="173" w:type="pct"/>
            <w:tcBorders>
              <w:tl2br w:val="nil"/>
              <w:tr2bl w:val="nil"/>
            </w:tcBorders>
            <w:shd w:val="clear" w:color="auto" w:fill="FFFFFF"/>
            <w:vAlign w:val="center"/>
          </w:tcPr>
          <w:p w14:paraId="674BC383">
            <w:pPr>
              <w:pStyle w:val="106"/>
              <w:bidi w:val="0"/>
              <w:jc w:val="center"/>
              <w:rPr>
                <w:rFonts w:hint="default"/>
                <w:lang w:val="en-US" w:eastAsia="zh-CN"/>
              </w:rPr>
            </w:pPr>
            <w:r>
              <w:rPr>
                <w:rFonts w:hint="eastAsia"/>
                <w:lang w:val="en-US" w:eastAsia="zh-CN"/>
              </w:rPr>
              <w:t>73</w:t>
            </w:r>
          </w:p>
        </w:tc>
        <w:tc>
          <w:tcPr>
            <w:tcW w:w="173" w:type="pct"/>
            <w:tcBorders>
              <w:tl2br w:val="nil"/>
              <w:tr2bl w:val="nil"/>
            </w:tcBorders>
            <w:shd w:val="clear" w:color="auto" w:fill="FFFFFF"/>
            <w:vAlign w:val="center"/>
          </w:tcPr>
          <w:p w14:paraId="6B5186AD">
            <w:pPr>
              <w:pStyle w:val="106"/>
              <w:bidi w:val="0"/>
              <w:jc w:val="center"/>
              <w:rPr>
                <w:rFonts w:hint="eastAsia"/>
                <w:lang w:val="en-US" w:eastAsia="zh-CN"/>
              </w:rPr>
            </w:pPr>
            <w:r>
              <w:rPr>
                <w:rFonts w:hint="eastAsia"/>
                <w:lang w:val="en-US" w:eastAsia="zh-CN"/>
              </w:rPr>
              <w:t>22</w:t>
            </w:r>
          </w:p>
        </w:tc>
        <w:tc>
          <w:tcPr>
            <w:tcW w:w="173" w:type="pct"/>
            <w:tcBorders>
              <w:tl2br w:val="nil"/>
              <w:tr2bl w:val="nil"/>
            </w:tcBorders>
            <w:shd w:val="clear" w:color="auto" w:fill="FFFFFF"/>
            <w:vAlign w:val="center"/>
          </w:tcPr>
          <w:p w14:paraId="5244500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0800937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420B9BA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0F18A8D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6A3CBDE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52CC3E2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64C5D6D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C9BD2B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5081587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16C085B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36E4828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4333193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1F78FFE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4493884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23722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306E330A">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046375BA">
            <w:pPr>
              <w:pStyle w:val="106"/>
              <w:bidi w:val="0"/>
              <w:rPr>
                <w:rFonts w:hint="eastAsia"/>
                <w:lang w:val="en-US" w:eastAsia="zh-CN"/>
              </w:rPr>
            </w:pPr>
          </w:p>
        </w:tc>
        <w:tc>
          <w:tcPr>
            <w:tcW w:w="490" w:type="pct"/>
            <w:tcBorders>
              <w:tl2br w:val="nil"/>
              <w:tr2bl w:val="nil"/>
            </w:tcBorders>
            <w:shd w:val="clear" w:color="auto" w:fill="auto"/>
            <w:vAlign w:val="center"/>
          </w:tcPr>
          <w:p w14:paraId="39D9B4D6">
            <w:pPr>
              <w:pStyle w:val="106"/>
              <w:bidi w:val="0"/>
              <w:rPr>
                <w:rFonts w:hint="eastAsia"/>
                <w:lang w:val="en-US" w:eastAsia="zh-CN"/>
              </w:rPr>
            </w:pPr>
            <w:r>
              <w:rPr>
                <w:rFonts w:hint="eastAsia"/>
                <w:lang w:val="en-US" w:eastAsia="zh-CN"/>
              </w:rPr>
              <w:t>包装机</w:t>
            </w:r>
          </w:p>
        </w:tc>
        <w:tc>
          <w:tcPr>
            <w:tcW w:w="119" w:type="pct"/>
            <w:tcBorders>
              <w:tl2br w:val="nil"/>
              <w:tr2bl w:val="nil"/>
            </w:tcBorders>
            <w:shd w:val="clear" w:color="auto" w:fill="FFFFFF"/>
            <w:vAlign w:val="center"/>
          </w:tcPr>
          <w:p w14:paraId="547DAD28">
            <w:pPr>
              <w:pStyle w:val="106"/>
              <w:bidi w:val="0"/>
              <w:rPr>
                <w:rFonts w:hint="eastAsia"/>
              </w:rPr>
            </w:pPr>
            <w:r>
              <w:rPr>
                <w:rFonts w:hint="eastAsia"/>
              </w:rPr>
              <w:t>/</w:t>
            </w:r>
          </w:p>
        </w:tc>
        <w:tc>
          <w:tcPr>
            <w:tcW w:w="251" w:type="pct"/>
            <w:tcBorders>
              <w:tl2br w:val="nil"/>
              <w:tr2bl w:val="nil"/>
            </w:tcBorders>
            <w:shd w:val="clear" w:color="auto" w:fill="auto"/>
            <w:vAlign w:val="center"/>
          </w:tcPr>
          <w:p w14:paraId="3BD982CF">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7AAC57BF">
            <w:pPr>
              <w:pStyle w:val="106"/>
              <w:bidi w:val="0"/>
              <w:rPr>
                <w:rFonts w:hint="eastAsia"/>
              </w:rPr>
            </w:pPr>
          </w:p>
        </w:tc>
        <w:tc>
          <w:tcPr>
            <w:tcW w:w="173" w:type="pct"/>
            <w:tcBorders>
              <w:tl2br w:val="nil"/>
              <w:tr2bl w:val="nil"/>
            </w:tcBorders>
            <w:shd w:val="clear" w:color="auto" w:fill="FFFFFF"/>
            <w:vAlign w:val="center"/>
          </w:tcPr>
          <w:p w14:paraId="6489718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5</w:t>
            </w:r>
          </w:p>
        </w:tc>
        <w:tc>
          <w:tcPr>
            <w:tcW w:w="173" w:type="pct"/>
            <w:tcBorders>
              <w:tl2br w:val="nil"/>
              <w:tr2bl w:val="nil"/>
            </w:tcBorders>
            <w:shd w:val="clear" w:color="auto" w:fill="FFFFFF"/>
            <w:vAlign w:val="center"/>
          </w:tcPr>
          <w:p w14:paraId="722FB41E">
            <w:pPr>
              <w:pStyle w:val="106"/>
              <w:bidi w:val="0"/>
              <w:rPr>
                <w:rFonts w:hint="default"/>
                <w:lang w:val="en-US" w:eastAsia="zh-CN"/>
              </w:rPr>
            </w:pPr>
            <w:r>
              <w:rPr>
                <w:rFonts w:hint="eastAsia"/>
                <w:lang w:val="en-US" w:eastAsia="zh-CN"/>
              </w:rPr>
              <w:t>29</w:t>
            </w:r>
          </w:p>
        </w:tc>
        <w:tc>
          <w:tcPr>
            <w:tcW w:w="173" w:type="pct"/>
            <w:tcBorders>
              <w:tl2br w:val="nil"/>
              <w:tr2bl w:val="nil"/>
            </w:tcBorders>
            <w:shd w:val="clear" w:color="auto" w:fill="FFFFFF"/>
            <w:vAlign w:val="center"/>
          </w:tcPr>
          <w:p w14:paraId="2C31555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32E9A955">
            <w:pPr>
              <w:pStyle w:val="106"/>
              <w:bidi w:val="0"/>
              <w:jc w:val="center"/>
              <w:rPr>
                <w:rFonts w:hint="eastAsia"/>
                <w:lang w:val="en-US" w:eastAsia="zh-CN"/>
              </w:rPr>
            </w:pPr>
            <w:r>
              <w:rPr>
                <w:rFonts w:hint="eastAsia"/>
                <w:lang w:val="en-US" w:eastAsia="zh-CN"/>
              </w:rPr>
              <w:t>58</w:t>
            </w:r>
          </w:p>
        </w:tc>
        <w:tc>
          <w:tcPr>
            <w:tcW w:w="173" w:type="pct"/>
            <w:tcBorders>
              <w:tl2br w:val="nil"/>
              <w:tr2bl w:val="nil"/>
            </w:tcBorders>
            <w:shd w:val="clear" w:color="auto" w:fill="FFFFFF"/>
            <w:vAlign w:val="center"/>
          </w:tcPr>
          <w:p w14:paraId="634F50E7">
            <w:pPr>
              <w:pStyle w:val="106"/>
              <w:bidi w:val="0"/>
              <w:jc w:val="center"/>
              <w:rPr>
                <w:rFonts w:hint="eastAsia"/>
                <w:lang w:val="en-US" w:eastAsia="zh-CN"/>
              </w:rPr>
            </w:pPr>
            <w:r>
              <w:rPr>
                <w:rFonts w:hint="eastAsia"/>
                <w:lang w:val="en-US" w:eastAsia="zh-CN"/>
              </w:rPr>
              <w:t>44</w:t>
            </w:r>
          </w:p>
        </w:tc>
        <w:tc>
          <w:tcPr>
            <w:tcW w:w="173" w:type="pct"/>
            <w:tcBorders>
              <w:tl2br w:val="nil"/>
              <w:tr2bl w:val="nil"/>
            </w:tcBorders>
            <w:shd w:val="clear" w:color="auto" w:fill="FFFFFF"/>
            <w:vAlign w:val="center"/>
          </w:tcPr>
          <w:p w14:paraId="15F5A0D7">
            <w:pPr>
              <w:pStyle w:val="106"/>
              <w:bidi w:val="0"/>
              <w:jc w:val="center"/>
              <w:rPr>
                <w:rFonts w:hint="default"/>
                <w:lang w:val="en-US" w:eastAsia="zh-CN"/>
              </w:rPr>
            </w:pPr>
            <w:r>
              <w:rPr>
                <w:rFonts w:hint="eastAsia"/>
                <w:lang w:val="en-US" w:eastAsia="zh-CN"/>
              </w:rPr>
              <w:t>78</w:t>
            </w:r>
          </w:p>
        </w:tc>
        <w:tc>
          <w:tcPr>
            <w:tcW w:w="173" w:type="pct"/>
            <w:tcBorders>
              <w:tl2br w:val="nil"/>
              <w:tr2bl w:val="nil"/>
            </w:tcBorders>
            <w:shd w:val="clear" w:color="auto" w:fill="FFFFFF"/>
            <w:vAlign w:val="center"/>
          </w:tcPr>
          <w:p w14:paraId="374ABC41">
            <w:pPr>
              <w:pStyle w:val="106"/>
              <w:bidi w:val="0"/>
              <w:jc w:val="center"/>
              <w:rPr>
                <w:rFonts w:hint="eastAsia"/>
                <w:lang w:val="en-US" w:eastAsia="zh-CN"/>
              </w:rPr>
            </w:pPr>
            <w:r>
              <w:rPr>
                <w:rFonts w:hint="eastAsia"/>
                <w:lang w:val="en-US" w:eastAsia="zh-CN"/>
              </w:rPr>
              <w:t>22</w:t>
            </w:r>
          </w:p>
        </w:tc>
        <w:tc>
          <w:tcPr>
            <w:tcW w:w="173" w:type="pct"/>
            <w:tcBorders>
              <w:tl2br w:val="nil"/>
              <w:tr2bl w:val="nil"/>
            </w:tcBorders>
            <w:shd w:val="clear" w:color="auto" w:fill="FFFFFF"/>
            <w:vAlign w:val="center"/>
          </w:tcPr>
          <w:p w14:paraId="7A6568F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7890C2C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0DEE8B8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60C2BD7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7B81373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32867FE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1C1E1E4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31A69A5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1E8EA21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303DE0D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263E1A6A">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7EC6DA7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1C6126D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1B41DFE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33C8C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6BD959BB">
            <w:pPr>
              <w:pStyle w:val="106"/>
              <w:numPr>
                <w:ilvl w:val="0"/>
                <w:numId w:val="12"/>
              </w:numPr>
              <w:bidi w:val="0"/>
              <w:ind w:left="0" w:leftChars="0" w:firstLine="0" w:firstLineChars="0"/>
              <w:rPr>
                <w:rFonts w:hint="eastAsia"/>
                <w:lang w:val="en-US" w:eastAsia="zh-CN"/>
              </w:rPr>
            </w:pPr>
          </w:p>
        </w:tc>
        <w:tc>
          <w:tcPr>
            <w:tcW w:w="140" w:type="pct"/>
            <w:vMerge w:val="continue"/>
            <w:tcBorders>
              <w:tl2br w:val="nil"/>
              <w:tr2bl w:val="nil"/>
            </w:tcBorders>
            <w:shd w:val="clear" w:color="auto" w:fill="FFFFFF"/>
          </w:tcPr>
          <w:p w14:paraId="514DF114">
            <w:pPr>
              <w:pStyle w:val="106"/>
              <w:bidi w:val="0"/>
              <w:rPr>
                <w:rFonts w:hint="eastAsia"/>
                <w:lang w:val="en-US" w:eastAsia="zh-CN"/>
              </w:rPr>
            </w:pPr>
          </w:p>
        </w:tc>
        <w:tc>
          <w:tcPr>
            <w:tcW w:w="490" w:type="pct"/>
            <w:tcBorders>
              <w:tl2br w:val="nil"/>
              <w:tr2bl w:val="nil"/>
            </w:tcBorders>
            <w:shd w:val="clear" w:color="auto" w:fill="auto"/>
            <w:vAlign w:val="center"/>
          </w:tcPr>
          <w:p w14:paraId="3643D3FA">
            <w:pPr>
              <w:pStyle w:val="106"/>
              <w:bidi w:val="0"/>
              <w:rPr>
                <w:rFonts w:hint="eastAsia"/>
                <w:lang w:val="en-US" w:eastAsia="zh-CN"/>
              </w:rPr>
            </w:pPr>
            <w:r>
              <w:rPr>
                <w:rFonts w:hint="eastAsia"/>
                <w:lang w:val="en-US" w:eastAsia="zh-CN"/>
              </w:rPr>
              <w:t>包装机</w:t>
            </w:r>
          </w:p>
        </w:tc>
        <w:tc>
          <w:tcPr>
            <w:tcW w:w="119" w:type="pct"/>
            <w:tcBorders>
              <w:tl2br w:val="nil"/>
              <w:tr2bl w:val="nil"/>
            </w:tcBorders>
            <w:shd w:val="clear" w:color="auto" w:fill="FFFFFF"/>
            <w:vAlign w:val="center"/>
          </w:tcPr>
          <w:p w14:paraId="54031F6D">
            <w:pPr>
              <w:pStyle w:val="106"/>
              <w:bidi w:val="0"/>
              <w:rPr>
                <w:rFonts w:hint="eastAsia"/>
              </w:rPr>
            </w:pPr>
            <w:r>
              <w:rPr>
                <w:rFonts w:hint="eastAsia"/>
              </w:rPr>
              <w:t>/</w:t>
            </w:r>
          </w:p>
        </w:tc>
        <w:tc>
          <w:tcPr>
            <w:tcW w:w="251" w:type="pct"/>
            <w:tcBorders>
              <w:tl2br w:val="nil"/>
              <w:tr2bl w:val="nil"/>
            </w:tcBorders>
            <w:shd w:val="clear" w:color="auto" w:fill="auto"/>
            <w:vAlign w:val="center"/>
          </w:tcPr>
          <w:p w14:paraId="0A2546BA">
            <w:pPr>
              <w:pStyle w:val="106"/>
              <w:bidi w:val="0"/>
              <w:rPr>
                <w:rFonts w:hint="eastAsia"/>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05CC9E92">
            <w:pPr>
              <w:pStyle w:val="106"/>
              <w:bidi w:val="0"/>
              <w:rPr>
                <w:rFonts w:hint="eastAsia"/>
              </w:rPr>
            </w:pPr>
          </w:p>
        </w:tc>
        <w:tc>
          <w:tcPr>
            <w:tcW w:w="173" w:type="pct"/>
            <w:tcBorders>
              <w:tl2br w:val="nil"/>
              <w:tr2bl w:val="nil"/>
            </w:tcBorders>
            <w:shd w:val="clear" w:color="auto" w:fill="FFFFFF"/>
            <w:vAlign w:val="center"/>
          </w:tcPr>
          <w:p w14:paraId="3375C32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10</w:t>
            </w:r>
          </w:p>
        </w:tc>
        <w:tc>
          <w:tcPr>
            <w:tcW w:w="173" w:type="pct"/>
            <w:tcBorders>
              <w:tl2br w:val="nil"/>
              <w:tr2bl w:val="nil"/>
            </w:tcBorders>
            <w:shd w:val="clear" w:color="auto" w:fill="FFFFFF"/>
            <w:vAlign w:val="center"/>
          </w:tcPr>
          <w:p w14:paraId="0764CB3B">
            <w:pPr>
              <w:pStyle w:val="106"/>
              <w:bidi w:val="0"/>
              <w:rPr>
                <w:rFonts w:hint="default"/>
                <w:lang w:val="en-US" w:eastAsia="zh-CN"/>
              </w:rPr>
            </w:pPr>
            <w:r>
              <w:rPr>
                <w:rFonts w:hint="eastAsia"/>
                <w:lang w:val="en-US" w:eastAsia="zh-CN"/>
              </w:rPr>
              <w:t>29</w:t>
            </w:r>
          </w:p>
        </w:tc>
        <w:tc>
          <w:tcPr>
            <w:tcW w:w="173" w:type="pct"/>
            <w:tcBorders>
              <w:tl2br w:val="nil"/>
              <w:tr2bl w:val="nil"/>
            </w:tcBorders>
            <w:shd w:val="clear" w:color="auto" w:fill="FFFFFF"/>
            <w:vAlign w:val="center"/>
          </w:tcPr>
          <w:p w14:paraId="00C36A0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0AC406E9">
            <w:pPr>
              <w:pStyle w:val="106"/>
              <w:bidi w:val="0"/>
              <w:jc w:val="center"/>
              <w:rPr>
                <w:rFonts w:hint="eastAsia"/>
                <w:lang w:val="en-US" w:eastAsia="zh-CN"/>
              </w:rPr>
            </w:pPr>
            <w:r>
              <w:rPr>
                <w:rFonts w:hint="eastAsia"/>
                <w:lang w:val="en-US" w:eastAsia="zh-CN"/>
              </w:rPr>
              <w:t>78</w:t>
            </w:r>
          </w:p>
        </w:tc>
        <w:tc>
          <w:tcPr>
            <w:tcW w:w="173" w:type="pct"/>
            <w:tcBorders>
              <w:tl2br w:val="nil"/>
              <w:tr2bl w:val="nil"/>
            </w:tcBorders>
            <w:shd w:val="clear" w:color="auto" w:fill="FFFFFF"/>
            <w:vAlign w:val="center"/>
          </w:tcPr>
          <w:p w14:paraId="12A608F3">
            <w:pPr>
              <w:pStyle w:val="106"/>
              <w:bidi w:val="0"/>
              <w:jc w:val="center"/>
              <w:rPr>
                <w:rFonts w:hint="eastAsia"/>
                <w:lang w:val="en-US" w:eastAsia="zh-CN"/>
              </w:rPr>
            </w:pPr>
            <w:r>
              <w:rPr>
                <w:rFonts w:hint="eastAsia"/>
                <w:lang w:val="en-US" w:eastAsia="zh-CN"/>
              </w:rPr>
              <w:t>47</w:t>
            </w:r>
          </w:p>
        </w:tc>
        <w:tc>
          <w:tcPr>
            <w:tcW w:w="173" w:type="pct"/>
            <w:tcBorders>
              <w:tl2br w:val="nil"/>
              <w:tr2bl w:val="nil"/>
            </w:tcBorders>
            <w:shd w:val="clear" w:color="auto" w:fill="FFFFFF"/>
            <w:vAlign w:val="center"/>
          </w:tcPr>
          <w:p w14:paraId="56C78584">
            <w:pPr>
              <w:pStyle w:val="106"/>
              <w:bidi w:val="0"/>
              <w:jc w:val="center"/>
              <w:rPr>
                <w:rFonts w:hint="default"/>
                <w:lang w:val="en-US" w:eastAsia="zh-CN"/>
              </w:rPr>
            </w:pPr>
            <w:r>
              <w:rPr>
                <w:rFonts w:hint="eastAsia"/>
                <w:lang w:val="en-US" w:eastAsia="zh-CN"/>
              </w:rPr>
              <w:t>58</w:t>
            </w:r>
          </w:p>
        </w:tc>
        <w:tc>
          <w:tcPr>
            <w:tcW w:w="173" w:type="pct"/>
            <w:tcBorders>
              <w:tl2br w:val="nil"/>
              <w:tr2bl w:val="nil"/>
            </w:tcBorders>
            <w:shd w:val="clear" w:color="auto" w:fill="FFFFFF"/>
            <w:vAlign w:val="center"/>
          </w:tcPr>
          <w:p w14:paraId="31D72BCB">
            <w:pPr>
              <w:pStyle w:val="106"/>
              <w:bidi w:val="0"/>
              <w:jc w:val="center"/>
              <w:rPr>
                <w:rFonts w:hint="eastAsia"/>
                <w:lang w:val="en-US" w:eastAsia="zh-CN"/>
              </w:rPr>
            </w:pPr>
            <w:r>
              <w:rPr>
                <w:rFonts w:hint="eastAsia"/>
                <w:lang w:val="en-US" w:eastAsia="zh-CN"/>
              </w:rPr>
              <w:t>19</w:t>
            </w:r>
          </w:p>
        </w:tc>
        <w:tc>
          <w:tcPr>
            <w:tcW w:w="173" w:type="pct"/>
            <w:tcBorders>
              <w:tl2br w:val="nil"/>
              <w:tr2bl w:val="nil"/>
            </w:tcBorders>
            <w:shd w:val="clear" w:color="auto" w:fill="FFFFFF"/>
            <w:vAlign w:val="center"/>
          </w:tcPr>
          <w:p w14:paraId="049B842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4534490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3" w:type="pct"/>
            <w:tcBorders>
              <w:tl2br w:val="nil"/>
              <w:tr2bl w:val="nil"/>
            </w:tcBorders>
            <w:shd w:val="clear" w:color="auto" w:fill="FFFFFF"/>
            <w:vAlign w:val="center"/>
          </w:tcPr>
          <w:p w14:paraId="3C041C0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77" w:type="pct"/>
            <w:tcBorders>
              <w:tl2br w:val="nil"/>
              <w:tr2bl w:val="nil"/>
            </w:tcBorders>
            <w:shd w:val="clear" w:color="auto" w:fill="FFFFFF"/>
            <w:vAlign w:val="center"/>
          </w:tcPr>
          <w:p w14:paraId="6921828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56.8</w:t>
            </w:r>
          </w:p>
        </w:tc>
        <w:tc>
          <w:tcPr>
            <w:tcW w:w="159" w:type="pct"/>
            <w:vMerge w:val="continue"/>
            <w:tcBorders>
              <w:tl2br w:val="nil"/>
              <w:tr2bl w:val="nil"/>
            </w:tcBorders>
            <w:shd w:val="clear" w:color="auto" w:fill="FFFFFF"/>
            <w:vAlign w:val="center"/>
          </w:tcPr>
          <w:p w14:paraId="3CFC1BEE">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396CB69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260E929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0DECFCB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1113B8C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1891CDE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2D59ED1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325182D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176" w:type="pct"/>
            <w:tcBorders>
              <w:tl2br w:val="nil"/>
              <w:tr2bl w:val="nil"/>
            </w:tcBorders>
            <w:shd w:val="clear" w:color="auto" w:fill="FFFFFF"/>
            <w:vAlign w:val="center"/>
          </w:tcPr>
          <w:p w14:paraId="61F036E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30.8</w:t>
            </w:r>
          </w:p>
        </w:tc>
        <w:tc>
          <w:tcPr>
            <w:tcW w:w="0" w:type="auto"/>
            <w:tcBorders>
              <w:tl2br w:val="nil"/>
              <w:tr2bl w:val="nil"/>
            </w:tcBorders>
            <w:shd w:val="clear" w:color="auto" w:fill="FFFFFF"/>
            <w:vAlign w:val="center"/>
          </w:tcPr>
          <w:p w14:paraId="1F237F0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14:paraId="31C55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 w:type="pct"/>
            <w:tcBorders>
              <w:tl2br w:val="nil"/>
              <w:tr2bl w:val="nil"/>
            </w:tcBorders>
            <w:shd w:val="clear" w:color="auto" w:fill="auto"/>
            <w:vAlign w:val="center"/>
          </w:tcPr>
          <w:p w14:paraId="4F288B13">
            <w:pPr>
              <w:pStyle w:val="106"/>
              <w:numPr>
                <w:ilvl w:val="0"/>
                <w:numId w:val="12"/>
              </w:numPr>
              <w:bidi w:val="0"/>
              <w:ind w:left="0" w:leftChars="0" w:firstLine="0" w:firstLineChars="0"/>
              <w:rPr>
                <w:rFonts w:hint="default"/>
                <w:lang w:val="en-US" w:eastAsia="zh-CN"/>
              </w:rPr>
            </w:pPr>
          </w:p>
        </w:tc>
        <w:tc>
          <w:tcPr>
            <w:tcW w:w="140" w:type="pct"/>
            <w:vMerge w:val="continue"/>
            <w:tcBorders>
              <w:tl2br w:val="nil"/>
              <w:tr2bl w:val="nil"/>
            </w:tcBorders>
            <w:shd w:val="clear" w:color="auto" w:fill="FFFFFF"/>
          </w:tcPr>
          <w:p w14:paraId="2F1E34A1">
            <w:pPr>
              <w:pStyle w:val="106"/>
              <w:bidi w:val="0"/>
              <w:rPr>
                <w:rFonts w:hint="eastAsia"/>
                <w:lang w:val="en-US" w:eastAsia="zh-CN"/>
              </w:rPr>
            </w:pPr>
          </w:p>
        </w:tc>
        <w:tc>
          <w:tcPr>
            <w:tcW w:w="490" w:type="pct"/>
            <w:tcBorders>
              <w:tl2br w:val="nil"/>
              <w:tr2bl w:val="nil"/>
            </w:tcBorders>
            <w:shd w:val="clear" w:color="auto" w:fill="auto"/>
            <w:vAlign w:val="center"/>
          </w:tcPr>
          <w:p w14:paraId="60B0DAEE">
            <w:pPr>
              <w:pStyle w:val="106"/>
              <w:bidi w:val="0"/>
              <w:rPr>
                <w:rFonts w:hint="default"/>
                <w:lang w:val="en-US" w:eastAsia="zh-CN"/>
              </w:rPr>
            </w:pPr>
            <w:r>
              <w:rPr>
                <w:rFonts w:hint="eastAsia"/>
                <w:lang w:val="en-US" w:eastAsia="zh-CN"/>
              </w:rPr>
              <w:t>装箱装袋机</w:t>
            </w:r>
          </w:p>
        </w:tc>
        <w:tc>
          <w:tcPr>
            <w:tcW w:w="119" w:type="pct"/>
            <w:tcBorders>
              <w:tl2br w:val="nil"/>
              <w:tr2bl w:val="nil"/>
            </w:tcBorders>
            <w:shd w:val="clear" w:color="auto" w:fill="FFFFFF"/>
            <w:vAlign w:val="center"/>
          </w:tcPr>
          <w:p w14:paraId="0089700A">
            <w:pPr>
              <w:pStyle w:val="106"/>
              <w:bidi w:val="0"/>
              <w:rPr>
                <w:rFonts w:hint="default"/>
                <w:lang w:val="en-US" w:eastAsia="zh-CN"/>
              </w:rPr>
            </w:pPr>
            <w:r>
              <w:rPr>
                <w:rFonts w:hint="eastAsia"/>
              </w:rPr>
              <w:t>/</w:t>
            </w:r>
          </w:p>
        </w:tc>
        <w:tc>
          <w:tcPr>
            <w:tcW w:w="251" w:type="pct"/>
            <w:tcBorders>
              <w:tl2br w:val="nil"/>
              <w:tr2bl w:val="nil"/>
            </w:tcBorders>
            <w:shd w:val="clear" w:color="auto" w:fill="auto"/>
            <w:vAlign w:val="center"/>
          </w:tcPr>
          <w:p w14:paraId="317D390F">
            <w:pPr>
              <w:pStyle w:val="106"/>
              <w:bidi w:val="0"/>
              <w:rPr>
                <w:rFonts w:hint="default"/>
                <w:lang w:val="en-US" w:eastAsia="zh-CN"/>
              </w:rPr>
            </w:pPr>
            <w:r>
              <w:rPr>
                <w:rFonts w:hint="eastAsia"/>
                <w:lang w:val="en-US" w:eastAsia="zh-CN"/>
              </w:rPr>
              <w:t>80</w:t>
            </w:r>
          </w:p>
        </w:tc>
        <w:tc>
          <w:tcPr>
            <w:tcW w:w="139" w:type="pct"/>
            <w:vMerge w:val="continue"/>
            <w:tcBorders>
              <w:tl2br w:val="nil"/>
              <w:tr2bl w:val="nil"/>
            </w:tcBorders>
            <w:shd w:val="clear" w:color="auto" w:fill="FFFFFF"/>
          </w:tcPr>
          <w:p w14:paraId="7863C3C7">
            <w:pPr>
              <w:pStyle w:val="106"/>
              <w:bidi w:val="0"/>
              <w:rPr>
                <w:rFonts w:hint="eastAsia"/>
              </w:rPr>
            </w:pPr>
          </w:p>
        </w:tc>
        <w:tc>
          <w:tcPr>
            <w:tcW w:w="173" w:type="pct"/>
            <w:tcBorders>
              <w:tl2br w:val="nil"/>
              <w:tr2bl w:val="nil"/>
            </w:tcBorders>
            <w:shd w:val="clear" w:color="auto" w:fill="FFFFFF"/>
            <w:vAlign w:val="center"/>
          </w:tcPr>
          <w:p w14:paraId="69D4DF8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42</w:t>
            </w:r>
          </w:p>
        </w:tc>
        <w:tc>
          <w:tcPr>
            <w:tcW w:w="173" w:type="pct"/>
            <w:tcBorders>
              <w:tl2br w:val="nil"/>
              <w:tr2bl w:val="nil"/>
            </w:tcBorders>
            <w:shd w:val="clear" w:color="auto" w:fill="FFFFFF"/>
            <w:vAlign w:val="center"/>
          </w:tcPr>
          <w:p w14:paraId="5331ED1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73" w:type="pct"/>
            <w:tcBorders>
              <w:tl2br w:val="nil"/>
              <w:tr2bl w:val="nil"/>
            </w:tcBorders>
            <w:shd w:val="clear" w:color="auto" w:fill="FFFFFF"/>
            <w:vAlign w:val="center"/>
          </w:tcPr>
          <w:p w14:paraId="6B42099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73" w:type="pct"/>
            <w:tcBorders>
              <w:tl2br w:val="nil"/>
              <w:tr2bl w:val="nil"/>
            </w:tcBorders>
            <w:shd w:val="clear" w:color="auto" w:fill="FFFFFF"/>
            <w:vAlign w:val="center"/>
          </w:tcPr>
          <w:p w14:paraId="584F1F1F">
            <w:pPr>
              <w:pStyle w:val="106"/>
              <w:bidi w:val="0"/>
              <w:jc w:val="center"/>
              <w:rPr>
                <w:rFonts w:hint="eastAsia"/>
                <w:lang w:val="en-US" w:eastAsia="zh-CN"/>
              </w:rPr>
            </w:pPr>
            <w:r>
              <w:rPr>
                <w:rFonts w:hint="eastAsia"/>
                <w:lang w:val="en-US" w:eastAsia="zh-CN"/>
              </w:rPr>
              <w:t>73</w:t>
            </w:r>
          </w:p>
        </w:tc>
        <w:tc>
          <w:tcPr>
            <w:tcW w:w="173" w:type="pct"/>
            <w:tcBorders>
              <w:tl2br w:val="nil"/>
              <w:tr2bl w:val="nil"/>
            </w:tcBorders>
            <w:shd w:val="clear" w:color="auto" w:fill="FFFFFF"/>
            <w:vAlign w:val="center"/>
          </w:tcPr>
          <w:p w14:paraId="3CE74A9E">
            <w:pPr>
              <w:pStyle w:val="106"/>
              <w:bidi w:val="0"/>
              <w:jc w:val="center"/>
              <w:rPr>
                <w:rFonts w:hint="eastAsia"/>
                <w:lang w:val="en-US" w:eastAsia="zh-CN"/>
              </w:rPr>
            </w:pPr>
            <w:r>
              <w:rPr>
                <w:rFonts w:hint="eastAsia"/>
                <w:lang w:val="en-US" w:eastAsia="zh-CN"/>
              </w:rPr>
              <w:t>47</w:t>
            </w:r>
          </w:p>
        </w:tc>
        <w:tc>
          <w:tcPr>
            <w:tcW w:w="173" w:type="pct"/>
            <w:tcBorders>
              <w:tl2br w:val="nil"/>
              <w:tr2bl w:val="nil"/>
            </w:tcBorders>
            <w:shd w:val="clear" w:color="auto" w:fill="FFFFFF"/>
            <w:vAlign w:val="center"/>
          </w:tcPr>
          <w:p w14:paraId="5958E3F0">
            <w:pPr>
              <w:pStyle w:val="106"/>
              <w:bidi w:val="0"/>
              <w:jc w:val="center"/>
              <w:rPr>
                <w:rFonts w:hint="default"/>
                <w:lang w:val="en-US" w:eastAsia="zh-CN"/>
              </w:rPr>
            </w:pPr>
            <w:r>
              <w:rPr>
                <w:rFonts w:hint="eastAsia"/>
                <w:lang w:val="en-US" w:eastAsia="zh-CN"/>
              </w:rPr>
              <w:t>63</w:t>
            </w:r>
          </w:p>
        </w:tc>
        <w:tc>
          <w:tcPr>
            <w:tcW w:w="173" w:type="pct"/>
            <w:tcBorders>
              <w:tl2br w:val="nil"/>
              <w:tr2bl w:val="nil"/>
            </w:tcBorders>
            <w:shd w:val="clear" w:color="auto" w:fill="FFFFFF"/>
            <w:vAlign w:val="center"/>
          </w:tcPr>
          <w:p w14:paraId="75968014">
            <w:pPr>
              <w:pStyle w:val="106"/>
              <w:bidi w:val="0"/>
              <w:jc w:val="center"/>
              <w:rPr>
                <w:rFonts w:hint="eastAsia"/>
                <w:lang w:val="en-US" w:eastAsia="zh-CN"/>
              </w:rPr>
            </w:pPr>
            <w:r>
              <w:rPr>
                <w:rFonts w:hint="eastAsia"/>
                <w:lang w:val="en-US" w:eastAsia="zh-CN"/>
              </w:rPr>
              <w:t>19</w:t>
            </w:r>
          </w:p>
        </w:tc>
        <w:tc>
          <w:tcPr>
            <w:tcW w:w="173" w:type="pct"/>
            <w:tcBorders>
              <w:tl2br w:val="nil"/>
              <w:tr2bl w:val="nil"/>
            </w:tcBorders>
            <w:shd w:val="clear" w:color="auto" w:fill="FFFFFF"/>
            <w:vAlign w:val="center"/>
          </w:tcPr>
          <w:p w14:paraId="649EE06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3" w:type="pct"/>
            <w:tcBorders>
              <w:tl2br w:val="nil"/>
              <w:tr2bl w:val="nil"/>
            </w:tcBorders>
            <w:shd w:val="clear" w:color="auto" w:fill="FFFFFF"/>
            <w:vAlign w:val="center"/>
          </w:tcPr>
          <w:p w14:paraId="169B6AA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3" w:type="pct"/>
            <w:tcBorders>
              <w:tl2br w:val="nil"/>
              <w:tr2bl w:val="nil"/>
            </w:tcBorders>
            <w:shd w:val="clear" w:color="auto" w:fill="FFFFFF"/>
            <w:vAlign w:val="center"/>
          </w:tcPr>
          <w:p w14:paraId="72B65E29">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77" w:type="pct"/>
            <w:tcBorders>
              <w:tl2br w:val="nil"/>
              <w:tr2bl w:val="nil"/>
            </w:tcBorders>
            <w:shd w:val="clear" w:color="auto" w:fill="FFFFFF"/>
            <w:vAlign w:val="center"/>
          </w:tcPr>
          <w:p w14:paraId="390DDB45">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56.9</w:t>
            </w:r>
          </w:p>
        </w:tc>
        <w:tc>
          <w:tcPr>
            <w:tcW w:w="159" w:type="pct"/>
            <w:vMerge w:val="continue"/>
            <w:tcBorders>
              <w:tl2br w:val="nil"/>
              <w:tr2bl w:val="nil"/>
            </w:tcBorders>
            <w:shd w:val="clear" w:color="auto" w:fill="FFFFFF"/>
            <w:vAlign w:val="center"/>
          </w:tcPr>
          <w:p w14:paraId="6183534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eastAsia" w:ascii="Times New Roman" w:hAnsi="Times New Roman" w:eastAsia="宋体" w:cs="Times New Roman"/>
                <w:lang w:val="en-US" w:eastAsia="zh-CN"/>
              </w:rPr>
            </w:pPr>
          </w:p>
        </w:tc>
        <w:tc>
          <w:tcPr>
            <w:tcW w:w="165" w:type="pct"/>
            <w:tcBorders>
              <w:tl2br w:val="nil"/>
              <w:tr2bl w:val="nil"/>
            </w:tcBorders>
            <w:shd w:val="clear" w:color="auto" w:fill="FFFFFF"/>
            <w:vAlign w:val="center"/>
          </w:tcPr>
          <w:p w14:paraId="5D1A3B84">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58B36D0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5" w:type="pct"/>
            <w:tcBorders>
              <w:tl2br w:val="nil"/>
              <w:tr2bl w:val="nil"/>
            </w:tcBorders>
            <w:shd w:val="clear" w:color="auto" w:fill="FFFFFF"/>
            <w:vAlign w:val="center"/>
          </w:tcPr>
          <w:p w14:paraId="71C5E7D3">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69" w:type="pct"/>
            <w:tcBorders>
              <w:tl2br w:val="nil"/>
              <w:tr2bl w:val="nil"/>
            </w:tcBorders>
            <w:shd w:val="clear" w:color="auto" w:fill="FFFFFF"/>
            <w:vAlign w:val="center"/>
          </w:tcPr>
          <w:p w14:paraId="521E7F1B">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textAlignment w:val="auto"/>
              <w:rPr>
                <w:rFonts w:hint="default" w:ascii="Times New Roman" w:hAnsi="Times New Roman" w:eastAsia="宋体" w:cs="Times New Roman"/>
                <w:lang w:val="en-US" w:eastAsia="zh-CN"/>
              </w:rPr>
            </w:pPr>
            <w:r>
              <w:rPr>
                <w:rFonts w:hint="eastAsia"/>
                <w:lang w:val="en-US" w:eastAsia="zh-CN"/>
              </w:rPr>
              <w:t>26.0</w:t>
            </w:r>
          </w:p>
        </w:tc>
        <w:tc>
          <w:tcPr>
            <w:tcW w:w="176" w:type="pct"/>
            <w:tcBorders>
              <w:tl2br w:val="nil"/>
              <w:tr2bl w:val="nil"/>
            </w:tcBorders>
            <w:shd w:val="clear" w:color="auto" w:fill="FFFFFF"/>
            <w:vAlign w:val="center"/>
          </w:tcPr>
          <w:p w14:paraId="169C772C">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4683060F">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7517D1E6">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176" w:type="pct"/>
            <w:tcBorders>
              <w:tl2br w:val="nil"/>
              <w:tr2bl w:val="nil"/>
            </w:tcBorders>
            <w:shd w:val="clear" w:color="auto" w:fill="FFFFFF"/>
            <w:vAlign w:val="center"/>
          </w:tcPr>
          <w:p w14:paraId="3A09DE12">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jc w:val="center"/>
              <w:textAlignment w:val="auto"/>
              <w:rPr>
                <w:rFonts w:hint="default"/>
                <w:lang w:val="en-US" w:eastAsia="zh-CN"/>
              </w:rPr>
            </w:pPr>
            <w:r>
              <w:rPr>
                <w:rFonts w:hint="eastAsia"/>
                <w:lang w:val="en-US" w:eastAsia="zh-CN"/>
              </w:rPr>
              <w:t>30.9</w:t>
            </w:r>
          </w:p>
        </w:tc>
        <w:tc>
          <w:tcPr>
            <w:tcW w:w="0" w:type="auto"/>
            <w:tcBorders>
              <w:tl2br w:val="nil"/>
              <w:tr2bl w:val="nil"/>
            </w:tcBorders>
            <w:shd w:val="clear" w:color="auto" w:fill="FFFFFF"/>
            <w:vAlign w:val="center"/>
          </w:tcPr>
          <w:p w14:paraId="0AFFB827">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bl>
    <w:p w14:paraId="27DDBA24">
      <w:pPr>
        <w:ind w:left="0" w:leftChars="0" w:firstLine="0" w:firstLineChars="0"/>
        <w:rPr>
          <w:rFonts w:hint="default" w:ascii="Times New Roman" w:hAnsi="Times New Roman" w:cs="Times New Roman" w:eastAsiaTheme="minorEastAsia"/>
          <w:b w:val="0"/>
          <w:bCs/>
          <w:color w:val="auto"/>
          <w:kern w:val="2"/>
          <w:sz w:val="21"/>
          <w:szCs w:val="21"/>
          <w:highlight w:val="none"/>
          <w:lang w:val="en-US" w:eastAsia="zh-CN" w:bidi="ar-SA"/>
        </w:rPr>
        <w:sectPr>
          <w:pgSz w:w="16838" w:h="11905" w:orient="landscape"/>
          <w:pgMar w:top="1080" w:right="1440" w:bottom="1080" w:left="1440" w:header="851" w:footer="1077" w:gutter="0"/>
          <w:pgBorders>
            <w:top w:val="none" w:sz="0" w:space="0"/>
            <w:left w:val="none" w:sz="0" w:space="0"/>
            <w:bottom w:val="none" w:sz="0" w:space="0"/>
            <w:right w:val="none" w:sz="0" w:space="0"/>
          </w:pgBorders>
          <w:pgNumType w:fmt="decimal"/>
          <w:cols w:space="720" w:num="1"/>
          <w:docGrid w:linePitch="312" w:charSpace="0"/>
        </w:sectPr>
      </w:pPr>
      <w:r>
        <w:rPr>
          <w:rFonts w:hint="eastAsia"/>
          <w:color w:val="auto"/>
          <w:sz w:val="21"/>
          <w:szCs w:val="21"/>
          <w:highlight w:val="none"/>
        </w:rPr>
        <w:t>备注：</w:t>
      </w:r>
      <w:r>
        <w:rPr>
          <w:rFonts w:hint="eastAsia"/>
          <w:color w:val="auto"/>
          <w:sz w:val="21"/>
          <w:szCs w:val="21"/>
          <w:highlight w:val="none"/>
          <w:lang w:val="en-US" w:eastAsia="zh-CN"/>
        </w:rPr>
        <w:t>①</w:t>
      </w:r>
      <w:r>
        <w:rPr>
          <w:rFonts w:hint="default" w:ascii="Times New Roman" w:hAnsi="Times New Roman" w:cs="Times New Roman" w:eastAsiaTheme="minorEastAsia"/>
          <w:b w:val="0"/>
          <w:bCs/>
          <w:color w:val="auto"/>
          <w:sz w:val="21"/>
          <w:szCs w:val="21"/>
          <w:highlight w:val="none"/>
          <w:lang w:val="en-US" w:eastAsia="zh-CN"/>
        </w:rPr>
        <w:t>表中坐标以厂界中心（</w:t>
      </w:r>
      <w:r>
        <w:rPr>
          <w:rFonts w:hint="default" w:ascii="Times New Roman" w:hAnsi="Times New Roman" w:eastAsia="宋体" w:cs="Times New Roman"/>
          <w:color w:val="auto"/>
          <w:kern w:val="0"/>
          <w:sz w:val="21"/>
          <w:szCs w:val="21"/>
          <w:highlight w:val="none"/>
          <w:lang w:val="en-US" w:eastAsia="zh-CN" w:bidi="ar"/>
        </w:rPr>
        <w:t>105.497246</w:t>
      </w:r>
      <w:r>
        <w:rPr>
          <w:rFonts w:hint="eastAsia" w:cs="Times New Roman" w:eastAsiaTheme="minorEastAsia"/>
          <w:b w:val="0"/>
          <w:bCs/>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bidi="ar-SA"/>
        </w:rPr>
        <w:t>30.363387</w:t>
      </w:r>
      <w:r>
        <w:rPr>
          <w:rFonts w:hint="default" w:ascii="Times New Roman" w:hAnsi="Times New Roman" w:cs="Times New Roman" w:eastAsiaTheme="minorEastAsia"/>
          <w:b w:val="0"/>
          <w:bCs/>
          <w:color w:val="auto"/>
          <w:sz w:val="21"/>
          <w:szCs w:val="21"/>
          <w:highlight w:val="none"/>
          <w:lang w:val="en-US" w:eastAsia="zh-CN"/>
        </w:rPr>
        <w:t>）为坐标原点，正东向为X轴正方向，正北向为Y轴正方向</w:t>
      </w:r>
      <w:r>
        <w:rPr>
          <w:rFonts w:hint="eastAsia" w:ascii="Times New Roman" w:hAnsi="Times New Roman" w:cs="Times New Roman" w:eastAsiaTheme="minorEastAsia"/>
          <w:b w:val="0"/>
          <w:bCs/>
          <w:color w:val="auto"/>
          <w:kern w:val="2"/>
          <w:sz w:val="21"/>
          <w:szCs w:val="21"/>
          <w:highlight w:val="none"/>
          <w:lang w:val="en-US" w:eastAsia="zh-CN" w:bidi="ar-SA"/>
        </w:rPr>
        <w:t>。</w:t>
      </w:r>
    </w:p>
    <w:tbl>
      <w:tblPr>
        <w:tblStyle w:val="28"/>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3"/>
        <w:gridCol w:w="9265"/>
      </w:tblGrid>
      <w:tr w14:paraId="2E40B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21" w:hRule="atLeast"/>
          <w:jc w:val="center"/>
        </w:trPr>
        <w:tc>
          <w:tcPr>
            <w:tcW w:w="373" w:type="dxa"/>
            <w:tcMar>
              <w:left w:w="28" w:type="dxa"/>
              <w:right w:w="28" w:type="dxa"/>
            </w:tcMar>
            <w:vAlign w:val="center"/>
          </w:tcPr>
          <w:p w14:paraId="33EBDCB3">
            <w:pPr>
              <w:pStyle w:val="44"/>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运营期环境保护措施</w:t>
            </w:r>
          </w:p>
        </w:tc>
        <w:tc>
          <w:tcPr>
            <w:tcW w:w="9265" w:type="dxa"/>
          </w:tcPr>
          <w:p w14:paraId="31E4DA89">
            <w:pPr>
              <w:ind w:firstLine="480"/>
              <w:rPr>
                <w:bCs/>
                <w:color w:val="auto"/>
                <w:sz w:val="24"/>
                <w:highlight w:val="none"/>
              </w:rPr>
            </w:pPr>
            <w:r>
              <w:rPr>
                <w:rFonts w:hint="eastAsia"/>
                <w:bCs/>
                <w:color w:val="auto"/>
                <w:sz w:val="24"/>
                <w:highlight w:val="none"/>
              </w:rPr>
              <w:t>为有效降低设备噪声，确保厂界噪声达到《工业企业厂界环境噪声排放标准》（GB12348-2008）中</w:t>
            </w:r>
            <w:r>
              <w:rPr>
                <w:rFonts w:hint="eastAsia"/>
                <w:bCs/>
                <w:color w:val="auto"/>
                <w:sz w:val="24"/>
                <w:highlight w:val="none"/>
                <w:lang w:val="en-US" w:eastAsia="zh-CN"/>
              </w:rPr>
              <w:t>3</w:t>
            </w:r>
            <w:r>
              <w:rPr>
                <w:rFonts w:hint="eastAsia"/>
                <w:bCs/>
                <w:color w:val="auto"/>
                <w:sz w:val="24"/>
                <w:highlight w:val="none"/>
              </w:rPr>
              <w:t>类标准，建设单位采取的噪声减缓措施</w:t>
            </w:r>
            <w:r>
              <w:rPr>
                <w:bCs/>
                <w:color w:val="auto"/>
                <w:sz w:val="24"/>
                <w:highlight w:val="none"/>
              </w:rPr>
              <w:t>：</w:t>
            </w:r>
          </w:p>
          <w:p w14:paraId="341C6552">
            <w:pPr>
              <w:ind w:firstLine="480"/>
              <w:rPr>
                <w:bCs/>
                <w:color w:val="auto"/>
                <w:sz w:val="24"/>
                <w:highlight w:val="none"/>
              </w:rPr>
            </w:pPr>
            <w:r>
              <w:rPr>
                <w:bCs/>
                <w:color w:val="auto"/>
                <w:sz w:val="24"/>
                <w:highlight w:val="none"/>
              </w:rPr>
              <w:t>a.设备选型上选用先进的、噪音低、震动小的生产设备，安装时采取台基减震、橡胶减震接头以及减震垫等措施；</w:t>
            </w:r>
          </w:p>
          <w:p w14:paraId="758EF7C6">
            <w:pPr>
              <w:ind w:firstLine="480"/>
              <w:rPr>
                <w:bCs/>
                <w:color w:val="auto"/>
                <w:sz w:val="24"/>
                <w:highlight w:val="none"/>
              </w:rPr>
            </w:pPr>
            <w:r>
              <w:rPr>
                <w:bCs/>
                <w:color w:val="auto"/>
                <w:sz w:val="24"/>
                <w:highlight w:val="none"/>
              </w:rPr>
              <w:t>b.</w:t>
            </w:r>
            <w:r>
              <w:rPr>
                <w:rFonts w:hint="eastAsia"/>
                <w:bCs/>
                <w:color w:val="auto"/>
                <w:sz w:val="24"/>
                <w:highlight w:val="none"/>
              </w:rPr>
              <w:t>项目生产设备布置在室内，利用墙体隔声减小噪声对外环境的影响</w:t>
            </w:r>
            <w:r>
              <w:rPr>
                <w:bCs/>
                <w:color w:val="auto"/>
                <w:sz w:val="24"/>
                <w:highlight w:val="none"/>
              </w:rPr>
              <w:t>；</w:t>
            </w:r>
          </w:p>
          <w:p w14:paraId="1AEADE82">
            <w:pPr>
              <w:ind w:firstLine="480"/>
              <w:rPr>
                <w:rFonts w:hint="eastAsia" w:eastAsia="宋体"/>
                <w:bCs/>
                <w:color w:val="auto"/>
                <w:sz w:val="24"/>
                <w:highlight w:val="none"/>
                <w:lang w:eastAsia="zh-CN"/>
              </w:rPr>
            </w:pPr>
            <w:r>
              <w:rPr>
                <w:bCs/>
                <w:color w:val="auto"/>
                <w:sz w:val="24"/>
                <w:highlight w:val="none"/>
              </w:rPr>
              <w:t>c.加强对设备的维修保养，减少设备异常发生的噪声</w:t>
            </w:r>
            <w:r>
              <w:rPr>
                <w:rFonts w:hint="eastAsia"/>
                <w:bCs/>
                <w:color w:val="auto"/>
                <w:sz w:val="24"/>
                <w:highlight w:val="none"/>
                <w:lang w:eastAsia="zh-CN"/>
              </w:rPr>
              <w:t>；</w:t>
            </w:r>
          </w:p>
          <w:p w14:paraId="12BDCD41">
            <w:pPr>
              <w:ind w:firstLine="480"/>
              <w:rPr>
                <w:bCs/>
                <w:color w:val="auto"/>
                <w:sz w:val="24"/>
                <w:highlight w:val="none"/>
              </w:rPr>
            </w:pPr>
            <w:r>
              <w:rPr>
                <w:bCs/>
                <w:color w:val="auto"/>
                <w:sz w:val="24"/>
                <w:highlight w:val="none"/>
              </w:rPr>
              <w:t>d</w:t>
            </w:r>
            <w:r>
              <w:rPr>
                <w:rFonts w:hint="eastAsia"/>
                <w:bCs/>
                <w:color w:val="auto"/>
                <w:sz w:val="24"/>
                <w:highlight w:val="none"/>
                <w:lang w:val="en-US" w:eastAsia="zh-CN"/>
              </w:rPr>
              <w:t>.</w:t>
            </w:r>
            <w:r>
              <w:rPr>
                <w:rFonts w:hint="eastAsia"/>
                <w:bCs/>
                <w:color w:val="auto"/>
                <w:sz w:val="24"/>
                <w:highlight w:val="none"/>
              </w:rPr>
              <w:t>针对风机等运行设备</w:t>
            </w:r>
            <w:r>
              <w:rPr>
                <w:bCs/>
                <w:color w:val="auto"/>
                <w:sz w:val="24"/>
                <w:highlight w:val="none"/>
              </w:rPr>
              <w:t>，风机安装时进出口与排气管道连接处采用柔性连接</w:t>
            </w:r>
            <w:r>
              <w:rPr>
                <w:rFonts w:hint="eastAsia"/>
                <w:bCs/>
                <w:color w:val="auto"/>
                <w:sz w:val="24"/>
                <w:highlight w:val="none"/>
              </w:rPr>
              <w:t>，设备底座安装减震垫；</w:t>
            </w:r>
          </w:p>
          <w:p w14:paraId="6502B6E5">
            <w:pPr>
              <w:widowControl/>
              <w:ind w:firstLine="480"/>
              <w:rPr>
                <w:rFonts w:hint="eastAsia" w:eastAsia="宋体"/>
                <w:bCs/>
                <w:color w:val="auto"/>
                <w:sz w:val="24"/>
                <w:highlight w:val="none"/>
                <w:lang w:eastAsia="zh-CN"/>
              </w:rPr>
            </w:pPr>
            <w:r>
              <w:rPr>
                <w:rFonts w:hint="eastAsia"/>
                <w:bCs/>
                <w:color w:val="auto"/>
                <w:sz w:val="24"/>
                <w:highlight w:val="none"/>
                <w:lang w:val="en-US" w:eastAsia="zh-CN"/>
              </w:rPr>
              <w:t>e.</w:t>
            </w:r>
            <w:r>
              <w:rPr>
                <w:rFonts w:hint="eastAsia"/>
                <w:bCs/>
                <w:color w:val="auto"/>
                <w:sz w:val="24"/>
                <w:highlight w:val="none"/>
              </w:rPr>
              <w:t>合理安排生产时间，项目在夜间不生产</w:t>
            </w:r>
            <w:r>
              <w:rPr>
                <w:rFonts w:hint="eastAsia"/>
                <w:bCs/>
                <w:color w:val="auto"/>
                <w:sz w:val="24"/>
                <w:highlight w:val="none"/>
                <w:lang w:eastAsia="zh-CN"/>
              </w:rPr>
              <w:t>。</w:t>
            </w:r>
          </w:p>
          <w:p w14:paraId="3A364A4C">
            <w:pPr>
              <w:pStyle w:val="113"/>
              <w:keepNext w:val="0"/>
              <w:keepLines w:val="0"/>
              <w:pageBreakBefore w:val="0"/>
              <w:widowControl w:val="0"/>
              <w:numPr>
                <w:ilvl w:val="0"/>
                <w:numId w:val="0"/>
              </w:numPr>
              <w:kinsoku/>
              <w:wordWrap/>
              <w:overflowPunct/>
              <w:topLinePunct w:val="0"/>
              <w:autoSpaceDE/>
              <w:autoSpaceDN/>
              <w:bidi w:val="0"/>
              <w:adjustRightInd w:val="0"/>
              <w:snapToGrid w:val="0"/>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噪声影响估算</w:t>
            </w:r>
          </w:p>
          <w:p w14:paraId="433E50F8">
            <w:pPr>
              <w:pStyle w:val="11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pacing w:val="0"/>
                <w:kern w:val="21"/>
                <w:sz w:val="24"/>
                <w:szCs w:val="24"/>
                <w:highlight w:val="none"/>
                <w:u w:val="none"/>
                <w:lang w:val="de-DE"/>
              </w:rPr>
            </w:pPr>
            <w:r>
              <w:rPr>
                <w:rFonts w:hint="default" w:ascii="Times New Roman" w:hAnsi="Times New Roman" w:eastAsia="宋体" w:cs="Times New Roman"/>
                <w:color w:val="auto"/>
                <w:spacing w:val="0"/>
                <w:kern w:val="21"/>
                <w:sz w:val="24"/>
                <w:szCs w:val="24"/>
                <w:highlight w:val="none"/>
                <w:u w:val="none"/>
                <w:lang w:val="de-DE"/>
              </w:rPr>
              <w:t>根据《环境影响评价技术导则</w:t>
            </w:r>
            <w:r>
              <w:rPr>
                <w:rFonts w:hint="eastAsia" w:cs="Times New Roman"/>
                <w:color w:val="auto"/>
                <w:spacing w:val="0"/>
                <w:kern w:val="21"/>
                <w:sz w:val="24"/>
                <w:szCs w:val="24"/>
                <w:highlight w:val="none"/>
                <w:u w:val="none"/>
                <w:lang w:val="de-DE" w:eastAsia="zh-CN"/>
              </w:rPr>
              <w:t>－</w:t>
            </w:r>
            <w:r>
              <w:rPr>
                <w:rFonts w:hint="default" w:ascii="Times New Roman" w:hAnsi="Times New Roman" w:eastAsia="宋体" w:cs="Times New Roman"/>
                <w:color w:val="auto"/>
                <w:spacing w:val="0"/>
                <w:kern w:val="21"/>
                <w:sz w:val="24"/>
                <w:szCs w:val="24"/>
                <w:highlight w:val="none"/>
                <w:u w:val="none"/>
                <w:lang w:val="de-DE"/>
              </w:rPr>
              <w:t>声环境》</w:t>
            </w:r>
            <w:r>
              <w:rPr>
                <w:rFonts w:hint="eastAsia" w:cs="Times New Roman"/>
                <w:color w:val="auto"/>
                <w:spacing w:val="0"/>
                <w:kern w:val="21"/>
                <w:sz w:val="24"/>
                <w:szCs w:val="24"/>
                <w:highlight w:val="none"/>
                <w:u w:val="none"/>
                <w:lang w:val="de-DE" w:eastAsia="zh-CN"/>
              </w:rPr>
              <w:t>（</w:t>
            </w:r>
            <w:r>
              <w:rPr>
                <w:rFonts w:hint="eastAsia" w:cs="Times New Roman"/>
                <w:color w:val="auto"/>
                <w:spacing w:val="0"/>
                <w:kern w:val="21"/>
                <w:sz w:val="24"/>
                <w:szCs w:val="24"/>
                <w:highlight w:val="none"/>
                <w:u w:val="none"/>
                <w:lang w:val="en-US" w:eastAsia="zh-CN"/>
              </w:rPr>
              <w:t>HJ2.4-2021</w:t>
            </w:r>
            <w:r>
              <w:rPr>
                <w:rFonts w:hint="eastAsia" w:cs="Times New Roman"/>
                <w:color w:val="auto"/>
                <w:spacing w:val="0"/>
                <w:kern w:val="21"/>
                <w:sz w:val="24"/>
                <w:szCs w:val="24"/>
                <w:highlight w:val="none"/>
                <w:u w:val="none"/>
                <w:lang w:val="de-DE" w:eastAsia="zh-CN"/>
              </w:rPr>
              <w:t>）</w:t>
            </w:r>
            <w:r>
              <w:rPr>
                <w:rFonts w:hint="default" w:ascii="Times New Roman" w:hAnsi="Times New Roman" w:eastAsia="宋体" w:cs="Times New Roman"/>
                <w:color w:val="auto"/>
                <w:spacing w:val="0"/>
                <w:kern w:val="21"/>
                <w:sz w:val="24"/>
                <w:szCs w:val="24"/>
                <w:highlight w:val="none"/>
                <w:u w:val="none"/>
                <w:lang w:val="de-DE"/>
              </w:rPr>
              <w:t>中关于噪声源简化处理原则，以独立房间视为一个点声源，将房间内的主要噪声源分别进行声级叠加，一个叠加声源经房间墙体的隔声衰减，传至室外的声级值作为一个等效室外声源。</w:t>
            </w:r>
            <w:r>
              <w:rPr>
                <w:rFonts w:hint="eastAsia" w:cs="Times New Roman"/>
                <w:color w:val="auto"/>
                <w:spacing w:val="0"/>
                <w:kern w:val="21"/>
                <w:sz w:val="24"/>
                <w:szCs w:val="24"/>
                <w:highlight w:val="none"/>
                <w:u w:val="none"/>
                <w:lang w:val="en-US" w:eastAsia="zh-CN"/>
              </w:rPr>
              <w:t>所有室内声</w:t>
            </w:r>
            <w:r>
              <w:rPr>
                <w:rFonts w:hint="default" w:ascii="Times New Roman" w:hAnsi="Times New Roman" w:eastAsia="宋体" w:cs="Times New Roman"/>
                <w:color w:val="auto"/>
                <w:spacing w:val="0"/>
                <w:kern w:val="21"/>
                <w:sz w:val="24"/>
                <w:szCs w:val="24"/>
                <w:highlight w:val="none"/>
                <w:u w:val="none"/>
                <w:lang w:val="de-DE"/>
              </w:rPr>
              <w:t>源</w:t>
            </w:r>
            <w:r>
              <w:rPr>
                <w:rFonts w:hint="eastAsia" w:cs="Times New Roman"/>
                <w:color w:val="auto"/>
                <w:spacing w:val="0"/>
                <w:kern w:val="21"/>
                <w:sz w:val="24"/>
                <w:szCs w:val="24"/>
                <w:highlight w:val="none"/>
                <w:u w:val="none"/>
                <w:lang w:val="en-US" w:eastAsia="zh-CN"/>
              </w:rPr>
              <w:t>在围护结构处产生的i倍频带</w:t>
            </w:r>
            <w:r>
              <w:rPr>
                <w:rFonts w:hint="default" w:ascii="Times New Roman" w:hAnsi="Times New Roman" w:eastAsia="宋体" w:cs="Times New Roman"/>
                <w:color w:val="auto"/>
                <w:spacing w:val="0"/>
                <w:kern w:val="21"/>
                <w:sz w:val="24"/>
                <w:szCs w:val="24"/>
                <w:highlight w:val="none"/>
                <w:u w:val="none"/>
                <w:lang w:val="de-DE"/>
              </w:rPr>
              <w:t>叠加声级：</w:t>
            </w:r>
          </w:p>
          <w:p w14:paraId="61F58A8C">
            <w:pPr>
              <w:pStyle w:val="11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pacing w:val="0"/>
                <w:kern w:val="21"/>
                <w:sz w:val="24"/>
                <w:szCs w:val="24"/>
                <w:highlight w:val="none"/>
                <w:u w:val="none"/>
                <w:lang w:val="de-DE"/>
              </w:rPr>
            </w:pPr>
            <w:r>
              <w:rPr>
                <w:color w:val="auto"/>
                <w:highlight w:val="none"/>
              </w:rPr>
              <w:drawing>
                <wp:inline distT="0" distB="0" distL="114300" distR="114300">
                  <wp:extent cx="1905635" cy="565150"/>
                  <wp:effectExtent l="0" t="0" r="1841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stretch>
                            <a:fillRect/>
                          </a:stretch>
                        </pic:blipFill>
                        <pic:spPr>
                          <a:xfrm>
                            <a:off x="0" y="0"/>
                            <a:ext cx="1905635" cy="565150"/>
                          </a:xfrm>
                          <a:prstGeom prst="rect">
                            <a:avLst/>
                          </a:prstGeom>
                          <a:noFill/>
                          <a:ln>
                            <a:noFill/>
                          </a:ln>
                        </pic:spPr>
                      </pic:pic>
                    </a:graphicData>
                  </a:graphic>
                </wp:inline>
              </w:drawing>
            </w:r>
          </w:p>
          <w:p w14:paraId="45572ECE">
            <w:pPr>
              <w:pStyle w:val="11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pacing w:val="0"/>
                <w:kern w:val="21"/>
                <w:sz w:val="24"/>
                <w:szCs w:val="24"/>
                <w:highlight w:val="none"/>
                <w:u w:val="none"/>
                <w:lang w:val="de-DE"/>
              </w:rPr>
            </w:pPr>
            <w:r>
              <w:rPr>
                <w:rFonts w:hint="default" w:ascii="Times New Roman" w:hAnsi="Times New Roman" w:eastAsia="宋体" w:cs="Times New Roman"/>
                <w:color w:val="auto"/>
                <w:spacing w:val="0"/>
                <w:kern w:val="21"/>
                <w:sz w:val="24"/>
                <w:szCs w:val="24"/>
                <w:highlight w:val="none"/>
                <w:u w:val="none"/>
                <w:lang w:val="de-DE"/>
              </w:rPr>
              <w:t>式中：L</w:t>
            </w:r>
            <w:r>
              <w:rPr>
                <w:rFonts w:hint="eastAsia" w:cs="Times New Roman"/>
                <w:color w:val="auto"/>
                <w:spacing w:val="0"/>
                <w:kern w:val="21"/>
                <w:sz w:val="24"/>
                <w:szCs w:val="24"/>
                <w:highlight w:val="none"/>
                <w:u w:val="none"/>
                <w:vertAlign w:val="subscript"/>
                <w:lang w:val="en-US" w:eastAsia="zh-CN"/>
              </w:rPr>
              <w:t>pli</w:t>
            </w:r>
            <w:r>
              <w:rPr>
                <w:rFonts w:hint="eastAsia" w:cs="Times New Roman"/>
                <w:color w:val="auto"/>
                <w:spacing w:val="0"/>
                <w:kern w:val="21"/>
                <w:sz w:val="24"/>
                <w:szCs w:val="24"/>
                <w:highlight w:val="none"/>
                <w:u w:val="none"/>
                <w:lang w:val="en-US" w:eastAsia="zh-CN"/>
              </w:rPr>
              <w:t>（T）</w:t>
            </w:r>
            <w:r>
              <w:rPr>
                <w:rFonts w:hint="default" w:ascii="Times New Roman" w:hAnsi="Times New Roman" w:eastAsia="宋体" w:cs="Times New Roman"/>
                <w:color w:val="auto"/>
                <w:spacing w:val="0"/>
                <w:kern w:val="21"/>
                <w:sz w:val="24"/>
                <w:szCs w:val="24"/>
                <w:highlight w:val="none"/>
                <w:u w:val="none"/>
                <w:lang w:val="de-DE"/>
              </w:rPr>
              <w:t>——</w:t>
            </w:r>
            <w:r>
              <w:rPr>
                <w:rFonts w:hint="eastAsia" w:cs="Times New Roman"/>
                <w:color w:val="auto"/>
                <w:spacing w:val="0"/>
                <w:kern w:val="21"/>
                <w:sz w:val="24"/>
                <w:szCs w:val="24"/>
                <w:highlight w:val="none"/>
                <w:u w:val="none"/>
                <w:lang w:val="en-US" w:eastAsia="zh-CN"/>
              </w:rPr>
              <w:t>靠近围护结构处室内N个声源i倍频带的</w:t>
            </w:r>
            <w:r>
              <w:rPr>
                <w:rFonts w:hint="default" w:ascii="Times New Roman" w:hAnsi="Times New Roman" w:eastAsia="宋体" w:cs="Times New Roman"/>
                <w:color w:val="auto"/>
                <w:spacing w:val="0"/>
                <w:kern w:val="21"/>
                <w:sz w:val="24"/>
                <w:szCs w:val="24"/>
                <w:highlight w:val="none"/>
                <w:u w:val="none"/>
                <w:lang w:val="de-DE"/>
              </w:rPr>
              <w:t>叠加</w:t>
            </w:r>
            <w:r>
              <w:rPr>
                <w:rFonts w:hint="eastAsia" w:cs="Times New Roman"/>
                <w:color w:val="auto"/>
                <w:spacing w:val="0"/>
                <w:kern w:val="21"/>
                <w:sz w:val="24"/>
                <w:szCs w:val="24"/>
                <w:highlight w:val="none"/>
                <w:u w:val="none"/>
                <w:lang w:val="en-US" w:eastAsia="zh-CN"/>
              </w:rPr>
              <w:t>声压级</w:t>
            </w:r>
            <w:r>
              <w:rPr>
                <w:rFonts w:hint="default" w:ascii="Times New Roman" w:hAnsi="Times New Roman" w:eastAsia="宋体" w:cs="Times New Roman"/>
                <w:color w:val="auto"/>
                <w:spacing w:val="0"/>
                <w:kern w:val="21"/>
                <w:sz w:val="24"/>
                <w:szCs w:val="24"/>
                <w:highlight w:val="none"/>
                <w:u w:val="none"/>
                <w:lang w:val="de-DE"/>
              </w:rPr>
              <w:t>dB(A)；</w:t>
            </w:r>
          </w:p>
          <w:p w14:paraId="724C9BBB">
            <w:pPr>
              <w:pStyle w:val="113"/>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eastAsia="宋体" w:cs="Times New Roman"/>
                <w:color w:val="auto"/>
                <w:spacing w:val="0"/>
                <w:kern w:val="21"/>
                <w:sz w:val="24"/>
                <w:szCs w:val="24"/>
                <w:highlight w:val="none"/>
                <w:u w:val="none"/>
                <w:lang w:val="de-DE"/>
              </w:rPr>
            </w:pPr>
            <w:r>
              <w:rPr>
                <w:rFonts w:hint="default" w:ascii="Times New Roman" w:hAnsi="Times New Roman" w:eastAsia="宋体" w:cs="Times New Roman"/>
                <w:color w:val="auto"/>
                <w:spacing w:val="0"/>
                <w:kern w:val="21"/>
                <w:sz w:val="24"/>
                <w:szCs w:val="24"/>
                <w:highlight w:val="none"/>
                <w:u w:val="none"/>
                <w:lang w:val="de-DE"/>
              </w:rPr>
              <w:t>L</w:t>
            </w:r>
            <w:r>
              <w:rPr>
                <w:rFonts w:hint="eastAsia" w:cs="Times New Roman"/>
                <w:color w:val="auto"/>
                <w:spacing w:val="0"/>
                <w:kern w:val="21"/>
                <w:sz w:val="24"/>
                <w:szCs w:val="24"/>
                <w:highlight w:val="none"/>
                <w:u w:val="none"/>
                <w:vertAlign w:val="subscript"/>
                <w:lang w:val="en-US" w:eastAsia="zh-CN"/>
              </w:rPr>
              <w:t>pl</w:t>
            </w:r>
            <w:r>
              <w:rPr>
                <w:rFonts w:hint="default" w:ascii="Times New Roman" w:hAnsi="Times New Roman" w:eastAsia="宋体" w:cs="Times New Roman"/>
                <w:color w:val="auto"/>
                <w:spacing w:val="0"/>
                <w:kern w:val="21"/>
                <w:sz w:val="24"/>
                <w:szCs w:val="24"/>
                <w:highlight w:val="none"/>
                <w:u w:val="none"/>
                <w:vertAlign w:val="subscript"/>
                <w:lang w:val="de-DE"/>
              </w:rPr>
              <w:t>i</w:t>
            </w:r>
            <w:r>
              <w:rPr>
                <w:rFonts w:hint="eastAsia" w:cs="Times New Roman"/>
                <w:color w:val="auto"/>
                <w:spacing w:val="0"/>
                <w:kern w:val="21"/>
                <w:sz w:val="24"/>
                <w:szCs w:val="24"/>
                <w:highlight w:val="none"/>
                <w:u w:val="none"/>
                <w:vertAlign w:val="subscript"/>
                <w:lang w:val="en-US" w:eastAsia="zh-CN"/>
              </w:rPr>
              <w:t>j</w:t>
            </w:r>
            <w:r>
              <w:rPr>
                <w:rFonts w:hint="default" w:ascii="Times New Roman" w:hAnsi="Times New Roman" w:eastAsia="宋体" w:cs="Times New Roman"/>
                <w:color w:val="auto"/>
                <w:spacing w:val="0"/>
                <w:kern w:val="21"/>
                <w:sz w:val="24"/>
                <w:szCs w:val="24"/>
                <w:highlight w:val="none"/>
                <w:u w:val="none"/>
                <w:lang w:val="de-DE"/>
              </w:rPr>
              <w:t>——</w:t>
            </w:r>
            <w:r>
              <w:rPr>
                <w:rFonts w:hint="eastAsia" w:cs="Times New Roman"/>
                <w:color w:val="auto"/>
                <w:spacing w:val="0"/>
                <w:kern w:val="21"/>
                <w:sz w:val="24"/>
                <w:szCs w:val="24"/>
                <w:highlight w:val="none"/>
                <w:u w:val="none"/>
                <w:lang w:val="en-US" w:eastAsia="zh-CN"/>
              </w:rPr>
              <w:t>室内j声源</w:t>
            </w:r>
            <w:r>
              <w:rPr>
                <w:rFonts w:hint="default" w:ascii="Times New Roman" w:hAnsi="Times New Roman" w:eastAsia="宋体" w:cs="Times New Roman"/>
                <w:color w:val="auto"/>
                <w:spacing w:val="0"/>
                <w:kern w:val="21"/>
                <w:sz w:val="24"/>
                <w:szCs w:val="24"/>
                <w:highlight w:val="none"/>
                <w:u w:val="none"/>
                <w:lang w:val="de-DE"/>
              </w:rPr>
              <w:t>i</w:t>
            </w:r>
            <w:r>
              <w:rPr>
                <w:rFonts w:hint="eastAsia" w:cs="Times New Roman"/>
                <w:color w:val="auto"/>
                <w:spacing w:val="0"/>
                <w:kern w:val="21"/>
                <w:sz w:val="24"/>
                <w:szCs w:val="24"/>
                <w:highlight w:val="none"/>
                <w:u w:val="none"/>
                <w:lang w:val="en-US" w:eastAsia="zh-CN"/>
              </w:rPr>
              <w:t>倍频带的声压级，</w:t>
            </w:r>
            <w:r>
              <w:rPr>
                <w:rFonts w:hint="default" w:ascii="Times New Roman" w:hAnsi="Times New Roman" w:eastAsia="宋体" w:cs="Times New Roman"/>
                <w:color w:val="auto"/>
                <w:spacing w:val="0"/>
                <w:kern w:val="21"/>
                <w:sz w:val="24"/>
                <w:szCs w:val="24"/>
                <w:highlight w:val="none"/>
                <w:u w:val="none"/>
                <w:lang w:val="de-DE"/>
              </w:rPr>
              <w:t>dB(A)；</w:t>
            </w:r>
          </w:p>
          <w:p w14:paraId="00203070">
            <w:pPr>
              <w:pStyle w:val="113"/>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eastAsia="宋体" w:cs="Times New Roman"/>
                <w:color w:val="auto"/>
                <w:spacing w:val="0"/>
                <w:kern w:val="21"/>
                <w:sz w:val="24"/>
                <w:szCs w:val="24"/>
                <w:highlight w:val="none"/>
                <w:u w:val="none"/>
                <w:lang w:val="de-DE"/>
              </w:rPr>
            </w:pPr>
            <w:r>
              <w:rPr>
                <w:rFonts w:hint="eastAsia" w:cs="Times New Roman"/>
                <w:color w:val="auto"/>
                <w:spacing w:val="0"/>
                <w:kern w:val="21"/>
                <w:sz w:val="24"/>
                <w:szCs w:val="24"/>
                <w:highlight w:val="none"/>
                <w:u w:val="none"/>
                <w:lang w:val="en-US" w:eastAsia="zh-CN"/>
              </w:rPr>
              <w:t>N</w:t>
            </w:r>
            <w:r>
              <w:rPr>
                <w:rFonts w:hint="default" w:ascii="Times New Roman" w:hAnsi="Times New Roman" w:eastAsia="宋体" w:cs="Times New Roman"/>
                <w:color w:val="auto"/>
                <w:spacing w:val="0"/>
                <w:kern w:val="21"/>
                <w:sz w:val="24"/>
                <w:szCs w:val="24"/>
                <w:highlight w:val="none"/>
                <w:u w:val="none"/>
                <w:lang w:val="de-DE"/>
              </w:rPr>
              <w:t>——</w:t>
            </w:r>
            <w:r>
              <w:rPr>
                <w:rFonts w:hint="eastAsia" w:cs="Times New Roman"/>
                <w:color w:val="auto"/>
                <w:spacing w:val="0"/>
                <w:kern w:val="21"/>
                <w:sz w:val="24"/>
                <w:szCs w:val="24"/>
                <w:highlight w:val="none"/>
                <w:u w:val="none"/>
                <w:lang w:val="en-US" w:eastAsia="zh-CN"/>
              </w:rPr>
              <w:t>室内</w:t>
            </w:r>
            <w:r>
              <w:rPr>
                <w:rFonts w:hint="default" w:ascii="Times New Roman" w:hAnsi="Times New Roman" w:eastAsia="宋体" w:cs="Times New Roman"/>
                <w:color w:val="auto"/>
                <w:spacing w:val="0"/>
                <w:kern w:val="21"/>
                <w:sz w:val="24"/>
                <w:szCs w:val="24"/>
                <w:highlight w:val="none"/>
                <w:u w:val="none"/>
                <w:lang w:val="de-DE"/>
              </w:rPr>
              <w:t>声源</w:t>
            </w:r>
            <w:r>
              <w:rPr>
                <w:rFonts w:hint="eastAsia" w:cs="Times New Roman"/>
                <w:color w:val="auto"/>
                <w:spacing w:val="0"/>
                <w:kern w:val="21"/>
                <w:sz w:val="24"/>
                <w:szCs w:val="24"/>
                <w:highlight w:val="none"/>
                <w:u w:val="none"/>
                <w:lang w:val="en-US" w:eastAsia="zh-CN"/>
              </w:rPr>
              <w:t>总</w:t>
            </w:r>
            <w:r>
              <w:rPr>
                <w:rFonts w:hint="default" w:ascii="Times New Roman" w:hAnsi="Times New Roman" w:eastAsia="宋体" w:cs="Times New Roman"/>
                <w:color w:val="auto"/>
                <w:spacing w:val="0"/>
                <w:kern w:val="21"/>
                <w:sz w:val="24"/>
                <w:szCs w:val="24"/>
                <w:highlight w:val="none"/>
                <w:u w:val="none"/>
                <w:lang w:val="de-DE"/>
              </w:rPr>
              <w:t>数。</w:t>
            </w:r>
          </w:p>
          <w:p w14:paraId="78012A71">
            <w:pPr>
              <w:pStyle w:val="11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pacing w:val="0"/>
                <w:kern w:val="21"/>
                <w:sz w:val="24"/>
                <w:szCs w:val="24"/>
                <w:highlight w:val="none"/>
                <w:u w:val="none"/>
                <w:lang w:val="de-DE"/>
              </w:rPr>
            </w:pPr>
            <w:r>
              <w:rPr>
                <w:rFonts w:hint="default" w:ascii="Times New Roman" w:hAnsi="Times New Roman" w:eastAsia="宋体" w:cs="Times New Roman"/>
                <w:color w:val="auto"/>
                <w:spacing w:val="0"/>
                <w:kern w:val="21"/>
                <w:sz w:val="24"/>
                <w:szCs w:val="24"/>
                <w:highlight w:val="none"/>
                <w:u w:val="none"/>
                <w:lang w:val="de-DE"/>
              </w:rPr>
              <w:t>将建设项目主要噪声源进行能量叠加后的合成总声级值视为一个混合点噪声源，并以半球形向外辐射传播，在只考虑声源的距离衰减时，采用以下公式预测工程噪声对厂界的噪声影响。</w:t>
            </w:r>
          </w:p>
          <w:p w14:paraId="56EE566E">
            <w:pPr>
              <w:pStyle w:val="11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s="Times New Roman"/>
                <w:color w:val="auto"/>
                <w:spacing w:val="0"/>
                <w:kern w:val="21"/>
                <w:sz w:val="24"/>
                <w:szCs w:val="24"/>
                <w:highlight w:val="none"/>
                <w:u w:val="none"/>
                <w:lang w:val="en-US" w:eastAsia="zh-CN"/>
              </w:rPr>
            </w:pPr>
            <w:r>
              <w:rPr>
                <w:rFonts w:hint="default" w:ascii="Times New Roman" w:hAnsi="Times New Roman" w:eastAsia="宋体" w:cs="Times New Roman"/>
                <w:color w:val="auto"/>
                <w:spacing w:val="0"/>
                <w:kern w:val="21"/>
                <w:sz w:val="24"/>
                <w:szCs w:val="24"/>
                <w:highlight w:val="none"/>
                <w:u w:val="none"/>
                <w:lang w:val="de-DE"/>
              </w:rPr>
              <w:t>根据《环境影响评价技术导则</w:t>
            </w:r>
            <w:r>
              <w:rPr>
                <w:rFonts w:hint="eastAsia" w:cs="Times New Roman"/>
                <w:color w:val="auto"/>
                <w:spacing w:val="0"/>
                <w:kern w:val="21"/>
                <w:sz w:val="24"/>
                <w:szCs w:val="24"/>
                <w:highlight w:val="none"/>
                <w:u w:val="none"/>
                <w:lang w:val="de-DE" w:eastAsia="zh-CN"/>
              </w:rPr>
              <w:t>－</w:t>
            </w:r>
            <w:r>
              <w:rPr>
                <w:rFonts w:hint="default" w:ascii="Times New Roman" w:hAnsi="Times New Roman" w:eastAsia="宋体" w:cs="Times New Roman"/>
                <w:color w:val="auto"/>
                <w:spacing w:val="0"/>
                <w:kern w:val="21"/>
                <w:sz w:val="24"/>
                <w:szCs w:val="24"/>
                <w:highlight w:val="none"/>
                <w:u w:val="none"/>
                <w:lang w:val="de-DE"/>
              </w:rPr>
              <w:t>声环境》</w:t>
            </w:r>
            <w:r>
              <w:rPr>
                <w:rFonts w:hint="eastAsia" w:cs="Times New Roman"/>
                <w:color w:val="auto"/>
                <w:spacing w:val="0"/>
                <w:kern w:val="21"/>
                <w:sz w:val="24"/>
                <w:szCs w:val="24"/>
                <w:highlight w:val="none"/>
                <w:u w:val="none"/>
                <w:lang w:val="de-DE" w:eastAsia="zh-CN"/>
              </w:rPr>
              <w:t>（</w:t>
            </w:r>
            <w:r>
              <w:rPr>
                <w:rFonts w:hint="eastAsia" w:cs="Times New Roman"/>
                <w:color w:val="auto"/>
                <w:spacing w:val="0"/>
                <w:kern w:val="21"/>
                <w:sz w:val="24"/>
                <w:szCs w:val="24"/>
                <w:highlight w:val="none"/>
                <w:u w:val="none"/>
                <w:lang w:val="en-US" w:eastAsia="zh-CN"/>
              </w:rPr>
              <w:t>HJ2.4-2021</w:t>
            </w:r>
            <w:r>
              <w:rPr>
                <w:rFonts w:hint="eastAsia" w:cs="Times New Roman"/>
                <w:color w:val="auto"/>
                <w:spacing w:val="0"/>
                <w:kern w:val="21"/>
                <w:sz w:val="24"/>
                <w:szCs w:val="24"/>
                <w:highlight w:val="none"/>
                <w:u w:val="none"/>
                <w:lang w:val="de-DE" w:eastAsia="zh-CN"/>
              </w:rPr>
              <w:t>）</w:t>
            </w:r>
            <w:r>
              <w:rPr>
                <w:rFonts w:hint="default" w:ascii="Times New Roman" w:hAnsi="Times New Roman" w:eastAsia="宋体" w:cs="Times New Roman"/>
                <w:color w:val="auto"/>
                <w:spacing w:val="0"/>
                <w:kern w:val="21"/>
                <w:sz w:val="24"/>
                <w:szCs w:val="24"/>
                <w:highlight w:val="none"/>
                <w:u w:val="none"/>
                <w:lang w:val="de-DE"/>
              </w:rPr>
              <w:t>中</w:t>
            </w:r>
            <w:r>
              <w:rPr>
                <w:rFonts w:hint="eastAsia" w:cs="Times New Roman"/>
                <w:color w:val="auto"/>
                <w:spacing w:val="0"/>
                <w:kern w:val="21"/>
                <w:sz w:val="24"/>
                <w:szCs w:val="24"/>
                <w:highlight w:val="none"/>
                <w:u w:val="none"/>
                <w:lang w:val="en-US" w:eastAsia="zh-CN"/>
              </w:rPr>
              <w:t>B.4计算室外围护结构处的声压级，公式如下：</w:t>
            </w:r>
          </w:p>
          <w:p w14:paraId="300D4148">
            <w:pPr>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rFonts w:ascii="Times New Roman" w:hAnsi="Times New Roman"/>
                <w:color w:val="auto"/>
                <w:sz w:val="23"/>
                <w:highlight w:val="none"/>
              </w:rPr>
            </w:pPr>
            <w:r>
              <w:rPr>
                <w:rFonts w:ascii="Times New Roman" w:hAnsi="Times New Roman"/>
                <w:i/>
                <w:color w:val="auto"/>
                <w:sz w:val="23"/>
                <w:highlight w:val="none"/>
              </w:rPr>
              <w:t>L</w:t>
            </w:r>
            <w:r>
              <w:rPr>
                <w:rFonts w:ascii="Times New Roman" w:hAnsi="Times New Roman"/>
                <w:i/>
                <w:color w:val="auto"/>
                <w:position w:val="-5"/>
                <w:sz w:val="13"/>
                <w:highlight w:val="none"/>
              </w:rPr>
              <w:t xml:space="preserve">p </w:t>
            </w:r>
            <w:r>
              <w:rPr>
                <w:rFonts w:ascii="Times New Roman" w:hAnsi="Times New Roman"/>
                <w:color w:val="auto"/>
                <w:position w:val="-5"/>
                <w:sz w:val="13"/>
                <w:highlight w:val="none"/>
              </w:rPr>
              <w:t>2</w:t>
            </w:r>
            <w:r>
              <w:rPr>
                <w:rFonts w:ascii="Times New Roman" w:hAnsi="Times New Roman"/>
                <w:i/>
                <w:color w:val="auto"/>
                <w:position w:val="-5"/>
                <w:sz w:val="13"/>
                <w:highlight w:val="none"/>
              </w:rPr>
              <w:t>i</w:t>
            </w:r>
            <w:r>
              <w:rPr>
                <w:rFonts w:ascii="Times New Roman" w:hAnsi="Times New Roman"/>
                <w:color w:val="auto"/>
                <w:sz w:val="23"/>
                <w:highlight w:val="none"/>
              </w:rPr>
              <w:t>(</w:t>
            </w:r>
            <w:r>
              <w:rPr>
                <w:rFonts w:ascii="Times New Roman" w:hAnsi="Times New Roman"/>
                <w:i/>
                <w:color w:val="auto"/>
                <w:sz w:val="23"/>
                <w:highlight w:val="none"/>
              </w:rPr>
              <w:t>T</w:t>
            </w:r>
            <w:r>
              <w:rPr>
                <w:rFonts w:ascii="Times New Roman" w:hAnsi="Times New Roman"/>
                <w:color w:val="auto"/>
                <w:sz w:val="23"/>
                <w:highlight w:val="none"/>
              </w:rPr>
              <w:t>)</w:t>
            </w:r>
            <w:r>
              <w:rPr>
                <w:rFonts w:ascii="Symbol" w:hAnsi="Symbol"/>
                <w:color w:val="auto"/>
                <w:sz w:val="23"/>
                <w:highlight w:val="none"/>
              </w:rPr>
              <w:t></w:t>
            </w:r>
            <w:r>
              <w:rPr>
                <w:rFonts w:ascii="Times New Roman" w:hAnsi="Times New Roman"/>
                <w:i/>
                <w:color w:val="auto"/>
                <w:sz w:val="23"/>
                <w:highlight w:val="none"/>
              </w:rPr>
              <w:t>L</w:t>
            </w:r>
            <w:r>
              <w:rPr>
                <w:rFonts w:ascii="Times New Roman" w:hAnsi="Times New Roman"/>
                <w:i/>
                <w:color w:val="auto"/>
                <w:position w:val="-5"/>
                <w:sz w:val="13"/>
                <w:highlight w:val="none"/>
              </w:rPr>
              <w:t>p</w:t>
            </w:r>
            <w:r>
              <w:rPr>
                <w:rFonts w:ascii="Times New Roman" w:hAnsi="Times New Roman"/>
                <w:color w:val="auto"/>
                <w:position w:val="-5"/>
                <w:sz w:val="13"/>
                <w:highlight w:val="none"/>
              </w:rPr>
              <w:t>1</w:t>
            </w:r>
            <w:r>
              <w:rPr>
                <w:rFonts w:ascii="Times New Roman" w:hAnsi="Times New Roman"/>
                <w:i/>
                <w:color w:val="auto"/>
                <w:position w:val="-5"/>
                <w:sz w:val="13"/>
                <w:highlight w:val="none"/>
              </w:rPr>
              <w:t>i</w:t>
            </w:r>
            <w:r>
              <w:rPr>
                <w:rFonts w:ascii="Times New Roman" w:hAnsi="Times New Roman"/>
                <w:color w:val="auto"/>
                <w:sz w:val="23"/>
                <w:highlight w:val="none"/>
              </w:rPr>
              <w:t>(</w:t>
            </w:r>
            <w:r>
              <w:rPr>
                <w:rFonts w:ascii="Times New Roman" w:hAnsi="Times New Roman"/>
                <w:i/>
                <w:color w:val="auto"/>
                <w:sz w:val="23"/>
                <w:highlight w:val="none"/>
              </w:rPr>
              <w:t>T</w:t>
            </w:r>
            <w:r>
              <w:rPr>
                <w:rFonts w:ascii="Times New Roman" w:hAnsi="Times New Roman"/>
                <w:color w:val="auto"/>
                <w:sz w:val="23"/>
                <w:highlight w:val="none"/>
              </w:rPr>
              <w:t>)</w:t>
            </w:r>
            <w:r>
              <w:rPr>
                <w:rFonts w:ascii="Symbol" w:hAnsi="Symbol"/>
                <w:color w:val="auto"/>
                <w:sz w:val="23"/>
                <w:highlight w:val="none"/>
              </w:rPr>
              <w:t></w:t>
            </w:r>
            <w:r>
              <w:rPr>
                <w:rFonts w:ascii="Times New Roman" w:hAnsi="Times New Roman"/>
                <w:color w:val="auto"/>
                <w:sz w:val="23"/>
                <w:highlight w:val="none"/>
              </w:rPr>
              <w:t>(</w:t>
            </w:r>
            <w:r>
              <w:rPr>
                <w:rFonts w:ascii="Times New Roman" w:hAnsi="Times New Roman"/>
                <w:i/>
                <w:color w:val="auto"/>
                <w:sz w:val="23"/>
                <w:highlight w:val="none"/>
              </w:rPr>
              <w:t>TL</w:t>
            </w:r>
            <w:r>
              <w:rPr>
                <w:rFonts w:ascii="Times New Roman" w:hAnsi="Times New Roman"/>
                <w:i/>
                <w:color w:val="auto"/>
                <w:position w:val="-5"/>
                <w:sz w:val="13"/>
                <w:highlight w:val="none"/>
              </w:rPr>
              <w:t>i</w:t>
            </w:r>
            <w:r>
              <w:rPr>
                <w:rFonts w:ascii="Symbol" w:hAnsi="Symbol"/>
                <w:color w:val="auto"/>
                <w:sz w:val="23"/>
                <w:highlight w:val="none"/>
              </w:rPr>
              <w:t></w:t>
            </w:r>
            <w:r>
              <w:rPr>
                <w:rFonts w:ascii="Times New Roman" w:hAnsi="Times New Roman"/>
                <w:color w:val="auto"/>
                <w:sz w:val="23"/>
                <w:highlight w:val="none"/>
              </w:rPr>
              <w:t>6)</w:t>
            </w:r>
          </w:p>
          <w:p w14:paraId="7FA346AF">
            <w:pPr>
              <w:keepNext w:val="0"/>
              <w:keepLines w:val="0"/>
              <w:pageBreakBefore w:val="0"/>
              <w:kinsoku/>
              <w:wordWrap/>
              <w:overflowPunct/>
              <w:topLinePunct w:val="0"/>
              <w:autoSpaceDE/>
              <w:autoSpaceDN/>
              <w:bidi w:val="0"/>
              <w:adjustRightInd w:val="0"/>
              <w:snapToGrid w:val="0"/>
              <w:spacing w:line="360" w:lineRule="auto"/>
              <w:ind w:right="441" w:firstLine="424" w:firstLineChars="200"/>
              <w:jc w:val="both"/>
              <w:textAlignment w:val="auto"/>
              <w:rPr>
                <w:rFonts w:hint="default" w:ascii="Times New Roman" w:hAnsi="Times New Roman" w:eastAsia="宋体" w:cs="Times New Roman"/>
                <w:color w:val="auto"/>
                <w:position w:val="1"/>
                <w:sz w:val="24"/>
                <w:szCs w:val="24"/>
                <w:highlight w:val="none"/>
              </w:rPr>
            </w:pPr>
            <w:r>
              <w:rPr>
                <w:rFonts w:hint="default" w:ascii="Times New Roman" w:hAnsi="Times New Roman" w:eastAsia="宋体" w:cs="Times New Roman"/>
                <w:color w:val="auto"/>
                <w:spacing w:val="-14"/>
                <w:position w:val="1"/>
                <w:sz w:val="24"/>
                <w:szCs w:val="24"/>
                <w:highlight w:val="none"/>
              </w:rPr>
              <w:t>式中：</w:t>
            </w:r>
            <w:r>
              <w:rPr>
                <w:rFonts w:hint="default" w:ascii="Times New Roman" w:hAnsi="Times New Roman" w:eastAsia="宋体" w:cs="Times New Roman"/>
                <w:i/>
                <w:color w:val="auto"/>
                <w:spacing w:val="3"/>
                <w:sz w:val="24"/>
                <w:szCs w:val="24"/>
                <w:highlight w:val="none"/>
              </w:rPr>
              <w:t>L</w:t>
            </w:r>
            <w:r>
              <w:rPr>
                <w:rFonts w:hint="default" w:ascii="Times New Roman" w:hAnsi="Times New Roman" w:eastAsia="宋体" w:cs="Times New Roman"/>
                <w:i/>
                <w:color w:val="auto"/>
                <w:spacing w:val="3"/>
                <w:position w:val="-4"/>
                <w:sz w:val="24"/>
                <w:szCs w:val="24"/>
                <w:highlight w:val="none"/>
                <w:vertAlign w:val="subscript"/>
              </w:rPr>
              <w:t>p</w:t>
            </w:r>
            <w:r>
              <w:rPr>
                <w:rFonts w:hint="default" w:ascii="Times New Roman" w:hAnsi="Times New Roman" w:eastAsia="宋体" w:cs="Times New Roman"/>
                <w:color w:val="auto"/>
                <w:spacing w:val="3"/>
                <w:position w:val="-4"/>
                <w:sz w:val="24"/>
                <w:szCs w:val="24"/>
                <w:highlight w:val="none"/>
                <w:vertAlign w:val="subscript"/>
              </w:rPr>
              <w:t>2</w:t>
            </w:r>
            <w:r>
              <w:rPr>
                <w:rFonts w:hint="default" w:ascii="Times New Roman" w:hAnsi="Times New Roman" w:eastAsia="宋体" w:cs="Times New Roman"/>
                <w:i/>
                <w:color w:val="auto"/>
                <w:spacing w:val="3"/>
                <w:position w:val="-4"/>
                <w:sz w:val="24"/>
                <w:szCs w:val="24"/>
                <w:highlight w:val="none"/>
                <w:vertAlign w:val="subscript"/>
              </w:rPr>
              <w:t>i</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T</w:t>
            </w:r>
            <w:r>
              <w:rPr>
                <w:rFonts w:hint="default" w:ascii="Times New Roman" w:hAnsi="Times New Roman" w:eastAsia="宋体" w:cs="Times New Roman"/>
                <w:color w:val="auto"/>
                <w:spacing w:val="7"/>
                <w:sz w:val="24"/>
                <w:szCs w:val="24"/>
                <w:highlight w:val="none"/>
              </w:rPr>
              <w:t>)</w:t>
            </w:r>
            <w:r>
              <w:rPr>
                <w:rFonts w:hint="default" w:ascii="Times New Roman" w:hAnsi="Times New Roman" w:eastAsia="宋体" w:cs="Times New Roman"/>
                <w:color w:val="auto"/>
                <w:position w:val="1"/>
                <w:sz w:val="24"/>
                <w:szCs w:val="24"/>
                <w:highlight w:val="none"/>
              </w:rPr>
              <w:t>——</w:t>
            </w:r>
            <w:r>
              <w:rPr>
                <w:rFonts w:hint="default" w:ascii="Times New Roman" w:hAnsi="Times New Roman" w:eastAsia="宋体" w:cs="Times New Roman"/>
                <w:color w:val="auto"/>
                <w:spacing w:val="-7"/>
                <w:position w:val="1"/>
                <w:sz w:val="24"/>
                <w:szCs w:val="24"/>
                <w:highlight w:val="none"/>
              </w:rPr>
              <w:t>靠近围护结构处室外</w:t>
            </w:r>
            <w:r>
              <w:rPr>
                <w:rFonts w:hint="default" w:ascii="Times New Roman" w:hAnsi="Times New Roman" w:eastAsia="宋体" w:cs="Times New Roman"/>
                <w:i/>
                <w:color w:val="auto"/>
                <w:position w:val="1"/>
                <w:sz w:val="24"/>
                <w:szCs w:val="24"/>
                <w:highlight w:val="none"/>
              </w:rPr>
              <w:t>N</w:t>
            </w:r>
            <w:r>
              <w:rPr>
                <w:rFonts w:hint="default" w:ascii="Times New Roman" w:hAnsi="Times New Roman" w:eastAsia="宋体" w:cs="Times New Roman"/>
                <w:color w:val="auto"/>
                <w:spacing w:val="-12"/>
                <w:position w:val="1"/>
                <w:sz w:val="24"/>
                <w:szCs w:val="24"/>
                <w:highlight w:val="none"/>
              </w:rPr>
              <w:t>个声源</w:t>
            </w:r>
            <w:r>
              <w:rPr>
                <w:rFonts w:hint="default" w:ascii="Times New Roman" w:hAnsi="Times New Roman" w:eastAsia="宋体" w:cs="Times New Roman"/>
                <w:i/>
                <w:color w:val="auto"/>
                <w:position w:val="1"/>
                <w:sz w:val="24"/>
                <w:szCs w:val="24"/>
                <w:highlight w:val="none"/>
              </w:rPr>
              <w:t>i</w:t>
            </w:r>
            <w:r>
              <w:rPr>
                <w:rFonts w:hint="default" w:ascii="Times New Roman" w:hAnsi="Times New Roman" w:eastAsia="宋体" w:cs="Times New Roman"/>
                <w:color w:val="auto"/>
                <w:spacing w:val="-3"/>
                <w:position w:val="1"/>
                <w:sz w:val="24"/>
                <w:szCs w:val="24"/>
                <w:highlight w:val="none"/>
              </w:rPr>
              <w:t>倍频带的叠加声压级</w:t>
            </w:r>
            <w:r>
              <w:rPr>
                <w:rFonts w:hint="eastAsia" w:ascii="Times New Roman" w:hAnsi="Times New Roman" w:eastAsia="宋体" w:cs="Times New Roman"/>
                <w:color w:val="auto"/>
                <w:spacing w:val="-3"/>
                <w:position w:val="1"/>
                <w:sz w:val="24"/>
                <w:szCs w:val="24"/>
                <w:highlight w:val="none"/>
                <w:lang w:eastAsia="zh-CN"/>
              </w:rPr>
              <w:t>，</w:t>
            </w:r>
            <w:r>
              <w:rPr>
                <w:rFonts w:hint="default" w:ascii="Times New Roman" w:hAnsi="Times New Roman" w:eastAsia="宋体" w:cs="Times New Roman"/>
                <w:color w:val="auto"/>
                <w:position w:val="1"/>
                <w:sz w:val="24"/>
                <w:szCs w:val="24"/>
                <w:highlight w:val="none"/>
              </w:rPr>
              <w:t>dB；</w:t>
            </w:r>
          </w:p>
          <w:p w14:paraId="0557F702">
            <w:pPr>
              <w:keepNext w:val="0"/>
              <w:keepLines w:val="0"/>
              <w:pageBreakBefore w:val="0"/>
              <w:kinsoku/>
              <w:wordWrap/>
              <w:overflowPunct/>
              <w:topLinePunct w:val="0"/>
              <w:autoSpaceDE/>
              <w:autoSpaceDN/>
              <w:bidi w:val="0"/>
              <w:adjustRightInd w:val="0"/>
              <w:snapToGrid w:val="0"/>
              <w:spacing w:line="360" w:lineRule="auto"/>
              <w:ind w:right="441" w:firstLine="1200" w:firstLineChars="500"/>
              <w:jc w:val="both"/>
              <w:textAlignment w:val="auto"/>
              <w:rPr>
                <w:rFonts w:hint="default" w:ascii="Times New Roman" w:hAnsi="Times New Roman" w:eastAsia="宋体" w:cs="Times New Roman"/>
                <w:color w:val="auto"/>
                <w:position w:val="1"/>
                <w:sz w:val="24"/>
                <w:szCs w:val="24"/>
                <w:highlight w:val="none"/>
              </w:rPr>
            </w:pPr>
            <w:r>
              <w:rPr>
                <w:rFonts w:hint="default" w:ascii="Times New Roman" w:hAnsi="Times New Roman" w:eastAsia="宋体" w:cs="Times New Roman"/>
                <w:i/>
                <w:color w:val="auto"/>
                <w:position w:val="2"/>
                <w:sz w:val="24"/>
                <w:szCs w:val="24"/>
                <w:highlight w:val="none"/>
              </w:rPr>
              <w:t>L</w:t>
            </w:r>
            <w:r>
              <w:rPr>
                <w:rFonts w:hint="default" w:ascii="Times New Roman" w:hAnsi="Times New Roman" w:eastAsia="宋体" w:cs="Times New Roman"/>
                <w:i/>
                <w:color w:val="auto"/>
                <w:position w:val="-3"/>
                <w:sz w:val="24"/>
                <w:szCs w:val="24"/>
                <w:highlight w:val="none"/>
                <w:vertAlign w:val="subscript"/>
              </w:rPr>
              <w:t>p</w:t>
            </w:r>
            <w:r>
              <w:rPr>
                <w:rFonts w:hint="default" w:ascii="Times New Roman" w:hAnsi="Times New Roman" w:eastAsia="宋体" w:cs="Times New Roman"/>
                <w:color w:val="auto"/>
                <w:position w:val="-3"/>
                <w:sz w:val="24"/>
                <w:szCs w:val="24"/>
                <w:highlight w:val="none"/>
                <w:vertAlign w:val="subscript"/>
              </w:rPr>
              <w:t>1</w:t>
            </w:r>
            <w:r>
              <w:rPr>
                <w:rFonts w:hint="default" w:ascii="Times New Roman" w:hAnsi="Times New Roman" w:eastAsia="宋体" w:cs="Times New Roman"/>
                <w:i/>
                <w:color w:val="auto"/>
                <w:position w:val="-3"/>
                <w:sz w:val="24"/>
                <w:szCs w:val="24"/>
                <w:highlight w:val="none"/>
                <w:vertAlign w:val="subscript"/>
              </w:rPr>
              <w:t>i</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T</w:t>
            </w:r>
            <w:r>
              <w:rPr>
                <w:rFonts w:hint="default" w:ascii="Times New Roman" w:hAnsi="Times New Roman" w:eastAsia="宋体" w:cs="Times New Roman"/>
                <w:color w:val="auto"/>
                <w:spacing w:val="7"/>
                <w:sz w:val="24"/>
                <w:szCs w:val="24"/>
                <w:highlight w:val="none"/>
              </w:rPr>
              <w:t>)</w:t>
            </w:r>
            <w:r>
              <w:rPr>
                <w:rFonts w:hint="default" w:ascii="Times New Roman" w:hAnsi="Times New Roman" w:eastAsia="宋体" w:cs="Times New Roman"/>
                <w:color w:val="auto"/>
                <w:position w:val="1"/>
                <w:sz w:val="24"/>
                <w:szCs w:val="24"/>
                <w:highlight w:val="none"/>
              </w:rPr>
              <w:t>——</w:t>
            </w:r>
            <w:r>
              <w:rPr>
                <w:rFonts w:hint="default" w:ascii="Times New Roman" w:hAnsi="Times New Roman" w:eastAsia="宋体" w:cs="Times New Roman"/>
                <w:color w:val="auto"/>
                <w:spacing w:val="-9"/>
                <w:position w:val="1"/>
                <w:sz w:val="24"/>
                <w:szCs w:val="24"/>
                <w:highlight w:val="none"/>
              </w:rPr>
              <w:t>靠近围护结构处室内</w:t>
            </w:r>
            <w:r>
              <w:rPr>
                <w:rFonts w:hint="default" w:ascii="Times New Roman" w:hAnsi="Times New Roman" w:eastAsia="宋体" w:cs="Times New Roman"/>
                <w:i/>
                <w:color w:val="auto"/>
                <w:position w:val="1"/>
                <w:sz w:val="24"/>
                <w:szCs w:val="24"/>
                <w:highlight w:val="none"/>
              </w:rPr>
              <w:t>N</w:t>
            </w:r>
            <w:r>
              <w:rPr>
                <w:rFonts w:hint="default" w:ascii="Times New Roman" w:hAnsi="Times New Roman" w:eastAsia="宋体" w:cs="Times New Roman"/>
                <w:color w:val="auto"/>
                <w:spacing w:val="-17"/>
                <w:position w:val="1"/>
                <w:sz w:val="24"/>
                <w:szCs w:val="24"/>
                <w:highlight w:val="none"/>
              </w:rPr>
              <w:t>个声源</w:t>
            </w:r>
            <w:r>
              <w:rPr>
                <w:rFonts w:hint="default" w:ascii="Times New Roman" w:hAnsi="Times New Roman" w:eastAsia="宋体" w:cs="Times New Roman"/>
                <w:i/>
                <w:color w:val="auto"/>
                <w:position w:val="1"/>
                <w:sz w:val="24"/>
                <w:szCs w:val="24"/>
                <w:highlight w:val="none"/>
              </w:rPr>
              <w:t>i</w:t>
            </w:r>
            <w:r>
              <w:rPr>
                <w:rFonts w:hint="default" w:ascii="Times New Roman" w:hAnsi="Times New Roman" w:eastAsia="宋体" w:cs="Times New Roman"/>
                <w:color w:val="auto"/>
                <w:spacing w:val="-3"/>
                <w:position w:val="1"/>
                <w:sz w:val="24"/>
                <w:szCs w:val="24"/>
                <w:highlight w:val="none"/>
              </w:rPr>
              <w:t>倍频带的叠加声压级，</w:t>
            </w:r>
            <w:r>
              <w:rPr>
                <w:rFonts w:hint="default" w:ascii="Times New Roman" w:hAnsi="Times New Roman" w:eastAsia="宋体" w:cs="Times New Roman"/>
                <w:color w:val="auto"/>
                <w:position w:val="1"/>
                <w:sz w:val="24"/>
                <w:szCs w:val="24"/>
                <w:highlight w:val="none"/>
              </w:rPr>
              <w:t>dB；</w:t>
            </w:r>
          </w:p>
          <w:p w14:paraId="7ED0C471">
            <w:pPr>
              <w:keepNext w:val="0"/>
              <w:keepLines w:val="0"/>
              <w:pageBreakBefore w:val="0"/>
              <w:kinsoku/>
              <w:wordWrap/>
              <w:overflowPunct/>
              <w:topLinePunct w:val="0"/>
              <w:autoSpaceDE/>
              <w:autoSpaceDN/>
              <w:bidi w:val="0"/>
              <w:adjustRightInd w:val="0"/>
              <w:snapToGrid w:val="0"/>
              <w:spacing w:line="360" w:lineRule="auto"/>
              <w:ind w:right="441" w:firstLine="114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pacing w:val="-6"/>
                <w:position w:val="3"/>
                <w:sz w:val="24"/>
                <w:szCs w:val="24"/>
                <w:highlight w:val="none"/>
              </w:rPr>
              <w:t>TL</w:t>
            </w:r>
            <w:r>
              <w:rPr>
                <w:rFonts w:hint="default" w:ascii="Times New Roman" w:hAnsi="Times New Roman" w:eastAsia="宋体" w:cs="Times New Roman"/>
                <w:i/>
                <w:color w:val="auto"/>
                <w:spacing w:val="-6"/>
                <w:position w:val="-2"/>
                <w:sz w:val="24"/>
                <w:szCs w:val="24"/>
                <w:highlight w:val="none"/>
              </w:rPr>
              <w:t>i</w:t>
            </w:r>
            <w:r>
              <w:rPr>
                <w:rFonts w:hint="default" w:ascii="Times New Roman" w:hAnsi="Times New Roman" w:eastAsia="宋体" w:cs="Times New Roman"/>
                <w:i/>
                <w:color w:val="auto"/>
                <w:spacing w:val="6"/>
                <w:position w:val="-2"/>
                <w:sz w:val="24"/>
                <w:szCs w:val="24"/>
                <w:highlight w:val="none"/>
              </w:rPr>
              <w:t xml:space="preserve"> </w:t>
            </w:r>
            <w:r>
              <w:rPr>
                <w:rFonts w:hint="default" w:ascii="Times New Roman" w:hAnsi="Times New Roman" w:eastAsia="宋体" w:cs="Times New Roman"/>
                <w:color w:val="auto"/>
                <w:position w:val="1"/>
                <w:sz w:val="24"/>
                <w:szCs w:val="24"/>
                <w:highlight w:val="none"/>
              </w:rPr>
              <w:t>——</w:t>
            </w:r>
            <w:r>
              <w:rPr>
                <w:rFonts w:hint="default" w:ascii="Times New Roman" w:hAnsi="Times New Roman" w:eastAsia="宋体" w:cs="Times New Roman"/>
                <w:color w:val="auto"/>
                <w:spacing w:val="-13"/>
                <w:sz w:val="24"/>
                <w:szCs w:val="24"/>
                <w:highlight w:val="none"/>
              </w:rPr>
              <w:t>围护结构</w:t>
            </w:r>
            <w:r>
              <w:rPr>
                <w:rFonts w:hint="default" w:ascii="Times New Roman" w:hAnsi="Times New Roman" w:eastAsia="宋体" w:cs="Times New Roman"/>
                <w:i/>
                <w:color w:val="auto"/>
                <w:position w:val="1"/>
                <w:sz w:val="24"/>
                <w:szCs w:val="24"/>
                <w:highlight w:val="none"/>
              </w:rPr>
              <w:t>i</w:t>
            </w:r>
            <w:r>
              <w:rPr>
                <w:rFonts w:hint="default" w:ascii="Times New Roman" w:hAnsi="Times New Roman" w:eastAsia="宋体" w:cs="Times New Roman"/>
                <w:color w:val="auto"/>
                <w:spacing w:val="-3"/>
                <w:sz w:val="24"/>
                <w:szCs w:val="24"/>
                <w:highlight w:val="none"/>
              </w:rPr>
              <w:t>倍频带的隔声量，</w:t>
            </w:r>
            <w:r>
              <w:rPr>
                <w:rFonts w:hint="default" w:ascii="Times New Roman" w:hAnsi="Times New Roman" w:eastAsia="宋体" w:cs="Times New Roman"/>
                <w:color w:val="auto"/>
                <w:position w:val="1"/>
                <w:sz w:val="24"/>
                <w:szCs w:val="24"/>
                <w:highlight w:val="none"/>
              </w:rPr>
              <w:t>dB</w:t>
            </w:r>
            <w:r>
              <w:rPr>
                <w:rFonts w:hint="eastAsia" w:cs="Times New Roman"/>
                <w:color w:val="auto"/>
                <w:position w:val="1"/>
                <w:sz w:val="24"/>
                <w:szCs w:val="24"/>
                <w:highlight w:val="none"/>
                <w:lang w:eastAsia="zh-CN"/>
              </w:rPr>
              <w:t>；</w:t>
            </w:r>
            <w:r>
              <w:rPr>
                <w:rFonts w:hint="eastAsia" w:cs="Times New Roman"/>
                <w:color w:val="auto"/>
                <w:spacing w:val="0"/>
                <w:kern w:val="21"/>
                <w:sz w:val="24"/>
                <w:szCs w:val="24"/>
                <w:highlight w:val="none"/>
                <w:u w:val="none"/>
                <w:lang w:val="en-US" w:eastAsia="zh-CN"/>
              </w:rPr>
              <w:t>本项目厂</w:t>
            </w:r>
            <w:r>
              <w:rPr>
                <w:rFonts w:hint="eastAsia" w:ascii="Times New Roman" w:hAnsi="Times New Roman" w:eastAsia="宋体" w:cs="Times New Roman"/>
                <w:color w:val="auto"/>
                <w:spacing w:val="0"/>
                <w:kern w:val="21"/>
                <w:sz w:val="24"/>
                <w:szCs w:val="24"/>
                <w:highlight w:val="none"/>
                <w:u w:val="none"/>
                <w:lang w:val="en-US" w:eastAsia="zh-CN"/>
              </w:rPr>
              <w:t>房的隔声量TL</w:t>
            </w:r>
            <w:r>
              <w:rPr>
                <w:rFonts w:hint="eastAsia" w:cs="Times New Roman"/>
                <w:color w:val="auto"/>
                <w:spacing w:val="0"/>
                <w:kern w:val="21"/>
                <w:sz w:val="24"/>
                <w:szCs w:val="24"/>
                <w:highlight w:val="none"/>
                <w:u w:val="none"/>
                <w:lang w:val="en-US" w:eastAsia="zh-CN"/>
              </w:rPr>
              <w:t>为20dB</w:t>
            </w:r>
            <w:r>
              <w:rPr>
                <w:rFonts w:hint="eastAsia" w:ascii="Times New Roman" w:hAnsi="Times New Roman" w:eastAsia="宋体" w:cs="Times New Roman"/>
                <w:color w:val="auto"/>
                <w:spacing w:val="0"/>
                <w:kern w:val="21"/>
                <w:sz w:val="24"/>
                <w:szCs w:val="24"/>
                <w:highlight w:val="none"/>
                <w:u w:val="none"/>
                <w:lang w:val="en-US" w:eastAsia="zh-CN"/>
              </w:rPr>
              <w:t>。</w:t>
            </w:r>
          </w:p>
          <w:p w14:paraId="281F830A">
            <w:pPr>
              <w:pStyle w:val="17"/>
              <w:keepNext w:val="0"/>
              <w:keepLines w:val="0"/>
              <w:pageBreakBefore w:val="0"/>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然后按式（B.5）将室外声源的声压级和透过面积换算成等效的室外声源，计算出中心位置位于透声面积（S）处的等效声源的倍频带声功率级。</w:t>
            </w:r>
          </w:p>
          <w:p w14:paraId="0D7BDAF6">
            <w:pPr>
              <w:keepNext w:val="0"/>
              <w:keepLines w:val="0"/>
              <w:pageBreakBefore w:val="0"/>
              <w:widowControl w:val="0"/>
              <w:kinsoku/>
              <w:wordWrap/>
              <w:overflowPunct/>
              <w:topLinePunct w:val="0"/>
              <w:autoSpaceDE/>
              <w:autoSpaceDN/>
              <w:bidi w:val="0"/>
              <w:adjustRightInd w:val="0"/>
              <w:snapToGrid w:val="0"/>
              <w:spacing w:before="63" w:beforeLines="20" w:after="63" w:afterLines="20" w:line="360" w:lineRule="auto"/>
              <w:ind w:right="0"/>
              <w:jc w:val="center"/>
              <w:textAlignment w:val="auto"/>
              <w:rPr>
                <w:rFonts w:hint="default" w:ascii="Times New Roman" w:hAnsi="Times New Roman" w:eastAsia="宋体" w:cs="Times New Roman"/>
                <w:i/>
                <w:color w:val="auto"/>
                <w:sz w:val="24"/>
                <w:szCs w:val="24"/>
                <w:highlight w:val="none"/>
              </w:rPr>
            </w:pPr>
            <w:r>
              <w:rPr>
                <w:rFonts w:hint="default" w:ascii="Times New Roman" w:hAnsi="Times New Roman" w:eastAsia="宋体" w:cs="Times New Roman"/>
                <w:i/>
                <w:color w:val="auto"/>
                <w:w w:val="120"/>
                <w:sz w:val="24"/>
                <w:szCs w:val="24"/>
                <w:highlight w:val="none"/>
              </w:rPr>
              <w:t>L</w:t>
            </w:r>
            <w:r>
              <w:rPr>
                <w:rFonts w:hint="default" w:ascii="Times New Roman" w:hAnsi="Times New Roman" w:eastAsia="宋体" w:cs="Times New Roman"/>
                <w:i/>
                <w:color w:val="auto"/>
                <w:w w:val="120"/>
                <w:position w:val="-4"/>
                <w:sz w:val="24"/>
                <w:szCs w:val="24"/>
                <w:highlight w:val="none"/>
              </w:rPr>
              <w:t>w</w:t>
            </w:r>
            <w:r>
              <w:rPr>
                <w:rFonts w:hint="eastAsia" w:ascii="Times New Roman" w:hAnsi="Times New Roman" w:eastAsia="宋体" w:cs="Times New Roman"/>
                <w:color w:val="auto"/>
                <w:w w:val="120"/>
                <w:sz w:val="24"/>
                <w:szCs w:val="24"/>
                <w:highlight w:val="none"/>
                <w:lang w:val="en-US" w:eastAsia="zh-CN"/>
              </w:rPr>
              <w:t>=</w:t>
            </w:r>
            <w:r>
              <w:rPr>
                <w:rFonts w:hint="default" w:ascii="Times New Roman" w:hAnsi="Times New Roman" w:eastAsia="宋体" w:cs="Times New Roman"/>
                <w:i/>
                <w:color w:val="auto"/>
                <w:w w:val="120"/>
                <w:sz w:val="24"/>
                <w:szCs w:val="24"/>
                <w:highlight w:val="none"/>
              </w:rPr>
              <w:t>L</w:t>
            </w:r>
            <w:r>
              <w:rPr>
                <w:rFonts w:hint="default" w:ascii="Times New Roman" w:hAnsi="Times New Roman" w:eastAsia="宋体" w:cs="Times New Roman"/>
                <w:i/>
                <w:color w:val="auto"/>
                <w:w w:val="120"/>
                <w:position w:val="-4"/>
                <w:sz w:val="24"/>
                <w:szCs w:val="24"/>
                <w:highlight w:val="none"/>
                <w:vertAlign w:val="subscript"/>
              </w:rPr>
              <w:t>p</w:t>
            </w:r>
            <w:r>
              <w:rPr>
                <w:rFonts w:hint="default" w:ascii="Times New Roman" w:hAnsi="Times New Roman" w:eastAsia="宋体" w:cs="Times New Roman"/>
                <w:color w:val="auto"/>
                <w:w w:val="120"/>
                <w:position w:val="-4"/>
                <w:sz w:val="24"/>
                <w:szCs w:val="24"/>
                <w:highlight w:val="none"/>
                <w:vertAlign w:val="subscript"/>
              </w:rPr>
              <w:t>2</w:t>
            </w:r>
            <w:r>
              <w:rPr>
                <w:rFonts w:hint="default" w:ascii="Times New Roman" w:hAnsi="Times New Roman" w:eastAsia="宋体" w:cs="Times New Roman"/>
                <w:color w:val="auto"/>
                <w:w w:val="120"/>
                <w:sz w:val="24"/>
                <w:szCs w:val="24"/>
                <w:highlight w:val="none"/>
              </w:rPr>
              <w:t>(</w:t>
            </w:r>
            <w:r>
              <w:rPr>
                <w:rFonts w:hint="default" w:ascii="Times New Roman" w:hAnsi="Times New Roman" w:eastAsia="宋体" w:cs="Times New Roman"/>
                <w:i/>
                <w:color w:val="auto"/>
                <w:w w:val="120"/>
                <w:sz w:val="24"/>
                <w:szCs w:val="24"/>
                <w:highlight w:val="none"/>
              </w:rPr>
              <w:t>T</w:t>
            </w:r>
            <w:r>
              <w:rPr>
                <w:rFonts w:hint="default" w:ascii="Times New Roman" w:hAnsi="Times New Roman" w:eastAsia="宋体" w:cs="Times New Roman"/>
                <w:color w:val="auto"/>
                <w:w w:val="120"/>
                <w:sz w:val="24"/>
                <w:szCs w:val="24"/>
                <w:highlight w:val="none"/>
              </w:rPr>
              <w:t>)</w:t>
            </w:r>
            <w:r>
              <w:rPr>
                <w:rFonts w:hint="eastAsia" w:ascii="Times New Roman" w:hAnsi="Times New Roman" w:eastAsia="宋体" w:cs="Times New Roman"/>
                <w:color w:val="auto"/>
                <w:w w:val="120"/>
                <w:sz w:val="24"/>
                <w:szCs w:val="24"/>
                <w:highlight w:val="none"/>
                <w:lang w:val="en-US" w:eastAsia="zh-CN"/>
              </w:rPr>
              <w:t>+</w:t>
            </w:r>
            <w:r>
              <w:rPr>
                <w:rFonts w:hint="default" w:ascii="Times New Roman" w:hAnsi="Times New Roman" w:eastAsia="宋体" w:cs="Times New Roman"/>
                <w:color w:val="auto"/>
                <w:w w:val="120"/>
                <w:sz w:val="24"/>
                <w:szCs w:val="24"/>
                <w:highlight w:val="none"/>
              </w:rPr>
              <w:t>10lg</w:t>
            </w:r>
            <w:r>
              <w:rPr>
                <w:rFonts w:hint="default" w:ascii="Times New Roman" w:hAnsi="Times New Roman" w:eastAsia="宋体" w:cs="Times New Roman"/>
                <w:i/>
                <w:color w:val="auto"/>
                <w:w w:val="120"/>
                <w:sz w:val="24"/>
                <w:szCs w:val="24"/>
                <w:highlight w:val="none"/>
              </w:rPr>
              <w:t>S</w:t>
            </w:r>
          </w:p>
          <w:p w14:paraId="4DEDBB9F">
            <w:pPr>
              <w:pStyle w:val="17"/>
              <w:keepNext w:val="0"/>
              <w:keepLines w:val="0"/>
              <w:pageBreakBefore w:val="0"/>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2"/>
                <w:sz w:val="24"/>
                <w:szCs w:val="24"/>
                <w:highlight w:val="none"/>
              </w:rPr>
              <w:t>式中：</w:t>
            </w:r>
            <w:r>
              <w:rPr>
                <w:rFonts w:hint="default" w:ascii="Times New Roman" w:hAnsi="Times New Roman" w:eastAsia="宋体" w:cs="Times New Roman"/>
                <w:i/>
                <w:color w:val="auto"/>
                <w:position w:val="3"/>
                <w:sz w:val="24"/>
                <w:szCs w:val="24"/>
                <w:highlight w:val="none"/>
              </w:rPr>
              <w:t>L</w:t>
            </w:r>
            <w:r>
              <w:rPr>
                <w:rFonts w:hint="default" w:ascii="Times New Roman" w:hAnsi="Times New Roman" w:eastAsia="宋体" w:cs="Times New Roman"/>
                <w:i/>
                <w:color w:val="auto"/>
                <w:sz w:val="24"/>
                <w:szCs w:val="24"/>
                <w:highlight w:val="none"/>
              </w:rPr>
              <w:t xml:space="preserve">w </w:t>
            </w:r>
            <w:r>
              <w:rPr>
                <w:rFonts w:hint="default" w:ascii="Times New Roman" w:hAnsi="Times New Roman" w:eastAsia="宋体" w:cs="Times New Roman"/>
                <w:color w:val="auto"/>
                <w:position w:val="3"/>
                <w:sz w:val="24"/>
                <w:szCs w:val="24"/>
                <w:highlight w:val="none"/>
              </w:rPr>
              <w:t>——</w:t>
            </w:r>
            <w:r>
              <w:rPr>
                <w:rFonts w:hint="default" w:ascii="Times New Roman" w:hAnsi="Times New Roman" w:eastAsia="宋体" w:cs="Times New Roman"/>
                <w:color w:val="auto"/>
                <w:position w:val="2"/>
                <w:sz w:val="24"/>
                <w:szCs w:val="24"/>
                <w:highlight w:val="none"/>
              </w:rPr>
              <w:t>中心位置位于透声面积（</w:t>
            </w:r>
            <w:r>
              <w:rPr>
                <w:rFonts w:hint="default" w:ascii="Times New Roman" w:hAnsi="Times New Roman" w:eastAsia="宋体" w:cs="Times New Roman"/>
                <w:i/>
                <w:color w:val="auto"/>
                <w:position w:val="3"/>
                <w:sz w:val="24"/>
                <w:szCs w:val="24"/>
                <w:highlight w:val="none"/>
              </w:rPr>
              <w:t>S</w:t>
            </w:r>
            <w:r>
              <w:rPr>
                <w:rFonts w:hint="default" w:ascii="Times New Roman" w:hAnsi="Times New Roman" w:eastAsia="宋体" w:cs="Times New Roman"/>
                <w:color w:val="auto"/>
                <w:position w:val="2"/>
                <w:sz w:val="24"/>
                <w:szCs w:val="24"/>
                <w:highlight w:val="none"/>
              </w:rPr>
              <w:t>）处的等效声源的倍频带声功率级，</w:t>
            </w:r>
            <w:r>
              <w:rPr>
                <w:rFonts w:hint="default" w:ascii="Times New Roman" w:hAnsi="Times New Roman" w:eastAsia="宋体" w:cs="Times New Roman"/>
                <w:color w:val="auto"/>
                <w:position w:val="3"/>
                <w:sz w:val="24"/>
                <w:szCs w:val="24"/>
                <w:highlight w:val="none"/>
              </w:rPr>
              <w:t>dB</w:t>
            </w:r>
            <w:r>
              <w:rPr>
                <w:rFonts w:hint="default" w:ascii="Times New Roman" w:hAnsi="Times New Roman" w:eastAsia="宋体" w:cs="Times New Roman"/>
                <w:color w:val="auto"/>
                <w:position w:val="2"/>
                <w:sz w:val="24"/>
                <w:szCs w:val="24"/>
                <w:highlight w:val="none"/>
              </w:rPr>
              <w:t>；</w:t>
            </w:r>
          </w:p>
          <w:p w14:paraId="583A8D5C">
            <w:pPr>
              <w:pStyle w:val="17"/>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i/>
                <w:color w:val="auto"/>
                <w:position w:val="1"/>
                <w:sz w:val="24"/>
                <w:szCs w:val="24"/>
                <w:highlight w:val="none"/>
              </w:rPr>
              <w:t>L</w:t>
            </w:r>
            <w:r>
              <w:rPr>
                <w:rFonts w:hint="default" w:ascii="Times New Roman" w:hAnsi="Times New Roman" w:eastAsia="宋体" w:cs="Times New Roman"/>
                <w:i/>
                <w:color w:val="auto"/>
                <w:position w:val="1"/>
                <w:sz w:val="24"/>
                <w:szCs w:val="24"/>
                <w:highlight w:val="none"/>
                <w:vertAlign w:val="subscript"/>
              </w:rPr>
              <w:t>p</w:t>
            </w:r>
            <w:r>
              <w:rPr>
                <w:rFonts w:hint="default" w:ascii="Times New Roman" w:hAnsi="Times New Roman" w:eastAsia="宋体" w:cs="Times New Roman"/>
                <w:color w:val="auto"/>
                <w:position w:val="1"/>
                <w:sz w:val="24"/>
                <w:szCs w:val="24"/>
                <w:highlight w:val="none"/>
                <w:vertAlign w:val="subscript"/>
              </w:rPr>
              <w:t>2</w:t>
            </w:r>
            <w:r>
              <w:rPr>
                <w:rFonts w:hint="default" w:ascii="Times New Roman" w:hAnsi="Times New Roman" w:eastAsia="宋体" w:cs="Times New Roman"/>
                <w:color w:val="auto"/>
                <w:position w:val="1"/>
                <w:sz w:val="24"/>
                <w:szCs w:val="24"/>
                <w:highlight w:val="none"/>
                <w:vertAlign w:val="baseline"/>
              </w:rPr>
              <w:t>(</w:t>
            </w:r>
            <w:r>
              <w:rPr>
                <w:rFonts w:hint="default" w:ascii="Times New Roman" w:hAnsi="Times New Roman" w:eastAsia="宋体" w:cs="Times New Roman"/>
                <w:i/>
                <w:color w:val="auto"/>
                <w:position w:val="1"/>
                <w:sz w:val="24"/>
                <w:szCs w:val="24"/>
                <w:highlight w:val="none"/>
                <w:vertAlign w:val="baseline"/>
              </w:rPr>
              <w:t>T</w:t>
            </w:r>
            <w:r>
              <w:rPr>
                <w:rFonts w:hint="default" w:ascii="Times New Roman" w:hAnsi="Times New Roman" w:eastAsia="宋体" w:cs="Times New Roman"/>
                <w:color w:val="auto"/>
                <w:position w:val="1"/>
                <w:sz w:val="24"/>
                <w:szCs w:val="24"/>
                <w:highlight w:val="none"/>
                <w:vertAlign w:val="baseline"/>
              </w:rPr>
              <w:t>)——</w:t>
            </w:r>
            <w:r>
              <w:rPr>
                <w:rFonts w:hint="default" w:ascii="Times New Roman" w:hAnsi="Times New Roman" w:eastAsia="宋体" w:cs="Times New Roman"/>
                <w:color w:val="auto"/>
                <w:sz w:val="24"/>
                <w:szCs w:val="24"/>
                <w:highlight w:val="none"/>
                <w:vertAlign w:val="baseline"/>
              </w:rPr>
              <w:t>靠近围护结构处室外声源的声压级，</w:t>
            </w:r>
            <w:r>
              <w:rPr>
                <w:rFonts w:hint="default" w:ascii="Times New Roman" w:hAnsi="Times New Roman" w:eastAsia="宋体" w:cs="Times New Roman"/>
                <w:color w:val="auto"/>
                <w:position w:val="1"/>
                <w:sz w:val="24"/>
                <w:szCs w:val="24"/>
                <w:highlight w:val="none"/>
                <w:vertAlign w:val="baseline"/>
              </w:rPr>
              <w:t>dB</w:t>
            </w:r>
            <w:r>
              <w:rPr>
                <w:rFonts w:hint="default" w:ascii="Times New Roman" w:hAnsi="Times New Roman" w:eastAsia="宋体" w:cs="Times New Roman"/>
                <w:color w:val="auto"/>
                <w:sz w:val="24"/>
                <w:szCs w:val="24"/>
                <w:highlight w:val="none"/>
                <w:vertAlign w:val="baseline"/>
              </w:rPr>
              <w:t>；</w:t>
            </w:r>
          </w:p>
          <w:p w14:paraId="146B65E2">
            <w:pPr>
              <w:pStyle w:val="17"/>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position w:val="1"/>
                <w:sz w:val="24"/>
                <w:szCs w:val="24"/>
                <w:highlight w:val="none"/>
                <w:vertAlign w:val="baseline"/>
              </w:rPr>
              <w:t>S</w:t>
            </w:r>
            <w:r>
              <w:rPr>
                <w:rFonts w:hint="default" w:ascii="Times New Roman" w:hAnsi="Times New Roman" w:eastAsia="宋体" w:cs="Times New Roman"/>
                <w:color w:val="auto"/>
                <w:position w:val="1"/>
                <w:sz w:val="24"/>
                <w:szCs w:val="24"/>
                <w:highlight w:val="none"/>
                <w:vertAlign w:val="baseline"/>
              </w:rPr>
              <w:t>——</w:t>
            </w:r>
            <w:r>
              <w:rPr>
                <w:rFonts w:hint="default" w:ascii="Times New Roman" w:hAnsi="Times New Roman" w:eastAsia="宋体" w:cs="Times New Roman"/>
                <w:color w:val="auto"/>
                <w:sz w:val="24"/>
                <w:szCs w:val="24"/>
                <w:highlight w:val="none"/>
                <w:vertAlign w:val="baseline"/>
              </w:rPr>
              <w:t>透声面积，</w:t>
            </w:r>
            <w:r>
              <w:rPr>
                <w:rFonts w:hint="default" w:ascii="Times New Roman" w:hAnsi="Times New Roman" w:eastAsia="宋体" w:cs="Times New Roman"/>
                <w:color w:val="auto"/>
                <w:position w:val="1"/>
                <w:sz w:val="24"/>
                <w:szCs w:val="24"/>
                <w:highlight w:val="none"/>
                <w:vertAlign w:val="baseline"/>
              </w:rPr>
              <w:t>m</w:t>
            </w:r>
            <w:r>
              <w:rPr>
                <w:rFonts w:hint="default" w:ascii="Times New Roman" w:hAnsi="Times New Roman" w:eastAsia="宋体" w:cs="Times New Roman"/>
                <w:color w:val="auto"/>
                <w:position w:val="1"/>
                <w:sz w:val="24"/>
                <w:szCs w:val="24"/>
                <w:highlight w:val="none"/>
                <w:vertAlign w:val="superscript"/>
              </w:rPr>
              <w:t>2</w:t>
            </w:r>
            <w:r>
              <w:rPr>
                <w:rFonts w:hint="default" w:ascii="Times New Roman" w:hAnsi="Times New Roman" w:eastAsia="宋体" w:cs="Times New Roman"/>
                <w:color w:val="auto"/>
                <w:sz w:val="24"/>
                <w:szCs w:val="24"/>
                <w:highlight w:val="none"/>
                <w:vertAlign w:val="baseline"/>
              </w:rPr>
              <w:t>。</w:t>
            </w:r>
          </w:p>
          <w:p w14:paraId="515547C4">
            <w:pPr>
              <w:pStyle w:val="2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项目主要噪声源对预测点贡献值的计算</w:t>
            </w:r>
            <w:r>
              <w:rPr>
                <w:rFonts w:hint="eastAsia" w:ascii="Times New Roman" w:eastAsia="宋体" w:cs="Times New Roman"/>
                <w:b w:val="0"/>
                <w:bCs w:val="0"/>
                <w:color w:val="auto"/>
                <w:sz w:val="24"/>
                <w:szCs w:val="24"/>
                <w:highlight w:val="none"/>
                <w:lang w:val="en-US" w:eastAsia="zh-CN"/>
              </w:rPr>
              <w:t>（作为保险系数）</w:t>
            </w:r>
            <w:r>
              <w:rPr>
                <w:rFonts w:hint="eastAsia" w:ascii="Times New Roman" w:hAnsi="Times New Roman" w:eastAsia="宋体" w:cs="Times New Roman"/>
                <w:b w:val="0"/>
                <w:bCs w:val="0"/>
                <w:color w:val="auto"/>
                <w:sz w:val="24"/>
                <w:szCs w:val="24"/>
                <w:highlight w:val="none"/>
                <w:lang w:val="en-US" w:eastAsia="zh-CN"/>
              </w:rPr>
              <w:t>不考虑大气吸收引起的衰减，地面效应引起的衰减，以及其他多方面效应引起的衰减；在只考虑几何发散衰减的情况下，按照</w:t>
            </w:r>
            <w:r>
              <w:rPr>
                <w:rFonts w:hint="default" w:ascii="Times New Roman" w:hAnsi="Times New Roman" w:eastAsia="宋体" w:cs="Times New Roman"/>
                <w:color w:val="auto"/>
                <w:spacing w:val="0"/>
                <w:kern w:val="21"/>
                <w:sz w:val="24"/>
                <w:szCs w:val="24"/>
                <w:highlight w:val="none"/>
                <w:u w:val="none"/>
                <w:lang w:val="de-DE"/>
              </w:rPr>
              <w:t>《环境影响评价技术导则</w:t>
            </w:r>
            <w:r>
              <w:rPr>
                <w:rFonts w:hint="default" w:ascii="Times New Roman" w:hAnsi="Times New Roman" w:cs="Times New Roman"/>
                <w:color w:val="auto"/>
                <w:spacing w:val="0"/>
                <w:kern w:val="21"/>
                <w:sz w:val="24"/>
                <w:szCs w:val="24"/>
                <w:highlight w:val="none"/>
                <w:u w:val="none"/>
                <w:lang w:val="de-DE" w:eastAsia="zh-CN"/>
              </w:rPr>
              <w:t>－</w:t>
            </w:r>
            <w:r>
              <w:rPr>
                <w:rFonts w:hint="default" w:ascii="Times New Roman" w:hAnsi="Times New Roman" w:eastAsia="宋体" w:cs="Times New Roman"/>
                <w:color w:val="auto"/>
                <w:spacing w:val="0"/>
                <w:kern w:val="21"/>
                <w:sz w:val="24"/>
                <w:szCs w:val="24"/>
                <w:highlight w:val="none"/>
                <w:u w:val="none"/>
                <w:lang w:val="de-DE"/>
              </w:rPr>
              <w:t>声环境》</w:t>
            </w:r>
            <w:r>
              <w:rPr>
                <w:rFonts w:hint="default" w:ascii="Times New Roman" w:hAnsi="Times New Roman" w:cs="Times New Roman"/>
                <w:color w:val="auto"/>
                <w:spacing w:val="0"/>
                <w:kern w:val="21"/>
                <w:sz w:val="24"/>
                <w:szCs w:val="24"/>
                <w:highlight w:val="none"/>
                <w:u w:val="none"/>
                <w:lang w:val="de-DE" w:eastAsia="zh-CN"/>
              </w:rPr>
              <w:t>（</w:t>
            </w:r>
            <w:r>
              <w:rPr>
                <w:rFonts w:hint="default" w:ascii="Times New Roman" w:hAnsi="Times New Roman" w:cs="Times New Roman"/>
                <w:color w:val="auto"/>
                <w:spacing w:val="0"/>
                <w:kern w:val="21"/>
                <w:sz w:val="24"/>
                <w:szCs w:val="24"/>
                <w:highlight w:val="none"/>
                <w:u w:val="none"/>
                <w:lang w:val="en-US" w:eastAsia="zh-CN"/>
              </w:rPr>
              <w:t>HJ2.4-2021</w:t>
            </w:r>
            <w:r>
              <w:rPr>
                <w:rFonts w:hint="default" w:ascii="Times New Roman" w:hAnsi="Times New Roman" w:cs="Times New Roman"/>
                <w:color w:val="auto"/>
                <w:spacing w:val="0"/>
                <w:kern w:val="21"/>
                <w:sz w:val="24"/>
                <w:szCs w:val="24"/>
                <w:highlight w:val="none"/>
                <w:u w:val="none"/>
                <w:lang w:val="de-DE" w:eastAsia="zh-CN"/>
              </w:rPr>
              <w:t>）</w:t>
            </w:r>
            <w:r>
              <w:rPr>
                <w:rFonts w:hint="default" w:ascii="Times New Roman" w:hAnsi="Times New Roman" w:eastAsia="宋体" w:cs="Times New Roman"/>
                <w:color w:val="auto"/>
                <w:spacing w:val="0"/>
                <w:kern w:val="21"/>
                <w:sz w:val="24"/>
                <w:szCs w:val="24"/>
                <w:highlight w:val="none"/>
                <w:u w:val="none"/>
                <w:lang w:val="de-DE"/>
              </w:rPr>
              <w:t>中</w:t>
            </w:r>
            <w:r>
              <w:rPr>
                <w:rFonts w:hint="eastAsia" w:ascii="Times New Roman" w:hAnsi="Times New Roman" w:eastAsia="宋体" w:cs="Times New Roman"/>
                <w:color w:val="auto"/>
                <w:spacing w:val="0"/>
                <w:kern w:val="21"/>
                <w:sz w:val="24"/>
                <w:szCs w:val="24"/>
                <w:highlight w:val="none"/>
                <w:u w:val="none"/>
                <w:lang w:val="de-DE" w:eastAsia="zh-CN"/>
              </w:rPr>
              <w:t>附录</w:t>
            </w:r>
            <w:r>
              <w:rPr>
                <w:rFonts w:hint="eastAsia" w:ascii="Times New Roman" w:hAnsi="Times New Roman" w:eastAsia="宋体" w:cs="Times New Roman"/>
                <w:color w:val="auto"/>
                <w:spacing w:val="0"/>
                <w:kern w:val="21"/>
                <w:sz w:val="24"/>
                <w:szCs w:val="24"/>
                <w:highlight w:val="none"/>
                <w:u w:val="none"/>
                <w:lang w:val="en-US" w:eastAsia="zh-CN"/>
              </w:rPr>
              <w:t>A，式（A.4）计算</w:t>
            </w:r>
            <w:r>
              <w:rPr>
                <w:rFonts w:hint="eastAsia" w:ascii="Times New Roman" w:hAnsi="Times New Roman" w:eastAsia="宋体" w:cs="Times New Roman"/>
                <w:b w:val="0"/>
                <w:bCs w:val="0"/>
                <w:color w:val="auto"/>
                <w:sz w:val="24"/>
                <w:szCs w:val="24"/>
                <w:highlight w:val="none"/>
                <w:lang w:val="en-US" w:eastAsia="zh-CN"/>
              </w:rPr>
              <w:t>。</w:t>
            </w:r>
          </w:p>
          <w:p w14:paraId="027D656F">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0" w:firstLine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i/>
                <w:iCs/>
                <w:color w:val="auto"/>
                <w:sz w:val="24"/>
                <w:szCs w:val="24"/>
                <w:highlight w:val="none"/>
                <w:lang w:val="en-US" w:eastAsia="zh-CN"/>
              </w:rPr>
              <w:t>L</w:t>
            </w:r>
            <w:r>
              <w:rPr>
                <w:rFonts w:hint="eastAsia" w:ascii="Times New Roman" w:hAnsi="Times New Roman" w:eastAsia="宋体" w:cs="Times New Roman"/>
                <w:b w:val="0"/>
                <w:bCs w:val="0"/>
                <w:i/>
                <w:iCs/>
                <w:color w:val="auto"/>
                <w:sz w:val="24"/>
                <w:szCs w:val="24"/>
                <w:highlight w:val="none"/>
                <w:vertAlign w:val="subscript"/>
                <w:lang w:val="en-US" w:eastAsia="zh-CN"/>
              </w:rPr>
              <w:t>A</w:t>
            </w:r>
            <w:r>
              <w:rPr>
                <w:rFonts w:hint="eastAsia" w:ascii="Times New Roman" w:hAnsi="Times New Roman" w:eastAsia="宋体" w:cs="Times New Roman"/>
                <w:b w:val="0"/>
                <w:bCs w:val="0"/>
                <w:i/>
                <w:iCs/>
                <w:color w:val="auto"/>
                <w:sz w:val="24"/>
                <w:szCs w:val="24"/>
                <w:highlight w:val="none"/>
                <w:lang w:val="en-US" w:eastAsia="zh-CN"/>
              </w:rPr>
              <w:t>(r)</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i/>
                <w:iCs/>
                <w:color w:val="auto"/>
                <w:sz w:val="24"/>
                <w:szCs w:val="24"/>
                <w:highlight w:val="none"/>
                <w:lang w:val="en-US" w:eastAsia="zh-CN"/>
              </w:rPr>
              <w:t>L</w:t>
            </w:r>
            <w:r>
              <w:rPr>
                <w:rFonts w:hint="eastAsia" w:ascii="Times New Roman" w:hAnsi="Times New Roman" w:eastAsia="宋体" w:cs="Times New Roman"/>
                <w:b w:val="0"/>
                <w:bCs w:val="0"/>
                <w:i/>
                <w:iCs/>
                <w:color w:val="auto"/>
                <w:sz w:val="24"/>
                <w:szCs w:val="24"/>
                <w:highlight w:val="none"/>
                <w:vertAlign w:val="subscript"/>
                <w:lang w:val="en-US" w:eastAsia="zh-CN"/>
              </w:rPr>
              <w:t>A</w:t>
            </w:r>
            <w:r>
              <w:rPr>
                <w:rFonts w:hint="eastAsia" w:ascii="Times New Roman" w:hAnsi="Times New Roman" w:eastAsia="宋体" w:cs="Times New Roman"/>
                <w:b w:val="0"/>
                <w:bCs w:val="0"/>
                <w:i/>
                <w:iCs/>
                <w:color w:val="auto"/>
                <w:sz w:val="24"/>
                <w:szCs w:val="24"/>
                <w:highlight w:val="none"/>
                <w:lang w:val="en-US" w:eastAsia="zh-CN"/>
              </w:rPr>
              <w:t>(r</w:t>
            </w:r>
            <w:r>
              <w:rPr>
                <w:rFonts w:hint="eastAsia" w:ascii="Times New Roman" w:hAnsi="Times New Roman" w:eastAsia="宋体" w:cs="Times New Roman"/>
                <w:b w:val="0"/>
                <w:bCs w:val="0"/>
                <w:i/>
                <w:iCs/>
                <w:color w:val="auto"/>
                <w:sz w:val="24"/>
                <w:szCs w:val="24"/>
                <w:highlight w:val="none"/>
                <w:vertAlign w:val="subscript"/>
                <w:lang w:val="en-US" w:eastAsia="zh-CN"/>
              </w:rPr>
              <w:t>0</w:t>
            </w:r>
            <w:r>
              <w:rPr>
                <w:rFonts w:hint="eastAsia" w:ascii="Times New Roman" w:hAnsi="Times New Roman" w:eastAsia="宋体" w:cs="Times New Roman"/>
                <w:b w:val="0"/>
                <w:bCs w:val="0"/>
                <w:i/>
                <w:iCs/>
                <w:color w:val="auto"/>
                <w:sz w:val="24"/>
                <w:szCs w:val="24"/>
                <w:highlight w:val="none"/>
                <w:lang w:val="en-US" w:eastAsia="zh-CN"/>
              </w:rPr>
              <w:t>)-A</w:t>
            </w:r>
            <w:r>
              <w:rPr>
                <w:rFonts w:hint="eastAsia" w:ascii="Times New Roman" w:hAnsi="Times New Roman" w:eastAsia="宋体" w:cs="Times New Roman"/>
                <w:b w:val="0"/>
                <w:bCs w:val="0"/>
                <w:color w:val="auto"/>
                <w:sz w:val="24"/>
                <w:szCs w:val="24"/>
                <w:highlight w:val="none"/>
                <w:vertAlign w:val="subscript"/>
                <w:lang w:val="en-US" w:eastAsia="zh-CN"/>
              </w:rPr>
              <w:t>div</w:t>
            </w:r>
          </w:p>
          <w:p w14:paraId="0B33422E">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式中：</w:t>
            </w:r>
            <w:r>
              <w:rPr>
                <w:rFonts w:hint="eastAsia" w:ascii="Times New Roman" w:hAnsi="Times New Roman" w:eastAsia="宋体" w:cs="Times New Roman"/>
                <w:b w:val="0"/>
                <w:bCs w:val="0"/>
                <w:i/>
                <w:iCs/>
                <w:color w:val="auto"/>
                <w:sz w:val="24"/>
                <w:szCs w:val="24"/>
                <w:highlight w:val="none"/>
                <w:lang w:val="en-US" w:eastAsia="zh-CN"/>
              </w:rPr>
              <w:t>L</w:t>
            </w:r>
            <w:r>
              <w:rPr>
                <w:rFonts w:hint="eastAsia" w:ascii="Times New Roman" w:hAnsi="Times New Roman" w:eastAsia="宋体" w:cs="Times New Roman"/>
                <w:b w:val="0"/>
                <w:bCs w:val="0"/>
                <w:i/>
                <w:iCs/>
                <w:color w:val="auto"/>
                <w:sz w:val="24"/>
                <w:szCs w:val="24"/>
                <w:highlight w:val="none"/>
                <w:vertAlign w:val="subscript"/>
                <w:lang w:val="en-US" w:eastAsia="zh-CN"/>
              </w:rPr>
              <w:t>A</w:t>
            </w:r>
            <w:r>
              <w:rPr>
                <w:rFonts w:hint="eastAsia" w:ascii="Times New Roman" w:hAnsi="Times New Roman" w:eastAsia="宋体" w:cs="Times New Roman"/>
                <w:b w:val="0"/>
                <w:bCs w:val="0"/>
                <w:i/>
                <w:iCs/>
                <w:color w:val="auto"/>
                <w:sz w:val="24"/>
                <w:szCs w:val="24"/>
                <w:highlight w:val="none"/>
                <w:lang w:val="en-US" w:eastAsia="zh-CN"/>
              </w:rPr>
              <w:t>(r)</w:t>
            </w:r>
            <w:r>
              <w:rPr>
                <w:rFonts w:hint="eastAsia" w:ascii="Times New Roman" w:hAnsi="Times New Roman" w:eastAsia="宋体" w:cs="Times New Roman"/>
                <w:b w:val="0"/>
                <w:bCs w:val="0"/>
                <w:i w:val="0"/>
                <w:iCs w:val="0"/>
                <w:color w:val="auto"/>
                <w:sz w:val="24"/>
                <w:szCs w:val="24"/>
                <w:highlight w:val="none"/>
                <w:lang w:val="en-US" w:eastAsia="zh-CN"/>
              </w:rPr>
              <w:t>—距声源r处的A声级，dB(A)；</w:t>
            </w:r>
          </w:p>
          <w:p w14:paraId="393333DA">
            <w:pPr>
              <w:pStyle w:val="113"/>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eastAsia="宋体" w:cs="Times New Roman"/>
                <w:color w:val="auto"/>
                <w:spacing w:val="0"/>
                <w:kern w:val="21"/>
                <w:sz w:val="24"/>
                <w:szCs w:val="24"/>
                <w:highlight w:val="none"/>
                <w:u w:val="none"/>
                <w:lang w:val="en-US" w:eastAsia="zh-CN"/>
              </w:rPr>
            </w:pPr>
            <w:r>
              <w:rPr>
                <w:rFonts w:hint="eastAsia" w:ascii="Times New Roman" w:hAnsi="Times New Roman" w:eastAsia="宋体" w:cs="Times New Roman"/>
                <w:color w:val="auto"/>
                <w:spacing w:val="0"/>
                <w:kern w:val="21"/>
                <w:sz w:val="24"/>
                <w:szCs w:val="24"/>
                <w:highlight w:val="none"/>
                <w:u w:val="none"/>
                <w:lang w:val="en-US" w:eastAsia="zh-CN"/>
              </w:rPr>
              <w:t>L</w:t>
            </w:r>
            <w:r>
              <w:rPr>
                <w:rFonts w:hint="eastAsia" w:ascii="Times New Roman" w:hAnsi="Times New Roman" w:eastAsia="宋体" w:cs="Times New Roman"/>
                <w:color w:val="auto"/>
                <w:spacing w:val="0"/>
                <w:kern w:val="21"/>
                <w:sz w:val="24"/>
                <w:szCs w:val="24"/>
                <w:highlight w:val="none"/>
                <w:u w:val="none"/>
                <w:vertAlign w:val="subscript"/>
                <w:lang w:val="en-US" w:eastAsia="zh-CN"/>
              </w:rPr>
              <w:t>A(r0)</w:t>
            </w:r>
            <w:r>
              <w:rPr>
                <w:rFonts w:hint="eastAsia" w:ascii="Times New Roman" w:hAnsi="Times New Roman" w:eastAsia="宋体" w:cs="Times New Roman"/>
                <w:color w:val="auto"/>
                <w:spacing w:val="0"/>
                <w:kern w:val="21"/>
                <w:sz w:val="24"/>
                <w:szCs w:val="24"/>
                <w:highlight w:val="none"/>
                <w:u w:val="none"/>
                <w:lang w:val="en-US" w:eastAsia="zh-CN"/>
              </w:rPr>
              <w:t>—参考位置r</w:t>
            </w:r>
            <w:r>
              <w:rPr>
                <w:rFonts w:hint="eastAsia" w:ascii="Times New Roman" w:hAnsi="Times New Roman" w:eastAsia="宋体" w:cs="Times New Roman"/>
                <w:color w:val="auto"/>
                <w:spacing w:val="0"/>
                <w:kern w:val="21"/>
                <w:sz w:val="24"/>
                <w:szCs w:val="24"/>
                <w:highlight w:val="none"/>
                <w:u w:val="none"/>
                <w:vertAlign w:val="subscript"/>
                <w:lang w:val="en-US" w:eastAsia="zh-CN"/>
              </w:rPr>
              <w:t>0</w:t>
            </w:r>
            <w:r>
              <w:rPr>
                <w:rFonts w:hint="eastAsia" w:ascii="Times New Roman" w:hAnsi="Times New Roman" w:eastAsia="宋体" w:cs="Times New Roman"/>
                <w:color w:val="auto"/>
                <w:spacing w:val="0"/>
                <w:kern w:val="21"/>
                <w:sz w:val="24"/>
                <w:szCs w:val="24"/>
                <w:highlight w:val="none"/>
                <w:u w:val="none"/>
                <w:lang w:val="en-US" w:eastAsia="zh-CN"/>
              </w:rPr>
              <w:t>处的A声级，dB(A)；</w:t>
            </w:r>
          </w:p>
          <w:p w14:paraId="6998B12C">
            <w:pPr>
              <w:pStyle w:val="113"/>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ascii="Times New Roman" w:hAnsi="Times New Roman" w:eastAsia="宋体" w:cs="Times New Roman"/>
                <w:color w:val="auto"/>
                <w:spacing w:val="0"/>
                <w:kern w:val="21"/>
                <w:sz w:val="24"/>
                <w:szCs w:val="24"/>
                <w:highlight w:val="none"/>
                <w:u w:val="none"/>
                <w:lang w:val="en-US" w:eastAsia="zh-CN"/>
              </w:rPr>
            </w:pPr>
            <w:r>
              <w:rPr>
                <w:rFonts w:hint="eastAsia" w:ascii="Times New Roman" w:hAnsi="Times New Roman" w:eastAsia="宋体" w:cs="Times New Roman"/>
                <w:color w:val="auto"/>
                <w:spacing w:val="0"/>
                <w:kern w:val="21"/>
                <w:sz w:val="24"/>
                <w:szCs w:val="24"/>
                <w:highlight w:val="none"/>
                <w:u w:val="none"/>
                <w:lang w:val="en-US" w:eastAsia="zh-CN"/>
              </w:rPr>
              <w:t>A</w:t>
            </w:r>
            <w:r>
              <w:rPr>
                <w:rFonts w:hint="eastAsia" w:ascii="Times New Roman" w:hAnsi="Times New Roman" w:eastAsia="宋体" w:cs="Times New Roman"/>
                <w:color w:val="auto"/>
                <w:spacing w:val="0"/>
                <w:kern w:val="21"/>
                <w:sz w:val="24"/>
                <w:szCs w:val="24"/>
                <w:highlight w:val="none"/>
                <w:u w:val="none"/>
                <w:vertAlign w:val="subscript"/>
                <w:lang w:val="en-US" w:eastAsia="zh-CN"/>
              </w:rPr>
              <w:t>div</w:t>
            </w:r>
            <w:r>
              <w:rPr>
                <w:rFonts w:hint="eastAsia" w:ascii="Times New Roman" w:hAnsi="Times New Roman" w:eastAsia="宋体" w:cs="Times New Roman"/>
                <w:color w:val="auto"/>
                <w:spacing w:val="0"/>
                <w:kern w:val="21"/>
                <w:sz w:val="24"/>
                <w:szCs w:val="24"/>
                <w:highlight w:val="none"/>
                <w:u w:val="none"/>
                <w:lang w:val="en-US" w:eastAsia="zh-CN"/>
              </w:rPr>
              <w:t>—几何发散引起的衰减，dB。</w:t>
            </w:r>
          </w:p>
          <w:p w14:paraId="69566FDB">
            <w:pPr>
              <w:pStyle w:val="2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几何发散引起的衰减按照无指向性点声源几何发散衰减计算，</w:t>
            </w:r>
            <w:r>
              <w:rPr>
                <w:rFonts w:hint="eastAsia" w:cs="Times New Roman"/>
                <w:b w:val="0"/>
                <w:bCs w:val="0"/>
                <w:color w:val="auto"/>
                <w:sz w:val="24"/>
                <w:szCs w:val="24"/>
                <w:highlight w:val="none"/>
                <w:lang w:val="en-US" w:eastAsia="zh-CN"/>
              </w:rPr>
              <w:t>公式</w:t>
            </w:r>
            <w:r>
              <w:rPr>
                <w:rFonts w:hint="eastAsia" w:ascii="Times New Roman" w:hAnsi="Times New Roman" w:eastAsia="宋体" w:cs="Times New Roman"/>
                <w:b w:val="0"/>
                <w:bCs w:val="0"/>
                <w:color w:val="auto"/>
                <w:sz w:val="24"/>
                <w:szCs w:val="24"/>
                <w:highlight w:val="none"/>
                <w:lang w:val="en-US" w:eastAsia="zh-CN"/>
              </w:rPr>
              <w:t>为(A.5)</w:t>
            </w:r>
            <w:r>
              <w:rPr>
                <w:rFonts w:hint="eastAsia"/>
                <w:color w:val="auto"/>
                <w:highlight w:val="none"/>
                <w:lang w:eastAsia="zh-CN"/>
              </w:rPr>
              <w:t>。</w:t>
            </w:r>
          </w:p>
          <w:p w14:paraId="2ED4547C">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0" w:firstLineChars="0"/>
              <w:jc w:val="center"/>
              <w:textAlignment w:val="auto"/>
              <w:rPr>
                <w:rFonts w:hint="eastAsia" w:ascii="Times New Roman" w:hAnsi="Times New Roman" w:eastAsia="宋体" w:cs="Times New Roman"/>
                <w:b w:val="0"/>
                <w:bCs w:val="0"/>
                <w:color w:val="auto"/>
                <w:sz w:val="24"/>
                <w:szCs w:val="24"/>
                <w:highlight w:val="none"/>
                <w:lang w:val="en-US" w:eastAsia="zh-CN"/>
              </w:rPr>
            </w:pPr>
            <w:r>
              <w:rPr>
                <w:color w:val="auto"/>
                <w:highlight w:val="none"/>
              </w:rPr>
              <w:drawing>
                <wp:inline distT="0" distB="0" distL="114300" distR="114300">
                  <wp:extent cx="1882775" cy="323850"/>
                  <wp:effectExtent l="0" t="0" r="3175"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2"/>
                          <a:stretch>
                            <a:fillRect/>
                          </a:stretch>
                        </pic:blipFill>
                        <pic:spPr>
                          <a:xfrm>
                            <a:off x="0" y="0"/>
                            <a:ext cx="1882775" cy="323850"/>
                          </a:xfrm>
                          <a:prstGeom prst="rect">
                            <a:avLst/>
                          </a:prstGeom>
                          <a:noFill/>
                          <a:ln>
                            <a:noFill/>
                          </a:ln>
                        </pic:spPr>
                      </pic:pic>
                    </a:graphicData>
                  </a:graphic>
                </wp:inline>
              </w:drawing>
            </w:r>
          </w:p>
          <w:p w14:paraId="621BCC27">
            <w:pPr>
              <w:pStyle w:val="113"/>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textAlignment w:val="auto"/>
              <w:rPr>
                <w:rFonts w:hint="default" w:ascii="Times New Roman" w:hAnsi="Times New Roman" w:eastAsia="宋体" w:cs="Times New Roman"/>
                <w:color w:val="auto"/>
                <w:spacing w:val="0"/>
                <w:kern w:val="21"/>
                <w:sz w:val="24"/>
                <w:szCs w:val="24"/>
                <w:highlight w:val="none"/>
                <w:u w:val="none"/>
                <w:lang w:val="de-DE"/>
              </w:rPr>
            </w:pPr>
            <w:r>
              <w:rPr>
                <w:rFonts w:hint="default" w:ascii="Times New Roman" w:hAnsi="Times New Roman" w:eastAsia="宋体" w:cs="Times New Roman"/>
                <w:color w:val="auto"/>
                <w:spacing w:val="0"/>
                <w:kern w:val="21"/>
                <w:sz w:val="24"/>
                <w:szCs w:val="24"/>
                <w:highlight w:val="none"/>
                <w:u w:val="none"/>
                <w:lang w:val="de-DE"/>
              </w:rPr>
              <w:t>式中：</w:t>
            </w:r>
            <w:r>
              <w:rPr>
                <w:rFonts w:hint="eastAsia" w:cs="Times New Roman"/>
                <w:color w:val="auto"/>
                <w:spacing w:val="0"/>
                <w:kern w:val="21"/>
                <w:sz w:val="24"/>
                <w:szCs w:val="24"/>
                <w:highlight w:val="none"/>
                <w:u w:val="none"/>
                <w:lang w:val="en-US" w:eastAsia="zh-CN"/>
              </w:rPr>
              <w:t>L</w:t>
            </w:r>
            <w:r>
              <w:rPr>
                <w:rFonts w:hint="eastAsia" w:cs="Times New Roman"/>
                <w:color w:val="auto"/>
                <w:spacing w:val="0"/>
                <w:kern w:val="21"/>
                <w:sz w:val="24"/>
                <w:szCs w:val="24"/>
                <w:highlight w:val="none"/>
                <w:u w:val="none"/>
                <w:vertAlign w:val="subscript"/>
                <w:lang w:val="en-US" w:eastAsia="zh-CN"/>
              </w:rPr>
              <w:t>p</w:t>
            </w:r>
            <w:r>
              <w:rPr>
                <w:rFonts w:hint="eastAsia" w:cs="Times New Roman"/>
                <w:color w:val="auto"/>
                <w:spacing w:val="0"/>
                <w:kern w:val="21"/>
                <w:sz w:val="24"/>
                <w:szCs w:val="24"/>
                <w:highlight w:val="none"/>
                <w:u w:val="none"/>
                <w:lang w:val="en-US" w:eastAsia="zh-CN"/>
              </w:rPr>
              <w:t>(r)</w:t>
            </w:r>
            <w:r>
              <w:rPr>
                <w:rFonts w:hint="default" w:ascii="Times New Roman" w:hAnsi="Times New Roman" w:eastAsia="宋体" w:cs="Times New Roman"/>
                <w:color w:val="auto"/>
                <w:spacing w:val="0"/>
                <w:kern w:val="21"/>
                <w:sz w:val="24"/>
                <w:szCs w:val="24"/>
                <w:highlight w:val="none"/>
                <w:u w:val="none"/>
                <w:lang w:val="de-DE"/>
              </w:rPr>
              <w:t>——</w:t>
            </w:r>
            <w:r>
              <w:rPr>
                <w:rFonts w:hint="eastAsia" w:cs="Times New Roman"/>
                <w:color w:val="auto"/>
                <w:spacing w:val="0"/>
                <w:kern w:val="21"/>
                <w:sz w:val="24"/>
                <w:szCs w:val="24"/>
                <w:highlight w:val="none"/>
                <w:u w:val="none"/>
                <w:lang w:val="en-US" w:eastAsia="zh-CN"/>
              </w:rPr>
              <w:t>预测点处</w:t>
            </w:r>
            <w:r>
              <w:rPr>
                <w:rFonts w:hint="default" w:ascii="Times New Roman" w:hAnsi="Times New Roman" w:eastAsia="宋体" w:cs="Times New Roman"/>
                <w:color w:val="auto"/>
                <w:spacing w:val="0"/>
                <w:kern w:val="21"/>
                <w:sz w:val="24"/>
                <w:szCs w:val="24"/>
                <w:highlight w:val="none"/>
                <w:u w:val="none"/>
                <w:lang w:val="de-DE"/>
              </w:rPr>
              <w:t>声压级，dB；</w:t>
            </w:r>
          </w:p>
          <w:p w14:paraId="5466ED58">
            <w:pPr>
              <w:pStyle w:val="113"/>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eastAsia="宋体" w:cs="Times New Roman"/>
                <w:color w:val="auto"/>
                <w:spacing w:val="0"/>
                <w:kern w:val="21"/>
                <w:sz w:val="24"/>
                <w:szCs w:val="24"/>
                <w:highlight w:val="none"/>
                <w:u w:val="none"/>
                <w:lang w:val="de-DE"/>
              </w:rPr>
            </w:pPr>
            <w:r>
              <w:rPr>
                <w:rFonts w:hint="eastAsia" w:cs="Times New Roman"/>
                <w:color w:val="auto"/>
                <w:spacing w:val="0"/>
                <w:kern w:val="21"/>
                <w:sz w:val="24"/>
                <w:szCs w:val="24"/>
                <w:highlight w:val="none"/>
                <w:u w:val="none"/>
                <w:lang w:val="en-US" w:eastAsia="zh-CN"/>
              </w:rPr>
              <w:t>L</w:t>
            </w:r>
            <w:r>
              <w:rPr>
                <w:rFonts w:hint="eastAsia" w:cs="Times New Roman"/>
                <w:color w:val="auto"/>
                <w:spacing w:val="0"/>
                <w:kern w:val="21"/>
                <w:sz w:val="24"/>
                <w:szCs w:val="24"/>
                <w:highlight w:val="none"/>
                <w:u w:val="none"/>
                <w:vertAlign w:val="subscript"/>
                <w:lang w:val="en-US" w:eastAsia="zh-CN"/>
              </w:rPr>
              <w:t>p</w:t>
            </w:r>
            <w:r>
              <w:rPr>
                <w:rFonts w:hint="eastAsia" w:cs="Times New Roman"/>
                <w:color w:val="auto"/>
                <w:spacing w:val="0"/>
                <w:kern w:val="21"/>
                <w:sz w:val="24"/>
                <w:szCs w:val="24"/>
                <w:highlight w:val="none"/>
                <w:u w:val="none"/>
                <w:lang w:val="en-US" w:eastAsia="zh-CN"/>
              </w:rPr>
              <w:t>(r</w:t>
            </w:r>
            <w:r>
              <w:rPr>
                <w:rFonts w:hint="eastAsia" w:cs="Times New Roman"/>
                <w:color w:val="auto"/>
                <w:spacing w:val="0"/>
                <w:kern w:val="21"/>
                <w:sz w:val="24"/>
                <w:szCs w:val="24"/>
                <w:highlight w:val="none"/>
                <w:u w:val="none"/>
                <w:vertAlign w:val="subscript"/>
                <w:lang w:val="en-US" w:eastAsia="zh-CN"/>
              </w:rPr>
              <w:t>0</w:t>
            </w:r>
            <w:r>
              <w:rPr>
                <w:rFonts w:hint="eastAsia" w:cs="Times New Roman"/>
                <w:color w:val="auto"/>
                <w:spacing w:val="0"/>
                <w:kern w:val="21"/>
                <w:sz w:val="24"/>
                <w:szCs w:val="24"/>
                <w:highlight w:val="none"/>
                <w:u w:val="none"/>
                <w:lang w:val="en-US" w:eastAsia="zh-CN"/>
              </w:rPr>
              <w:t>)</w:t>
            </w:r>
            <w:r>
              <w:rPr>
                <w:rFonts w:hint="default" w:ascii="Times New Roman" w:hAnsi="Times New Roman" w:eastAsia="宋体" w:cs="Times New Roman"/>
                <w:color w:val="auto"/>
                <w:spacing w:val="0"/>
                <w:kern w:val="21"/>
                <w:sz w:val="24"/>
                <w:szCs w:val="24"/>
                <w:highlight w:val="none"/>
                <w:u w:val="none"/>
                <w:lang w:val="de-DE"/>
              </w:rPr>
              <w:t>——参考位置r</w:t>
            </w:r>
            <w:r>
              <w:rPr>
                <w:rFonts w:hint="default" w:ascii="Times New Roman" w:hAnsi="Times New Roman" w:eastAsia="宋体" w:cs="Times New Roman"/>
                <w:color w:val="auto"/>
                <w:spacing w:val="0"/>
                <w:kern w:val="21"/>
                <w:sz w:val="24"/>
                <w:szCs w:val="24"/>
                <w:highlight w:val="none"/>
                <w:u w:val="none"/>
                <w:vertAlign w:val="subscript"/>
                <w:lang w:val="de-DE"/>
              </w:rPr>
              <w:t>0</w:t>
            </w:r>
            <w:r>
              <w:rPr>
                <w:rFonts w:hint="default" w:ascii="Times New Roman" w:hAnsi="Times New Roman" w:eastAsia="宋体" w:cs="Times New Roman"/>
                <w:color w:val="auto"/>
                <w:spacing w:val="0"/>
                <w:kern w:val="21"/>
                <w:sz w:val="24"/>
                <w:szCs w:val="24"/>
                <w:highlight w:val="none"/>
                <w:u w:val="none"/>
                <w:lang w:val="de-DE"/>
              </w:rPr>
              <w:t>处</w:t>
            </w:r>
            <w:r>
              <w:rPr>
                <w:rFonts w:hint="eastAsia" w:cs="Times New Roman"/>
                <w:color w:val="auto"/>
                <w:spacing w:val="0"/>
                <w:kern w:val="21"/>
                <w:sz w:val="24"/>
                <w:szCs w:val="24"/>
                <w:highlight w:val="none"/>
                <w:u w:val="none"/>
                <w:lang w:val="de-DE" w:eastAsia="zh-CN"/>
              </w:rPr>
              <w:t>的</w:t>
            </w:r>
            <w:r>
              <w:rPr>
                <w:rFonts w:hint="default" w:ascii="Times New Roman" w:hAnsi="Times New Roman" w:eastAsia="宋体" w:cs="Times New Roman"/>
                <w:color w:val="auto"/>
                <w:spacing w:val="0"/>
                <w:kern w:val="21"/>
                <w:sz w:val="24"/>
                <w:szCs w:val="24"/>
                <w:highlight w:val="none"/>
                <w:u w:val="none"/>
                <w:lang w:val="de-DE"/>
              </w:rPr>
              <w:t>声压级，dB；</w:t>
            </w:r>
          </w:p>
          <w:p w14:paraId="034F35EB">
            <w:pPr>
              <w:pStyle w:val="113"/>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eastAsia="宋体" w:cs="Times New Roman"/>
                <w:color w:val="auto"/>
                <w:spacing w:val="0"/>
                <w:kern w:val="21"/>
                <w:sz w:val="24"/>
                <w:szCs w:val="24"/>
                <w:highlight w:val="none"/>
                <w:u w:val="none"/>
                <w:lang w:val="de-DE"/>
              </w:rPr>
            </w:pPr>
            <w:r>
              <w:rPr>
                <w:rFonts w:hint="eastAsia" w:cs="Times New Roman"/>
                <w:color w:val="auto"/>
                <w:spacing w:val="0"/>
                <w:kern w:val="21"/>
                <w:sz w:val="24"/>
                <w:szCs w:val="24"/>
                <w:highlight w:val="none"/>
                <w:u w:val="none"/>
                <w:lang w:val="en-US" w:eastAsia="zh-CN"/>
              </w:rPr>
              <w:t>r</w:t>
            </w:r>
            <w:r>
              <w:rPr>
                <w:rFonts w:hint="default" w:ascii="Times New Roman" w:hAnsi="Times New Roman" w:eastAsia="宋体" w:cs="Times New Roman"/>
                <w:color w:val="auto"/>
                <w:spacing w:val="0"/>
                <w:kern w:val="21"/>
                <w:sz w:val="24"/>
                <w:szCs w:val="24"/>
                <w:highlight w:val="none"/>
                <w:u w:val="none"/>
                <w:lang w:val="de-DE"/>
              </w:rPr>
              <w:t>——预测点距声源距离，m；</w:t>
            </w:r>
          </w:p>
          <w:p w14:paraId="12AA4530">
            <w:pPr>
              <w:pStyle w:val="113"/>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s="Times New Roman"/>
                <w:color w:val="auto"/>
                <w:spacing w:val="0"/>
                <w:kern w:val="21"/>
                <w:sz w:val="24"/>
                <w:szCs w:val="24"/>
                <w:highlight w:val="none"/>
                <w:u w:val="none"/>
                <w:lang w:val="de-DE" w:eastAsia="zh-CN"/>
              </w:rPr>
            </w:pPr>
            <w:r>
              <w:rPr>
                <w:rFonts w:hint="eastAsia" w:cs="Times New Roman"/>
                <w:color w:val="auto"/>
                <w:spacing w:val="0"/>
                <w:kern w:val="21"/>
                <w:sz w:val="24"/>
                <w:szCs w:val="24"/>
                <w:highlight w:val="none"/>
                <w:u w:val="none"/>
                <w:lang w:val="en-US" w:eastAsia="zh-CN"/>
              </w:rPr>
              <w:t>r</w:t>
            </w:r>
            <w:r>
              <w:rPr>
                <w:rFonts w:hint="eastAsia" w:cs="Times New Roman"/>
                <w:color w:val="auto"/>
                <w:spacing w:val="0"/>
                <w:kern w:val="21"/>
                <w:sz w:val="24"/>
                <w:szCs w:val="24"/>
                <w:highlight w:val="none"/>
                <w:u w:val="none"/>
                <w:vertAlign w:val="subscript"/>
                <w:lang w:val="en-US" w:eastAsia="zh-CN"/>
              </w:rPr>
              <w:t>0</w:t>
            </w:r>
            <w:r>
              <w:rPr>
                <w:rFonts w:hint="default" w:ascii="Times New Roman" w:hAnsi="Times New Roman" w:eastAsia="宋体" w:cs="Times New Roman"/>
                <w:color w:val="auto"/>
                <w:spacing w:val="0"/>
                <w:kern w:val="21"/>
                <w:sz w:val="24"/>
                <w:szCs w:val="24"/>
                <w:highlight w:val="none"/>
                <w:u w:val="none"/>
                <w:lang w:val="de-DE"/>
              </w:rPr>
              <w:t>——参考位置距声源的距离</w:t>
            </w:r>
            <w:r>
              <w:rPr>
                <w:rFonts w:hint="eastAsia" w:cs="Times New Roman"/>
                <w:color w:val="auto"/>
                <w:spacing w:val="0"/>
                <w:kern w:val="21"/>
                <w:sz w:val="24"/>
                <w:szCs w:val="24"/>
                <w:highlight w:val="none"/>
                <w:u w:val="none"/>
                <w:lang w:val="de-DE" w:eastAsia="zh-CN"/>
              </w:rPr>
              <w:t>。</w:t>
            </w:r>
          </w:p>
          <w:p w14:paraId="6BF1BAB2">
            <w:pPr>
              <w:pStyle w:val="2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olor w:val="auto"/>
                <w:highlight w:val="none"/>
                <w:lang w:val="en-US" w:eastAsia="zh-CN"/>
              </w:rPr>
              <w:t>项目声源处于半自由声场，式（</w:t>
            </w:r>
            <w:r>
              <w:rPr>
                <w:rFonts w:hint="eastAsia" w:ascii="Times New Roman" w:hAnsi="Times New Roman" w:eastAsia="宋体" w:cs="Times New Roman"/>
                <w:b w:val="0"/>
                <w:bCs w:val="0"/>
                <w:color w:val="auto"/>
                <w:sz w:val="24"/>
                <w:szCs w:val="24"/>
                <w:highlight w:val="none"/>
                <w:lang w:val="en-US" w:eastAsia="zh-CN"/>
              </w:rPr>
              <w:t>A.5</w:t>
            </w:r>
            <w:r>
              <w:rPr>
                <w:rFonts w:hint="eastAsia"/>
                <w:color w:val="auto"/>
                <w:highlight w:val="none"/>
                <w:lang w:val="en-US" w:eastAsia="zh-CN"/>
              </w:rPr>
              <w:t>）</w:t>
            </w:r>
            <w:r>
              <w:rPr>
                <w:rFonts w:hint="eastAsia" w:cs="Times New Roman"/>
                <w:b w:val="0"/>
                <w:bCs w:val="0"/>
                <w:color w:val="auto"/>
                <w:sz w:val="24"/>
                <w:szCs w:val="24"/>
                <w:highlight w:val="none"/>
                <w:lang w:val="en-US" w:eastAsia="zh-CN"/>
              </w:rPr>
              <w:t>等效为</w:t>
            </w:r>
            <w:r>
              <w:rPr>
                <w:rFonts w:hint="eastAsia"/>
                <w:color w:val="auto"/>
                <w:highlight w:val="none"/>
                <w:lang w:val="en-US" w:eastAsia="zh-CN"/>
              </w:rPr>
              <w:t>式（</w:t>
            </w:r>
            <w:r>
              <w:rPr>
                <w:rFonts w:hint="eastAsia" w:ascii="Times New Roman" w:hAnsi="Times New Roman" w:eastAsia="宋体" w:cs="Times New Roman"/>
                <w:b w:val="0"/>
                <w:bCs w:val="0"/>
                <w:color w:val="auto"/>
                <w:sz w:val="24"/>
                <w:szCs w:val="24"/>
                <w:highlight w:val="none"/>
                <w:lang w:val="en-US" w:eastAsia="zh-CN"/>
              </w:rPr>
              <w:t>A.</w:t>
            </w:r>
            <w:r>
              <w:rPr>
                <w:rFonts w:hint="eastAsia" w:cs="Times New Roman"/>
                <w:b w:val="0"/>
                <w:bCs w:val="0"/>
                <w:color w:val="auto"/>
                <w:sz w:val="24"/>
                <w:szCs w:val="24"/>
                <w:highlight w:val="none"/>
                <w:lang w:val="en-US" w:eastAsia="zh-CN"/>
              </w:rPr>
              <w:t>9</w:t>
            </w:r>
            <w:r>
              <w:rPr>
                <w:rFonts w:hint="eastAsia"/>
                <w:color w:val="auto"/>
                <w:highlight w:val="none"/>
                <w:lang w:val="en-US" w:eastAsia="zh-CN"/>
              </w:rPr>
              <w:t>）</w:t>
            </w:r>
            <w:r>
              <w:rPr>
                <w:rFonts w:hint="eastAsia" w:cs="Times New Roman"/>
                <w:b w:val="0"/>
                <w:bCs w:val="0"/>
                <w:color w:val="auto"/>
                <w:sz w:val="24"/>
                <w:szCs w:val="24"/>
                <w:highlight w:val="none"/>
                <w:lang w:val="en-US" w:eastAsia="zh-CN"/>
              </w:rPr>
              <w:t>或式（</w:t>
            </w:r>
            <w:r>
              <w:rPr>
                <w:rFonts w:hint="eastAsia" w:ascii="Times New Roman" w:hAnsi="Times New Roman" w:eastAsia="宋体" w:cs="Times New Roman"/>
                <w:b w:val="0"/>
                <w:bCs w:val="0"/>
                <w:color w:val="auto"/>
                <w:sz w:val="24"/>
                <w:szCs w:val="24"/>
                <w:highlight w:val="none"/>
                <w:lang w:val="en-US" w:eastAsia="zh-CN"/>
              </w:rPr>
              <w:t>A.</w:t>
            </w:r>
            <w:r>
              <w:rPr>
                <w:rFonts w:hint="eastAsia" w:cs="Times New Roman"/>
                <w:b w:val="0"/>
                <w:bCs w:val="0"/>
                <w:color w:val="auto"/>
                <w:sz w:val="24"/>
                <w:szCs w:val="24"/>
                <w:highlight w:val="none"/>
                <w:lang w:val="en-US" w:eastAsia="zh-CN"/>
              </w:rPr>
              <w:t>10），式</w:t>
            </w:r>
            <w:r>
              <w:rPr>
                <w:rFonts w:hint="eastAsia"/>
                <w:color w:val="auto"/>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A.</w:t>
            </w:r>
            <w:r>
              <w:rPr>
                <w:rFonts w:hint="eastAsia" w:cs="Times New Roman"/>
                <w:b w:val="0"/>
                <w:bCs w:val="0"/>
                <w:color w:val="auto"/>
                <w:sz w:val="24"/>
                <w:szCs w:val="24"/>
                <w:highlight w:val="none"/>
                <w:lang w:val="en-US" w:eastAsia="zh-CN"/>
              </w:rPr>
              <w:t>9</w:t>
            </w:r>
            <w:r>
              <w:rPr>
                <w:rFonts w:hint="eastAsia"/>
                <w:color w:val="auto"/>
                <w:highlight w:val="none"/>
                <w:lang w:val="en-US" w:eastAsia="zh-CN"/>
              </w:rPr>
              <w:t>）如下：</w:t>
            </w:r>
          </w:p>
          <w:p w14:paraId="45BABF64">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ascii="Times New Roman" w:hAnsi="Times New Roman"/>
                <w:color w:val="auto"/>
                <w:sz w:val="24"/>
                <w:szCs w:val="24"/>
                <w:highlight w:val="none"/>
              </w:rPr>
            </w:pPr>
            <w:r>
              <w:rPr>
                <w:rFonts w:ascii="Times New Roman" w:hAnsi="Times New Roman"/>
                <w:i/>
                <w:color w:val="auto"/>
                <w:position w:val="2"/>
                <w:sz w:val="24"/>
                <w:szCs w:val="24"/>
                <w:highlight w:val="none"/>
              </w:rPr>
              <w:t>L</w:t>
            </w:r>
            <w:r>
              <w:rPr>
                <w:rFonts w:hint="eastAsia" w:ascii="Times New Roman" w:hAnsi="Times New Roman"/>
                <w:i w:val="0"/>
                <w:iCs/>
                <w:color w:val="auto"/>
                <w:position w:val="-4"/>
                <w:sz w:val="24"/>
                <w:szCs w:val="24"/>
                <w:highlight w:val="none"/>
                <w:vertAlign w:val="subscript"/>
                <w:lang w:val="en-US" w:eastAsia="zh-CN"/>
              </w:rPr>
              <w:t>A</w:t>
            </w:r>
            <w:r>
              <w:rPr>
                <w:rFonts w:ascii="Symbol" w:hAnsi="Symbol"/>
                <w:color w:val="auto"/>
                <w:sz w:val="24"/>
                <w:szCs w:val="24"/>
                <w:highlight w:val="none"/>
              </w:rPr>
              <w:t></w:t>
            </w:r>
            <w:r>
              <w:rPr>
                <w:rFonts w:ascii="Times New Roman" w:hAnsi="Times New Roman"/>
                <w:i/>
                <w:color w:val="auto"/>
                <w:position w:val="2"/>
                <w:sz w:val="24"/>
                <w:szCs w:val="24"/>
                <w:highlight w:val="none"/>
              </w:rPr>
              <w:t>r</w:t>
            </w:r>
            <w:r>
              <w:rPr>
                <w:rFonts w:ascii="Symbol" w:hAnsi="Symbol"/>
                <w:color w:val="auto"/>
                <w:sz w:val="24"/>
                <w:szCs w:val="24"/>
                <w:highlight w:val="none"/>
              </w:rPr>
              <w:t></w:t>
            </w:r>
            <w:r>
              <w:rPr>
                <w:rFonts w:ascii="Symbol" w:hAnsi="Symbol"/>
                <w:color w:val="auto"/>
                <w:position w:val="2"/>
                <w:sz w:val="24"/>
                <w:szCs w:val="24"/>
                <w:highlight w:val="none"/>
              </w:rPr>
              <w:t></w:t>
            </w:r>
            <w:r>
              <w:rPr>
                <w:rFonts w:ascii="Times New Roman" w:hAnsi="Times New Roman"/>
                <w:i/>
                <w:color w:val="auto"/>
                <w:position w:val="2"/>
                <w:sz w:val="24"/>
                <w:szCs w:val="24"/>
                <w:highlight w:val="none"/>
              </w:rPr>
              <w:t>L</w:t>
            </w:r>
            <w:r>
              <w:rPr>
                <w:rFonts w:ascii="Times New Roman" w:hAnsi="Times New Roman"/>
                <w:i/>
                <w:color w:val="auto"/>
                <w:position w:val="-4"/>
                <w:sz w:val="24"/>
                <w:szCs w:val="24"/>
                <w:highlight w:val="none"/>
              </w:rPr>
              <w:t>w</w:t>
            </w:r>
            <w:r>
              <w:rPr>
                <w:rFonts w:ascii="Symbol" w:hAnsi="Symbol"/>
                <w:color w:val="auto"/>
                <w:position w:val="2"/>
                <w:sz w:val="24"/>
                <w:szCs w:val="24"/>
                <w:highlight w:val="none"/>
              </w:rPr>
              <w:t></w:t>
            </w:r>
            <w:r>
              <w:rPr>
                <w:rFonts w:ascii="Times New Roman" w:hAnsi="Times New Roman"/>
                <w:color w:val="auto"/>
                <w:position w:val="2"/>
                <w:sz w:val="24"/>
                <w:szCs w:val="24"/>
                <w:highlight w:val="none"/>
              </w:rPr>
              <w:t>20lg</w:t>
            </w:r>
            <w:r>
              <w:rPr>
                <w:rFonts w:ascii="Times New Roman" w:hAnsi="Times New Roman"/>
                <w:i/>
                <w:color w:val="auto"/>
                <w:position w:val="2"/>
                <w:sz w:val="24"/>
                <w:szCs w:val="24"/>
                <w:highlight w:val="none"/>
              </w:rPr>
              <w:t>r</w:t>
            </w:r>
            <w:r>
              <w:rPr>
                <w:rFonts w:ascii="Symbol" w:hAnsi="Symbol"/>
                <w:color w:val="auto"/>
                <w:position w:val="2"/>
                <w:sz w:val="24"/>
                <w:szCs w:val="24"/>
                <w:highlight w:val="none"/>
              </w:rPr>
              <w:t></w:t>
            </w:r>
            <w:r>
              <w:rPr>
                <w:rFonts w:ascii="Times New Roman" w:hAnsi="Times New Roman"/>
                <w:color w:val="auto"/>
                <w:position w:val="2"/>
                <w:sz w:val="24"/>
                <w:szCs w:val="24"/>
                <w:highlight w:val="none"/>
              </w:rPr>
              <w:t>8</w:t>
            </w:r>
          </w:p>
          <w:p w14:paraId="5436CC4D">
            <w:pPr>
              <w:pStyle w:val="17"/>
              <w:keepNext w:val="0"/>
              <w:keepLines w:val="0"/>
              <w:pageBreakBefore w:val="0"/>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eastAsia="Times New Roman" w:cs="Times New Roman"/>
                <w:i/>
                <w:color w:val="auto"/>
                <w:position w:val="1"/>
                <w:sz w:val="24"/>
                <w:szCs w:val="24"/>
                <w:highlight w:val="none"/>
              </w:rPr>
              <w:t>L</w:t>
            </w:r>
            <w:r>
              <w:rPr>
                <w:rFonts w:hint="default" w:ascii="Times New Roman" w:hAnsi="Times New Roman" w:eastAsia="Times New Roman" w:cs="Times New Roman"/>
                <w:color w:val="auto"/>
                <w:position w:val="1"/>
                <w:sz w:val="24"/>
                <w:szCs w:val="24"/>
                <w:highlight w:val="none"/>
                <w:vertAlign w:val="subscript"/>
              </w:rPr>
              <w:t>A</w:t>
            </w:r>
            <w:r>
              <w:rPr>
                <w:rFonts w:hint="default" w:ascii="Times New Roman" w:hAnsi="Times New Roman" w:eastAsia="Times New Roman" w:cs="Times New Roman"/>
                <w:color w:val="auto"/>
                <w:position w:val="1"/>
                <w:sz w:val="24"/>
                <w:szCs w:val="24"/>
                <w:highlight w:val="none"/>
                <w:vertAlign w:val="baseline"/>
              </w:rPr>
              <w:t>(</w:t>
            </w:r>
            <w:r>
              <w:rPr>
                <w:rFonts w:hint="default" w:ascii="Times New Roman" w:hAnsi="Times New Roman" w:eastAsia="Times New Roman" w:cs="Times New Roman"/>
                <w:i/>
                <w:color w:val="auto"/>
                <w:position w:val="1"/>
                <w:sz w:val="24"/>
                <w:szCs w:val="24"/>
                <w:highlight w:val="none"/>
                <w:vertAlign w:val="baseline"/>
              </w:rPr>
              <w:t>r</w:t>
            </w:r>
            <w:r>
              <w:rPr>
                <w:rFonts w:hint="default" w:ascii="Times New Roman" w:hAnsi="Times New Roman" w:eastAsia="Times New Roman" w:cs="Times New Roman"/>
                <w:color w:val="auto"/>
                <w:position w:val="1"/>
                <w:sz w:val="24"/>
                <w:szCs w:val="24"/>
                <w:highlight w:val="none"/>
                <w:vertAlign w:val="baseline"/>
              </w:rPr>
              <w:t>)——</w:t>
            </w:r>
            <w:r>
              <w:rPr>
                <w:rFonts w:hint="default" w:ascii="Times New Roman" w:hAnsi="Times New Roman" w:cs="Times New Roman"/>
                <w:color w:val="auto"/>
                <w:sz w:val="24"/>
                <w:szCs w:val="24"/>
                <w:highlight w:val="none"/>
                <w:vertAlign w:val="baseline"/>
              </w:rPr>
              <w:t>距声源</w:t>
            </w:r>
            <w:r>
              <w:rPr>
                <w:rFonts w:hint="default" w:ascii="Times New Roman" w:hAnsi="Times New Roman" w:eastAsia="Times New Roman" w:cs="Times New Roman"/>
                <w:i/>
                <w:color w:val="auto"/>
                <w:position w:val="1"/>
                <w:sz w:val="24"/>
                <w:szCs w:val="24"/>
                <w:highlight w:val="none"/>
                <w:vertAlign w:val="baseline"/>
              </w:rPr>
              <w:t>r</w:t>
            </w:r>
            <w:r>
              <w:rPr>
                <w:rFonts w:hint="default" w:ascii="Times New Roman" w:hAnsi="Times New Roman" w:cs="Times New Roman"/>
                <w:color w:val="auto"/>
                <w:sz w:val="24"/>
                <w:szCs w:val="24"/>
                <w:highlight w:val="none"/>
                <w:vertAlign w:val="baseline"/>
              </w:rPr>
              <w:t>处的</w:t>
            </w:r>
            <w:r>
              <w:rPr>
                <w:rFonts w:hint="default" w:ascii="Times New Roman" w:hAnsi="Times New Roman" w:eastAsia="Times New Roman" w:cs="Times New Roman"/>
                <w:color w:val="auto"/>
                <w:position w:val="1"/>
                <w:sz w:val="24"/>
                <w:szCs w:val="24"/>
                <w:highlight w:val="none"/>
                <w:vertAlign w:val="baseline"/>
              </w:rPr>
              <w:t>A</w:t>
            </w:r>
            <w:r>
              <w:rPr>
                <w:rFonts w:hint="default" w:ascii="Times New Roman" w:hAnsi="Times New Roman" w:cs="Times New Roman"/>
                <w:color w:val="auto"/>
                <w:sz w:val="24"/>
                <w:szCs w:val="24"/>
                <w:highlight w:val="none"/>
                <w:vertAlign w:val="baseline"/>
              </w:rPr>
              <w:t>声级，</w:t>
            </w:r>
            <w:r>
              <w:rPr>
                <w:rFonts w:hint="default" w:ascii="Times New Roman" w:hAnsi="Times New Roman" w:eastAsia="Times New Roman" w:cs="Times New Roman"/>
                <w:color w:val="auto"/>
                <w:position w:val="1"/>
                <w:sz w:val="24"/>
                <w:szCs w:val="24"/>
                <w:highlight w:val="none"/>
                <w:vertAlign w:val="baseline"/>
              </w:rPr>
              <w:t>dB(A)</w:t>
            </w:r>
            <w:r>
              <w:rPr>
                <w:rFonts w:hint="default" w:ascii="Times New Roman" w:hAnsi="Times New Roman" w:cs="Times New Roman"/>
                <w:color w:val="auto"/>
                <w:sz w:val="24"/>
                <w:szCs w:val="24"/>
                <w:highlight w:val="none"/>
                <w:vertAlign w:val="baseline"/>
              </w:rPr>
              <w:t>；</w:t>
            </w:r>
          </w:p>
          <w:p w14:paraId="5B0C071F">
            <w:pPr>
              <w:pStyle w:val="17"/>
              <w:keepNext w:val="0"/>
              <w:keepLines w:val="0"/>
              <w:pageBreakBefore w:val="0"/>
              <w:kinsoku/>
              <w:wordWrap/>
              <w:overflowPunct/>
              <w:topLinePunct w:val="0"/>
              <w:autoSpaceDE/>
              <w:autoSpaceDN/>
              <w:bidi w:val="0"/>
              <w:adjustRightInd w:val="0"/>
              <w:snapToGrid w:val="0"/>
              <w:spacing w:before="0" w:after="0" w:line="360" w:lineRule="auto"/>
              <w:ind w:left="908"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eastAsia="Times New Roman" w:cs="Times New Roman"/>
                <w:i/>
                <w:color w:val="auto"/>
                <w:position w:val="1"/>
                <w:sz w:val="24"/>
                <w:szCs w:val="24"/>
                <w:highlight w:val="none"/>
              </w:rPr>
              <w:t>L</w:t>
            </w:r>
            <w:r>
              <w:rPr>
                <w:rFonts w:hint="default" w:ascii="Times New Roman" w:hAnsi="Times New Roman" w:eastAsia="Times New Roman" w:cs="Times New Roman"/>
                <w:i/>
                <w:color w:val="auto"/>
                <w:position w:val="1"/>
                <w:sz w:val="24"/>
                <w:szCs w:val="24"/>
                <w:highlight w:val="none"/>
                <w:vertAlign w:val="subscript"/>
              </w:rPr>
              <w:t>w</w:t>
            </w:r>
            <w:r>
              <w:rPr>
                <w:rFonts w:hint="default" w:ascii="Times New Roman" w:hAnsi="Times New Roman" w:eastAsia="Times New Roman" w:cs="Times New Roman"/>
                <w:color w:val="auto"/>
                <w:position w:val="1"/>
                <w:sz w:val="24"/>
                <w:szCs w:val="24"/>
                <w:highlight w:val="none"/>
                <w:vertAlign w:val="baseline"/>
              </w:rPr>
              <w:t>———由点声源产生的倍频带声功率级</w:t>
            </w:r>
            <w:r>
              <w:rPr>
                <w:rFonts w:hint="default" w:ascii="Times New Roman" w:hAnsi="Times New Roman" w:cs="Times New Roman"/>
                <w:color w:val="auto"/>
                <w:sz w:val="24"/>
                <w:szCs w:val="24"/>
                <w:highlight w:val="none"/>
                <w:vertAlign w:val="baseline"/>
              </w:rPr>
              <w:t>，</w:t>
            </w:r>
            <w:r>
              <w:rPr>
                <w:rFonts w:hint="default" w:ascii="Times New Roman" w:hAnsi="Times New Roman" w:eastAsia="Times New Roman" w:cs="Times New Roman"/>
                <w:color w:val="auto"/>
                <w:position w:val="1"/>
                <w:sz w:val="24"/>
                <w:szCs w:val="24"/>
                <w:highlight w:val="none"/>
                <w:vertAlign w:val="baseline"/>
              </w:rPr>
              <w:t>dB</w:t>
            </w:r>
            <w:r>
              <w:rPr>
                <w:rFonts w:hint="default" w:ascii="Times New Roman" w:hAnsi="Times New Roman" w:cs="Times New Roman"/>
                <w:color w:val="auto"/>
                <w:sz w:val="24"/>
                <w:szCs w:val="24"/>
                <w:highlight w:val="none"/>
                <w:vertAlign w:val="baseline"/>
              </w:rPr>
              <w:t>；</w:t>
            </w:r>
          </w:p>
          <w:p w14:paraId="05422ACE">
            <w:pPr>
              <w:pStyle w:val="113"/>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eastAsia="宋体" w:cs="Times New Roman"/>
                <w:color w:val="auto"/>
                <w:spacing w:val="0"/>
                <w:kern w:val="21"/>
                <w:sz w:val="24"/>
                <w:szCs w:val="24"/>
                <w:highlight w:val="none"/>
                <w:u w:val="none"/>
                <w:lang w:val="en-US" w:eastAsia="zh-CN"/>
              </w:rPr>
            </w:pPr>
            <w:r>
              <w:rPr>
                <w:rFonts w:hint="default" w:ascii="Times New Roman" w:hAnsi="Times New Roman" w:eastAsia="宋体" w:cs="Times New Roman"/>
                <w:color w:val="auto"/>
                <w:spacing w:val="0"/>
                <w:kern w:val="21"/>
                <w:sz w:val="24"/>
                <w:szCs w:val="24"/>
                <w:highlight w:val="none"/>
                <w:u w:val="none"/>
                <w:lang w:val="en-US" w:eastAsia="zh-CN"/>
              </w:rPr>
              <w:t>r ——预测点距声源的距离</w:t>
            </w:r>
            <w:r>
              <w:rPr>
                <w:rFonts w:hint="eastAsia" w:cs="Times New Roman"/>
                <w:color w:val="auto"/>
                <w:spacing w:val="0"/>
                <w:kern w:val="21"/>
                <w:sz w:val="24"/>
                <w:szCs w:val="24"/>
                <w:highlight w:val="none"/>
                <w:u w:val="none"/>
                <w:lang w:val="en-US" w:eastAsia="zh-CN"/>
              </w:rPr>
              <w:t>。</w:t>
            </w:r>
          </w:p>
          <w:p w14:paraId="42771E60">
            <w:pPr>
              <w:pStyle w:val="113"/>
              <w:keepNext w:val="0"/>
              <w:keepLines w:val="0"/>
              <w:pageBreakBefore w:val="0"/>
              <w:widowControl w:val="0"/>
              <w:kinsoku/>
              <w:wordWrap/>
              <w:overflowPunct/>
              <w:topLinePunct w:val="0"/>
              <w:autoSpaceDE/>
              <w:autoSpaceDN/>
              <w:bidi w:val="0"/>
              <w:adjustRightInd w:val="0"/>
              <w:snapToGrid w:val="0"/>
              <w:spacing w:before="157" w:beforeLines="50"/>
              <w:ind w:firstLine="482" w:firstLineChars="200"/>
              <w:textAlignment w:val="auto"/>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（5）预测结果</w:t>
            </w:r>
          </w:p>
          <w:p w14:paraId="51473E9E">
            <w:pPr>
              <w:autoSpaceDE w:val="0"/>
              <w:autoSpaceDN w:val="0"/>
              <w:adjustRightInd w:val="0"/>
              <w:ind w:firstLine="480"/>
              <w:rPr>
                <w:color w:val="auto"/>
                <w:sz w:val="24"/>
                <w:highlight w:val="none"/>
              </w:rPr>
            </w:pPr>
            <w:r>
              <w:rPr>
                <w:color w:val="auto"/>
                <w:sz w:val="24"/>
                <w:highlight w:val="none"/>
              </w:rPr>
              <w:t>根据外环境关系可知，项目</w:t>
            </w:r>
            <w:r>
              <w:rPr>
                <w:rFonts w:hint="eastAsia"/>
                <w:color w:val="auto"/>
                <w:sz w:val="24"/>
                <w:highlight w:val="none"/>
                <w:lang w:val="en-US" w:eastAsia="zh-CN"/>
              </w:rPr>
              <w:t>厂界外50m范围内无声环境保护目标</w:t>
            </w:r>
            <w:r>
              <w:rPr>
                <w:color w:val="auto"/>
                <w:sz w:val="24"/>
                <w:highlight w:val="none"/>
              </w:rPr>
              <w:t>。</w:t>
            </w:r>
            <w:r>
              <w:rPr>
                <w:rFonts w:hint="eastAsia"/>
                <w:color w:val="auto"/>
                <w:sz w:val="24"/>
                <w:highlight w:val="none"/>
                <w:lang w:eastAsia="zh-CN"/>
              </w:rPr>
              <w:t>本项目</w:t>
            </w:r>
            <w:r>
              <w:rPr>
                <w:color w:val="auto"/>
                <w:sz w:val="24"/>
                <w:highlight w:val="none"/>
              </w:rPr>
              <w:t>参照《环境影响评价技术导则声环境》（HJ2.4-2021）的技术要求，采用附录B.1工业噪声预测计算模型，对厂界处噪声进行预测，声环境影响预测结果如下：</w:t>
            </w:r>
          </w:p>
          <w:p w14:paraId="4DF7B144">
            <w:pPr>
              <w:pStyle w:val="14"/>
              <w:bidi w:val="0"/>
              <w:rPr>
                <w:rFonts w:hint="default"/>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17</w:t>
            </w:r>
            <w:r>
              <w:rPr>
                <w:color w:val="auto"/>
                <w:highlight w:val="none"/>
              </w:rPr>
              <w:fldChar w:fldCharType="end"/>
            </w:r>
            <w:r>
              <w:rPr>
                <w:rFonts w:hint="eastAsia"/>
                <w:color w:val="auto"/>
                <w:highlight w:val="none"/>
                <w:lang w:val="en-US" w:eastAsia="zh-CN"/>
              </w:rPr>
              <w:t xml:space="preserve">  </w:t>
            </w:r>
            <w:r>
              <w:rPr>
                <w:rFonts w:hint="eastAsia"/>
                <w:color w:val="auto"/>
                <w:highlight w:val="none"/>
              </w:rPr>
              <w:t>项目厂界噪声预测结果与达标分析</w:t>
            </w:r>
            <w:r>
              <w:rPr>
                <w:rFonts w:hint="default"/>
                <w:color w:val="auto"/>
                <w:highlight w:val="none"/>
              </w:rPr>
              <w:t>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1705"/>
              <w:gridCol w:w="1722"/>
              <w:gridCol w:w="1729"/>
              <w:gridCol w:w="1571"/>
            </w:tblGrid>
            <w:tr w14:paraId="2BAD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42" w:type="dxa"/>
                  <w:vMerge w:val="restart"/>
                  <w:tcBorders>
                    <w:top w:val="single" w:color="auto" w:sz="12" w:space="0"/>
                    <w:bottom w:val="single" w:color="auto" w:sz="4" w:space="0"/>
                    <w:right w:val="single" w:color="auto" w:sz="4" w:space="0"/>
                  </w:tcBorders>
                  <w:vAlign w:val="center"/>
                </w:tcPr>
                <w:p w14:paraId="2ED7058E">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bCs w:val="0"/>
                      <w:color w:val="auto"/>
                      <w:kern w:val="2"/>
                      <w:sz w:val="21"/>
                      <w:szCs w:val="21"/>
                      <w:highlight w:val="none"/>
                      <w:vertAlign w:val="baseline"/>
                      <w:lang w:val="en-US" w:eastAsia="zh-CN" w:bidi="ar-SA"/>
                    </w:rPr>
                  </w:pPr>
                  <w:r>
                    <w:rPr>
                      <w:rFonts w:hint="eastAsia" w:cs="Times New Roman"/>
                      <w:b/>
                      <w:bCs w:val="0"/>
                      <w:color w:val="auto"/>
                      <w:kern w:val="2"/>
                      <w:sz w:val="21"/>
                      <w:szCs w:val="21"/>
                      <w:highlight w:val="none"/>
                      <w:vertAlign w:val="baseline"/>
                      <w:lang w:val="en-US" w:eastAsia="zh-CN" w:bidi="ar-SA"/>
                    </w:rPr>
                    <w:t>预测方位</w:t>
                  </w:r>
                </w:p>
              </w:tc>
              <w:tc>
                <w:tcPr>
                  <w:tcW w:w="1063" w:type="dxa"/>
                  <w:vMerge w:val="restart"/>
                  <w:tcBorders>
                    <w:top w:val="single" w:color="auto" w:sz="12" w:space="0"/>
                    <w:left w:val="single" w:color="auto" w:sz="4" w:space="0"/>
                    <w:bottom w:val="single" w:color="auto" w:sz="4" w:space="0"/>
                    <w:right w:val="single" w:color="auto" w:sz="4" w:space="0"/>
                  </w:tcBorders>
                  <w:vAlign w:val="center"/>
                </w:tcPr>
                <w:p w14:paraId="517ABC95">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bCs w:val="0"/>
                      <w:color w:val="auto"/>
                      <w:kern w:val="2"/>
                      <w:sz w:val="21"/>
                      <w:szCs w:val="21"/>
                      <w:highlight w:val="none"/>
                      <w:vertAlign w:val="baseline"/>
                      <w:lang w:val="en-US" w:eastAsia="zh-CN" w:bidi="ar-SA"/>
                    </w:rPr>
                  </w:pPr>
                  <w:r>
                    <w:rPr>
                      <w:rFonts w:hint="eastAsia" w:cs="Times New Roman"/>
                      <w:b/>
                      <w:bCs w:val="0"/>
                      <w:color w:val="auto"/>
                      <w:kern w:val="2"/>
                      <w:sz w:val="21"/>
                      <w:szCs w:val="21"/>
                      <w:highlight w:val="none"/>
                      <w:vertAlign w:val="baseline"/>
                      <w:lang w:val="en-US" w:eastAsia="zh-CN" w:bidi="ar-SA"/>
                    </w:rPr>
                    <w:t>时段</w:t>
                  </w:r>
                </w:p>
              </w:tc>
              <w:tc>
                <w:tcPr>
                  <w:tcW w:w="1074" w:type="dxa"/>
                  <w:vMerge w:val="restart"/>
                  <w:tcBorders>
                    <w:top w:val="single" w:color="auto" w:sz="12" w:space="0"/>
                    <w:left w:val="single" w:color="auto" w:sz="4" w:space="0"/>
                    <w:bottom w:val="single" w:color="auto" w:sz="4" w:space="0"/>
                    <w:right w:val="single" w:color="auto" w:sz="4" w:space="0"/>
                  </w:tcBorders>
                  <w:vAlign w:val="center"/>
                </w:tcPr>
                <w:p w14:paraId="7121946A">
                  <w:pPr>
                    <w:keepNext w:val="0"/>
                    <w:keepLines w:val="0"/>
                    <w:pageBreakBefore w:val="0"/>
                    <w:widowControl w:val="0"/>
                    <w:kinsoku/>
                    <w:wordWrap/>
                    <w:overflowPunct/>
                    <w:topLinePunct w:val="0"/>
                    <w:autoSpaceDE w:val="0"/>
                    <w:autoSpaceDN w:val="0"/>
                    <w:bidi w:val="0"/>
                    <w:adjustRightInd w:val="0"/>
                    <w:snapToGrid w:val="0"/>
                    <w:spacing w:line="240" w:lineRule="auto"/>
                    <w:ind w:left="-120" w:leftChars="-50" w:right="-120" w:rightChars="-50" w:firstLine="0" w:firstLineChars="0"/>
                    <w:jc w:val="center"/>
                    <w:textAlignment w:val="auto"/>
                    <w:rPr>
                      <w:rFonts w:hint="eastAsia" w:cs="Times New Roman"/>
                      <w:b/>
                      <w:bCs w:val="0"/>
                      <w:color w:val="auto"/>
                      <w:kern w:val="2"/>
                      <w:sz w:val="21"/>
                      <w:szCs w:val="21"/>
                      <w:highlight w:val="none"/>
                      <w:vertAlign w:val="baseline"/>
                      <w:lang w:val="en-US" w:eastAsia="zh-CN" w:bidi="ar-SA"/>
                    </w:rPr>
                  </w:pPr>
                  <w:r>
                    <w:rPr>
                      <w:rFonts w:hint="eastAsia" w:cs="Times New Roman"/>
                      <w:b/>
                      <w:bCs w:val="0"/>
                      <w:color w:val="auto"/>
                      <w:kern w:val="2"/>
                      <w:sz w:val="21"/>
                      <w:szCs w:val="21"/>
                      <w:highlight w:val="none"/>
                      <w:vertAlign w:val="baseline"/>
                      <w:lang w:val="en-US" w:eastAsia="zh-CN" w:bidi="ar-SA"/>
                    </w:rPr>
                    <w:t>贡献值（dB(A)）</w:t>
                  </w:r>
                </w:p>
              </w:tc>
              <w:tc>
                <w:tcPr>
                  <w:tcW w:w="1078" w:type="dxa"/>
                  <w:vMerge w:val="restart"/>
                  <w:tcBorders>
                    <w:top w:val="single" w:color="auto" w:sz="12" w:space="0"/>
                    <w:left w:val="single" w:color="auto" w:sz="4" w:space="0"/>
                    <w:bottom w:val="single" w:color="auto" w:sz="4" w:space="0"/>
                    <w:right w:val="single" w:color="auto" w:sz="4" w:space="0"/>
                  </w:tcBorders>
                  <w:vAlign w:val="center"/>
                </w:tcPr>
                <w:p w14:paraId="60EB48FB">
                  <w:pPr>
                    <w:keepNext w:val="0"/>
                    <w:keepLines w:val="0"/>
                    <w:pageBreakBefore w:val="0"/>
                    <w:widowControl w:val="0"/>
                    <w:kinsoku/>
                    <w:wordWrap/>
                    <w:overflowPunct/>
                    <w:topLinePunct w:val="0"/>
                    <w:autoSpaceDE w:val="0"/>
                    <w:autoSpaceDN w:val="0"/>
                    <w:bidi w:val="0"/>
                    <w:adjustRightInd w:val="0"/>
                    <w:snapToGrid w:val="0"/>
                    <w:spacing w:line="240" w:lineRule="auto"/>
                    <w:ind w:left="-120" w:leftChars="-50" w:right="-120" w:rightChars="-50" w:firstLine="0" w:firstLineChars="0"/>
                    <w:jc w:val="center"/>
                    <w:textAlignment w:val="auto"/>
                    <w:rPr>
                      <w:rFonts w:hint="eastAsia" w:cs="Times New Roman"/>
                      <w:b/>
                      <w:bCs w:val="0"/>
                      <w:color w:val="auto"/>
                      <w:kern w:val="2"/>
                      <w:sz w:val="21"/>
                      <w:szCs w:val="21"/>
                      <w:highlight w:val="none"/>
                      <w:vertAlign w:val="baseline"/>
                      <w:lang w:val="en-US" w:eastAsia="zh-CN" w:bidi="ar-SA"/>
                    </w:rPr>
                  </w:pPr>
                  <w:r>
                    <w:rPr>
                      <w:rFonts w:hint="eastAsia" w:cs="Times New Roman"/>
                      <w:b/>
                      <w:bCs w:val="0"/>
                      <w:color w:val="auto"/>
                      <w:kern w:val="2"/>
                      <w:sz w:val="21"/>
                      <w:szCs w:val="21"/>
                      <w:highlight w:val="none"/>
                      <w:vertAlign w:val="baseline"/>
                      <w:lang w:val="en-US" w:eastAsia="zh-CN" w:bidi="ar-SA"/>
                    </w:rPr>
                    <w:t>标准限值（dB(A)）</w:t>
                  </w:r>
                </w:p>
              </w:tc>
              <w:tc>
                <w:tcPr>
                  <w:tcW w:w="980" w:type="dxa"/>
                  <w:vMerge w:val="restart"/>
                  <w:tcBorders>
                    <w:top w:val="single" w:color="auto" w:sz="12" w:space="0"/>
                    <w:left w:val="single" w:color="auto" w:sz="4" w:space="0"/>
                    <w:bottom w:val="single" w:color="auto" w:sz="4" w:space="0"/>
                    <w:right w:val="nil"/>
                  </w:tcBorders>
                  <w:vAlign w:val="center"/>
                </w:tcPr>
                <w:p w14:paraId="55C4060C">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bCs w:val="0"/>
                      <w:color w:val="auto"/>
                      <w:kern w:val="2"/>
                      <w:sz w:val="21"/>
                      <w:szCs w:val="21"/>
                      <w:highlight w:val="none"/>
                      <w:vertAlign w:val="baseline"/>
                      <w:lang w:val="en-US" w:eastAsia="zh-CN" w:bidi="ar-SA"/>
                    </w:rPr>
                  </w:pPr>
                  <w:r>
                    <w:rPr>
                      <w:rFonts w:hint="eastAsia" w:cs="Times New Roman"/>
                      <w:b/>
                      <w:bCs w:val="0"/>
                      <w:color w:val="auto"/>
                      <w:kern w:val="2"/>
                      <w:sz w:val="21"/>
                      <w:szCs w:val="21"/>
                      <w:highlight w:val="none"/>
                      <w:vertAlign w:val="baseline"/>
                      <w:lang w:val="en-US" w:eastAsia="zh-CN" w:bidi="ar-SA"/>
                    </w:rPr>
                    <w:t>达标情况</w:t>
                  </w:r>
                </w:p>
              </w:tc>
            </w:tr>
            <w:tr w14:paraId="408E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42" w:type="dxa"/>
                  <w:vMerge w:val="continue"/>
                  <w:tcBorders>
                    <w:top w:val="single" w:color="auto" w:sz="4" w:space="0"/>
                    <w:left w:val="nil"/>
                    <w:bottom w:val="single" w:color="auto" w:sz="4" w:space="0"/>
                    <w:right w:val="single" w:color="auto" w:sz="4" w:space="0"/>
                  </w:tcBorders>
                  <w:shd w:val="clear" w:color="auto" w:fill="FFFFFF"/>
                  <w:vAlign w:val="center"/>
                </w:tcPr>
                <w:p w14:paraId="33A318DA">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p>
              </w:tc>
              <w:tc>
                <w:tcPr>
                  <w:tcW w:w="106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A87044A">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p>
              </w:tc>
              <w:tc>
                <w:tcPr>
                  <w:tcW w:w="107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7ED453A">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p>
              </w:tc>
              <w:tc>
                <w:tcPr>
                  <w:tcW w:w="107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7ED0DEC">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p>
              </w:tc>
              <w:tc>
                <w:tcPr>
                  <w:tcW w:w="980" w:type="dxa"/>
                  <w:vMerge w:val="continue"/>
                  <w:tcBorders>
                    <w:top w:val="single" w:color="auto" w:sz="4" w:space="0"/>
                    <w:left w:val="single" w:color="auto" w:sz="4" w:space="0"/>
                    <w:bottom w:val="single" w:color="auto" w:sz="4" w:space="0"/>
                    <w:right w:val="nil"/>
                  </w:tcBorders>
                  <w:shd w:val="clear" w:color="auto" w:fill="FFFFFF"/>
                  <w:vAlign w:val="center"/>
                </w:tcPr>
                <w:p w14:paraId="58A6E67A">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p>
              </w:tc>
            </w:tr>
            <w:tr w14:paraId="2AFD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42" w:type="dxa"/>
                  <w:tcBorders>
                    <w:top w:val="single" w:color="auto" w:sz="4" w:space="0"/>
                    <w:left w:val="nil"/>
                    <w:bottom w:val="single" w:color="auto" w:sz="4" w:space="0"/>
                    <w:right w:val="single" w:color="auto" w:sz="4" w:space="0"/>
                  </w:tcBorders>
                  <w:shd w:val="clear" w:color="auto" w:fill="FFFFFF"/>
                  <w:vAlign w:val="center"/>
                </w:tcPr>
                <w:p w14:paraId="031F0811">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厂界东侧</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14:paraId="64F02DCA">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昼间</w:t>
                  </w:r>
                </w:p>
              </w:tc>
              <w:tc>
                <w:tcPr>
                  <w:tcW w:w="1074" w:type="dxa"/>
                  <w:tcBorders>
                    <w:top w:val="single" w:color="auto" w:sz="4" w:space="0"/>
                    <w:left w:val="single" w:color="auto" w:sz="4" w:space="0"/>
                    <w:bottom w:val="single" w:color="auto" w:sz="4" w:space="0"/>
                    <w:right w:val="single" w:color="auto" w:sz="4" w:space="0"/>
                  </w:tcBorders>
                  <w:shd w:val="clear" w:color="auto" w:fill="FFFFFF"/>
                  <w:vAlign w:val="center"/>
                </w:tcPr>
                <w:p w14:paraId="311B8906">
                  <w:pPr>
                    <w:pStyle w:val="106"/>
                    <w:bidi w:val="0"/>
                    <w:ind w:firstLine="0" w:firstLineChars="0"/>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55.7</w:t>
                  </w:r>
                </w:p>
              </w:tc>
              <w:tc>
                <w:tcPr>
                  <w:tcW w:w="1078" w:type="dxa"/>
                  <w:tcBorders>
                    <w:top w:val="single" w:color="auto" w:sz="4" w:space="0"/>
                    <w:left w:val="single" w:color="auto" w:sz="4" w:space="0"/>
                    <w:bottom w:val="single" w:color="auto" w:sz="4" w:space="0"/>
                    <w:right w:val="single" w:color="auto" w:sz="4" w:space="0"/>
                  </w:tcBorders>
                  <w:shd w:val="clear" w:color="auto" w:fill="FFFFFF"/>
                  <w:vAlign w:val="center"/>
                </w:tcPr>
                <w:p w14:paraId="6BD614BB">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65</w:t>
                  </w:r>
                </w:p>
              </w:tc>
              <w:tc>
                <w:tcPr>
                  <w:tcW w:w="980" w:type="dxa"/>
                  <w:tcBorders>
                    <w:top w:val="single" w:color="auto" w:sz="4" w:space="0"/>
                    <w:left w:val="single" w:color="auto" w:sz="4" w:space="0"/>
                    <w:bottom w:val="single" w:color="auto" w:sz="4" w:space="0"/>
                    <w:right w:val="nil"/>
                  </w:tcBorders>
                  <w:shd w:val="clear" w:color="auto" w:fill="FFFFFF"/>
                  <w:vAlign w:val="center"/>
                </w:tcPr>
                <w:p w14:paraId="288D0634">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达标</w:t>
                  </w:r>
                </w:p>
              </w:tc>
            </w:tr>
            <w:tr w14:paraId="6D3B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42" w:type="dxa"/>
                  <w:tcBorders>
                    <w:top w:val="single" w:color="auto" w:sz="4" w:space="0"/>
                    <w:left w:val="nil"/>
                    <w:bottom w:val="single" w:color="auto" w:sz="4" w:space="0"/>
                    <w:right w:val="single" w:color="auto" w:sz="4" w:space="0"/>
                  </w:tcBorders>
                  <w:shd w:val="clear" w:color="auto" w:fill="FFFFFF"/>
                  <w:vAlign w:val="center"/>
                </w:tcPr>
                <w:p w14:paraId="25ABD6DD">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厂界南侧</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14:paraId="35E4BD67">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昼间</w:t>
                  </w:r>
                </w:p>
              </w:tc>
              <w:tc>
                <w:tcPr>
                  <w:tcW w:w="1074" w:type="dxa"/>
                  <w:tcBorders>
                    <w:top w:val="single" w:color="auto" w:sz="4" w:space="0"/>
                    <w:left w:val="single" w:color="auto" w:sz="4" w:space="0"/>
                    <w:bottom w:val="single" w:color="auto" w:sz="4" w:space="0"/>
                    <w:right w:val="single" w:color="auto" w:sz="4" w:space="0"/>
                  </w:tcBorders>
                  <w:shd w:val="clear" w:color="auto" w:fill="FFFFFF"/>
                  <w:vAlign w:val="center"/>
                </w:tcPr>
                <w:p w14:paraId="5083EF11">
                  <w:pPr>
                    <w:pStyle w:val="106"/>
                    <w:bidi w:val="0"/>
                    <w:ind w:firstLine="0" w:firstLineChars="0"/>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54.3</w:t>
                  </w:r>
                </w:p>
              </w:tc>
              <w:tc>
                <w:tcPr>
                  <w:tcW w:w="1078" w:type="dxa"/>
                  <w:tcBorders>
                    <w:top w:val="single" w:color="auto" w:sz="4" w:space="0"/>
                    <w:left w:val="single" w:color="auto" w:sz="4" w:space="0"/>
                    <w:bottom w:val="single" w:color="auto" w:sz="4" w:space="0"/>
                    <w:right w:val="single" w:color="auto" w:sz="4" w:space="0"/>
                  </w:tcBorders>
                  <w:shd w:val="clear" w:color="auto" w:fill="FFFFFF"/>
                  <w:vAlign w:val="center"/>
                </w:tcPr>
                <w:p w14:paraId="6D5AD390">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65</w:t>
                  </w:r>
                </w:p>
              </w:tc>
              <w:tc>
                <w:tcPr>
                  <w:tcW w:w="980" w:type="dxa"/>
                  <w:tcBorders>
                    <w:top w:val="single" w:color="auto" w:sz="4" w:space="0"/>
                    <w:left w:val="single" w:color="auto" w:sz="4" w:space="0"/>
                    <w:bottom w:val="single" w:color="auto" w:sz="4" w:space="0"/>
                    <w:right w:val="nil"/>
                  </w:tcBorders>
                  <w:shd w:val="clear" w:color="auto" w:fill="FFFFFF"/>
                  <w:vAlign w:val="center"/>
                </w:tcPr>
                <w:p w14:paraId="2736357F">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达标</w:t>
                  </w:r>
                </w:p>
              </w:tc>
            </w:tr>
            <w:tr w14:paraId="698C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42" w:type="dxa"/>
                  <w:tcBorders>
                    <w:top w:val="single" w:color="auto" w:sz="4" w:space="0"/>
                    <w:left w:val="nil"/>
                    <w:bottom w:val="single" w:color="auto" w:sz="4" w:space="0"/>
                    <w:right w:val="single" w:color="auto" w:sz="4" w:space="0"/>
                  </w:tcBorders>
                  <w:shd w:val="clear" w:color="auto" w:fill="FFFFFF"/>
                  <w:vAlign w:val="center"/>
                </w:tcPr>
                <w:p w14:paraId="0251833C">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厂界西侧</w:t>
                  </w:r>
                </w:p>
              </w:tc>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14:paraId="76097DD6">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昼间</w:t>
                  </w:r>
                </w:p>
              </w:tc>
              <w:tc>
                <w:tcPr>
                  <w:tcW w:w="1074" w:type="dxa"/>
                  <w:tcBorders>
                    <w:top w:val="single" w:color="auto" w:sz="4" w:space="0"/>
                    <w:left w:val="single" w:color="auto" w:sz="4" w:space="0"/>
                    <w:bottom w:val="single" w:color="auto" w:sz="4" w:space="0"/>
                    <w:right w:val="single" w:color="auto" w:sz="4" w:space="0"/>
                  </w:tcBorders>
                  <w:shd w:val="clear" w:color="auto" w:fill="FFFFFF"/>
                  <w:vAlign w:val="center"/>
                </w:tcPr>
                <w:p w14:paraId="0BC49CA7">
                  <w:pPr>
                    <w:pStyle w:val="106"/>
                    <w:bidi w:val="0"/>
                    <w:ind w:firstLine="0" w:firstLineChars="0"/>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46.2</w:t>
                  </w:r>
                </w:p>
              </w:tc>
              <w:tc>
                <w:tcPr>
                  <w:tcW w:w="1078" w:type="dxa"/>
                  <w:tcBorders>
                    <w:top w:val="single" w:color="auto" w:sz="4" w:space="0"/>
                    <w:left w:val="single" w:color="auto" w:sz="4" w:space="0"/>
                    <w:bottom w:val="single" w:color="auto" w:sz="4" w:space="0"/>
                    <w:right w:val="single" w:color="auto" w:sz="4" w:space="0"/>
                  </w:tcBorders>
                  <w:shd w:val="clear" w:color="auto" w:fill="FFFFFF"/>
                  <w:vAlign w:val="center"/>
                </w:tcPr>
                <w:p w14:paraId="56CBE780">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65</w:t>
                  </w:r>
                </w:p>
              </w:tc>
              <w:tc>
                <w:tcPr>
                  <w:tcW w:w="980" w:type="dxa"/>
                  <w:tcBorders>
                    <w:top w:val="single" w:color="auto" w:sz="4" w:space="0"/>
                    <w:left w:val="single" w:color="auto" w:sz="4" w:space="0"/>
                    <w:bottom w:val="single" w:color="auto" w:sz="4" w:space="0"/>
                    <w:right w:val="nil"/>
                  </w:tcBorders>
                  <w:shd w:val="clear" w:color="auto" w:fill="FFFFFF"/>
                  <w:vAlign w:val="center"/>
                </w:tcPr>
                <w:p w14:paraId="103B2969">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达标</w:t>
                  </w:r>
                </w:p>
              </w:tc>
            </w:tr>
            <w:tr w14:paraId="40A1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42" w:type="dxa"/>
                  <w:tcBorders>
                    <w:top w:val="single" w:color="auto" w:sz="4" w:space="0"/>
                    <w:left w:val="nil"/>
                    <w:bottom w:val="single" w:color="auto" w:sz="12" w:space="0"/>
                    <w:right w:val="single" w:color="auto" w:sz="4" w:space="0"/>
                  </w:tcBorders>
                  <w:shd w:val="clear" w:color="auto" w:fill="FFFFFF"/>
                  <w:vAlign w:val="center"/>
                </w:tcPr>
                <w:p w14:paraId="737BA3EC">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厂界北侧</w:t>
                  </w:r>
                </w:p>
              </w:tc>
              <w:tc>
                <w:tcPr>
                  <w:tcW w:w="1063" w:type="dxa"/>
                  <w:tcBorders>
                    <w:top w:val="single" w:color="auto" w:sz="4" w:space="0"/>
                    <w:left w:val="single" w:color="auto" w:sz="4" w:space="0"/>
                    <w:bottom w:val="single" w:color="auto" w:sz="12" w:space="0"/>
                    <w:right w:val="single" w:color="auto" w:sz="4" w:space="0"/>
                  </w:tcBorders>
                  <w:shd w:val="clear" w:color="auto" w:fill="FFFFFF"/>
                  <w:vAlign w:val="center"/>
                </w:tcPr>
                <w:p w14:paraId="7AB42269">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昼间</w:t>
                  </w:r>
                </w:p>
              </w:tc>
              <w:tc>
                <w:tcPr>
                  <w:tcW w:w="1074" w:type="dxa"/>
                  <w:tcBorders>
                    <w:top w:val="single" w:color="auto" w:sz="4" w:space="0"/>
                    <w:left w:val="single" w:color="auto" w:sz="4" w:space="0"/>
                    <w:bottom w:val="single" w:color="auto" w:sz="12" w:space="0"/>
                    <w:right w:val="single" w:color="auto" w:sz="4" w:space="0"/>
                  </w:tcBorders>
                  <w:shd w:val="clear" w:color="auto" w:fill="FFFFFF"/>
                  <w:vAlign w:val="center"/>
                </w:tcPr>
                <w:p w14:paraId="5426C8FC">
                  <w:pPr>
                    <w:pStyle w:val="106"/>
                    <w:bidi w:val="0"/>
                    <w:ind w:firstLine="0" w:firstLineChars="0"/>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55.0</w:t>
                  </w:r>
                </w:p>
              </w:tc>
              <w:tc>
                <w:tcPr>
                  <w:tcW w:w="1078" w:type="dxa"/>
                  <w:tcBorders>
                    <w:top w:val="single" w:color="auto" w:sz="4" w:space="0"/>
                    <w:left w:val="single" w:color="auto" w:sz="4" w:space="0"/>
                    <w:bottom w:val="single" w:color="auto" w:sz="12" w:space="0"/>
                    <w:right w:val="single" w:color="auto" w:sz="4" w:space="0"/>
                  </w:tcBorders>
                  <w:shd w:val="clear" w:color="auto" w:fill="FFFFFF"/>
                  <w:vAlign w:val="center"/>
                </w:tcPr>
                <w:p w14:paraId="5FE89485">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65</w:t>
                  </w:r>
                </w:p>
              </w:tc>
              <w:tc>
                <w:tcPr>
                  <w:tcW w:w="980" w:type="dxa"/>
                  <w:tcBorders>
                    <w:top w:val="single" w:color="auto" w:sz="4" w:space="0"/>
                    <w:left w:val="single" w:color="auto" w:sz="4" w:space="0"/>
                    <w:bottom w:val="single" w:color="auto" w:sz="12" w:space="0"/>
                    <w:right w:val="nil"/>
                  </w:tcBorders>
                  <w:shd w:val="clear" w:color="auto" w:fill="FFFFFF"/>
                  <w:vAlign w:val="center"/>
                </w:tcPr>
                <w:p w14:paraId="3AB07C15">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达标</w:t>
                  </w:r>
                </w:p>
              </w:tc>
            </w:tr>
          </w:tbl>
          <w:p w14:paraId="2B74BC10">
            <w:pPr>
              <w:pStyle w:val="102"/>
              <w:spacing w:before="120" w:beforeLines="50"/>
              <w:ind w:firstLine="480"/>
              <w:rPr>
                <w:rFonts w:hint="default" w:ascii="Times New Roman" w:hAnsi="Times New Roman" w:cs="Times New Roman"/>
                <w:b/>
                <w:color w:val="auto"/>
                <w:kern w:val="0"/>
                <w:sz w:val="24"/>
                <w:highlight w:val="none"/>
              </w:rPr>
            </w:pPr>
            <w:r>
              <w:rPr>
                <w:rFonts w:hint="default" w:ascii="Times New Roman" w:hAnsi="Times New Roman" w:cs="Times New Roman"/>
                <w:color w:val="auto"/>
                <w:kern w:val="0"/>
                <w:sz w:val="24"/>
                <w:highlight w:val="none"/>
              </w:rPr>
              <w:t>由预测结果可知，营运期厂界四周预测点噪声</w:t>
            </w:r>
            <w:r>
              <w:rPr>
                <w:rFonts w:hint="eastAsia" w:cs="Times New Roman"/>
                <w:color w:val="auto"/>
                <w:kern w:val="0"/>
                <w:sz w:val="24"/>
                <w:highlight w:val="none"/>
                <w:lang w:val="en-US" w:eastAsia="zh-CN"/>
              </w:rPr>
              <w:t>贡献</w:t>
            </w:r>
            <w:r>
              <w:rPr>
                <w:rFonts w:hint="default" w:ascii="Times New Roman" w:hAnsi="Times New Roman" w:cs="Times New Roman"/>
                <w:color w:val="auto"/>
                <w:kern w:val="0"/>
                <w:sz w:val="24"/>
                <w:highlight w:val="none"/>
              </w:rPr>
              <w:t>值均满足《工业企业厂界环境噪声排放标准》（GB12348-2008）</w:t>
            </w:r>
            <w:r>
              <w:rPr>
                <w:rFonts w:hint="eastAsia"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类标准，可实现达标排放。因此，</w:t>
            </w:r>
            <w:r>
              <w:rPr>
                <w:rFonts w:hint="eastAsia" w:cs="Times New Roman"/>
                <w:color w:val="auto"/>
                <w:kern w:val="0"/>
                <w:sz w:val="24"/>
                <w:highlight w:val="none"/>
                <w:lang w:eastAsia="zh-CN"/>
              </w:rPr>
              <w:t>本项目</w:t>
            </w:r>
            <w:r>
              <w:rPr>
                <w:rFonts w:hint="default" w:ascii="Times New Roman" w:hAnsi="Times New Roman" w:cs="Times New Roman"/>
                <w:color w:val="auto"/>
                <w:kern w:val="0"/>
                <w:sz w:val="24"/>
                <w:highlight w:val="none"/>
              </w:rPr>
              <w:t>噪声不会对区域声环境造成影响</w:t>
            </w:r>
            <w:r>
              <w:rPr>
                <w:rFonts w:hint="default" w:ascii="Times New Roman" w:hAnsi="Times New Roman" w:cs="Times New Roman"/>
                <w:b w:val="0"/>
                <w:bCs/>
                <w:color w:val="auto"/>
                <w:kern w:val="0"/>
                <w:sz w:val="24"/>
                <w:highlight w:val="none"/>
              </w:rPr>
              <w:t>。</w:t>
            </w:r>
          </w:p>
          <w:p w14:paraId="636C05C6">
            <w:pPr>
              <w:adjustRightInd w:val="0"/>
              <w:snapToGrid w:val="0"/>
              <w:ind w:firstLine="482"/>
              <w:jc w:val="both"/>
              <w:rPr>
                <w:b/>
                <w:bCs/>
                <w:color w:val="auto"/>
                <w:sz w:val="24"/>
                <w:highlight w:val="none"/>
              </w:rPr>
            </w:pPr>
            <w:r>
              <w:rPr>
                <w:b/>
                <w:bCs/>
                <w:color w:val="auto"/>
                <w:sz w:val="24"/>
                <w:highlight w:val="none"/>
              </w:rPr>
              <w:t>（</w:t>
            </w:r>
            <w:r>
              <w:rPr>
                <w:rFonts w:hint="eastAsia"/>
                <w:b/>
                <w:bCs/>
                <w:color w:val="auto"/>
                <w:sz w:val="24"/>
                <w:highlight w:val="none"/>
                <w:lang w:val="en-US" w:eastAsia="zh-CN"/>
              </w:rPr>
              <w:t>6</w:t>
            </w:r>
            <w:r>
              <w:rPr>
                <w:b/>
                <w:bCs/>
                <w:color w:val="auto"/>
                <w:sz w:val="24"/>
                <w:highlight w:val="none"/>
              </w:rPr>
              <w:t>）监测要求</w:t>
            </w:r>
          </w:p>
          <w:p w14:paraId="0C84D7A4">
            <w:pPr>
              <w:pStyle w:val="52"/>
              <w:ind w:firstLine="480"/>
              <w:jc w:val="both"/>
              <w:rPr>
                <w:color w:val="auto"/>
                <w:sz w:val="24"/>
                <w:szCs w:val="24"/>
                <w:highlight w:val="none"/>
              </w:rPr>
            </w:pPr>
            <w:r>
              <w:rPr>
                <w:color w:val="auto"/>
                <w:sz w:val="24"/>
                <w:szCs w:val="24"/>
                <w:highlight w:val="none"/>
              </w:rPr>
              <w:t>本次环评参照《排污单位自行监测技术指南总则》（HJ819-2017）</w:t>
            </w:r>
            <w:r>
              <w:rPr>
                <w:rFonts w:hint="eastAsia"/>
                <w:color w:val="auto"/>
                <w:sz w:val="24"/>
                <w:szCs w:val="24"/>
                <w:highlight w:val="none"/>
                <w:lang w:val="en-US" w:eastAsia="zh-CN"/>
              </w:rPr>
              <w:t>及《排污许可证申请与核发技术规范工业噪声》（HJ1301-2023），</w:t>
            </w:r>
            <w:r>
              <w:rPr>
                <w:color w:val="auto"/>
                <w:sz w:val="24"/>
                <w:szCs w:val="24"/>
                <w:highlight w:val="none"/>
              </w:rPr>
              <w:t>提出项目生产运行阶段的污染源监测计划，详见</w:t>
            </w:r>
            <w:r>
              <w:rPr>
                <w:rFonts w:hint="eastAsia"/>
                <w:color w:val="auto"/>
                <w:sz w:val="24"/>
                <w:szCs w:val="24"/>
                <w:highlight w:val="none"/>
                <w:lang w:val="en-US" w:eastAsia="zh-CN"/>
              </w:rPr>
              <w:t>下表</w:t>
            </w:r>
            <w:r>
              <w:rPr>
                <w:color w:val="auto"/>
                <w:sz w:val="24"/>
                <w:szCs w:val="24"/>
                <w:highlight w:val="none"/>
              </w:rPr>
              <w:t>。</w:t>
            </w:r>
          </w:p>
          <w:p w14:paraId="4D980C6E">
            <w:pPr>
              <w:pStyle w:val="14"/>
              <w:bidi w:val="0"/>
              <w:rPr>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lang w:val="en-US" w:eastAsia="zh-CN"/>
              </w:rPr>
              <w:t xml:space="preserve">  </w:t>
            </w:r>
            <w:r>
              <w:rPr>
                <w:color w:val="auto"/>
                <w:highlight w:val="none"/>
              </w:rPr>
              <w:t>噪声监测方案</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313"/>
              <w:gridCol w:w="1358"/>
              <w:gridCol w:w="1818"/>
              <w:gridCol w:w="3892"/>
            </w:tblGrid>
            <w:tr w14:paraId="480E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4" w:type="pct"/>
                  <w:tcBorders>
                    <w:top w:val="single" w:color="auto" w:sz="12" w:space="0"/>
                    <w:bottom w:val="single" w:color="auto" w:sz="4" w:space="0"/>
                    <w:right w:val="single" w:color="auto" w:sz="4" w:space="0"/>
                  </w:tcBorders>
                  <w:noWrap w:val="0"/>
                  <w:vAlign w:val="center"/>
                </w:tcPr>
                <w:p w14:paraId="0D726A79">
                  <w:pPr>
                    <w:pStyle w:val="94"/>
                    <w:bidi w:val="0"/>
                    <w:rPr>
                      <w:rFonts w:hint="default"/>
                      <w:b/>
                      <w:bCs w:val="0"/>
                      <w:color w:val="auto"/>
                      <w:highlight w:val="none"/>
                    </w:rPr>
                  </w:pPr>
                  <w:r>
                    <w:rPr>
                      <w:rFonts w:hint="default"/>
                      <w:b/>
                      <w:bCs w:val="0"/>
                      <w:color w:val="auto"/>
                      <w:highlight w:val="none"/>
                    </w:rPr>
                    <w:t>类别</w:t>
                  </w:r>
                </w:p>
              </w:tc>
              <w:tc>
                <w:tcPr>
                  <w:tcW w:w="726" w:type="pct"/>
                  <w:tcBorders>
                    <w:top w:val="single" w:color="auto" w:sz="12" w:space="0"/>
                    <w:left w:val="single" w:color="auto" w:sz="4" w:space="0"/>
                    <w:bottom w:val="single" w:color="auto" w:sz="4" w:space="0"/>
                    <w:right w:val="single" w:color="auto" w:sz="4" w:space="0"/>
                  </w:tcBorders>
                  <w:noWrap w:val="0"/>
                  <w:vAlign w:val="center"/>
                </w:tcPr>
                <w:p w14:paraId="332BA2C6">
                  <w:pPr>
                    <w:pStyle w:val="94"/>
                    <w:bidi w:val="0"/>
                    <w:rPr>
                      <w:rFonts w:hint="default"/>
                      <w:b/>
                      <w:bCs w:val="0"/>
                      <w:color w:val="auto"/>
                      <w:highlight w:val="none"/>
                    </w:rPr>
                  </w:pPr>
                  <w:r>
                    <w:rPr>
                      <w:rFonts w:hint="default"/>
                      <w:b/>
                      <w:bCs w:val="0"/>
                      <w:color w:val="auto"/>
                      <w:highlight w:val="none"/>
                    </w:rPr>
                    <w:t>监测点位及数量</w:t>
                  </w:r>
                </w:p>
              </w:tc>
              <w:tc>
                <w:tcPr>
                  <w:tcW w:w="751" w:type="pct"/>
                  <w:tcBorders>
                    <w:top w:val="single" w:color="auto" w:sz="12" w:space="0"/>
                    <w:left w:val="single" w:color="auto" w:sz="4" w:space="0"/>
                    <w:bottom w:val="single" w:color="auto" w:sz="4" w:space="0"/>
                    <w:right w:val="single" w:color="auto" w:sz="4" w:space="0"/>
                  </w:tcBorders>
                  <w:noWrap w:val="0"/>
                  <w:vAlign w:val="center"/>
                </w:tcPr>
                <w:p w14:paraId="6F88FAAA">
                  <w:pPr>
                    <w:pStyle w:val="94"/>
                    <w:bidi w:val="0"/>
                    <w:rPr>
                      <w:rFonts w:hint="default"/>
                      <w:b/>
                      <w:bCs w:val="0"/>
                      <w:color w:val="auto"/>
                      <w:highlight w:val="none"/>
                    </w:rPr>
                  </w:pPr>
                  <w:r>
                    <w:rPr>
                      <w:rFonts w:hint="default"/>
                      <w:b/>
                      <w:bCs w:val="0"/>
                      <w:color w:val="auto"/>
                      <w:highlight w:val="none"/>
                    </w:rPr>
                    <w:t>监测因子</w:t>
                  </w:r>
                </w:p>
              </w:tc>
              <w:tc>
                <w:tcPr>
                  <w:tcW w:w="1005" w:type="pct"/>
                  <w:tcBorders>
                    <w:top w:val="single" w:color="auto" w:sz="12" w:space="0"/>
                    <w:left w:val="single" w:color="auto" w:sz="4" w:space="0"/>
                    <w:bottom w:val="single" w:color="auto" w:sz="4" w:space="0"/>
                    <w:right w:val="single" w:color="auto" w:sz="4" w:space="0"/>
                  </w:tcBorders>
                  <w:noWrap w:val="0"/>
                  <w:vAlign w:val="center"/>
                </w:tcPr>
                <w:p w14:paraId="2A9702D0">
                  <w:pPr>
                    <w:pStyle w:val="94"/>
                    <w:bidi w:val="0"/>
                    <w:rPr>
                      <w:rFonts w:hint="default"/>
                      <w:b/>
                      <w:bCs w:val="0"/>
                      <w:color w:val="auto"/>
                      <w:highlight w:val="none"/>
                    </w:rPr>
                  </w:pPr>
                  <w:r>
                    <w:rPr>
                      <w:rFonts w:hint="default"/>
                      <w:b/>
                      <w:bCs w:val="0"/>
                      <w:color w:val="auto"/>
                      <w:highlight w:val="none"/>
                    </w:rPr>
                    <w:t>监测频次</w:t>
                  </w:r>
                </w:p>
              </w:tc>
              <w:tc>
                <w:tcPr>
                  <w:tcW w:w="2152" w:type="pct"/>
                  <w:tcBorders>
                    <w:top w:val="single" w:color="auto" w:sz="12" w:space="0"/>
                    <w:left w:val="single" w:color="auto" w:sz="4" w:space="0"/>
                    <w:bottom w:val="single" w:color="auto" w:sz="4" w:space="0"/>
                    <w:right w:val="nil"/>
                  </w:tcBorders>
                  <w:noWrap w:val="0"/>
                  <w:vAlign w:val="center"/>
                </w:tcPr>
                <w:p w14:paraId="44F4875C">
                  <w:pPr>
                    <w:pStyle w:val="94"/>
                    <w:bidi w:val="0"/>
                    <w:rPr>
                      <w:rFonts w:hint="default"/>
                      <w:b/>
                      <w:bCs w:val="0"/>
                      <w:color w:val="auto"/>
                      <w:highlight w:val="none"/>
                    </w:rPr>
                  </w:pPr>
                  <w:r>
                    <w:rPr>
                      <w:rFonts w:hint="default"/>
                      <w:b/>
                      <w:bCs w:val="0"/>
                      <w:color w:val="auto"/>
                      <w:highlight w:val="none"/>
                    </w:rPr>
                    <w:t>执行标准</w:t>
                  </w:r>
                </w:p>
              </w:tc>
            </w:tr>
            <w:tr w14:paraId="525D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4" w:type="pct"/>
                  <w:tcBorders>
                    <w:top w:val="single" w:color="auto" w:sz="4" w:space="0"/>
                    <w:left w:val="nil"/>
                    <w:bottom w:val="single" w:color="auto" w:sz="12" w:space="0"/>
                    <w:right w:val="single" w:color="auto" w:sz="4" w:space="0"/>
                  </w:tcBorders>
                  <w:noWrap w:val="0"/>
                  <w:vAlign w:val="center"/>
                </w:tcPr>
                <w:p w14:paraId="44411404">
                  <w:pPr>
                    <w:pStyle w:val="94"/>
                    <w:bidi w:val="0"/>
                    <w:rPr>
                      <w:rFonts w:hint="default"/>
                      <w:color w:val="auto"/>
                      <w:highlight w:val="none"/>
                    </w:rPr>
                  </w:pPr>
                  <w:r>
                    <w:rPr>
                      <w:rFonts w:hint="default"/>
                      <w:color w:val="auto"/>
                      <w:highlight w:val="none"/>
                    </w:rPr>
                    <w:t>噪声</w:t>
                  </w:r>
                </w:p>
              </w:tc>
              <w:tc>
                <w:tcPr>
                  <w:tcW w:w="726" w:type="pct"/>
                  <w:tcBorders>
                    <w:top w:val="single" w:color="auto" w:sz="4" w:space="0"/>
                    <w:left w:val="single" w:color="auto" w:sz="4" w:space="0"/>
                    <w:bottom w:val="single" w:color="auto" w:sz="12" w:space="0"/>
                    <w:right w:val="single" w:color="auto" w:sz="4" w:space="0"/>
                  </w:tcBorders>
                  <w:noWrap w:val="0"/>
                  <w:vAlign w:val="center"/>
                </w:tcPr>
                <w:p w14:paraId="71105C47">
                  <w:pPr>
                    <w:pStyle w:val="94"/>
                    <w:bidi w:val="0"/>
                    <w:rPr>
                      <w:rFonts w:hint="default"/>
                      <w:color w:val="auto"/>
                      <w:highlight w:val="none"/>
                    </w:rPr>
                  </w:pPr>
                  <w:r>
                    <w:rPr>
                      <w:rFonts w:hint="default"/>
                      <w:color w:val="auto"/>
                      <w:highlight w:val="none"/>
                    </w:rPr>
                    <w:t>厂界处4个</w:t>
                  </w:r>
                </w:p>
              </w:tc>
              <w:tc>
                <w:tcPr>
                  <w:tcW w:w="751" w:type="pct"/>
                  <w:tcBorders>
                    <w:top w:val="single" w:color="auto" w:sz="4" w:space="0"/>
                    <w:left w:val="single" w:color="auto" w:sz="4" w:space="0"/>
                    <w:bottom w:val="single" w:color="auto" w:sz="12" w:space="0"/>
                    <w:right w:val="single" w:color="auto" w:sz="4" w:space="0"/>
                  </w:tcBorders>
                  <w:noWrap w:val="0"/>
                  <w:vAlign w:val="center"/>
                </w:tcPr>
                <w:p w14:paraId="7B85F5FB">
                  <w:pPr>
                    <w:pStyle w:val="94"/>
                    <w:bidi w:val="0"/>
                    <w:rPr>
                      <w:rFonts w:hint="default"/>
                      <w:color w:val="auto"/>
                      <w:highlight w:val="none"/>
                    </w:rPr>
                  </w:pPr>
                  <w:r>
                    <w:rPr>
                      <w:rFonts w:hint="default"/>
                      <w:color w:val="auto"/>
                      <w:highlight w:val="none"/>
                    </w:rPr>
                    <w:t>等效连续A声级</w:t>
                  </w:r>
                </w:p>
              </w:tc>
              <w:tc>
                <w:tcPr>
                  <w:tcW w:w="1005" w:type="pct"/>
                  <w:tcBorders>
                    <w:top w:val="single" w:color="auto" w:sz="4" w:space="0"/>
                    <w:left w:val="single" w:color="auto" w:sz="4" w:space="0"/>
                    <w:bottom w:val="single" w:color="auto" w:sz="12" w:space="0"/>
                    <w:right w:val="single" w:color="auto" w:sz="4" w:space="0"/>
                  </w:tcBorders>
                  <w:noWrap w:val="0"/>
                  <w:vAlign w:val="center"/>
                </w:tcPr>
                <w:p w14:paraId="7B8F8B88">
                  <w:pPr>
                    <w:pStyle w:val="94"/>
                    <w:bidi w:val="0"/>
                    <w:rPr>
                      <w:rFonts w:hint="default"/>
                      <w:color w:val="auto"/>
                      <w:highlight w:val="none"/>
                    </w:rPr>
                  </w:pPr>
                  <w:r>
                    <w:rPr>
                      <w:rFonts w:hint="default"/>
                      <w:color w:val="auto"/>
                      <w:highlight w:val="none"/>
                    </w:rPr>
                    <w:t>1次/季；1天/次，昼间监测1次</w:t>
                  </w:r>
                </w:p>
              </w:tc>
              <w:tc>
                <w:tcPr>
                  <w:tcW w:w="2152" w:type="pct"/>
                  <w:tcBorders>
                    <w:top w:val="single" w:color="auto" w:sz="4" w:space="0"/>
                    <w:left w:val="single" w:color="auto" w:sz="4" w:space="0"/>
                    <w:bottom w:val="single" w:color="auto" w:sz="12" w:space="0"/>
                    <w:right w:val="nil"/>
                  </w:tcBorders>
                  <w:noWrap w:val="0"/>
                  <w:vAlign w:val="center"/>
                </w:tcPr>
                <w:p w14:paraId="12DD59AF">
                  <w:pPr>
                    <w:pStyle w:val="94"/>
                    <w:bidi w:val="0"/>
                    <w:rPr>
                      <w:rFonts w:hint="default"/>
                      <w:color w:val="auto"/>
                      <w:highlight w:val="none"/>
                    </w:rPr>
                  </w:pPr>
                  <w:r>
                    <w:rPr>
                      <w:rFonts w:hint="default"/>
                      <w:color w:val="auto"/>
                      <w:highlight w:val="none"/>
                    </w:rPr>
                    <w:t>《工业企业厂界环境噪声排放标准》（GB12348-2008）中的</w:t>
                  </w:r>
                  <w:r>
                    <w:rPr>
                      <w:rFonts w:hint="eastAsia"/>
                      <w:color w:val="auto"/>
                      <w:highlight w:val="none"/>
                      <w:lang w:val="en-US" w:eastAsia="zh-CN"/>
                    </w:rPr>
                    <w:t>3</w:t>
                  </w:r>
                  <w:r>
                    <w:rPr>
                      <w:rFonts w:hint="default"/>
                      <w:color w:val="auto"/>
                      <w:highlight w:val="none"/>
                    </w:rPr>
                    <w:t>类标准</w:t>
                  </w:r>
                </w:p>
              </w:tc>
            </w:tr>
          </w:tbl>
          <w:p w14:paraId="49904585">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left"/>
              <w:textAlignment w:val="auto"/>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val="en-US" w:eastAsia="zh-CN"/>
              </w:rPr>
              <w:t>4、固体废物排放及治理</w:t>
            </w:r>
          </w:p>
          <w:p w14:paraId="652CF76B">
            <w:pPr>
              <w:adjustRightInd w:val="0"/>
              <w:snapToGrid w:val="0"/>
              <w:ind w:firstLine="480"/>
              <w:jc w:val="both"/>
              <w:rPr>
                <w:rFonts w:hint="default" w:eastAsia="宋体"/>
                <w:color w:val="auto"/>
                <w:sz w:val="24"/>
                <w:highlight w:val="none"/>
                <w:lang w:val="en-US" w:eastAsia="zh-CN"/>
              </w:rPr>
            </w:pPr>
            <w:r>
              <w:rPr>
                <w:rFonts w:hint="eastAsia"/>
                <w:color w:val="auto"/>
                <w:sz w:val="24"/>
                <w:highlight w:val="none"/>
                <w:lang w:eastAsia="zh-CN"/>
              </w:rPr>
              <w:t>本项目</w:t>
            </w:r>
            <w:r>
              <w:rPr>
                <w:color w:val="auto"/>
                <w:sz w:val="24"/>
                <w:highlight w:val="none"/>
              </w:rPr>
              <w:t>运营期固体废物主要包括一般固废和危险废物。</w:t>
            </w:r>
            <w:bookmarkStart w:id="21" w:name="一般固废"/>
            <w:bookmarkEnd w:id="21"/>
            <w:r>
              <w:rPr>
                <w:rFonts w:hint="eastAsia"/>
                <w:color w:val="auto"/>
                <w:sz w:val="24"/>
                <w:highlight w:val="none"/>
              </w:rPr>
              <w:t>一般固废主要为</w:t>
            </w:r>
            <w:r>
              <w:rPr>
                <w:rFonts w:hint="eastAsia"/>
              </w:rPr>
              <w:t>不合格原料</w:t>
            </w:r>
            <w:r>
              <w:rPr>
                <w:rFonts w:hint="eastAsia"/>
                <w:lang w:eastAsia="zh-CN"/>
              </w:rPr>
              <w:t>、</w:t>
            </w:r>
            <w:r>
              <w:rPr>
                <w:rFonts w:hint="eastAsia"/>
              </w:rPr>
              <w:t>原料皮核</w:t>
            </w:r>
            <w:r>
              <w:rPr>
                <w:rFonts w:hint="eastAsia"/>
                <w:lang w:eastAsia="zh-CN"/>
              </w:rPr>
              <w:t>、</w:t>
            </w:r>
            <w:r>
              <w:rPr>
                <w:rFonts w:hint="eastAsia"/>
              </w:rPr>
              <w:t>不合格品</w:t>
            </w:r>
            <w:r>
              <w:rPr>
                <w:rFonts w:hint="eastAsia"/>
                <w:lang w:eastAsia="zh-CN"/>
              </w:rPr>
              <w:t>、</w:t>
            </w:r>
            <w:r>
              <w:rPr>
                <w:rFonts w:hint="eastAsia"/>
              </w:rPr>
              <w:t>杂质</w:t>
            </w:r>
            <w:r>
              <w:rPr>
                <w:rFonts w:hint="eastAsia"/>
                <w:lang w:eastAsia="zh-CN"/>
              </w:rPr>
              <w:t>、</w:t>
            </w:r>
            <w:r>
              <w:rPr>
                <w:rFonts w:hint="eastAsia"/>
              </w:rPr>
              <w:t>废包装材料</w:t>
            </w:r>
            <w:r>
              <w:rPr>
                <w:rFonts w:hint="eastAsia"/>
                <w:lang w:eastAsia="zh-CN"/>
              </w:rPr>
              <w:t>、肉类废边角料、</w:t>
            </w:r>
            <w:r>
              <w:rPr>
                <w:rFonts w:hint="eastAsia"/>
                <w:lang w:val="en-US" w:eastAsia="zh-CN"/>
              </w:rPr>
              <w:t>生活垃圾、污水处理设施污泥；</w:t>
            </w:r>
            <w:r>
              <w:rPr>
                <w:rFonts w:hint="eastAsia"/>
                <w:color w:val="auto"/>
                <w:sz w:val="24"/>
                <w:highlight w:val="none"/>
              </w:rPr>
              <w:t>危险废物主要为</w:t>
            </w:r>
            <w:r>
              <w:rPr>
                <w:rFonts w:hint="eastAsia"/>
                <w:color w:val="auto"/>
                <w:highlight w:val="none"/>
                <w:lang w:val="en-US" w:eastAsia="zh-CN"/>
              </w:rPr>
              <w:t>废机油、废机油桶、废沾油手套</w:t>
            </w:r>
            <w:r>
              <w:rPr>
                <w:rFonts w:hint="eastAsia"/>
                <w:color w:val="auto"/>
                <w:sz w:val="24"/>
                <w:highlight w:val="none"/>
                <w:lang w:val="en-US" w:eastAsia="zh-CN"/>
              </w:rPr>
              <w:t>等。</w:t>
            </w:r>
          </w:p>
          <w:p w14:paraId="13064E80">
            <w:pPr>
              <w:adjustRightInd w:val="0"/>
              <w:snapToGrid w:val="0"/>
              <w:ind w:firstLine="482"/>
              <w:jc w:val="both"/>
              <w:rPr>
                <w:b/>
                <w:bCs/>
                <w:color w:val="auto"/>
                <w:sz w:val="24"/>
                <w:highlight w:val="none"/>
              </w:rPr>
            </w:pPr>
            <w:r>
              <w:rPr>
                <w:b/>
                <w:bCs/>
                <w:color w:val="auto"/>
                <w:sz w:val="24"/>
                <w:highlight w:val="none"/>
              </w:rPr>
              <w:t>（一）固废产生量和处理方式</w:t>
            </w:r>
          </w:p>
          <w:p w14:paraId="4BDF534A">
            <w:pPr>
              <w:ind w:firstLine="482"/>
              <w:jc w:val="both"/>
              <w:rPr>
                <w:b/>
                <w:bCs/>
                <w:color w:val="auto"/>
                <w:sz w:val="24"/>
                <w:highlight w:val="none"/>
              </w:rPr>
            </w:pPr>
            <w:r>
              <w:rPr>
                <w:b/>
                <w:bCs/>
                <w:color w:val="auto"/>
                <w:sz w:val="24"/>
                <w:highlight w:val="none"/>
              </w:rPr>
              <w:t>（1）一般废物</w:t>
            </w:r>
          </w:p>
          <w:p w14:paraId="23124682">
            <w:pPr>
              <w:ind w:firstLine="482"/>
              <w:jc w:val="both"/>
              <w:rPr>
                <w:b/>
                <w:bCs/>
                <w:color w:val="auto"/>
                <w:sz w:val="24"/>
                <w:highlight w:val="none"/>
              </w:rPr>
            </w:pPr>
            <w:r>
              <w:rPr>
                <w:rFonts w:hint="eastAsia"/>
                <w:b/>
                <w:bCs/>
                <w:color w:val="auto"/>
                <w:sz w:val="24"/>
                <w:highlight w:val="none"/>
                <w:lang w:val="en-US" w:eastAsia="zh-CN"/>
              </w:rPr>
              <w:t>不合格原料</w:t>
            </w:r>
            <w:r>
              <w:rPr>
                <w:b/>
                <w:bCs/>
                <w:color w:val="auto"/>
                <w:sz w:val="24"/>
                <w:highlight w:val="none"/>
              </w:rPr>
              <w:t>：</w:t>
            </w:r>
            <w:r>
              <w:rPr>
                <w:rFonts w:hint="eastAsia"/>
                <w:color w:val="auto"/>
                <w:sz w:val="24"/>
                <w:szCs w:val="24"/>
                <w:highlight w:val="none"/>
                <w:lang w:val="en-US" w:eastAsia="zh-CN"/>
              </w:rPr>
              <w:t>项目冻干生产原料挑选工序会产生不合格原料</w:t>
            </w:r>
            <w:r>
              <w:rPr>
                <w:rFonts w:hint="eastAsia" w:cs="Times New Roman"/>
                <w:bCs/>
                <w:color w:val="auto"/>
                <w:sz w:val="24"/>
                <w:szCs w:val="24"/>
                <w:highlight w:val="none"/>
              </w:rPr>
              <w:t>，</w:t>
            </w:r>
            <w:r>
              <w:rPr>
                <w:rFonts w:hint="eastAsia" w:cs="Times New Roman"/>
                <w:bCs/>
                <w:color w:val="auto"/>
                <w:sz w:val="24"/>
                <w:szCs w:val="24"/>
                <w:highlight w:val="none"/>
                <w:lang w:val="en-US" w:eastAsia="zh-CN"/>
              </w:rPr>
              <w:t>按原辅料用量的0.1%计，则冻干生产不合格原料产生量预计为58.0t/a；纸制品生产原料检验过程中会产生不合格原料，按原料用量的0.5%，则纸制品不合格原料量预计为25.0t/a。合计量为83.0t/a。由一般工业固废暂存间暂存后</w:t>
            </w:r>
            <w:r>
              <w:rPr>
                <w:rFonts w:hint="eastAsia"/>
                <w:color w:val="auto"/>
                <w:sz w:val="24"/>
                <w:szCs w:val="24"/>
                <w:highlight w:val="none"/>
              </w:rPr>
              <w:t>定期</w:t>
            </w:r>
            <w:r>
              <w:rPr>
                <w:rFonts w:hint="eastAsia"/>
                <w:color w:val="auto"/>
                <w:sz w:val="24"/>
                <w:szCs w:val="24"/>
                <w:highlight w:val="none"/>
                <w:lang w:val="en-US" w:eastAsia="zh-CN"/>
              </w:rPr>
              <w:t>交由有处理资质的清运处置</w:t>
            </w:r>
            <w:r>
              <w:rPr>
                <w:rFonts w:hint="eastAsia"/>
                <w:color w:val="auto"/>
                <w:sz w:val="24"/>
                <w:szCs w:val="24"/>
                <w:highlight w:val="none"/>
              </w:rPr>
              <w:t>。</w:t>
            </w:r>
          </w:p>
          <w:p w14:paraId="172EEFF5">
            <w:pPr>
              <w:snapToGrid w:val="0"/>
              <w:ind w:firstLine="482"/>
              <w:jc w:val="both"/>
              <w:rPr>
                <w:rFonts w:hint="default" w:eastAsia="宋体"/>
                <w:color w:val="auto"/>
                <w:sz w:val="24"/>
                <w:highlight w:val="none"/>
                <w:lang w:val="en-US" w:eastAsia="zh-CN"/>
              </w:rPr>
            </w:pPr>
            <w:r>
              <w:rPr>
                <w:rFonts w:hint="eastAsia"/>
                <w:b/>
                <w:bCs/>
                <w:color w:val="auto"/>
                <w:sz w:val="24"/>
                <w:highlight w:val="none"/>
                <w:lang w:val="en-US" w:eastAsia="zh-CN"/>
              </w:rPr>
              <w:t>原料皮核：</w:t>
            </w:r>
            <w:r>
              <w:rPr>
                <w:rFonts w:hint="eastAsia"/>
                <w:color w:val="auto"/>
                <w:sz w:val="24"/>
                <w:szCs w:val="24"/>
                <w:highlight w:val="none"/>
                <w:lang w:val="en-US" w:eastAsia="zh-CN"/>
              </w:rPr>
              <w:t>项目去皮核工序会产生原料皮核</w:t>
            </w:r>
            <w:r>
              <w:rPr>
                <w:rFonts w:hint="eastAsia" w:cs="Times New Roman"/>
                <w:bCs/>
                <w:color w:val="auto"/>
                <w:sz w:val="24"/>
                <w:szCs w:val="24"/>
                <w:highlight w:val="none"/>
              </w:rPr>
              <w:t>，</w:t>
            </w:r>
            <w:r>
              <w:rPr>
                <w:rFonts w:hint="eastAsia" w:cs="Times New Roman"/>
                <w:bCs/>
                <w:color w:val="auto"/>
                <w:sz w:val="24"/>
                <w:szCs w:val="24"/>
                <w:highlight w:val="none"/>
                <w:lang w:val="en-US" w:eastAsia="zh-CN"/>
              </w:rPr>
              <w:t>按原辅料用量的5%计，则原料皮核产生量预计为2900t/a</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一般工业固废暂存间暂存后</w:t>
            </w:r>
            <w:r>
              <w:rPr>
                <w:rFonts w:hint="eastAsia"/>
                <w:color w:val="auto"/>
                <w:sz w:val="24"/>
                <w:szCs w:val="24"/>
                <w:highlight w:val="none"/>
              </w:rPr>
              <w:t>定期</w:t>
            </w:r>
            <w:r>
              <w:rPr>
                <w:rFonts w:hint="eastAsia"/>
                <w:color w:val="auto"/>
                <w:sz w:val="24"/>
                <w:szCs w:val="24"/>
                <w:highlight w:val="none"/>
                <w:lang w:val="en-US" w:eastAsia="zh-CN"/>
              </w:rPr>
              <w:t>交由有处理资质的单位清运处置</w:t>
            </w:r>
            <w:r>
              <w:rPr>
                <w:rFonts w:hint="eastAsia"/>
                <w:color w:val="auto"/>
                <w:sz w:val="24"/>
                <w:szCs w:val="24"/>
                <w:highlight w:val="none"/>
              </w:rPr>
              <w:t>。</w:t>
            </w:r>
          </w:p>
          <w:p w14:paraId="071447ED">
            <w:pPr>
              <w:snapToGrid w:val="0"/>
              <w:ind w:firstLine="482"/>
              <w:jc w:val="both"/>
              <w:rPr>
                <w:rFonts w:hint="default" w:eastAsia="宋体"/>
                <w:color w:val="auto"/>
                <w:sz w:val="24"/>
                <w:highlight w:val="none"/>
                <w:lang w:val="en-US" w:eastAsia="zh-CN"/>
              </w:rPr>
            </w:pPr>
            <w:r>
              <w:rPr>
                <w:rFonts w:hint="eastAsia"/>
                <w:b/>
                <w:bCs/>
                <w:color w:val="auto"/>
                <w:sz w:val="24"/>
                <w:highlight w:val="none"/>
                <w:lang w:val="en-US" w:eastAsia="zh-CN"/>
              </w:rPr>
              <w:t>不合格品</w:t>
            </w:r>
            <w:r>
              <w:rPr>
                <w:rFonts w:hint="eastAsia"/>
                <w:b/>
                <w:bCs/>
                <w:color w:val="auto"/>
                <w:sz w:val="24"/>
                <w:highlight w:val="none"/>
                <w:lang w:eastAsia="zh-CN"/>
              </w:rPr>
              <w:t>：</w:t>
            </w:r>
            <w:r>
              <w:rPr>
                <w:rFonts w:hint="eastAsia"/>
                <w:color w:val="auto"/>
                <w:sz w:val="24"/>
                <w:szCs w:val="24"/>
                <w:highlight w:val="none"/>
                <w:lang w:val="en-US" w:eastAsia="zh-CN"/>
              </w:rPr>
              <w:t>项目冻干生产分拣工序会产生不合格品</w:t>
            </w:r>
            <w:r>
              <w:rPr>
                <w:rFonts w:hint="eastAsia" w:cs="Times New Roman"/>
                <w:bCs/>
                <w:color w:val="auto"/>
                <w:sz w:val="24"/>
                <w:szCs w:val="24"/>
                <w:highlight w:val="none"/>
              </w:rPr>
              <w:t>，</w:t>
            </w:r>
            <w:r>
              <w:rPr>
                <w:rFonts w:hint="eastAsia" w:cs="Times New Roman"/>
                <w:bCs/>
                <w:color w:val="auto"/>
                <w:sz w:val="24"/>
                <w:szCs w:val="24"/>
                <w:highlight w:val="none"/>
                <w:lang w:val="en-US" w:eastAsia="zh-CN"/>
              </w:rPr>
              <w:t>按产品产能的0.1%计；则冻干不合格品产生量预计为13.9t/a</w:t>
            </w:r>
            <w:r>
              <w:rPr>
                <w:rFonts w:hint="eastAsia" w:cs="Times New Roman"/>
                <w:bCs/>
                <w:color w:val="auto"/>
                <w:sz w:val="24"/>
                <w:szCs w:val="24"/>
                <w:highlight w:val="none"/>
                <w:lang w:eastAsia="zh-CN"/>
              </w:rPr>
              <w:t>；</w:t>
            </w:r>
            <w:r>
              <w:rPr>
                <w:rFonts w:hint="eastAsia"/>
                <w:color w:val="auto"/>
                <w:sz w:val="24"/>
                <w:szCs w:val="24"/>
                <w:highlight w:val="none"/>
                <w:lang w:val="en-US" w:eastAsia="zh-CN"/>
              </w:rPr>
              <w:t>项目纸制品生产产品检验工序会产生不合格品</w:t>
            </w:r>
            <w:r>
              <w:rPr>
                <w:rFonts w:hint="eastAsia" w:cs="Times New Roman"/>
                <w:bCs/>
                <w:color w:val="auto"/>
                <w:sz w:val="24"/>
                <w:szCs w:val="24"/>
                <w:highlight w:val="none"/>
              </w:rPr>
              <w:t>，</w:t>
            </w:r>
            <w:r>
              <w:rPr>
                <w:rFonts w:hint="eastAsia" w:cs="Times New Roman"/>
                <w:bCs/>
                <w:color w:val="auto"/>
                <w:sz w:val="24"/>
                <w:szCs w:val="24"/>
                <w:highlight w:val="none"/>
                <w:lang w:val="en-US" w:eastAsia="zh-CN"/>
              </w:rPr>
              <w:t>按产品产能的1.5%计；则冻干不合格品产生量预计为75.0t/a</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合计量为88.9t/a</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一般工业固废暂存间暂存后</w:t>
            </w:r>
            <w:r>
              <w:rPr>
                <w:rFonts w:hint="eastAsia"/>
                <w:color w:val="auto"/>
                <w:sz w:val="24"/>
                <w:szCs w:val="24"/>
                <w:highlight w:val="none"/>
              </w:rPr>
              <w:t>定期</w:t>
            </w:r>
            <w:r>
              <w:rPr>
                <w:rFonts w:hint="eastAsia"/>
                <w:color w:val="auto"/>
                <w:sz w:val="24"/>
                <w:szCs w:val="24"/>
                <w:highlight w:val="none"/>
                <w:lang w:val="en-US" w:eastAsia="zh-CN"/>
              </w:rPr>
              <w:t>交由有处理资质的单位清运处置</w:t>
            </w:r>
            <w:r>
              <w:rPr>
                <w:rFonts w:hint="eastAsia"/>
                <w:color w:val="auto"/>
                <w:sz w:val="24"/>
                <w:highlight w:val="none"/>
                <w:lang w:val="en-US" w:eastAsia="zh-CN"/>
              </w:rPr>
              <w:t>。</w:t>
            </w:r>
          </w:p>
          <w:p w14:paraId="5CF3D00F">
            <w:pPr>
              <w:snapToGrid w:val="0"/>
              <w:ind w:firstLine="482"/>
              <w:jc w:val="both"/>
              <w:rPr>
                <w:rFonts w:hint="default" w:eastAsia="宋体"/>
                <w:color w:val="auto"/>
                <w:sz w:val="24"/>
                <w:highlight w:val="none"/>
                <w:lang w:val="en-US" w:eastAsia="zh-CN"/>
              </w:rPr>
            </w:pPr>
            <w:r>
              <w:rPr>
                <w:rFonts w:hint="eastAsia"/>
                <w:b/>
                <w:bCs/>
                <w:color w:val="auto"/>
                <w:sz w:val="24"/>
                <w:highlight w:val="none"/>
                <w:lang w:val="en-US" w:eastAsia="zh-CN"/>
              </w:rPr>
              <w:t>杂质</w:t>
            </w:r>
            <w:r>
              <w:rPr>
                <w:rFonts w:hint="eastAsia"/>
                <w:b/>
                <w:bCs/>
                <w:color w:val="auto"/>
                <w:sz w:val="24"/>
                <w:highlight w:val="none"/>
                <w:lang w:eastAsia="zh-CN"/>
              </w:rPr>
              <w:t>：</w:t>
            </w:r>
            <w:r>
              <w:rPr>
                <w:rFonts w:hint="eastAsia"/>
                <w:color w:val="auto"/>
                <w:sz w:val="24"/>
                <w:szCs w:val="24"/>
                <w:highlight w:val="none"/>
                <w:lang w:val="en-US" w:eastAsia="zh-CN"/>
              </w:rPr>
              <w:t>项目冻干生产探检工序会产生杂质</w:t>
            </w:r>
            <w:r>
              <w:rPr>
                <w:rFonts w:hint="eastAsia" w:cs="Times New Roman"/>
                <w:bCs/>
                <w:color w:val="auto"/>
                <w:sz w:val="24"/>
                <w:szCs w:val="24"/>
                <w:highlight w:val="none"/>
              </w:rPr>
              <w:t>，</w:t>
            </w:r>
            <w:r>
              <w:rPr>
                <w:rFonts w:hint="eastAsia" w:cs="Times New Roman"/>
                <w:bCs/>
                <w:color w:val="auto"/>
                <w:sz w:val="24"/>
                <w:szCs w:val="24"/>
                <w:highlight w:val="none"/>
                <w:lang w:val="en-US" w:eastAsia="zh-CN"/>
              </w:rPr>
              <w:t>按产品产能的0.1%计，则杂质产生量预计为13.9t/a</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一般工业固废暂存间暂存后</w:t>
            </w:r>
            <w:r>
              <w:rPr>
                <w:rFonts w:hint="eastAsia"/>
                <w:color w:val="auto"/>
                <w:sz w:val="24"/>
                <w:szCs w:val="24"/>
                <w:highlight w:val="none"/>
              </w:rPr>
              <w:t>定期</w:t>
            </w:r>
            <w:r>
              <w:rPr>
                <w:rFonts w:hint="eastAsia"/>
                <w:color w:val="auto"/>
                <w:sz w:val="24"/>
                <w:szCs w:val="24"/>
                <w:highlight w:val="none"/>
                <w:lang w:val="en-US" w:eastAsia="zh-CN"/>
              </w:rPr>
              <w:t>交由有处理资质的单位清运处置</w:t>
            </w:r>
            <w:r>
              <w:rPr>
                <w:rFonts w:hint="eastAsia"/>
                <w:color w:val="auto"/>
                <w:sz w:val="24"/>
                <w:highlight w:val="none"/>
                <w:lang w:val="en-US" w:eastAsia="zh-CN"/>
              </w:rPr>
              <w:t>。</w:t>
            </w:r>
          </w:p>
          <w:p w14:paraId="5F717985">
            <w:pPr>
              <w:ind w:firstLine="482"/>
              <w:jc w:val="both"/>
              <w:rPr>
                <w:rFonts w:hint="eastAsia"/>
                <w:color w:val="auto"/>
                <w:sz w:val="24"/>
                <w:highlight w:val="none"/>
                <w:lang w:val="en-US" w:eastAsia="zh-CN"/>
              </w:rPr>
            </w:pPr>
            <w:r>
              <w:rPr>
                <w:rFonts w:hint="eastAsia"/>
                <w:b/>
                <w:bCs/>
                <w:color w:val="auto"/>
                <w:sz w:val="24"/>
                <w:highlight w:val="none"/>
                <w:lang w:val="en-US" w:eastAsia="zh-CN"/>
              </w:rPr>
              <w:t>废包装材料</w:t>
            </w:r>
            <w:r>
              <w:rPr>
                <w:rFonts w:hint="eastAsia"/>
                <w:b/>
                <w:bCs/>
                <w:color w:val="auto"/>
                <w:sz w:val="24"/>
                <w:highlight w:val="none"/>
                <w:lang w:eastAsia="zh-CN"/>
              </w:rPr>
              <w:t>：</w:t>
            </w:r>
            <w:r>
              <w:rPr>
                <w:rFonts w:hint="eastAsia"/>
                <w:color w:val="auto"/>
                <w:sz w:val="24"/>
                <w:szCs w:val="24"/>
                <w:highlight w:val="none"/>
              </w:rPr>
              <w:t>本项目原辅料脱包及产品包装过程中会产生废包装材料，产生的废包装材料</w:t>
            </w:r>
            <w:r>
              <w:rPr>
                <w:rFonts w:hint="eastAsia"/>
                <w:bCs/>
                <w:color w:val="auto"/>
                <w:sz w:val="24"/>
                <w:szCs w:val="24"/>
                <w:highlight w:val="none"/>
              </w:rPr>
              <w:t>主要为废包装编织袋、塑料袋、</w:t>
            </w:r>
            <w:r>
              <w:rPr>
                <w:rFonts w:hint="eastAsia"/>
                <w:color w:val="auto"/>
                <w:kern w:val="0"/>
                <w:sz w:val="24"/>
                <w:highlight w:val="none"/>
              </w:rPr>
              <w:t>纸箱</w:t>
            </w:r>
            <w:r>
              <w:rPr>
                <w:rFonts w:hint="eastAsia"/>
                <w:bCs/>
                <w:color w:val="auto"/>
                <w:sz w:val="24"/>
                <w:szCs w:val="24"/>
                <w:highlight w:val="none"/>
              </w:rPr>
              <w:t>等，根据</w:t>
            </w:r>
            <w:r>
              <w:rPr>
                <w:rFonts w:hint="eastAsia"/>
                <w:color w:val="auto"/>
                <w:sz w:val="24"/>
                <w:szCs w:val="24"/>
                <w:highlight w:val="none"/>
              </w:rPr>
              <w:t>原辅料</w:t>
            </w:r>
            <w:r>
              <w:rPr>
                <w:rFonts w:hint="eastAsia"/>
                <w:bCs/>
                <w:color w:val="auto"/>
                <w:sz w:val="24"/>
                <w:szCs w:val="24"/>
                <w:highlight w:val="none"/>
              </w:rPr>
              <w:t>使用量及产品产量估算，产生量约</w:t>
            </w:r>
            <w:r>
              <w:rPr>
                <w:rFonts w:hint="eastAsia"/>
                <w:bCs/>
                <w:color w:val="auto"/>
                <w:sz w:val="24"/>
                <w:szCs w:val="24"/>
                <w:highlight w:val="none"/>
                <w:lang w:val="en-US" w:eastAsia="zh-CN"/>
              </w:rPr>
              <w:t>5</w:t>
            </w:r>
            <w:r>
              <w:rPr>
                <w:rFonts w:cs="Times New Roman"/>
                <w:bCs/>
                <w:color w:val="auto"/>
                <w:sz w:val="24"/>
                <w:szCs w:val="24"/>
                <w:highlight w:val="none"/>
              </w:rPr>
              <w:t>t/a</w:t>
            </w:r>
            <w:r>
              <w:rPr>
                <w:rFonts w:hint="eastAsia" w:cs="Times New Roman"/>
                <w:bCs/>
                <w:color w:val="auto"/>
                <w:sz w:val="24"/>
                <w:szCs w:val="24"/>
                <w:highlight w:val="none"/>
              </w:rPr>
              <w:t>，收集后</w:t>
            </w:r>
            <w:r>
              <w:rPr>
                <w:rFonts w:hint="eastAsia"/>
                <w:color w:val="auto"/>
                <w:sz w:val="24"/>
                <w:szCs w:val="24"/>
                <w:highlight w:val="none"/>
              </w:rPr>
              <w:t>定期外售</w:t>
            </w:r>
            <w:r>
              <w:rPr>
                <w:rFonts w:hint="eastAsia"/>
                <w:color w:val="auto"/>
                <w:sz w:val="24"/>
                <w:szCs w:val="24"/>
                <w:highlight w:val="none"/>
                <w:lang w:val="en-US" w:eastAsia="zh-CN"/>
              </w:rPr>
              <w:t>废品</w:t>
            </w:r>
            <w:r>
              <w:rPr>
                <w:rFonts w:hint="eastAsia"/>
                <w:color w:val="auto"/>
                <w:sz w:val="24"/>
                <w:szCs w:val="24"/>
                <w:highlight w:val="none"/>
              </w:rPr>
              <w:t>回收站</w:t>
            </w:r>
            <w:r>
              <w:rPr>
                <w:rFonts w:hint="eastAsia"/>
                <w:color w:val="auto"/>
                <w:sz w:val="24"/>
                <w:highlight w:val="none"/>
                <w:lang w:val="en-US" w:eastAsia="zh-CN"/>
              </w:rPr>
              <w:t>。</w:t>
            </w:r>
          </w:p>
          <w:p w14:paraId="630E39FD">
            <w:pPr>
              <w:ind w:firstLine="482"/>
              <w:jc w:val="both"/>
              <w:rPr>
                <w:rFonts w:hint="default" w:eastAsia="宋体"/>
                <w:b/>
                <w:bCs/>
                <w:color w:val="auto"/>
                <w:sz w:val="24"/>
                <w:highlight w:val="none"/>
                <w:lang w:val="en-US" w:eastAsia="zh-CN"/>
              </w:rPr>
            </w:pPr>
            <w:r>
              <w:rPr>
                <w:rFonts w:hint="eastAsia"/>
                <w:b/>
                <w:bCs/>
                <w:color w:val="auto"/>
                <w:sz w:val="24"/>
                <w:highlight w:val="none"/>
                <w:lang w:val="en-US" w:eastAsia="zh-CN"/>
              </w:rPr>
              <w:t>肉类废边角料：</w:t>
            </w:r>
            <w:r>
              <w:rPr>
                <w:rFonts w:hint="eastAsia"/>
                <w:color w:val="auto"/>
                <w:sz w:val="24"/>
                <w:szCs w:val="24"/>
                <w:highlight w:val="none"/>
              </w:rPr>
              <w:t>本项目</w:t>
            </w:r>
            <w:r>
              <w:rPr>
                <w:rFonts w:hint="eastAsia"/>
                <w:color w:val="auto"/>
                <w:sz w:val="24"/>
                <w:szCs w:val="24"/>
                <w:highlight w:val="none"/>
                <w:lang w:val="en-US" w:eastAsia="zh-CN"/>
              </w:rPr>
              <w:t>午餐肉罐头生产原料切分筛选过程中会</w:t>
            </w:r>
            <w:r>
              <w:rPr>
                <w:rFonts w:hint="eastAsia"/>
                <w:color w:val="auto"/>
                <w:sz w:val="24"/>
                <w:szCs w:val="24"/>
                <w:highlight w:val="none"/>
              </w:rPr>
              <w:t>产生</w:t>
            </w:r>
            <w:r>
              <w:rPr>
                <w:rFonts w:hint="eastAsia"/>
                <w:color w:val="auto"/>
                <w:sz w:val="24"/>
                <w:szCs w:val="24"/>
                <w:highlight w:val="none"/>
                <w:lang w:val="en-US" w:eastAsia="zh-CN"/>
              </w:rPr>
              <w:t>肉类废边角料</w:t>
            </w:r>
            <w:r>
              <w:rPr>
                <w:rFonts w:hint="eastAsia"/>
                <w:bCs/>
                <w:color w:val="auto"/>
                <w:sz w:val="24"/>
                <w:szCs w:val="24"/>
                <w:highlight w:val="none"/>
              </w:rPr>
              <w:t>，</w:t>
            </w:r>
            <w:r>
              <w:rPr>
                <w:rFonts w:hint="eastAsia" w:cs="Times New Roman"/>
                <w:bCs/>
                <w:color w:val="auto"/>
                <w:sz w:val="24"/>
                <w:szCs w:val="24"/>
                <w:highlight w:val="none"/>
                <w:lang w:val="en-US" w:eastAsia="zh-CN"/>
              </w:rPr>
              <w:t>按猪肉原料用量的1%计，</w:t>
            </w:r>
            <w:r>
              <w:rPr>
                <w:rFonts w:hint="eastAsia"/>
                <w:bCs/>
                <w:color w:val="auto"/>
                <w:sz w:val="24"/>
                <w:szCs w:val="24"/>
                <w:highlight w:val="none"/>
                <w:lang w:val="en-US" w:eastAsia="zh-CN"/>
              </w:rPr>
              <w:t>预计</w:t>
            </w:r>
            <w:r>
              <w:rPr>
                <w:rFonts w:hint="eastAsia"/>
                <w:bCs/>
                <w:color w:val="auto"/>
                <w:sz w:val="24"/>
                <w:szCs w:val="24"/>
                <w:highlight w:val="none"/>
              </w:rPr>
              <w:t>产生量约</w:t>
            </w:r>
            <w:r>
              <w:rPr>
                <w:rFonts w:hint="eastAsia"/>
                <w:bCs/>
                <w:color w:val="auto"/>
                <w:sz w:val="24"/>
                <w:szCs w:val="24"/>
                <w:highlight w:val="none"/>
                <w:lang w:val="en-US" w:eastAsia="zh-CN"/>
              </w:rPr>
              <w:t>25</w:t>
            </w:r>
            <w:r>
              <w:rPr>
                <w:rFonts w:cs="Times New Roman"/>
                <w:bCs/>
                <w:color w:val="auto"/>
                <w:sz w:val="24"/>
                <w:szCs w:val="24"/>
                <w:highlight w:val="none"/>
              </w:rPr>
              <w:t>t/a</w:t>
            </w:r>
            <w:r>
              <w:rPr>
                <w:rFonts w:hint="eastAsia" w:cs="Times New Roman"/>
                <w:bCs/>
                <w:color w:val="auto"/>
                <w:sz w:val="24"/>
                <w:szCs w:val="24"/>
                <w:highlight w:val="none"/>
              </w:rPr>
              <w:t>，收集后</w:t>
            </w:r>
            <w:r>
              <w:rPr>
                <w:rFonts w:hint="eastAsia"/>
                <w:color w:val="auto"/>
                <w:sz w:val="24"/>
                <w:szCs w:val="24"/>
                <w:highlight w:val="none"/>
                <w:lang w:val="en-US" w:eastAsia="zh-CN"/>
              </w:rPr>
              <w:t>交由无害化单位处理</w:t>
            </w:r>
            <w:r>
              <w:rPr>
                <w:rFonts w:hint="eastAsia"/>
                <w:color w:val="auto"/>
                <w:sz w:val="24"/>
                <w:highlight w:val="none"/>
                <w:lang w:val="en-US" w:eastAsia="zh-CN"/>
              </w:rPr>
              <w:t>。</w:t>
            </w:r>
          </w:p>
          <w:p w14:paraId="44235F37">
            <w:pPr>
              <w:ind w:firstLine="482"/>
              <w:jc w:val="both"/>
              <w:rPr>
                <w:color w:val="auto"/>
                <w:sz w:val="24"/>
                <w:highlight w:val="none"/>
              </w:rPr>
            </w:pPr>
            <w:r>
              <w:rPr>
                <w:b/>
                <w:bCs/>
                <w:color w:val="auto"/>
                <w:sz w:val="24"/>
                <w:highlight w:val="none"/>
              </w:rPr>
              <w:t>生活垃圾：</w:t>
            </w:r>
            <w:r>
              <w:rPr>
                <w:rFonts w:hint="eastAsia"/>
                <w:color w:val="auto"/>
                <w:sz w:val="24"/>
                <w:highlight w:val="none"/>
                <w:lang w:eastAsia="zh-CN"/>
              </w:rPr>
              <w:t>本项目</w:t>
            </w:r>
            <w:r>
              <w:rPr>
                <w:color w:val="auto"/>
                <w:sz w:val="24"/>
                <w:highlight w:val="none"/>
              </w:rPr>
              <w:t>劳动定员</w:t>
            </w:r>
            <w:r>
              <w:rPr>
                <w:rFonts w:hint="eastAsia"/>
                <w:color w:val="auto"/>
                <w:sz w:val="24"/>
                <w:highlight w:val="none"/>
                <w:lang w:val="en-US" w:eastAsia="zh-CN"/>
              </w:rPr>
              <w:t>60</w:t>
            </w:r>
            <w:r>
              <w:rPr>
                <w:color w:val="auto"/>
                <w:sz w:val="24"/>
                <w:highlight w:val="none"/>
              </w:rPr>
              <w:t>人，年工作</w:t>
            </w:r>
            <w:r>
              <w:rPr>
                <w:rFonts w:hint="eastAsia"/>
                <w:color w:val="auto"/>
                <w:sz w:val="24"/>
                <w:highlight w:val="none"/>
                <w:lang w:val="en-US" w:eastAsia="zh-CN"/>
              </w:rPr>
              <w:t>300</w:t>
            </w:r>
            <w:r>
              <w:rPr>
                <w:rFonts w:hint="eastAsia"/>
                <w:color w:val="auto"/>
                <w:sz w:val="24"/>
                <w:highlight w:val="none"/>
                <w:lang w:eastAsia="zh-CN"/>
              </w:rPr>
              <w:t>天</w:t>
            </w:r>
            <w:r>
              <w:rPr>
                <w:color w:val="auto"/>
                <w:sz w:val="24"/>
                <w:highlight w:val="none"/>
              </w:rPr>
              <w:t>，生活垃圾产生量按0.5kg/人·d计，营运期生活垃圾产生量为</w:t>
            </w:r>
            <w:r>
              <w:rPr>
                <w:rFonts w:hint="eastAsia"/>
                <w:color w:val="auto"/>
                <w:sz w:val="24"/>
                <w:highlight w:val="none"/>
                <w:lang w:val="en-US" w:eastAsia="zh-CN"/>
              </w:rPr>
              <w:t>30</w:t>
            </w:r>
            <w:r>
              <w:rPr>
                <w:color w:val="auto"/>
                <w:sz w:val="24"/>
                <w:highlight w:val="none"/>
              </w:rPr>
              <w:t>kg/d，</w:t>
            </w:r>
            <w:r>
              <w:rPr>
                <w:rFonts w:hint="eastAsia"/>
                <w:color w:val="auto"/>
                <w:sz w:val="24"/>
                <w:highlight w:val="none"/>
                <w:lang w:val="en-US" w:eastAsia="zh-CN"/>
              </w:rPr>
              <w:t>9.0</w:t>
            </w:r>
            <w:r>
              <w:rPr>
                <w:color w:val="auto"/>
                <w:sz w:val="24"/>
                <w:highlight w:val="none"/>
              </w:rPr>
              <w:t>t/a。生活垃圾经袋装收集后，由市政环卫部门每天统一清运处理。</w:t>
            </w:r>
          </w:p>
          <w:p w14:paraId="183C05E2">
            <w:pPr>
              <w:ind w:firstLine="482"/>
              <w:jc w:val="both"/>
              <w:rPr>
                <w:color w:val="auto"/>
                <w:sz w:val="24"/>
                <w:highlight w:val="none"/>
              </w:rPr>
            </w:pPr>
            <w:r>
              <w:rPr>
                <w:rFonts w:hint="eastAsia"/>
                <w:b/>
                <w:bCs/>
                <w:color w:val="auto"/>
                <w:sz w:val="24"/>
                <w:highlight w:val="none"/>
                <w:lang w:val="en-US" w:eastAsia="zh-CN"/>
              </w:rPr>
              <w:t>污水处理设施污泥：</w:t>
            </w:r>
            <w:r>
              <w:rPr>
                <w:rFonts w:hint="eastAsia"/>
                <w:color w:val="auto"/>
                <w:sz w:val="24"/>
                <w:highlight w:val="none"/>
                <w:lang w:val="en-US" w:eastAsia="zh-CN"/>
              </w:rPr>
              <w:t>根据类比，</w:t>
            </w:r>
            <w:r>
              <w:rPr>
                <w:color w:val="auto"/>
                <w:sz w:val="24"/>
                <w:highlight w:val="none"/>
              </w:rPr>
              <w:t>本项目</w:t>
            </w:r>
            <w:r>
              <w:rPr>
                <w:rFonts w:hint="eastAsia"/>
                <w:color w:val="auto"/>
                <w:sz w:val="24"/>
                <w:highlight w:val="none"/>
                <w:lang w:val="en-US" w:eastAsia="zh-CN"/>
              </w:rPr>
              <w:t>污水处理设施</w:t>
            </w:r>
            <w:r>
              <w:rPr>
                <w:color w:val="auto"/>
                <w:sz w:val="24"/>
                <w:highlight w:val="none"/>
              </w:rPr>
              <w:t>污泥</w:t>
            </w:r>
            <w:r>
              <w:rPr>
                <w:rFonts w:hint="eastAsia"/>
                <w:color w:val="auto"/>
                <w:sz w:val="24"/>
                <w:highlight w:val="none"/>
                <w:lang w:val="en-US" w:eastAsia="zh-CN"/>
              </w:rPr>
              <w:t>预计</w:t>
            </w:r>
            <w:r>
              <w:rPr>
                <w:color w:val="auto"/>
                <w:sz w:val="24"/>
                <w:highlight w:val="none"/>
              </w:rPr>
              <w:t>产量约</w:t>
            </w:r>
            <w:r>
              <w:rPr>
                <w:rFonts w:hint="eastAsia"/>
                <w:color w:val="auto"/>
                <w:sz w:val="24"/>
                <w:highlight w:val="none"/>
                <w:lang w:val="en-US" w:eastAsia="zh-CN"/>
              </w:rPr>
              <w:t>1.0</w:t>
            </w:r>
            <w:r>
              <w:rPr>
                <w:color w:val="auto"/>
                <w:sz w:val="24"/>
                <w:highlight w:val="none"/>
              </w:rPr>
              <w:t>t/a，</w:t>
            </w:r>
            <w:r>
              <w:rPr>
                <w:rFonts w:hint="eastAsia"/>
                <w:color w:val="auto"/>
                <w:sz w:val="24"/>
                <w:highlight w:val="none"/>
                <w:lang w:val="en-US" w:eastAsia="zh-CN"/>
              </w:rPr>
              <w:t>委托环卫</w:t>
            </w:r>
            <w:r>
              <w:rPr>
                <w:color w:val="auto"/>
                <w:sz w:val="24"/>
                <w:highlight w:val="none"/>
              </w:rPr>
              <w:t>定期清理</w:t>
            </w:r>
            <w:r>
              <w:rPr>
                <w:rFonts w:hint="eastAsia"/>
                <w:color w:val="auto"/>
                <w:sz w:val="24"/>
                <w:highlight w:val="none"/>
                <w:lang w:val="en-US" w:eastAsia="zh-CN"/>
              </w:rPr>
              <w:t>污水处理设施</w:t>
            </w:r>
            <w:r>
              <w:rPr>
                <w:color w:val="auto"/>
                <w:sz w:val="24"/>
                <w:highlight w:val="none"/>
              </w:rPr>
              <w:t>污泥，清掏出的污泥由环卫部门</w:t>
            </w:r>
            <w:r>
              <w:rPr>
                <w:rFonts w:hint="default" w:ascii="Times New Roman" w:hAnsi="Times New Roman" w:cs="Times New Roman"/>
                <w:color w:val="auto"/>
                <w:highlight w:val="none"/>
              </w:rPr>
              <w:t>送城市生活垃圾处理场处理</w:t>
            </w:r>
            <w:r>
              <w:rPr>
                <w:color w:val="auto"/>
                <w:sz w:val="24"/>
                <w:highlight w:val="none"/>
              </w:rPr>
              <w:t>。</w:t>
            </w:r>
          </w:p>
          <w:p w14:paraId="70313DAC">
            <w:pPr>
              <w:ind w:firstLine="482"/>
              <w:jc w:val="both"/>
              <w:rPr>
                <w:b/>
                <w:bCs/>
                <w:color w:val="auto"/>
                <w:sz w:val="24"/>
                <w:highlight w:val="none"/>
              </w:rPr>
            </w:pPr>
            <w:bookmarkStart w:id="22" w:name="危险固废"/>
            <w:bookmarkEnd w:id="22"/>
            <w:r>
              <w:rPr>
                <w:b/>
                <w:bCs/>
                <w:color w:val="auto"/>
                <w:sz w:val="24"/>
                <w:highlight w:val="none"/>
              </w:rPr>
              <w:t>（2）危险废物：</w:t>
            </w:r>
          </w:p>
          <w:p w14:paraId="6A6CDCE8">
            <w:pPr>
              <w:snapToGrid w:val="0"/>
              <w:ind w:firstLine="482"/>
              <w:jc w:val="both"/>
              <w:rPr>
                <w:rFonts w:hint="eastAsia"/>
                <w:color w:val="auto"/>
                <w:sz w:val="24"/>
                <w:highlight w:val="none"/>
              </w:rPr>
            </w:pPr>
            <w:r>
              <w:rPr>
                <w:rFonts w:hint="eastAsia"/>
                <w:b/>
                <w:bCs/>
                <w:color w:val="auto"/>
                <w:sz w:val="24"/>
                <w:highlight w:val="none"/>
                <w:lang w:val="en-US" w:eastAsia="zh-CN"/>
              </w:rPr>
              <w:t>废机油</w:t>
            </w:r>
            <w:r>
              <w:rPr>
                <w:rFonts w:hint="eastAsia"/>
                <w:b/>
                <w:bCs/>
                <w:color w:val="auto"/>
                <w:sz w:val="24"/>
                <w:highlight w:val="none"/>
              </w:rPr>
              <w:t>：</w:t>
            </w:r>
            <w:r>
              <w:rPr>
                <w:rFonts w:hint="eastAsia"/>
                <w:color w:val="auto"/>
                <w:highlight w:val="none"/>
              </w:rPr>
              <w:t>根据</w:t>
            </w:r>
            <w:r>
              <w:rPr>
                <w:rFonts w:hint="eastAsia"/>
                <w:color w:val="auto"/>
                <w:highlight w:val="none"/>
                <w:lang w:val="en-US" w:eastAsia="zh-CN"/>
              </w:rPr>
              <w:t>建设单位</w:t>
            </w:r>
            <w:r>
              <w:rPr>
                <w:rFonts w:hint="eastAsia"/>
                <w:color w:val="auto"/>
                <w:highlight w:val="none"/>
              </w:rPr>
              <w:t>提供</w:t>
            </w:r>
            <w:r>
              <w:rPr>
                <w:rFonts w:hint="eastAsia"/>
                <w:color w:val="auto"/>
                <w:highlight w:val="none"/>
                <w:lang w:val="en-US" w:eastAsia="zh-CN"/>
              </w:rPr>
              <w:t>的</w:t>
            </w:r>
            <w:r>
              <w:rPr>
                <w:rFonts w:hint="eastAsia"/>
                <w:color w:val="auto"/>
                <w:highlight w:val="none"/>
              </w:rPr>
              <w:t>资料，</w:t>
            </w:r>
            <w:r>
              <w:rPr>
                <w:rFonts w:hint="eastAsia"/>
                <w:color w:val="auto"/>
                <w:highlight w:val="none"/>
                <w:lang w:val="en-US" w:eastAsia="zh-CN"/>
              </w:rPr>
              <w:t>项目预计</w:t>
            </w:r>
            <w:r>
              <w:rPr>
                <w:rFonts w:hint="eastAsia"/>
                <w:color w:val="auto"/>
                <w:highlight w:val="none"/>
              </w:rPr>
              <w:t>废润滑油产生量约0.05t/a。</w:t>
            </w:r>
            <w:r>
              <w:rPr>
                <w:rFonts w:hint="eastAsia"/>
                <w:color w:val="auto"/>
                <w:highlight w:val="none"/>
                <w:lang w:val="en-US" w:eastAsia="zh-CN"/>
              </w:rPr>
              <w:t>废机油属于</w:t>
            </w:r>
            <w:r>
              <w:rPr>
                <w:rFonts w:hint="eastAsia"/>
                <w:color w:val="auto"/>
                <w:highlight w:val="none"/>
                <w:lang w:eastAsia="zh-CN"/>
              </w:rPr>
              <w:t>《国家危险废物名录》（2025版）</w:t>
            </w:r>
            <w:r>
              <w:rPr>
                <w:rFonts w:hint="eastAsia"/>
                <w:color w:val="auto"/>
                <w:highlight w:val="none"/>
                <w:lang w:val="en-US" w:eastAsia="zh-CN"/>
              </w:rPr>
              <w:t>中</w:t>
            </w:r>
            <w:r>
              <w:rPr>
                <w:rFonts w:hint="eastAsia"/>
                <w:color w:val="auto"/>
                <w:highlight w:val="none"/>
              </w:rPr>
              <w:t>HW08废矿物油与废矿物油废物，废物代码为：900-214-08。收集后暂存</w:t>
            </w:r>
            <w:r>
              <w:rPr>
                <w:rFonts w:hint="eastAsia"/>
                <w:color w:val="auto"/>
                <w:highlight w:val="none"/>
                <w:lang w:eastAsia="zh-CN"/>
              </w:rPr>
              <w:t>危废暂存间</w:t>
            </w:r>
            <w:r>
              <w:rPr>
                <w:rFonts w:hint="eastAsia"/>
                <w:color w:val="auto"/>
                <w:highlight w:val="none"/>
              </w:rPr>
              <w:t>，定期交由有资质单位处理。</w:t>
            </w:r>
          </w:p>
          <w:p w14:paraId="4AFAC95B">
            <w:pPr>
              <w:keepNext w:val="0"/>
              <w:keepLines w:val="0"/>
              <w:pageBreakBefore w:val="0"/>
              <w:widowControl w:val="0"/>
              <w:kinsoku/>
              <w:wordWrap/>
              <w:overflowPunct/>
              <w:topLinePunct w:val="0"/>
              <w:autoSpaceDE w:val="0"/>
              <w:autoSpaceDN w:val="0"/>
              <w:bidi w:val="0"/>
              <w:adjustRightInd w:val="0"/>
              <w:snapToGrid w:val="0"/>
              <w:textAlignment w:val="auto"/>
              <w:rPr>
                <w:rFonts w:hint="eastAsia" w:eastAsia="宋体"/>
                <w:b/>
                <w:bCs/>
                <w:color w:val="auto"/>
                <w:highlight w:val="none"/>
                <w:lang w:val="en-US" w:eastAsia="zh-CN"/>
              </w:rPr>
            </w:pPr>
            <w:bookmarkStart w:id="23" w:name="_Toc14970"/>
            <w:bookmarkStart w:id="24" w:name="_Toc10546"/>
            <w:r>
              <w:rPr>
                <w:rFonts w:hint="eastAsia"/>
                <w:b/>
                <w:bCs/>
                <w:color w:val="auto"/>
                <w:highlight w:val="none"/>
                <w:lang w:val="en-US" w:eastAsia="zh-CN"/>
              </w:rPr>
              <w:t>废机油桶：</w:t>
            </w:r>
            <w:r>
              <w:rPr>
                <w:rFonts w:hint="eastAsia"/>
                <w:color w:val="auto"/>
                <w:highlight w:val="none"/>
              </w:rPr>
              <w:t>根据</w:t>
            </w:r>
            <w:r>
              <w:rPr>
                <w:rFonts w:hint="eastAsia"/>
                <w:color w:val="auto"/>
                <w:highlight w:val="none"/>
                <w:lang w:val="en-US" w:eastAsia="zh-CN"/>
              </w:rPr>
              <w:t>建设单位</w:t>
            </w:r>
            <w:r>
              <w:rPr>
                <w:rFonts w:hint="eastAsia"/>
                <w:color w:val="auto"/>
                <w:highlight w:val="none"/>
              </w:rPr>
              <w:t>提供</w:t>
            </w:r>
            <w:r>
              <w:rPr>
                <w:rFonts w:hint="eastAsia"/>
                <w:color w:val="auto"/>
                <w:highlight w:val="none"/>
                <w:lang w:val="en-US" w:eastAsia="zh-CN"/>
              </w:rPr>
              <w:t>的</w:t>
            </w:r>
            <w:r>
              <w:rPr>
                <w:rFonts w:hint="eastAsia"/>
                <w:color w:val="auto"/>
                <w:highlight w:val="none"/>
              </w:rPr>
              <w:t>资料，</w:t>
            </w:r>
            <w:r>
              <w:rPr>
                <w:rFonts w:hint="eastAsia"/>
                <w:color w:val="auto"/>
                <w:highlight w:val="none"/>
                <w:lang w:val="en-US" w:eastAsia="zh-CN"/>
              </w:rPr>
              <w:t>项目预计年使用机油量为0.05t，</w:t>
            </w:r>
            <w:r>
              <w:rPr>
                <w:rFonts w:hint="eastAsia" w:cs="Times New Roman"/>
                <w:color w:val="auto"/>
                <w:highlight w:val="none"/>
                <w:lang w:val="en-US" w:eastAsia="zh-CN"/>
              </w:rPr>
              <w:t>机油按10kg/桶，桶重量按1kg计，则预计</w:t>
            </w:r>
            <w:r>
              <w:rPr>
                <w:rFonts w:hint="default" w:cs="Times New Roman"/>
                <w:color w:val="auto"/>
                <w:highlight w:val="none"/>
                <w:lang w:val="en-US" w:eastAsia="zh-CN"/>
              </w:rPr>
              <w:t>年产生</w:t>
            </w:r>
            <w:r>
              <w:rPr>
                <w:rFonts w:hint="eastAsia" w:cs="Times New Roman"/>
                <w:color w:val="auto"/>
                <w:highlight w:val="none"/>
                <w:lang w:val="en-US" w:eastAsia="zh-CN"/>
              </w:rPr>
              <w:t>废机油桶</w:t>
            </w:r>
            <w:r>
              <w:rPr>
                <w:rFonts w:hint="default" w:cs="Times New Roman"/>
                <w:color w:val="auto"/>
                <w:highlight w:val="none"/>
                <w:lang w:val="en-US" w:eastAsia="zh-CN"/>
              </w:rPr>
              <w:t>量约0.00</w:t>
            </w:r>
            <w:r>
              <w:rPr>
                <w:rFonts w:hint="eastAsia" w:cs="Times New Roman"/>
                <w:color w:val="auto"/>
                <w:highlight w:val="none"/>
                <w:lang w:val="en-US" w:eastAsia="zh-CN"/>
              </w:rPr>
              <w:t>5</w:t>
            </w:r>
            <w:r>
              <w:rPr>
                <w:rFonts w:hint="default" w:cs="Times New Roman"/>
                <w:color w:val="auto"/>
                <w:highlight w:val="none"/>
                <w:lang w:val="en-US" w:eastAsia="zh-CN"/>
              </w:rPr>
              <w:t>t/a。</w:t>
            </w:r>
            <w:r>
              <w:rPr>
                <w:rFonts w:hint="eastAsia"/>
                <w:color w:val="auto"/>
                <w:highlight w:val="none"/>
              </w:rPr>
              <w:t>废</w:t>
            </w:r>
            <w:r>
              <w:rPr>
                <w:rFonts w:hint="eastAsia"/>
                <w:color w:val="auto"/>
                <w:highlight w:val="none"/>
                <w:lang w:val="en-US" w:eastAsia="zh-CN"/>
              </w:rPr>
              <w:t>机</w:t>
            </w:r>
            <w:r>
              <w:rPr>
                <w:rFonts w:hint="eastAsia"/>
                <w:color w:val="auto"/>
                <w:highlight w:val="none"/>
              </w:rPr>
              <w:t>油</w:t>
            </w:r>
            <w:r>
              <w:rPr>
                <w:rFonts w:hint="eastAsia"/>
                <w:color w:val="auto"/>
                <w:highlight w:val="none"/>
                <w:lang w:val="en-US" w:eastAsia="zh-CN"/>
              </w:rPr>
              <w:t>桶</w:t>
            </w:r>
            <w:r>
              <w:rPr>
                <w:rFonts w:hint="eastAsia"/>
                <w:color w:val="auto"/>
                <w:highlight w:val="none"/>
              </w:rPr>
              <w:t>属于</w:t>
            </w:r>
            <w:r>
              <w:rPr>
                <w:rFonts w:hint="eastAsia"/>
                <w:color w:val="auto"/>
                <w:highlight w:val="none"/>
                <w:lang w:eastAsia="zh-CN"/>
              </w:rPr>
              <w:t>《国家危险废物名录》（2025版）</w:t>
            </w:r>
            <w:r>
              <w:rPr>
                <w:rFonts w:hint="eastAsia"/>
                <w:color w:val="auto"/>
                <w:highlight w:val="none"/>
                <w:lang w:val="en-US" w:eastAsia="zh-CN"/>
              </w:rPr>
              <w:t>中</w:t>
            </w:r>
            <w:r>
              <w:rPr>
                <w:rFonts w:hint="default" w:cs="Times New Roman"/>
                <w:color w:val="auto"/>
                <w:highlight w:val="none"/>
                <w:lang w:val="en-US" w:eastAsia="zh-CN"/>
              </w:rPr>
              <w:t>HW08废矿物油与含矿物油废物，废物代码：900-249-08</w:t>
            </w:r>
            <w:r>
              <w:rPr>
                <w:rFonts w:hint="eastAsia"/>
                <w:color w:val="auto"/>
                <w:highlight w:val="none"/>
                <w:lang w:eastAsia="zh-CN"/>
              </w:rPr>
              <w:t>。</w:t>
            </w:r>
            <w:r>
              <w:rPr>
                <w:rFonts w:hint="eastAsia"/>
                <w:color w:val="auto"/>
                <w:highlight w:val="none"/>
              </w:rPr>
              <w:t>收集后暂存</w:t>
            </w:r>
            <w:r>
              <w:rPr>
                <w:rFonts w:hint="eastAsia"/>
                <w:color w:val="auto"/>
                <w:highlight w:val="none"/>
                <w:lang w:eastAsia="zh-CN"/>
              </w:rPr>
              <w:t>危废暂存间</w:t>
            </w:r>
            <w:r>
              <w:rPr>
                <w:rFonts w:hint="eastAsia"/>
                <w:color w:val="auto"/>
                <w:highlight w:val="none"/>
              </w:rPr>
              <w:t>，定期交由有资质单位处理</w:t>
            </w:r>
            <w:r>
              <w:rPr>
                <w:rFonts w:hint="eastAsia"/>
                <w:color w:val="auto"/>
                <w:highlight w:val="none"/>
                <w:lang w:eastAsia="zh-CN"/>
              </w:rPr>
              <w:t>。</w:t>
            </w:r>
          </w:p>
          <w:p w14:paraId="54545EEA">
            <w:pPr>
              <w:pStyle w:val="102"/>
              <w:keepNext w:val="0"/>
              <w:keepLines w:val="0"/>
              <w:pageBreakBefore w:val="0"/>
              <w:widowControl/>
              <w:kinsoku/>
              <w:wordWrap/>
              <w:overflowPunct/>
              <w:topLinePunct w:val="0"/>
              <w:autoSpaceDE/>
              <w:autoSpaceDN/>
              <w:bidi w:val="0"/>
              <w:adjustRightInd/>
              <w:snapToGrid/>
              <w:ind w:firstLine="480"/>
              <w:textAlignment w:val="auto"/>
              <w:rPr>
                <w:rFonts w:hint="eastAsia" w:eastAsia="宋体" w:cs="Times New Roman"/>
                <w:color w:val="auto"/>
                <w:highlight w:val="none"/>
                <w:lang w:val="en-US" w:eastAsia="zh-CN"/>
              </w:rPr>
            </w:pPr>
            <w:r>
              <w:rPr>
                <w:rFonts w:hint="eastAsia"/>
                <w:b/>
                <w:bCs/>
                <w:color w:val="auto"/>
                <w:highlight w:val="none"/>
                <w:lang w:val="en-US" w:eastAsia="zh-CN"/>
              </w:rPr>
              <w:t>废沾油手套：</w:t>
            </w:r>
            <w:r>
              <w:rPr>
                <w:rFonts w:hint="eastAsia" w:cs="Times New Roman"/>
                <w:color w:val="auto"/>
                <w:highlight w:val="none"/>
                <w:lang w:val="en-US" w:eastAsia="zh-CN"/>
              </w:rPr>
              <w:t>项目设备维修、印字机停机或更换印刷内容时会产生废沾油手套，废沾油手套预计产生量0.2t/a。废沾油手套属于《国家危险废物名录》（2025版）中HW49其他废物，废物代码：900-041-49。</w:t>
            </w:r>
            <w:r>
              <w:rPr>
                <w:rFonts w:hint="eastAsia"/>
                <w:color w:val="auto"/>
                <w:highlight w:val="none"/>
              </w:rPr>
              <w:t>收集后暂存</w:t>
            </w:r>
            <w:r>
              <w:rPr>
                <w:rFonts w:hint="eastAsia"/>
                <w:color w:val="auto"/>
                <w:highlight w:val="none"/>
                <w:lang w:eastAsia="zh-CN"/>
              </w:rPr>
              <w:t>危废暂存间</w:t>
            </w:r>
            <w:r>
              <w:rPr>
                <w:rFonts w:hint="eastAsia"/>
                <w:color w:val="auto"/>
                <w:highlight w:val="none"/>
              </w:rPr>
              <w:t>，定期交由有资质单位处理</w:t>
            </w:r>
            <w:r>
              <w:rPr>
                <w:rFonts w:hint="eastAsia"/>
                <w:color w:val="auto"/>
                <w:highlight w:val="none"/>
                <w:lang w:eastAsia="zh-CN"/>
              </w:rPr>
              <w:t>。</w:t>
            </w:r>
          </w:p>
          <w:p w14:paraId="5E639455">
            <w:pPr>
              <w:bidi w:val="0"/>
              <w:rPr>
                <w:color w:val="auto"/>
                <w:highlight w:val="none"/>
              </w:rPr>
            </w:pPr>
            <w:r>
              <w:rPr>
                <w:color w:val="auto"/>
                <w:highlight w:val="none"/>
              </w:rPr>
              <w:t>项目固体废物产生情况见</w:t>
            </w:r>
            <w:r>
              <w:rPr>
                <w:rFonts w:hint="eastAsia"/>
                <w:color w:val="auto"/>
                <w:highlight w:val="none"/>
                <w:lang w:val="en-US" w:eastAsia="zh-CN"/>
              </w:rPr>
              <w:t>下表</w:t>
            </w:r>
            <w:r>
              <w:rPr>
                <w:color w:val="auto"/>
                <w:highlight w:val="none"/>
              </w:rPr>
              <w:t>。</w:t>
            </w:r>
            <w:bookmarkEnd w:id="23"/>
            <w:bookmarkEnd w:id="24"/>
          </w:p>
          <w:p w14:paraId="42D9A7B2">
            <w:pPr>
              <w:pStyle w:val="14"/>
              <w:bidi w:val="0"/>
              <w:rPr>
                <w:color w:val="auto"/>
                <w:highlight w:val="none"/>
              </w:rPr>
            </w:pPr>
            <w:bookmarkStart w:id="25" w:name="_Hlk114490355"/>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20</w:t>
            </w:r>
            <w:r>
              <w:rPr>
                <w:color w:val="auto"/>
                <w:highlight w:val="none"/>
              </w:rPr>
              <w:fldChar w:fldCharType="end"/>
            </w:r>
            <w:r>
              <w:rPr>
                <w:rFonts w:hint="eastAsia"/>
                <w:color w:val="auto"/>
                <w:highlight w:val="none"/>
                <w:lang w:val="en-US" w:eastAsia="zh-CN"/>
              </w:rPr>
              <w:t xml:space="preserve">  </w:t>
            </w:r>
            <w:r>
              <w:rPr>
                <w:rFonts w:hint="eastAsia"/>
                <w:color w:val="auto"/>
                <w:highlight w:val="none"/>
                <w:lang w:eastAsia="zh-CN"/>
              </w:rPr>
              <w:t>本项目</w:t>
            </w:r>
            <w:r>
              <w:rPr>
                <w:rFonts w:hint="default"/>
                <w:color w:val="auto"/>
                <w:highlight w:val="none"/>
              </w:rPr>
              <w:t>一般固废产生及处置情况一览表</w:t>
            </w:r>
          </w:p>
          <w:tbl>
            <w:tblPr>
              <w:tblStyle w:val="101"/>
              <w:tblW w:w="498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1240"/>
              <w:gridCol w:w="1241"/>
              <w:gridCol w:w="874"/>
              <w:gridCol w:w="1243"/>
              <w:gridCol w:w="3681"/>
            </w:tblGrid>
            <w:tr w14:paraId="1E3CC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05" w:type="pct"/>
                  <w:tcBorders>
                    <w:top w:val="single" w:color="auto" w:sz="12" w:space="0"/>
                    <w:bottom w:val="single" w:color="auto" w:sz="4" w:space="0"/>
                    <w:right w:val="single" w:color="auto" w:sz="4" w:space="0"/>
                  </w:tcBorders>
                  <w:noWrap w:val="0"/>
                  <w:vAlign w:val="center"/>
                </w:tcPr>
                <w:p w14:paraId="06E12488">
                  <w:pPr>
                    <w:pStyle w:val="94"/>
                    <w:bidi w:val="0"/>
                    <w:rPr>
                      <w:rFonts w:hint="default"/>
                      <w:b/>
                      <w:bCs w:val="0"/>
                      <w:color w:val="auto"/>
                      <w:highlight w:val="none"/>
                    </w:rPr>
                  </w:pPr>
                  <w:r>
                    <w:rPr>
                      <w:rFonts w:hint="default"/>
                      <w:b/>
                      <w:bCs w:val="0"/>
                      <w:color w:val="auto"/>
                      <w:highlight w:val="none"/>
                    </w:rPr>
                    <w:t>序号</w:t>
                  </w:r>
                </w:p>
              </w:tc>
              <w:tc>
                <w:tcPr>
                  <w:tcW w:w="688" w:type="pct"/>
                  <w:tcBorders>
                    <w:top w:val="single" w:color="auto" w:sz="12" w:space="0"/>
                    <w:left w:val="single" w:color="auto" w:sz="4" w:space="0"/>
                    <w:bottom w:val="single" w:color="auto" w:sz="4" w:space="0"/>
                    <w:right w:val="single" w:color="auto" w:sz="4" w:space="0"/>
                  </w:tcBorders>
                  <w:noWrap w:val="0"/>
                  <w:vAlign w:val="center"/>
                </w:tcPr>
                <w:p w14:paraId="3A583605">
                  <w:pPr>
                    <w:pStyle w:val="94"/>
                    <w:bidi w:val="0"/>
                    <w:rPr>
                      <w:rFonts w:hint="default"/>
                      <w:b/>
                      <w:bCs w:val="0"/>
                      <w:color w:val="auto"/>
                      <w:highlight w:val="none"/>
                    </w:rPr>
                  </w:pPr>
                  <w:r>
                    <w:rPr>
                      <w:rFonts w:hint="default"/>
                      <w:b/>
                      <w:bCs w:val="0"/>
                      <w:color w:val="auto"/>
                      <w:highlight w:val="none"/>
                    </w:rPr>
                    <w:t>固废名称</w:t>
                  </w:r>
                </w:p>
              </w:tc>
              <w:tc>
                <w:tcPr>
                  <w:tcW w:w="688" w:type="pct"/>
                  <w:tcBorders>
                    <w:top w:val="single" w:color="auto" w:sz="12" w:space="0"/>
                    <w:left w:val="single" w:color="auto" w:sz="4" w:space="0"/>
                    <w:bottom w:val="single" w:color="auto" w:sz="4" w:space="0"/>
                    <w:right w:val="single" w:color="auto" w:sz="4" w:space="0"/>
                  </w:tcBorders>
                  <w:noWrap w:val="0"/>
                  <w:vAlign w:val="center"/>
                </w:tcPr>
                <w:p w14:paraId="3785BBA7">
                  <w:pPr>
                    <w:pStyle w:val="94"/>
                    <w:bidi w:val="0"/>
                    <w:rPr>
                      <w:rFonts w:hint="default" w:eastAsia="宋体"/>
                      <w:b/>
                      <w:bCs w:val="0"/>
                      <w:color w:val="auto"/>
                      <w:highlight w:val="none"/>
                      <w:lang w:val="en-US" w:eastAsia="zh-CN"/>
                    </w:rPr>
                  </w:pPr>
                  <w:r>
                    <w:rPr>
                      <w:rFonts w:hint="eastAsia"/>
                      <w:b/>
                      <w:bCs w:val="0"/>
                      <w:color w:val="auto"/>
                      <w:highlight w:val="none"/>
                      <w:lang w:val="en-US" w:eastAsia="zh-CN"/>
                    </w:rPr>
                    <w:t>产生环节</w:t>
                  </w:r>
                </w:p>
              </w:tc>
              <w:tc>
                <w:tcPr>
                  <w:tcW w:w="484" w:type="pct"/>
                  <w:tcBorders>
                    <w:top w:val="single" w:color="auto" w:sz="12" w:space="0"/>
                    <w:left w:val="single" w:color="auto" w:sz="4" w:space="0"/>
                    <w:bottom w:val="single" w:color="auto" w:sz="4" w:space="0"/>
                    <w:right w:val="single" w:color="auto" w:sz="4" w:space="0"/>
                  </w:tcBorders>
                  <w:noWrap w:val="0"/>
                  <w:vAlign w:val="center"/>
                </w:tcPr>
                <w:p w14:paraId="64D664CF">
                  <w:pPr>
                    <w:pStyle w:val="94"/>
                    <w:bidi w:val="0"/>
                    <w:rPr>
                      <w:rFonts w:hint="default" w:eastAsia="宋体"/>
                      <w:b/>
                      <w:bCs w:val="0"/>
                      <w:color w:val="auto"/>
                      <w:highlight w:val="none"/>
                      <w:lang w:val="en-US" w:eastAsia="zh-CN"/>
                    </w:rPr>
                  </w:pPr>
                  <w:r>
                    <w:rPr>
                      <w:rFonts w:hint="default"/>
                      <w:b/>
                      <w:bCs w:val="0"/>
                      <w:color w:val="auto"/>
                      <w:highlight w:val="none"/>
                    </w:rPr>
                    <w:t>产生量</w:t>
                  </w:r>
                  <w:r>
                    <w:rPr>
                      <w:rFonts w:hint="eastAsia"/>
                      <w:b/>
                      <w:bCs w:val="0"/>
                      <w:color w:val="auto"/>
                      <w:highlight w:val="none"/>
                      <w:lang w:val="en-US" w:eastAsia="zh-CN"/>
                    </w:rPr>
                    <w:t>t/a</w:t>
                  </w:r>
                </w:p>
              </w:tc>
              <w:tc>
                <w:tcPr>
                  <w:tcW w:w="689" w:type="pct"/>
                  <w:tcBorders>
                    <w:top w:val="single" w:color="auto" w:sz="12" w:space="0"/>
                    <w:left w:val="single" w:color="auto" w:sz="4" w:space="0"/>
                    <w:bottom w:val="single" w:color="auto" w:sz="4" w:space="0"/>
                    <w:right w:val="single" w:color="auto" w:sz="4" w:space="0"/>
                  </w:tcBorders>
                  <w:noWrap w:val="0"/>
                  <w:vAlign w:val="center"/>
                </w:tcPr>
                <w:p w14:paraId="32E2FD5B">
                  <w:pPr>
                    <w:pStyle w:val="94"/>
                    <w:bidi w:val="0"/>
                    <w:rPr>
                      <w:rFonts w:hint="default"/>
                      <w:b/>
                      <w:bCs w:val="0"/>
                      <w:color w:val="auto"/>
                      <w:highlight w:val="none"/>
                    </w:rPr>
                  </w:pPr>
                  <w:r>
                    <w:rPr>
                      <w:rFonts w:hint="default"/>
                      <w:b/>
                      <w:bCs w:val="0"/>
                      <w:color w:val="auto"/>
                      <w:highlight w:val="none"/>
                    </w:rPr>
                    <w:t>性质</w:t>
                  </w:r>
                </w:p>
              </w:tc>
              <w:tc>
                <w:tcPr>
                  <w:tcW w:w="2043" w:type="pct"/>
                  <w:tcBorders>
                    <w:top w:val="single" w:color="auto" w:sz="12" w:space="0"/>
                    <w:left w:val="single" w:color="auto" w:sz="4" w:space="0"/>
                    <w:bottom w:val="single" w:color="auto" w:sz="4" w:space="0"/>
                    <w:right w:val="nil"/>
                  </w:tcBorders>
                  <w:noWrap w:val="0"/>
                  <w:vAlign w:val="center"/>
                </w:tcPr>
                <w:p w14:paraId="0E5E232C">
                  <w:pPr>
                    <w:pStyle w:val="94"/>
                    <w:bidi w:val="0"/>
                    <w:rPr>
                      <w:rFonts w:hint="default"/>
                      <w:b/>
                      <w:bCs w:val="0"/>
                      <w:color w:val="auto"/>
                      <w:highlight w:val="none"/>
                    </w:rPr>
                  </w:pPr>
                  <w:r>
                    <w:rPr>
                      <w:rFonts w:hint="default"/>
                      <w:b/>
                      <w:bCs w:val="0"/>
                      <w:color w:val="auto"/>
                      <w:highlight w:val="none"/>
                    </w:rPr>
                    <w:t>处置方式</w:t>
                  </w:r>
                </w:p>
              </w:tc>
            </w:tr>
            <w:tr w14:paraId="0A9E9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05" w:type="pct"/>
                  <w:tcBorders>
                    <w:top w:val="single" w:color="auto" w:sz="4" w:space="0"/>
                    <w:left w:val="nil"/>
                    <w:bottom w:val="single" w:color="auto" w:sz="4" w:space="0"/>
                    <w:right w:val="single" w:color="auto" w:sz="4" w:space="0"/>
                  </w:tcBorders>
                  <w:noWrap w:val="0"/>
                  <w:vAlign w:val="center"/>
                </w:tcPr>
                <w:p w14:paraId="13CFD3AA">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color w:val="auto"/>
                      <w:sz w:val="21"/>
                      <w:szCs w:val="21"/>
                      <w:highlight w:val="none"/>
                    </w:rPr>
                    <w:t>1</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F240C9">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不合格原料</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FC0B56">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原料挑选</w:t>
                  </w:r>
                </w:p>
              </w:tc>
              <w:tc>
                <w:tcPr>
                  <w:tcW w:w="484" w:type="pct"/>
                  <w:tcBorders>
                    <w:top w:val="single" w:color="auto" w:sz="4" w:space="0"/>
                    <w:left w:val="single" w:color="auto" w:sz="4" w:space="0"/>
                    <w:bottom w:val="single" w:color="auto" w:sz="4" w:space="0"/>
                    <w:right w:val="single" w:color="auto" w:sz="4" w:space="0"/>
                  </w:tcBorders>
                  <w:noWrap w:val="0"/>
                  <w:vAlign w:val="center"/>
                </w:tcPr>
                <w:p w14:paraId="14075CBB">
                  <w:pPr>
                    <w:pStyle w:val="56"/>
                    <w:spacing w:before="0"/>
                    <w:ind w:right="0" w:rightChars="0" w:firstLine="0" w:firstLineChars="0"/>
                    <w:rPr>
                      <w:rFonts w:hint="default"/>
                      <w:color w:val="auto"/>
                      <w:highlight w:val="none"/>
                      <w:lang w:val="en-US" w:eastAsia="zh-CN"/>
                    </w:rPr>
                  </w:pPr>
                  <w:r>
                    <w:rPr>
                      <w:rFonts w:hint="eastAsia"/>
                      <w:color w:val="auto"/>
                      <w:highlight w:val="none"/>
                      <w:lang w:val="en-US" w:eastAsia="zh-CN"/>
                    </w:rPr>
                    <w:t>83.0</w:t>
                  </w:r>
                </w:p>
              </w:tc>
              <w:tc>
                <w:tcPr>
                  <w:tcW w:w="689" w:type="pct"/>
                  <w:tcBorders>
                    <w:top w:val="single" w:color="auto" w:sz="4" w:space="0"/>
                    <w:left w:val="single" w:color="auto" w:sz="4" w:space="0"/>
                    <w:bottom w:val="single" w:color="auto" w:sz="4" w:space="0"/>
                    <w:right w:val="single" w:color="auto" w:sz="4" w:space="0"/>
                  </w:tcBorders>
                  <w:noWrap w:val="0"/>
                  <w:vAlign w:val="center"/>
                </w:tcPr>
                <w:p w14:paraId="0D944442">
                  <w:pPr>
                    <w:pStyle w:val="94"/>
                    <w:bidi w:val="0"/>
                    <w:ind w:firstLine="0" w:firstLineChars="0"/>
                    <w:rPr>
                      <w:rFonts w:hint="eastAsia"/>
                      <w:color w:val="auto"/>
                      <w:highlight w:val="none"/>
                      <w:lang w:val="en-US" w:eastAsia="zh-CN"/>
                    </w:rPr>
                  </w:pPr>
                  <w:r>
                    <w:rPr>
                      <w:rFonts w:hint="eastAsia"/>
                      <w:color w:val="auto"/>
                      <w:highlight w:val="none"/>
                      <w:lang w:val="en-US" w:eastAsia="zh-CN"/>
                    </w:rPr>
                    <w:t>一般固废</w:t>
                  </w:r>
                </w:p>
              </w:tc>
              <w:tc>
                <w:tcPr>
                  <w:tcW w:w="2043" w:type="pct"/>
                  <w:vMerge w:val="restart"/>
                  <w:tcBorders>
                    <w:top w:val="single" w:color="auto" w:sz="4" w:space="0"/>
                    <w:left w:val="single" w:color="auto" w:sz="4" w:space="0"/>
                    <w:bottom w:val="single" w:color="auto" w:sz="4" w:space="0"/>
                    <w:right w:val="nil"/>
                  </w:tcBorders>
                  <w:noWrap w:val="0"/>
                  <w:vAlign w:val="center"/>
                </w:tcPr>
                <w:p w14:paraId="3CE31165">
                  <w:pPr>
                    <w:pStyle w:val="94"/>
                    <w:bidi w:val="0"/>
                    <w:rPr>
                      <w:rFonts w:hint="default" w:eastAsia="宋体"/>
                      <w:color w:val="auto"/>
                      <w:highlight w:val="none"/>
                      <w:lang w:val="en-US" w:eastAsia="zh-CN"/>
                    </w:rPr>
                  </w:pPr>
                  <w:r>
                    <w:rPr>
                      <w:rFonts w:hint="default" w:eastAsia="宋体"/>
                      <w:color w:val="auto"/>
                      <w:highlight w:val="none"/>
                      <w:lang w:val="en-US" w:eastAsia="zh-CN"/>
                    </w:rPr>
                    <w:t>一般工业固废暂存间暂存后定期交由有处理资质的单位清运处置</w:t>
                  </w:r>
                </w:p>
              </w:tc>
            </w:tr>
            <w:tr w14:paraId="6F854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05" w:type="pct"/>
                  <w:tcBorders>
                    <w:top w:val="single" w:color="auto" w:sz="4" w:space="0"/>
                    <w:left w:val="nil"/>
                    <w:bottom w:val="single" w:color="auto" w:sz="4" w:space="0"/>
                    <w:right w:val="single" w:color="auto" w:sz="4" w:space="0"/>
                  </w:tcBorders>
                  <w:noWrap w:val="0"/>
                  <w:vAlign w:val="center"/>
                </w:tcPr>
                <w:p w14:paraId="76D1D7FA">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color w:val="auto"/>
                      <w:sz w:val="21"/>
                      <w:szCs w:val="21"/>
                      <w:highlight w:val="none"/>
                    </w:rPr>
                    <w:t>2</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CCF94B">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原料皮核</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D0B3C7">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去皮核</w:t>
                  </w:r>
                </w:p>
              </w:tc>
              <w:tc>
                <w:tcPr>
                  <w:tcW w:w="484" w:type="pct"/>
                  <w:tcBorders>
                    <w:top w:val="single" w:color="auto" w:sz="4" w:space="0"/>
                    <w:left w:val="single" w:color="auto" w:sz="4" w:space="0"/>
                    <w:bottom w:val="single" w:color="auto" w:sz="4" w:space="0"/>
                    <w:right w:val="single" w:color="auto" w:sz="4" w:space="0"/>
                  </w:tcBorders>
                  <w:noWrap w:val="0"/>
                  <w:vAlign w:val="center"/>
                </w:tcPr>
                <w:p w14:paraId="7CA35BEB">
                  <w:pPr>
                    <w:pStyle w:val="56"/>
                    <w:spacing w:before="0"/>
                    <w:ind w:right="0" w:rightChars="0" w:firstLine="0" w:firstLineChars="0"/>
                    <w:rPr>
                      <w:rFonts w:hint="default"/>
                      <w:color w:val="auto"/>
                      <w:highlight w:val="none"/>
                      <w:lang w:val="en-US" w:eastAsia="zh-CN"/>
                    </w:rPr>
                  </w:pPr>
                  <w:r>
                    <w:rPr>
                      <w:rFonts w:hint="eastAsia"/>
                      <w:color w:val="auto"/>
                      <w:highlight w:val="none"/>
                      <w:lang w:val="en-US" w:eastAsia="zh-CN"/>
                    </w:rPr>
                    <w:t>2900</w:t>
                  </w:r>
                </w:p>
              </w:tc>
              <w:tc>
                <w:tcPr>
                  <w:tcW w:w="689" w:type="pct"/>
                  <w:tcBorders>
                    <w:top w:val="single" w:color="auto" w:sz="4" w:space="0"/>
                    <w:left w:val="single" w:color="auto" w:sz="4" w:space="0"/>
                    <w:bottom w:val="single" w:color="auto" w:sz="4" w:space="0"/>
                    <w:right w:val="single" w:color="auto" w:sz="4" w:space="0"/>
                  </w:tcBorders>
                  <w:noWrap w:val="0"/>
                  <w:vAlign w:val="center"/>
                </w:tcPr>
                <w:p w14:paraId="0F684310">
                  <w:pPr>
                    <w:pStyle w:val="94"/>
                    <w:bidi w:val="0"/>
                    <w:ind w:firstLine="0" w:firstLineChars="0"/>
                    <w:rPr>
                      <w:rFonts w:hint="eastAsia"/>
                      <w:color w:val="auto"/>
                      <w:highlight w:val="none"/>
                      <w:lang w:val="en-US" w:eastAsia="zh-CN"/>
                    </w:rPr>
                  </w:pPr>
                  <w:r>
                    <w:rPr>
                      <w:rFonts w:hint="default"/>
                      <w:color w:val="auto"/>
                      <w:highlight w:val="none"/>
                    </w:rPr>
                    <w:t>一般固废</w:t>
                  </w:r>
                </w:p>
              </w:tc>
              <w:tc>
                <w:tcPr>
                  <w:tcW w:w="2043" w:type="pct"/>
                  <w:vMerge w:val="continue"/>
                  <w:tcBorders>
                    <w:top w:val="single" w:color="auto" w:sz="4" w:space="0"/>
                    <w:left w:val="single" w:color="auto" w:sz="4" w:space="0"/>
                    <w:bottom w:val="single" w:color="auto" w:sz="4" w:space="0"/>
                    <w:right w:val="nil"/>
                  </w:tcBorders>
                  <w:noWrap w:val="0"/>
                  <w:vAlign w:val="center"/>
                </w:tcPr>
                <w:p w14:paraId="45460B27">
                  <w:pPr>
                    <w:pStyle w:val="94"/>
                    <w:bidi w:val="0"/>
                    <w:rPr>
                      <w:rFonts w:hint="default"/>
                      <w:color w:val="auto"/>
                      <w:highlight w:val="none"/>
                    </w:rPr>
                  </w:pPr>
                </w:p>
              </w:tc>
            </w:tr>
            <w:tr w14:paraId="1C36B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405" w:type="pct"/>
                  <w:tcBorders>
                    <w:top w:val="single" w:color="auto" w:sz="4" w:space="0"/>
                    <w:left w:val="nil"/>
                    <w:bottom w:val="single" w:color="auto" w:sz="4" w:space="0"/>
                    <w:right w:val="single" w:color="auto" w:sz="4" w:space="0"/>
                  </w:tcBorders>
                  <w:noWrap w:val="0"/>
                  <w:vAlign w:val="center"/>
                </w:tcPr>
                <w:p w14:paraId="1D5E2DD2">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color w:val="auto"/>
                      <w:sz w:val="21"/>
                      <w:szCs w:val="21"/>
                      <w:highlight w:val="none"/>
                    </w:rPr>
                    <w:t>3</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9CACB1A">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不合格品</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BAFC69">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分拣</w:t>
                  </w:r>
                </w:p>
              </w:tc>
              <w:tc>
                <w:tcPr>
                  <w:tcW w:w="484" w:type="pct"/>
                  <w:tcBorders>
                    <w:top w:val="single" w:color="auto" w:sz="4" w:space="0"/>
                    <w:left w:val="single" w:color="auto" w:sz="4" w:space="0"/>
                    <w:bottom w:val="single" w:color="auto" w:sz="4" w:space="0"/>
                    <w:right w:val="single" w:color="auto" w:sz="4" w:space="0"/>
                  </w:tcBorders>
                  <w:noWrap w:val="0"/>
                  <w:vAlign w:val="center"/>
                </w:tcPr>
                <w:p w14:paraId="6B506936">
                  <w:pPr>
                    <w:pStyle w:val="56"/>
                    <w:spacing w:before="0"/>
                    <w:ind w:right="0" w:rightChars="0" w:firstLine="0" w:firstLineChars="0"/>
                    <w:rPr>
                      <w:rFonts w:hint="default" w:eastAsia="宋体"/>
                      <w:color w:val="auto"/>
                      <w:highlight w:val="none"/>
                      <w:lang w:val="en-US" w:eastAsia="zh-CN"/>
                    </w:rPr>
                  </w:pPr>
                  <w:r>
                    <w:rPr>
                      <w:rFonts w:hint="eastAsia"/>
                      <w:color w:val="auto"/>
                      <w:highlight w:val="none"/>
                      <w:lang w:val="en-US" w:eastAsia="zh-CN"/>
                    </w:rPr>
                    <w:t>88.9</w:t>
                  </w:r>
                </w:p>
              </w:tc>
              <w:tc>
                <w:tcPr>
                  <w:tcW w:w="689" w:type="pct"/>
                  <w:tcBorders>
                    <w:top w:val="single" w:color="auto" w:sz="4" w:space="0"/>
                    <w:left w:val="single" w:color="auto" w:sz="4" w:space="0"/>
                    <w:bottom w:val="single" w:color="auto" w:sz="4" w:space="0"/>
                    <w:right w:val="single" w:color="auto" w:sz="4" w:space="0"/>
                  </w:tcBorders>
                  <w:noWrap w:val="0"/>
                  <w:vAlign w:val="center"/>
                </w:tcPr>
                <w:p w14:paraId="3939B2EF">
                  <w:pPr>
                    <w:pStyle w:val="94"/>
                    <w:bidi w:val="0"/>
                    <w:ind w:firstLine="0" w:firstLineChars="0"/>
                    <w:rPr>
                      <w:rFonts w:hint="eastAsia"/>
                      <w:color w:val="auto"/>
                      <w:highlight w:val="none"/>
                      <w:lang w:val="en-US" w:eastAsia="zh-CN"/>
                    </w:rPr>
                  </w:pPr>
                  <w:r>
                    <w:rPr>
                      <w:rFonts w:hint="default"/>
                      <w:color w:val="auto"/>
                      <w:highlight w:val="none"/>
                    </w:rPr>
                    <w:t>一般固废</w:t>
                  </w:r>
                </w:p>
              </w:tc>
              <w:tc>
                <w:tcPr>
                  <w:tcW w:w="2043" w:type="pct"/>
                  <w:vMerge w:val="continue"/>
                  <w:tcBorders>
                    <w:top w:val="single" w:color="auto" w:sz="4" w:space="0"/>
                    <w:left w:val="single" w:color="auto" w:sz="4" w:space="0"/>
                    <w:bottom w:val="single" w:color="auto" w:sz="4" w:space="0"/>
                    <w:right w:val="nil"/>
                  </w:tcBorders>
                  <w:noWrap w:val="0"/>
                  <w:vAlign w:val="center"/>
                </w:tcPr>
                <w:p w14:paraId="647A7A4F">
                  <w:pPr>
                    <w:pStyle w:val="94"/>
                    <w:bidi w:val="0"/>
                    <w:rPr>
                      <w:rFonts w:hint="default"/>
                      <w:color w:val="auto"/>
                      <w:highlight w:val="none"/>
                    </w:rPr>
                  </w:pPr>
                </w:p>
              </w:tc>
            </w:tr>
            <w:tr w14:paraId="370F2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405" w:type="pct"/>
                  <w:tcBorders>
                    <w:top w:val="single" w:color="auto" w:sz="4" w:space="0"/>
                    <w:left w:val="nil"/>
                    <w:bottom w:val="single" w:color="auto" w:sz="4" w:space="0"/>
                    <w:right w:val="single" w:color="auto" w:sz="4" w:space="0"/>
                  </w:tcBorders>
                  <w:noWrap w:val="0"/>
                  <w:vAlign w:val="center"/>
                </w:tcPr>
                <w:p w14:paraId="501B1101">
                  <w:pPr>
                    <w:pStyle w:val="56"/>
                    <w:spacing w:before="0"/>
                    <w:ind w:right="0" w:rightChars="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89F315">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杂质</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70FC1D">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探检</w:t>
                  </w:r>
                </w:p>
              </w:tc>
              <w:tc>
                <w:tcPr>
                  <w:tcW w:w="484" w:type="pct"/>
                  <w:tcBorders>
                    <w:top w:val="single" w:color="auto" w:sz="4" w:space="0"/>
                    <w:left w:val="single" w:color="auto" w:sz="4" w:space="0"/>
                    <w:bottom w:val="single" w:color="auto" w:sz="4" w:space="0"/>
                    <w:right w:val="single" w:color="auto" w:sz="4" w:space="0"/>
                  </w:tcBorders>
                  <w:noWrap w:val="0"/>
                  <w:vAlign w:val="center"/>
                </w:tcPr>
                <w:p w14:paraId="464DE55F">
                  <w:pPr>
                    <w:pStyle w:val="56"/>
                    <w:spacing w:before="0"/>
                    <w:ind w:right="0" w:rightChars="0" w:firstLine="0" w:firstLineChars="0"/>
                    <w:rPr>
                      <w:rFonts w:hint="default" w:eastAsia="宋体"/>
                      <w:color w:val="auto"/>
                      <w:highlight w:val="none"/>
                      <w:lang w:val="en-US" w:eastAsia="zh-CN"/>
                    </w:rPr>
                  </w:pPr>
                  <w:r>
                    <w:rPr>
                      <w:rFonts w:hint="eastAsia"/>
                      <w:color w:val="auto"/>
                      <w:highlight w:val="none"/>
                      <w:lang w:val="en-US" w:eastAsia="zh-CN"/>
                    </w:rPr>
                    <w:t>13.9</w:t>
                  </w:r>
                </w:p>
              </w:tc>
              <w:tc>
                <w:tcPr>
                  <w:tcW w:w="689" w:type="pct"/>
                  <w:tcBorders>
                    <w:top w:val="single" w:color="auto" w:sz="4" w:space="0"/>
                    <w:left w:val="single" w:color="auto" w:sz="4" w:space="0"/>
                    <w:bottom w:val="single" w:color="auto" w:sz="4" w:space="0"/>
                    <w:right w:val="single" w:color="auto" w:sz="4" w:space="0"/>
                  </w:tcBorders>
                  <w:noWrap w:val="0"/>
                  <w:vAlign w:val="center"/>
                </w:tcPr>
                <w:p w14:paraId="7E1F02A6">
                  <w:pPr>
                    <w:pStyle w:val="94"/>
                    <w:bidi w:val="0"/>
                    <w:ind w:firstLine="0" w:firstLineChars="0"/>
                    <w:rPr>
                      <w:rFonts w:hint="eastAsia" w:eastAsia="宋体"/>
                      <w:color w:val="auto"/>
                      <w:highlight w:val="none"/>
                      <w:lang w:val="en-US" w:eastAsia="zh-CN"/>
                    </w:rPr>
                  </w:pPr>
                  <w:r>
                    <w:rPr>
                      <w:rFonts w:hint="eastAsia"/>
                      <w:color w:val="auto"/>
                      <w:highlight w:val="none"/>
                      <w:lang w:val="en-US" w:eastAsia="zh-CN"/>
                    </w:rPr>
                    <w:t>一般固废</w:t>
                  </w:r>
                </w:p>
              </w:tc>
              <w:tc>
                <w:tcPr>
                  <w:tcW w:w="2043" w:type="pct"/>
                  <w:vMerge w:val="continue"/>
                  <w:tcBorders>
                    <w:top w:val="single" w:color="auto" w:sz="4" w:space="0"/>
                    <w:left w:val="single" w:color="auto" w:sz="4" w:space="0"/>
                    <w:bottom w:val="single" w:color="auto" w:sz="4" w:space="0"/>
                    <w:right w:val="nil"/>
                  </w:tcBorders>
                  <w:noWrap w:val="0"/>
                  <w:vAlign w:val="center"/>
                </w:tcPr>
                <w:p w14:paraId="7E9E2478">
                  <w:pPr>
                    <w:pStyle w:val="94"/>
                    <w:bidi w:val="0"/>
                    <w:rPr>
                      <w:rFonts w:hint="default"/>
                      <w:color w:val="auto"/>
                      <w:highlight w:val="none"/>
                    </w:rPr>
                  </w:pPr>
                </w:p>
              </w:tc>
            </w:tr>
            <w:tr w14:paraId="4F97B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405" w:type="pct"/>
                  <w:tcBorders>
                    <w:top w:val="single" w:color="auto" w:sz="4" w:space="0"/>
                    <w:left w:val="nil"/>
                    <w:bottom w:val="single" w:color="auto" w:sz="4" w:space="0"/>
                    <w:right w:val="single" w:color="auto" w:sz="4" w:space="0"/>
                  </w:tcBorders>
                  <w:noWrap w:val="0"/>
                  <w:vAlign w:val="center"/>
                </w:tcPr>
                <w:p w14:paraId="19FE7450">
                  <w:pPr>
                    <w:pStyle w:val="56"/>
                    <w:spacing w:before="0"/>
                    <w:ind w:right="0" w:rightChars="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220B01">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废包装材料</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0C3DEE">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脱包、包装</w:t>
                  </w:r>
                </w:p>
              </w:tc>
              <w:tc>
                <w:tcPr>
                  <w:tcW w:w="484" w:type="pct"/>
                  <w:tcBorders>
                    <w:top w:val="single" w:color="auto" w:sz="4" w:space="0"/>
                    <w:left w:val="single" w:color="auto" w:sz="4" w:space="0"/>
                    <w:bottom w:val="single" w:color="auto" w:sz="4" w:space="0"/>
                    <w:right w:val="single" w:color="auto" w:sz="4" w:space="0"/>
                  </w:tcBorders>
                  <w:noWrap w:val="0"/>
                  <w:vAlign w:val="center"/>
                </w:tcPr>
                <w:p w14:paraId="069D1512">
                  <w:pPr>
                    <w:pStyle w:val="56"/>
                    <w:spacing w:before="0"/>
                    <w:ind w:right="0" w:rightChars="0" w:firstLine="0" w:firstLineChars="0"/>
                    <w:rPr>
                      <w:rFonts w:hint="default" w:eastAsia="宋体"/>
                      <w:color w:val="auto"/>
                      <w:highlight w:val="none"/>
                      <w:lang w:val="en-US" w:eastAsia="zh-CN"/>
                    </w:rPr>
                  </w:pPr>
                  <w:r>
                    <w:rPr>
                      <w:rFonts w:hint="eastAsia"/>
                      <w:color w:val="auto"/>
                      <w:highlight w:val="none"/>
                      <w:lang w:val="en-US" w:eastAsia="zh-CN"/>
                    </w:rPr>
                    <w:t>5</w:t>
                  </w:r>
                </w:p>
              </w:tc>
              <w:tc>
                <w:tcPr>
                  <w:tcW w:w="689" w:type="pct"/>
                  <w:tcBorders>
                    <w:top w:val="single" w:color="auto" w:sz="4" w:space="0"/>
                    <w:left w:val="single" w:color="auto" w:sz="4" w:space="0"/>
                    <w:bottom w:val="single" w:color="auto" w:sz="4" w:space="0"/>
                    <w:right w:val="single" w:color="auto" w:sz="4" w:space="0"/>
                  </w:tcBorders>
                  <w:noWrap w:val="0"/>
                  <w:vAlign w:val="center"/>
                </w:tcPr>
                <w:p w14:paraId="4749AF6E">
                  <w:pPr>
                    <w:pStyle w:val="94"/>
                    <w:bidi w:val="0"/>
                    <w:ind w:firstLine="0" w:firstLineChars="0"/>
                    <w:rPr>
                      <w:rFonts w:hint="default"/>
                      <w:color w:val="auto"/>
                      <w:highlight w:val="none"/>
                    </w:rPr>
                  </w:pPr>
                  <w:r>
                    <w:rPr>
                      <w:rFonts w:hint="eastAsia"/>
                      <w:color w:val="auto"/>
                      <w:highlight w:val="none"/>
                      <w:lang w:val="en-US" w:eastAsia="zh-CN"/>
                    </w:rPr>
                    <w:t>一般固废</w:t>
                  </w:r>
                </w:p>
              </w:tc>
              <w:tc>
                <w:tcPr>
                  <w:tcW w:w="2043" w:type="pct"/>
                  <w:vMerge w:val="continue"/>
                  <w:tcBorders>
                    <w:top w:val="single" w:color="auto" w:sz="4" w:space="0"/>
                    <w:left w:val="single" w:color="auto" w:sz="4" w:space="0"/>
                    <w:bottom w:val="single" w:color="auto" w:sz="4" w:space="0"/>
                    <w:right w:val="nil"/>
                  </w:tcBorders>
                  <w:noWrap w:val="0"/>
                  <w:vAlign w:val="center"/>
                </w:tcPr>
                <w:p w14:paraId="1A838E0A">
                  <w:pPr>
                    <w:pStyle w:val="94"/>
                    <w:bidi w:val="0"/>
                    <w:rPr>
                      <w:rFonts w:hint="default"/>
                      <w:color w:val="auto"/>
                      <w:highlight w:val="none"/>
                    </w:rPr>
                  </w:pPr>
                </w:p>
              </w:tc>
            </w:tr>
            <w:tr w14:paraId="13E02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405" w:type="pct"/>
                  <w:tcBorders>
                    <w:top w:val="single" w:color="auto" w:sz="4" w:space="0"/>
                    <w:left w:val="nil"/>
                    <w:bottom w:val="single" w:color="auto" w:sz="4" w:space="0"/>
                    <w:right w:val="single" w:color="auto" w:sz="4" w:space="0"/>
                  </w:tcBorders>
                  <w:noWrap w:val="0"/>
                  <w:vAlign w:val="center"/>
                </w:tcPr>
                <w:p w14:paraId="23AE58AE">
                  <w:pPr>
                    <w:pStyle w:val="56"/>
                    <w:spacing w:before="0"/>
                    <w:ind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53B763">
                  <w:pPr>
                    <w:pStyle w:val="106"/>
                    <w:bidi w:val="0"/>
                    <w:ind w:firstLine="0" w:firstLineChars="0"/>
                    <w:rPr>
                      <w:rFonts w:hint="default"/>
                      <w:color w:val="auto"/>
                      <w:highlight w:val="none"/>
                      <w:lang w:val="en-US" w:eastAsia="zh-CN"/>
                    </w:rPr>
                  </w:pPr>
                  <w:r>
                    <w:rPr>
                      <w:rFonts w:hint="eastAsia"/>
                      <w:color w:val="auto"/>
                      <w:highlight w:val="none"/>
                      <w:lang w:val="en-US" w:eastAsia="zh-CN"/>
                    </w:rPr>
                    <w:t>肉类废边角料</w:t>
                  </w:r>
                </w:p>
              </w:tc>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19B870">
                  <w:pPr>
                    <w:pStyle w:val="106"/>
                    <w:bidi w:val="0"/>
                    <w:ind w:firstLine="0" w:firstLineChars="0"/>
                    <w:rPr>
                      <w:rFonts w:hint="default"/>
                      <w:color w:val="auto"/>
                      <w:highlight w:val="none"/>
                      <w:lang w:val="en-US" w:eastAsia="zh-CN"/>
                    </w:rPr>
                  </w:pPr>
                  <w:r>
                    <w:rPr>
                      <w:rFonts w:hint="eastAsia"/>
                      <w:color w:val="auto"/>
                      <w:highlight w:val="none"/>
                      <w:lang w:val="en-US" w:eastAsia="zh-CN"/>
                    </w:rPr>
                    <w:t>切分筛选</w:t>
                  </w:r>
                </w:p>
              </w:tc>
              <w:tc>
                <w:tcPr>
                  <w:tcW w:w="484" w:type="pct"/>
                  <w:tcBorders>
                    <w:top w:val="single" w:color="auto" w:sz="4" w:space="0"/>
                    <w:left w:val="single" w:color="auto" w:sz="4" w:space="0"/>
                    <w:bottom w:val="single" w:color="auto" w:sz="4" w:space="0"/>
                    <w:right w:val="single" w:color="auto" w:sz="4" w:space="0"/>
                  </w:tcBorders>
                  <w:noWrap w:val="0"/>
                  <w:vAlign w:val="center"/>
                </w:tcPr>
                <w:p w14:paraId="04B9CDA2">
                  <w:pPr>
                    <w:pStyle w:val="56"/>
                    <w:spacing w:before="0"/>
                    <w:ind w:right="0" w:rightChars="0" w:firstLine="0" w:firstLineChars="0"/>
                    <w:rPr>
                      <w:rFonts w:hint="default"/>
                      <w:color w:val="auto"/>
                      <w:highlight w:val="none"/>
                      <w:lang w:val="en-US" w:eastAsia="zh-CN"/>
                    </w:rPr>
                  </w:pPr>
                  <w:r>
                    <w:rPr>
                      <w:rFonts w:hint="eastAsia"/>
                      <w:color w:val="auto"/>
                      <w:highlight w:val="none"/>
                      <w:lang w:val="en-US" w:eastAsia="zh-CN"/>
                    </w:rPr>
                    <w:t>25</w:t>
                  </w:r>
                </w:p>
              </w:tc>
              <w:tc>
                <w:tcPr>
                  <w:tcW w:w="689" w:type="pct"/>
                  <w:tcBorders>
                    <w:top w:val="single" w:color="auto" w:sz="4" w:space="0"/>
                    <w:left w:val="single" w:color="auto" w:sz="4" w:space="0"/>
                    <w:bottom w:val="single" w:color="auto" w:sz="4" w:space="0"/>
                    <w:right w:val="single" w:color="auto" w:sz="4" w:space="0"/>
                  </w:tcBorders>
                  <w:noWrap w:val="0"/>
                  <w:vAlign w:val="center"/>
                </w:tcPr>
                <w:p w14:paraId="23721E80">
                  <w:pPr>
                    <w:pStyle w:val="94"/>
                    <w:bidi w:val="0"/>
                    <w:ind w:firstLine="0" w:firstLineChars="0"/>
                    <w:rPr>
                      <w:rFonts w:hint="eastAsia"/>
                      <w:color w:val="auto"/>
                      <w:highlight w:val="none"/>
                      <w:lang w:val="en-US" w:eastAsia="zh-CN"/>
                    </w:rPr>
                  </w:pPr>
                  <w:r>
                    <w:rPr>
                      <w:rFonts w:hint="eastAsia"/>
                      <w:color w:val="auto"/>
                      <w:highlight w:val="none"/>
                      <w:lang w:val="en-US" w:eastAsia="zh-CN"/>
                    </w:rPr>
                    <w:t>一般固废</w:t>
                  </w:r>
                </w:p>
              </w:tc>
              <w:tc>
                <w:tcPr>
                  <w:tcW w:w="2043" w:type="pct"/>
                  <w:tcBorders>
                    <w:top w:val="single" w:color="auto" w:sz="4" w:space="0"/>
                    <w:left w:val="single" w:color="auto" w:sz="4" w:space="0"/>
                    <w:bottom w:val="single" w:color="auto" w:sz="4" w:space="0"/>
                    <w:right w:val="nil"/>
                  </w:tcBorders>
                  <w:noWrap w:val="0"/>
                  <w:vAlign w:val="center"/>
                </w:tcPr>
                <w:p w14:paraId="03200537">
                  <w:pPr>
                    <w:pStyle w:val="94"/>
                    <w:bidi w:val="0"/>
                    <w:rPr>
                      <w:rFonts w:hint="default" w:eastAsia="宋体"/>
                      <w:color w:val="auto"/>
                      <w:highlight w:val="none"/>
                      <w:lang w:val="en-US" w:eastAsia="zh-CN"/>
                    </w:rPr>
                  </w:pPr>
                  <w:r>
                    <w:rPr>
                      <w:rFonts w:hint="eastAsia"/>
                      <w:color w:val="auto"/>
                      <w:highlight w:val="none"/>
                      <w:lang w:val="en-US" w:eastAsia="zh-CN"/>
                    </w:rPr>
                    <w:t>交由无害化单位处理</w:t>
                  </w:r>
                </w:p>
              </w:tc>
            </w:tr>
            <w:tr w14:paraId="572B2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05" w:type="pct"/>
                  <w:tcBorders>
                    <w:top w:val="single" w:color="auto" w:sz="4" w:space="0"/>
                    <w:left w:val="nil"/>
                    <w:bottom w:val="single" w:color="auto" w:sz="4" w:space="0"/>
                    <w:right w:val="single" w:color="auto" w:sz="4" w:space="0"/>
                  </w:tcBorders>
                  <w:shd w:val="clear" w:color="auto" w:fill="auto"/>
                  <w:noWrap w:val="0"/>
                  <w:vAlign w:val="center"/>
                </w:tcPr>
                <w:p w14:paraId="248B981D">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137590ED">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生活垃圾</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41ACB1B4">
                  <w:pPr>
                    <w:pStyle w:val="56"/>
                    <w:spacing w:before="0"/>
                    <w:ind w:right="0" w:rightChars="0" w:firstLine="0" w:firstLineChars="0"/>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办公生活</w:t>
                  </w:r>
                </w:p>
              </w:tc>
              <w:tc>
                <w:tcPr>
                  <w:tcW w:w="484" w:type="pct"/>
                  <w:tcBorders>
                    <w:top w:val="single" w:color="auto" w:sz="4" w:space="0"/>
                    <w:left w:val="single" w:color="auto" w:sz="4" w:space="0"/>
                    <w:bottom w:val="single" w:color="auto" w:sz="4" w:space="0"/>
                    <w:right w:val="single" w:color="auto" w:sz="4" w:space="0"/>
                  </w:tcBorders>
                  <w:noWrap w:val="0"/>
                  <w:vAlign w:val="center"/>
                </w:tcPr>
                <w:p w14:paraId="013BB585">
                  <w:pPr>
                    <w:pStyle w:val="56"/>
                    <w:spacing w:before="0"/>
                    <w:ind w:right="0" w:rightChars="0" w:firstLine="0" w:firstLineChars="0"/>
                    <w:rPr>
                      <w:rFonts w:hint="default"/>
                      <w:color w:val="auto"/>
                      <w:highlight w:val="none"/>
                      <w:lang w:val="en-US" w:eastAsia="zh-CN"/>
                    </w:rPr>
                  </w:pPr>
                  <w:r>
                    <w:rPr>
                      <w:rFonts w:hint="eastAsia"/>
                      <w:color w:val="auto"/>
                      <w:sz w:val="21"/>
                      <w:szCs w:val="21"/>
                      <w:highlight w:val="none"/>
                      <w:lang w:val="en-US" w:eastAsia="zh-CN"/>
                    </w:rPr>
                    <w:t>9.0</w:t>
                  </w:r>
                </w:p>
              </w:tc>
              <w:tc>
                <w:tcPr>
                  <w:tcW w:w="689" w:type="pct"/>
                  <w:tcBorders>
                    <w:top w:val="single" w:color="auto" w:sz="4" w:space="0"/>
                    <w:left w:val="single" w:color="auto" w:sz="4" w:space="0"/>
                    <w:bottom w:val="single" w:color="auto" w:sz="4" w:space="0"/>
                    <w:right w:val="single" w:color="auto" w:sz="4" w:space="0"/>
                  </w:tcBorders>
                  <w:noWrap w:val="0"/>
                  <w:vAlign w:val="center"/>
                </w:tcPr>
                <w:p w14:paraId="5BC48BCD">
                  <w:pPr>
                    <w:pStyle w:val="94"/>
                    <w:bidi w:val="0"/>
                    <w:ind w:firstLine="0" w:firstLineChars="0"/>
                    <w:rPr>
                      <w:rFonts w:hint="eastAsia"/>
                      <w:color w:val="auto"/>
                      <w:highlight w:val="none"/>
                      <w:lang w:val="en-US" w:eastAsia="zh-CN"/>
                    </w:rPr>
                  </w:pPr>
                  <w:r>
                    <w:rPr>
                      <w:rFonts w:hint="default"/>
                      <w:color w:val="auto"/>
                      <w:highlight w:val="none"/>
                    </w:rPr>
                    <w:t>一般固废</w:t>
                  </w:r>
                </w:p>
              </w:tc>
              <w:tc>
                <w:tcPr>
                  <w:tcW w:w="2043" w:type="pct"/>
                  <w:tcBorders>
                    <w:top w:val="single" w:color="auto" w:sz="4" w:space="0"/>
                    <w:left w:val="single" w:color="auto" w:sz="4" w:space="0"/>
                    <w:bottom w:val="single" w:color="auto" w:sz="4" w:space="0"/>
                    <w:right w:val="nil"/>
                  </w:tcBorders>
                  <w:noWrap w:val="0"/>
                  <w:vAlign w:val="center"/>
                </w:tcPr>
                <w:p w14:paraId="39872E44">
                  <w:pPr>
                    <w:pStyle w:val="56"/>
                    <w:spacing w:before="0"/>
                    <w:ind w:right="0" w:rightChars="0" w:firstLine="0" w:firstLineChars="0"/>
                    <w:rPr>
                      <w:rFonts w:hint="default"/>
                      <w:color w:val="auto"/>
                      <w:highlight w:val="none"/>
                    </w:rPr>
                  </w:pPr>
                  <w:r>
                    <w:rPr>
                      <w:rFonts w:hint="default"/>
                      <w:color w:val="auto"/>
                      <w:highlight w:val="none"/>
                    </w:rPr>
                    <w:t>交由环卫部门清运处理</w:t>
                  </w:r>
                </w:p>
              </w:tc>
            </w:tr>
            <w:tr w14:paraId="54E94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05" w:type="pct"/>
                  <w:tcBorders>
                    <w:top w:val="single" w:color="auto" w:sz="4" w:space="0"/>
                    <w:left w:val="nil"/>
                    <w:bottom w:val="single" w:color="auto" w:sz="12" w:space="0"/>
                    <w:right w:val="single" w:color="auto" w:sz="4" w:space="0"/>
                  </w:tcBorders>
                  <w:shd w:val="clear" w:color="auto" w:fill="auto"/>
                  <w:noWrap w:val="0"/>
                  <w:vAlign w:val="center"/>
                </w:tcPr>
                <w:p w14:paraId="1652FC80">
                  <w:pPr>
                    <w:pStyle w:val="56"/>
                    <w:spacing w:before="0"/>
                    <w:ind w:right="0" w:rightChars="0" w:firstLine="0" w:firstLineChars="0"/>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c>
                <w:tcPr>
                  <w:tcW w:w="688" w:type="pct"/>
                  <w:tcBorders>
                    <w:top w:val="single" w:color="auto" w:sz="4" w:space="0"/>
                    <w:left w:val="single" w:color="auto" w:sz="4" w:space="0"/>
                    <w:bottom w:val="single" w:color="auto" w:sz="12" w:space="0"/>
                    <w:right w:val="single" w:color="auto" w:sz="4" w:space="0"/>
                  </w:tcBorders>
                  <w:noWrap w:val="0"/>
                  <w:vAlign w:val="center"/>
                </w:tcPr>
                <w:p w14:paraId="3435F8EE">
                  <w:pPr>
                    <w:pStyle w:val="56"/>
                    <w:spacing w:before="0"/>
                    <w:ind w:right="0" w:rightChars="0" w:firstLine="0" w:firstLineChars="0"/>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污水处理设施污泥</w:t>
                  </w:r>
                </w:p>
              </w:tc>
              <w:tc>
                <w:tcPr>
                  <w:tcW w:w="688" w:type="pct"/>
                  <w:tcBorders>
                    <w:top w:val="single" w:color="auto" w:sz="4" w:space="0"/>
                    <w:left w:val="single" w:color="auto" w:sz="4" w:space="0"/>
                    <w:bottom w:val="single" w:color="auto" w:sz="12" w:space="0"/>
                    <w:right w:val="single" w:color="auto" w:sz="4" w:space="0"/>
                  </w:tcBorders>
                  <w:noWrap w:val="0"/>
                  <w:vAlign w:val="center"/>
                </w:tcPr>
                <w:p w14:paraId="1FAE18CC">
                  <w:pPr>
                    <w:pStyle w:val="56"/>
                    <w:spacing w:before="0"/>
                    <w:ind w:right="0" w:rightChars="0" w:firstLine="0" w:firstLineChars="0"/>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污水处理</w:t>
                  </w:r>
                </w:p>
              </w:tc>
              <w:tc>
                <w:tcPr>
                  <w:tcW w:w="484" w:type="pct"/>
                  <w:tcBorders>
                    <w:top w:val="single" w:color="auto" w:sz="4" w:space="0"/>
                    <w:left w:val="single" w:color="auto" w:sz="4" w:space="0"/>
                    <w:bottom w:val="single" w:color="auto" w:sz="12" w:space="0"/>
                    <w:right w:val="single" w:color="auto" w:sz="4" w:space="0"/>
                  </w:tcBorders>
                  <w:noWrap w:val="0"/>
                  <w:vAlign w:val="center"/>
                </w:tcPr>
                <w:p w14:paraId="731B63A5">
                  <w:pPr>
                    <w:pStyle w:val="56"/>
                    <w:spacing w:before="0"/>
                    <w:ind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689" w:type="pct"/>
                  <w:tcBorders>
                    <w:top w:val="single" w:color="auto" w:sz="4" w:space="0"/>
                    <w:left w:val="single" w:color="auto" w:sz="4" w:space="0"/>
                    <w:bottom w:val="single" w:color="auto" w:sz="12" w:space="0"/>
                    <w:right w:val="single" w:color="auto" w:sz="4" w:space="0"/>
                  </w:tcBorders>
                  <w:noWrap w:val="0"/>
                  <w:vAlign w:val="center"/>
                </w:tcPr>
                <w:p w14:paraId="03CDD5C6">
                  <w:pPr>
                    <w:pStyle w:val="94"/>
                    <w:bidi w:val="0"/>
                    <w:ind w:firstLine="0" w:firstLineChars="0"/>
                    <w:rPr>
                      <w:rFonts w:hint="default"/>
                      <w:color w:val="auto"/>
                      <w:highlight w:val="none"/>
                    </w:rPr>
                  </w:pPr>
                  <w:r>
                    <w:rPr>
                      <w:rFonts w:hint="default"/>
                      <w:color w:val="auto"/>
                      <w:highlight w:val="none"/>
                    </w:rPr>
                    <w:t>一般固废</w:t>
                  </w:r>
                </w:p>
              </w:tc>
              <w:tc>
                <w:tcPr>
                  <w:tcW w:w="2043" w:type="pct"/>
                  <w:tcBorders>
                    <w:top w:val="single" w:color="auto" w:sz="4" w:space="0"/>
                    <w:left w:val="single" w:color="auto" w:sz="4" w:space="0"/>
                    <w:bottom w:val="single" w:color="auto" w:sz="12" w:space="0"/>
                    <w:right w:val="nil"/>
                  </w:tcBorders>
                  <w:noWrap w:val="0"/>
                  <w:vAlign w:val="center"/>
                </w:tcPr>
                <w:p w14:paraId="0DF13A11">
                  <w:pPr>
                    <w:pStyle w:val="56"/>
                    <w:spacing w:before="0"/>
                    <w:ind w:right="0" w:rightChars="0" w:firstLine="0" w:firstLineChars="0"/>
                    <w:rPr>
                      <w:rFonts w:hint="default"/>
                      <w:color w:val="auto"/>
                      <w:highlight w:val="none"/>
                    </w:rPr>
                  </w:pPr>
                  <w:r>
                    <w:rPr>
                      <w:rFonts w:hint="default"/>
                      <w:color w:val="auto"/>
                      <w:highlight w:val="none"/>
                    </w:rPr>
                    <w:t>由环卫部门送城市生活垃圾处理场处理</w:t>
                  </w:r>
                </w:p>
              </w:tc>
            </w:tr>
          </w:tbl>
          <w:p w14:paraId="5A628CAF">
            <w:pPr>
              <w:pStyle w:val="14"/>
              <w:bidi w:val="0"/>
              <w:rPr>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21</w:t>
            </w:r>
            <w:r>
              <w:rPr>
                <w:color w:val="auto"/>
                <w:highlight w:val="none"/>
              </w:rPr>
              <w:fldChar w:fldCharType="end"/>
            </w:r>
            <w:r>
              <w:rPr>
                <w:rFonts w:hint="eastAsia"/>
                <w:color w:val="auto"/>
                <w:highlight w:val="none"/>
                <w:lang w:val="en-US" w:eastAsia="zh-CN"/>
              </w:rPr>
              <w:t xml:space="preserve">  </w:t>
            </w:r>
            <w:r>
              <w:rPr>
                <w:rFonts w:hint="eastAsia"/>
                <w:color w:val="auto"/>
                <w:highlight w:val="none"/>
              </w:rPr>
              <w:t>项目</w:t>
            </w:r>
            <w:r>
              <w:rPr>
                <w:rFonts w:hint="eastAsia"/>
                <w:color w:val="auto"/>
                <w:highlight w:val="none"/>
                <w:lang w:val="en-US" w:eastAsia="zh-CN"/>
              </w:rPr>
              <w:t>危险废物</w:t>
            </w:r>
            <w:r>
              <w:rPr>
                <w:rFonts w:hint="eastAsia"/>
                <w:color w:val="auto"/>
                <w:highlight w:val="none"/>
              </w:rPr>
              <w:t>产生</w:t>
            </w:r>
            <w:r>
              <w:rPr>
                <w:rFonts w:hint="eastAsia"/>
                <w:color w:val="auto"/>
                <w:highlight w:val="none"/>
                <w:lang w:val="en-US" w:eastAsia="zh-CN"/>
              </w:rPr>
              <w:t>及处置措施</w:t>
            </w:r>
            <w:r>
              <w:rPr>
                <w:rFonts w:hint="eastAsia"/>
                <w:color w:val="auto"/>
                <w:highlight w:val="none"/>
              </w:rPr>
              <w:t>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
              <w:gridCol w:w="534"/>
              <w:gridCol w:w="821"/>
              <w:gridCol w:w="1202"/>
              <w:gridCol w:w="968"/>
              <w:gridCol w:w="1023"/>
              <w:gridCol w:w="497"/>
              <w:gridCol w:w="678"/>
              <w:gridCol w:w="621"/>
              <w:gridCol w:w="838"/>
              <w:gridCol w:w="1540"/>
            </w:tblGrid>
            <w:tr w14:paraId="606D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5" w:type="pct"/>
                  <w:tcBorders>
                    <w:top w:val="single" w:color="auto" w:sz="12" w:space="0"/>
                    <w:bottom w:val="single" w:color="auto" w:sz="4" w:space="0"/>
                    <w:right w:val="single" w:color="auto" w:sz="4" w:space="0"/>
                  </w:tcBorders>
                  <w:vAlign w:val="center"/>
                </w:tcPr>
                <w:p w14:paraId="4674668B">
                  <w:pPr>
                    <w:pStyle w:val="56"/>
                    <w:spacing w:before="0"/>
                    <w:ind w:right="0"/>
                    <w:rPr>
                      <w:b/>
                      <w:bCs/>
                      <w:color w:val="auto"/>
                      <w:sz w:val="21"/>
                      <w:szCs w:val="21"/>
                      <w:highlight w:val="none"/>
                    </w:rPr>
                  </w:pPr>
                  <w:r>
                    <w:rPr>
                      <w:b/>
                      <w:bCs/>
                      <w:color w:val="auto"/>
                      <w:sz w:val="21"/>
                      <w:szCs w:val="21"/>
                      <w:highlight w:val="none"/>
                    </w:rPr>
                    <w:t>序号</w:t>
                  </w:r>
                </w:p>
              </w:tc>
              <w:tc>
                <w:tcPr>
                  <w:tcW w:w="295" w:type="pct"/>
                  <w:tcBorders>
                    <w:top w:val="single" w:color="auto" w:sz="12" w:space="0"/>
                    <w:left w:val="single" w:color="auto" w:sz="4" w:space="0"/>
                    <w:bottom w:val="single" w:color="auto" w:sz="4" w:space="0"/>
                    <w:right w:val="single" w:color="auto" w:sz="4" w:space="0"/>
                  </w:tcBorders>
                  <w:vAlign w:val="center"/>
                </w:tcPr>
                <w:p w14:paraId="04B78066">
                  <w:pPr>
                    <w:pStyle w:val="56"/>
                    <w:spacing w:before="0"/>
                    <w:ind w:right="0"/>
                    <w:rPr>
                      <w:b/>
                      <w:bCs/>
                      <w:color w:val="auto"/>
                      <w:sz w:val="21"/>
                      <w:szCs w:val="21"/>
                      <w:highlight w:val="none"/>
                    </w:rPr>
                  </w:pPr>
                  <w:r>
                    <w:rPr>
                      <w:b/>
                      <w:bCs/>
                      <w:color w:val="auto"/>
                      <w:sz w:val="21"/>
                      <w:szCs w:val="21"/>
                      <w:highlight w:val="none"/>
                    </w:rPr>
                    <w:t>固废名称</w:t>
                  </w:r>
                </w:p>
              </w:tc>
              <w:tc>
                <w:tcPr>
                  <w:tcW w:w="454" w:type="pct"/>
                  <w:tcBorders>
                    <w:top w:val="single" w:color="auto" w:sz="12" w:space="0"/>
                    <w:left w:val="single" w:color="auto" w:sz="4" w:space="0"/>
                    <w:bottom w:val="single" w:color="auto" w:sz="4" w:space="0"/>
                    <w:right w:val="single" w:color="auto" w:sz="4" w:space="0"/>
                  </w:tcBorders>
                  <w:vAlign w:val="center"/>
                </w:tcPr>
                <w:p w14:paraId="570391CF">
                  <w:pPr>
                    <w:pStyle w:val="56"/>
                    <w:spacing w:before="0"/>
                    <w:ind w:right="0"/>
                    <w:rPr>
                      <w:b/>
                      <w:bCs/>
                      <w:color w:val="auto"/>
                      <w:sz w:val="21"/>
                      <w:szCs w:val="21"/>
                      <w:highlight w:val="none"/>
                    </w:rPr>
                  </w:pPr>
                  <w:r>
                    <w:rPr>
                      <w:b/>
                      <w:bCs/>
                      <w:color w:val="auto"/>
                      <w:sz w:val="21"/>
                      <w:szCs w:val="21"/>
                      <w:highlight w:val="none"/>
                    </w:rPr>
                    <w:t>危险废物类别</w:t>
                  </w:r>
                </w:p>
              </w:tc>
              <w:tc>
                <w:tcPr>
                  <w:tcW w:w="664" w:type="pct"/>
                  <w:tcBorders>
                    <w:top w:val="single" w:color="auto" w:sz="12" w:space="0"/>
                    <w:left w:val="single" w:color="auto" w:sz="4" w:space="0"/>
                    <w:bottom w:val="single" w:color="auto" w:sz="4" w:space="0"/>
                    <w:right w:val="single" w:color="auto" w:sz="4" w:space="0"/>
                  </w:tcBorders>
                  <w:vAlign w:val="center"/>
                </w:tcPr>
                <w:p w14:paraId="26D905D7">
                  <w:pPr>
                    <w:pStyle w:val="56"/>
                    <w:spacing w:before="0"/>
                    <w:ind w:right="0"/>
                    <w:rPr>
                      <w:b/>
                      <w:bCs/>
                      <w:color w:val="auto"/>
                      <w:sz w:val="21"/>
                      <w:szCs w:val="21"/>
                      <w:highlight w:val="none"/>
                    </w:rPr>
                  </w:pPr>
                  <w:r>
                    <w:rPr>
                      <w:b/>
                      <w:bCs/>
                      <w:color w:val="auto"/>
                      <w:sz w:val="21"/>
                      <w:szCs w:val="21"/>
                      <w:highlight w:val="none"/>
                    </w:rPr>
                    <w:t>危废代码</w:t>
                  </w:r>
                </w:p>
              </w:tc>
              <w:tc>
                <w:tcPr>
                  <w:tcW w:w="535" w:type="pct"/>
                  <w:tcBorders>
                    <w:top w:val="single" w:color="auto" w:sz="12" w:space="0"/>
                    <w:left w:val="single" w:color="auto" w:sz="4" w:space="0"/>
                    <w:bottom w:val="single" w:color="auto" w:sz="4" w:space="0"/>
                    <w:right w:val="single" w:color="auto" w:sz="4" w:space="0"/>
                  </w:tcBorders>
                  <w:vAlign w:val="center"/>
                </w:tcPr>
                <w:p w14:paraId="62CA9A59">
                  <w:pPr>
                    <w:pStyle w:val="56"/>
                    <w:spacing w:before="0"/>
                    <w:ind w:right="0"/>
                    <w:rPr>
                      <w:b/>
                      <w:bCs/>
                      <w:color w:val="auto"/>
                      <w:sz w:val="21"/>
                      <w:szCs w:val="21"/>
                      <w:highlight w:val="none"/>
                    </w:rPr>
                  </w:pPr>
                  <w:r>
                    <w:rPr>
                      <w:rFonts w:hint="eastAsia"/>
                      <w:b/>
                      <w:bCs/>
                      <w:color w:val="auto"/>
                      <w:sz w:val="21"/>
                      <w:szCs w:val="21"/>
                      <w:highlight w:val="none"/>
                      <w:lang w:eastAsia="zh-CN"/>
                    </w:rPr>
                    <w:t>本项目</w:t>
                  </w:r>
                  <w:r>
                    <w:rPr>
                      <w:b/>
                      <w:bCs/>
                      <w:color w:val="auto"/>
                      <w:sz w:val="21"/>
                      <w:szCs w:val="21"/>
                      <w:highlight w:val="none"/>
                    </w:rPr>
                    <w:t>产生量(t/a)</w:t>
                  </w:r>
                </w:p>
              </w:tc>
              <w:tc>
                <w:tcPr>
                  <w:tcW w:w="565" w:type="pct"/>
                  <w:tcBorders>
                    <w:top w:val="single" w:color="auto" w:sz="12" w:space="0"/>
                    <w:left w:val="single" w:color="auto" w:sz="4" w:space="0"/>
                    <w:bottom w:val="single" w:color="auto" w:sz="4" w:space="0"/>
                    <w:right w:val="single" w:color="auto" w:sz="4" w:space="0"/>
                  </w:tcBorders>
                  <w:vAlign w:val="center"/>
                </w:tcPr>
                <w:p w14:paraId="2D58B0FC">
                  <w:pPr>
                    <w:pStyle w:val="56"/>
                    <w:spacing w:before="0"/>
                    <w:ind w:right="0"/>
                    <w:rPr>
                      <w:b/>
                      <w:bCs/>
                      <w:color w:val="auto"/>
                      <w:sz w:val="21"/>
                      <w:szCs w:val="21"/>
                      <w:highlight w:val="none"/>
                    </w:rPr>
                  </w:pPr>
                  <w:r>
                    <w:rPr>
                      <w:b/>
                      <w:bCs/>
                      <w:color w:val="auto"/>
                      <w:sz w:val="21"/>
                      <w:szCs w:val="21"/>
                      <w:highlight w:val="none"/>
                    </w:rPr>
                    <w:t>产生工序及装置</w:t>
                  </w:r>
                </w:p>
              </w:tc>
              <w:tc>
                <w:tcPr>
                  <w:tcW w:w="274" w:type="pct"/>
                  <w:tcBorders>
                    <w:top w:val="single" w:color="auto" w:sz="12" w:space="0"/>
                    <w:left w:val="single" w:color="auto" w:sz="4" w:space="0"/>
                    <w:bottom w:val="single" w:color="auto" w:sz="4" w:space="0"/>
                    <w:right w:val="single" w:color="auto" w:sz="4" w:space="0"/>
                  </w:tcBorders>
                  <w:vAlign w:val="center"/>
                </w:tcPr>
                <w:p w14:paraId="635949C2">
                  <w:pPr>
                    <w:pStyle w:val="56"/>
                    <w:spacing w:before="0"/>
                    <w:ind w:right="0"/>
                    <w:rPr>
                      <w:b/>
                      <w:bCs/>
                      <w:color w:val="auto"/>
                      <w:sz w:val="21"/>
                      <w:szCs w:val="21"/>
                      <w:highlight w:val="none"/>
                    </w:rPr>
                  </w:pPr>
                  <w:r>
                    <w:rPr>
                      <w:b/>
                      <w:bCs/>
                      <w:color w:val="auto"/>
                      <w:sz w:val="21"/>
                      <w:szCs w:val="21"/>
                      <w:highlight w:val="none"/>
                    </w:rPr>
                    <w:t>形态</w:t>
                  </w:r>
                </w:p>
              </w:tc>
              <w:tc>
                <w:tcPr>
                  <w:tcW w:w="375" w:type="pct"/>
                  <w:tcBorders>
                    <w:top w:val="single" w:color="auto" w:sz="12" w:space="0"/>
                    <w:left w:val="single" w:color="auto" w:sz="4" w:space="0"/>
                    <w:bottom w:val="single" w:color="auto" w:sz="4" w:space="0"/>
                    <w:right w:val="single" w:color="auto" w:sz="4" w:space="0"/>
                  </w:tcBorders>
                  <w:vAlign w:val="center"/>
                </w:tcPr>
                <w:p w14:paraId="790B2514">
                  <w:pPr>
                    <w:pStyle w:val="56"/>
                    <w:spacing w:before="0"/>
                    <w:ind w:right="0"/>
                    <w:rPr>
                      <w:b/>
                      <w:bCs/>
                      <w:color w:val="auto"/>
                      <w:sz w:val="21"/>
                      <w:szCs w:val="21"/>
                      <w:highlight w:val="none"/>
                    </w:rPr>
                  </w:pPr>
                  <w:r>
                    <w:rPr>
                      <w:b/>
                      <w:bCs/>
                      <w:color w:val="auto"/>
                      <w:sz w:val="21"/>
                      <w:szCs w:val="21"/>
                      <w:highlight w:val="none"/>
                    </w:rPr>
                    <w:t>主要成分</w:t>
                  </w:r>
                </w:p>
              </w:tc>
              <w:tc>
                <w:tcPr>
                  <w:tcW w:w="343" w:type="pct"/>
                  <w:tcBorders>
                    <w:top w:val="single" w:color="auto" w:sz="12" w:space="0"/>
                    <w:left w:val="single" w:color="auto" w:sz="4" w:space="0"/>
                    <w:bottom w:val="single" w:color="auto" w:sz="4" w:space="0"/>
                    <w:right w:val="single" w:color="auto" w:sz="4" w:space="0"/>
                  </w:tcBorders>
                  <w:vAlign w:val="center"/>
                </w:tcPr>
                <w:p w14:paraId="5E88C2E4">
                  <w:pPr>
                    <w:pStyle w:val="56"/>
                    <w:spacing w:before="0"/>
                    <w:ind w:right="0"/>
                    <w:rPr>
                      <w:b/>
                      <w:bCs/>
                      <w:color w:val="auto"/>
                      <w:sz w:val="21"/>
                      <w:szCs w:val="21"/>
                      <w:highlight w:val="none"/>
                    </w:rPr>
                  </w:pPr>
                  <w:r>
                    <w:rPr>
                      <w:b/>
                      <w:bCs/>
                      <w:color w:val="auto"/>
                      <w:sz w:val="21"/>
                      <w:szCs w:val="21"/>
                      <w:highlight w:val="none"/>
                    </w:rPr>
                    <w:t>有害成分</w:t>
                  </w:r>
                </w:p>
              </w:tc>
              <w:tc>
                <w:tcPr>
                  <w:tcW w:w="463" w:type="pct"/>
                  <w:tcBorders>
                    <w:top w:val="single" w:color="auto" w:sz="12" w:space="0"/>
                    <w:left w:val="single" w:color="auto" w:sz="4" w:space="0"/>
                    <w:bottom w:val="single" w:color="auto" w:sz="4" w:space="0"/>
                    <w:right w:val="single" w:color="auto" w:sz="4" w:space="0"/>
                  </w:tcBorders>
                  <w:vAlign w:val="center"/>
                </w:tcPr>
                <w:p w14:paraId="7AA74BA5">
                  <w:pPr>
                    <w:pStyle w:val="56"/>
                    <w:spacing w:before="0"/>
                    <w:ind w:right="0"/>
                    <w:rPr>
                      <w:b/>
                      <w:bCs/>
                      <w:color w:val="auto"/>
                      <w:sz w:val="21"/>
                      <w:szCs w:val="21"/>
                      <w:highlight w:val="none"/>
                    </w:rPr>
                  </w:pPr>
                  <w:r>
                    <w:rPr>
                      <w:b/>
                      <w:bCs/>
                      <w:color w:val="auto"/>
                      <w:sz w:val="21"/>
                      <w:szCs w:val="21"/>
                      <w:highlight w:val="none"/>
                    </w:rPr>
                    <w:t>危险特性</w:t>
                  </w:r>
                </w:p>
              </w:tc>
              <w:tc>
                <w:tcPr>
                  <w:tcW w:w="851" w:type="pct"/>
                  <w:tcBorders>
                    <w:top w:val="single" w:color="auto" w:sz="12" w:space="0"/>
                    <w:left w:val="single" w:color="auto" w:sz="4" w:space="0"/>
                    <w:bottom w:val="single" w:color="auto" w:sz="4" w:space="0"/>
                    <w:right w:val="nil"/>
                  </w:tcBorders>
                  <w:vAlign w:val="center"/>
                </w:tcPr>
                <w:p w14:paraId="6B65C3CE">
                  <w:pPr>
                    <w:pStyle w:val="56"/>
                    <w:spacing w:before="0"/>
                    <w:ind w:right="0"/>
                    <w:rPr>
                      <w:b/>
                      <w:bCs/>
                      <w:color w:val="auto"/>
                      <w:sz w:val="21"/>
                      <w:szCs w:val="21"/>
                      <w:highlight w:val="none"/>
                    </w:rPr>
                  </w:pPr>
                  <w:r>
                    <w:rPr>
                      <w:b/>
                      <w:bCs/>
                      <w:color w:val="auto"/>
                      <w:sz w:val="21"/>
                      <w:szCs w:val="21"/>
                      <w:highlight w:val="none"/>
                    </w:rPr>
                    <w:t>污染防治措施</w:t>
                  </w:r>
                </w:p>
              </w:tc>
            </w:tr>
            <w:tr w14:paraId="4AB2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75" w:type="pct"/>
                  <w:tcBorders>
                    <w:top w:val="single" w:color="auto" w:sz="4" w:space="0"/>
                    <w:left w:val="nil"/>
                    <w:bottom w:val="single" w:color="auto" w:sz="12" w:space="0"/>
                    <w:right w:val="single" w:color="auto" w:sz="4" w:space="0"/>
                  </w:tcBorders>
                  <w:vAlign w:val="center"/>
                </w:tcPr>
                <w:p w14:paraId="780EBB18">
                  <w:pPr>
                    <w:pStyle w:val="56"/>
                    <w:spacing w:before="0"/>
                    <w:ind w:right="0"/>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295" w:type="pct"/>
                  <w:tcBorders>
                    <w:top w:val="single" w:color="auto" w:sz="4" w:space="0"/>
                    <w:left w:val="single" w:color="auto" w:sz="4" w:space="0"/>
                    <w:bottom w:val="single" w:color="auto" w:sz="12" w:space="0"/>
                    <w:right w:val="single" w:color="auto" w:sz="4" w:space="0"/>
                  </w:tcBorders>
                  <w:vAlign w:val="center"/>
                </w:tcPr>
                <w:p w14:paraId="6966EA21">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废机油</w:t>
                  </w:r>
                </w:p>
              </w:tc>
              <w:tc>
                <w:tcPr>
                  <w:tcW w:w="454" w:type="pct"/>
                  <w:tcBorders>
                    <w:top w:val="single" w:color="auto" w:sz="4" w:space="0"/>
                    <w:left w:val="single" w:color="auto" w:sz="4" w:space="0"/>
                    <w:bottom w:val="single" w:color="auto" w:sz="12" w:space="0"/>
                    <w:right w:val="single" w:color="auto" w:sz="4" w:space="0"/>
                  </w:tcBorders>
                  <w:vAlign w:val="center"/>
                </w:tcPr>
                <w:p w14:paraId="3ABEF40A">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HW08</w:t>
                  </w:r>
                </w:p>
              </w:tc>
              <w:tc>
                <w:tcPr>
                  <w:tcW w:w="664" w:type="pct"/>
                  <w:tcBorders>
                    <w:top w:val="single" w:color="auto" w:sz="4" w:space="0"/>
                    <w:left w:val="single" w:color="auto" w:sz="4" w:space="0"/>
                    <w:bottom w:val="single" w:color="auto" w:sz="12" w:space="0"/>
                    <w:right w:val="single" w:color="auto" w:sz="4" w:space="0"/>
                  </w:tcBorders>
                  <w:vAlign w:val="center"/>
                </w:tcPr>
                <w:p w14:paraId="1DFC77CE">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900-214-08</w:t>
                  </w:r>
                </w:p>
              </w:tc>
              <w:tc>
                <w:tcPr>
                  <w:tcW w:w="535" w:type="pct"/>
                  <w:tcBorders>
                    <w:top w:val="single" w:color="auto" w:sz="4" w:space="0"/>
                    <w:left w:val="single" w:color="auto" w:sz="4" w:space="0"/>
                    <w:bottom w:val="single" w:color="auto" w:sz="12" w:space="0"/>
                    <w:right w:val="single" w:color="auto" w:sz="4" w:space="0"/>
                  </w:tcBorders>
                  <w:vAlign w:val="center"/>
                </w:tcPr>
                <w:p w14:paraId="5522DB1D">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0.05</w:t>
                  </w:r>
                </w:p>
              </w:tc>
              <w:tc>
                <w:tcPr>
                  <w:tcW w:w="565" w:type="pct"/>
                  <w:tcBorders>
                    <w:top w:val="single" w:color="auto" w:sz="4" w:space="0"/>
                    <w:left w:val="single" w:color="auto" w:sz="4" w:space="0"/>
                    <w:bottom w:val="single" w:color="auto" w:sz="12" w:space="0"/>
                    <w:right w:val="single" w:color="auto" w:sz="4" w:space="0"/>
                  </w:tcBorders>
                  <w:vAlign w:val="center"/>
                </w:tcPr>
                <w:p w14:paraId="2C6F54CF">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机械维修</w:t>
                  </w:r>
                </w:p>
              </w:tc>
              <w:tc>
                <w:tcPr>
                  <w:tcW w:w="274" w:type="pct"/>
                  <w:tcBorders>
                    <w:top w:val="single" w:color="auto" w:sz="4" w:space="0"/>
                    <w:left w:val="single" w:color="auto" w:sz="4" w:space="0"/>
                    <w:bottom w:val="single" w:color="auto" w:sz="12" w:space="0"/>
                    <w:right w:val="single" w:color="auto" w:sz="4" w:space="0"/>
                  </w:tcBorders>
                  <w:vAlign w:val="center"/>
                </w:tcPr>
                <w:p w14:paraId="33D10CC3">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液</w:t>
                  </w:r>
                </w:p>
              </w:tc>
              <w:tc>
                <w:tcPr>
                  <w:tcW w:w="375" w:type="pct"/>
                  <w:tcBorders>
                    <w:top w:val="single" w:color="auto" w:sz="4" w:space="0"/>
                    <w:left w:val="single" w:color="auto" w:sz="4" w:space="0"/>
                    <w:bottom w:val="single" w:color="auto" w:sz="12" w:space="0"/>
                    <w:right w:val="single" w:color="auto" w:sz="4" w:space="0"/>
                  </w:tcBorders>
                  <w:vAlign w:val="center"/>
                </w:tcPr>
                <w:p w14:paraId="4C1D0032">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矿物油等</w:t>
                  </w:r>
                </w:p>
              </w:tc>
              <w:tc>
                <w:tcPr>
                  <w:tcW w:w="343" w:type="pct"/>
                  <w:tcBorders>
                    <w:top w:val="single" w:color="auto" w:sz="4" w:space="0"/>
                    <w:left w:val="single" w:color="auto" w:sz="4" w:space="0"/>
                    <w:bottom w:val="single" w:color="auto" w:sz="12" w:space="0"/>
                    <w:right w:val="single" w:color="auto" w:sz="4" w:space="0"/>
                  </w:tcBorders>
                  <w:vAlign w:val="center"/>
                </w:tcPr>
                <w:p w14:paraId="17DFBBC7">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废油脂</w:t>
                  </w:r>
                </w:p>
              </w:tc>
              <w:tc>
                <w:tcPr>
                  <w:tcW w:w="463" w:type="pct"/>
                  <w:tcBorders>
                    <w:top w:val="single" w:color="auto" w:sz="4" w:space="0"/>
                    <w:left w:val="single" w:color="auto" w:sz="4" w:space="0"/>
                    <w:bottom w:val="single" w:color="auto" w:sz="12" w:space="0"/>
                    <w:right w:val="single" w:color="auto" w:sz="4" w:space="0"/>
                  </w:tcBorders>
                  <w:vAlign w:val="center"/>
                </w:tcPr>
                <w:p w14:paraId="6CB1A00C">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T，I</w:t>
                  </w:r>
                </w:p>
              </w:tc>
              <w:tc>
                <w:tcPr>
                  <w:tcW w:w="851" w:type="pct"/>
                  <w:vMerge w:val="restart"/>
                  <w:tcBorders>
                    <w:top w:val="single" w:color="auto" w:sz="4" w:space="0"/>
                    <w:left w:val="single" w:color="auto" w:sz="4" w:space="0"/>
                    <w:bottom w:val="single" w:color="auto" w:sz="12" w:space="0"/>
                    <w:right w:val="nil"/>
                  </w:tcBorders>
                  <w:vAlign w:val="center"/>
                </w:tcPr>
                <w:p w14:paraId="11C0499E">
                  <w:pPr>
                    <w:pStyle w:val="56"/>
                    <w:spacing w:before="0"/>
                    <w:ind w:right="0"/>
                    <w:rPr>
                      <w:b/>
                      <w:bCs/>
                      <w:color w:val="auto"/>
                      <w:sz w:val="21"/>
                      <w:szCs w:val="21"/>
                      <w:highlight w:val="none"/>
                    </w:rPr>
                  </w:pPr>
                  <w:r>
                    <w:rPr>
                      <w:rFonts w:hint="eastAsia"/>
                      <w:b w:val="0"/>
                      <w:bCs w:val="0"/>
                      <w:color w:val="auto"/>
                      <w:sz w:val="21"/>
                      <w:szCs w:val="21"/>
                      <w:highlight w:val="none"/>
                    </w:rPr>
                    <w:t>收集后暂存于</w:t>
                  </w:r>
                  <w:r>
                    <w:rPr>
                      <w:rFonts w:hint="eastAsia"/>
                      <w:b w:val="0"/>
                      <w:bCs w:val="0"/>
                      <w:color w:val="auto"/>
                      <w:sz w:val="21"/>
                      <w:szCs w:val="21"/>
                      <w:highlight w:val="none"/>
                      <w:lang w:val="en-US" w:eastAsia="zh-CN"/>
                    </w:rPr>
                    <w:t>危废暂存间</w:t>
                  </w:r>
                  <w:r>
                    <w:rPr>
                      <w:rFonts w:hint="eastAsia"/>
                      <w:b w:val="0"/>
                      <w:bCs w:val="0"/>
                      <w:color w:val="auto"/>
                      <w:sz w:val="21"/>
                      <w:szCs w:val="21"/>
                      <w:highlight w:val="none"/>
                    </w:rPr>
                    <w:t>内，定期交有资质单位处置</w:t>
                  </w:r>
                </w:p>
              </w:tc>
            </w:tr>
            <w:tr w14:paraId="19ED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75" w:type="pct"/>
                  <w:tcBorders>
                    <w:top w:val="single" w:color="auto" w:sz="12" w:space="0"/>
                    <w:left w:val="nil"/>
                    <w:bottom w:val="single" w:color="auto" w:sz="4" w:space="0"/>
                    <w:right w:val="single" w:color="auto" w:sz="4" w:space="0"/>
                  </w:tcBorders>
                  <w:vAlign w:val="center"/>
                </w:tcPr>
                <w:p w14:paraId="6D0EE919">
                  <w:pPr>
                    <w:pStyle w:val="56"/>
                    <w:spacing w:before="0"/>
                    <w:ind w:right="0"/>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295" w:type="pct"/>
                  <w:tcBorders>
                    <w:top w:val="single" w:color="auto" w:sz="12" w:space="0"/>
                    <w:left w:val="single" w:color="auto" w:sz="4" w:space="0"/>
                    <w:bottom w:val="single" w:color="auto" w:sz="4" w:space="0"/>
                    <w:right w:val="single" w:color="auto" w:sz="4" w:space="0"/>
                  </w:tcBorders>
                  <w:vAlign w:val="center"/>
                </w:tcPr>
                <w:p w14:paraId="1E481E8C">
                  <w:pPr>
                    <w:pStyle w:val="56"/>
                    <w:spacing w:before="0"/>
                    <w:ind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废机油桶</w:t>
                  </w:r>
                </w:p>
              </w:tc>
              <w:tc>
                <w:tcPr>
                  <w:tcW w:w="454" w:type="pct"/>
                  <w:tcBorders>
                    <w:top w:val="single" w:color="auto" w:sz="12" w:space="0"/>
                    <w:left w:val="single" w:color="auto" w:sz="4" w:space="0"/>
                    <w:bottom w:val="single" w:color="auto" w:sz="4" w:space="0"/>
                    <w:right w:val="single" w:color="auto" w:sz="4" w:space="0"/>
                  </w:tcBorders>
                  <w:vAlign w:val="center"/>
                </w:tcPr>
                <w:p w14:paraId="0ED3F0D6">
                  <w:pPr>
                    <w:pStyle w:val="56"/>
                    <w:spacing w:before="0"/>
                    <w:ind w:right="0" w:rightChars="0" w:firstLine="0" w:firstLineChars="0"/>
                    <w:rPr>
                      <w:rFonts w:hint="default" w:eastAsia="宋体"/>
                      <w:color w:val="auto"/>
                      <w:sz w:val="21"/>
                      <w:szCs w:val="21"/>
                      <w:highlight w:val="none"/>
                      <w:lang w:val="en-US" w:eastAsia="zh-CN"/>
                    </w:rPr>
                  </w:pPr>
                  <w:r>
                    <w:rPr>
                      <w:rFonts w:hint="eastAsia"/>
                      <w:color w:val="auto"/>
                      <w:sz w:val="21"/>
                      <w:szCs w:val="21"/>
                      <w:highlight w:val="none"/>
                      <w:lang w:val="en-US" w:eastAsia="zh-CN"/>
                    </w:rPr>
                    <w:t>HW08</w:t>
                  </w:r>
                </w:p>
              </w:tc>
              <w:tc>
                <w:tcPr>
                  <w:tcW w:w="664" w:type="pct"/>
                  <w:tcBorders>
                    <w:top w:val="single" w:color="auto" w:sz="12" w:space="0"/>
                    <w:left w:val="single" w:color="auto" w:sz="4" w:space="0"/>
                    <w:bottom w:val="single" w:color="auto" w:sz="4" w:space="0"/>
                    <w:right w:val="single" w:color="auto" w:sz="4" w:space="0"/>
                  </w:tcBorders>
                  <w:vAlign w:val="center"/>
                </w:tcPr>
                <w:p w14:paraId="492E776E">
                  <w:pPr>
                    <w:pStyle w:val="56"/>
                    <w:spacing w:before="0"/>
                    <w:ind w:right="0" w:rightChars="0" w:firstLine="0" w:firstLineChars="0"/>
                    <w:rPr>
                      <w:rFonts w:hint="default" w:eastAsia="宋体"/>
                      <w:color w:val="auto"/>
                      <w:sz w:val="21"/>
                      <w:szCs w:val="21"/>
                      <w:highlight w:val="none"/>
                      <w:lang w:val="en-US" w:eastAsia="zh-CN"/>
                    </w:rPr>
                  </w:pPr>
                  <w:r>
                    <w:rPr>
                      <w:rFonts w:hint="eastAsia"/>
                      <w:color w:val="auto"/>
                      <w:sz w:val="21"/>
                      <w:szCs w:val="21"/>
                      <w:highlight w:val="none"/>
                      <w:lang w:val="en-US" w:eastAsia="zh-CN"/>
                    </w:rPr>
                    <w:t>900-249-08</w:t>
                  </w:r>
                </w:p>
              </w:tc>
              <w:tc>
                <w:tcPr>
                  <w:tcW w:w="535" w:type="pct"/>
                  <w:tcBorders>
                    <w:top w:val="single" w:color="auto" w:sz="12" w:space="0"/>
                    <w:left w:val="single" w:color="auto" w:sz="4" w:space="0"/>
                    <w:bottom w:val="single" w:color="auto" w:sz="4" w:space="0"/>
                    <w:right w:val="single" w:color="auto" w:sz="4" w:space="0"/>
                  </w:tcBorders>
                  <w:vAlign w:val="center"/>
                </w:tcPr>
                <w:p w14:paraId="2DB5505A">
                  <w:pPr>
                    <w:pStyle w:val="56"/>
                    <w:spacing w:before="0"/>
                    <w:ind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0.005</w:t>
                  </w:r>
                </w:p>
              </w:tc>
              <w:tc>
                <w:tcPr>
                  <w:tcW w:w="565" w:type="pct"/>
                  <w:tcBorders>
                    <w:top w:val="single" w:color="auto" w:sz="12" w:space="0"/>
                    <w:left w:val="single" w:color="auto" w:sz="4" w:space="0"/>
                    <w:bottom w:val="single" w:color="auto" w:sz="4" w:space="0"/>
                    <w:right w:val="single" w:color="auto" w:sz="4" w:space="0"/>
                  </w:tcBorders>
                  <w:vAlign w:val="center"/>
                </w:tcPr>
                <w:p w14:paraId="625C5CED">
                  <w:pPr>
                    <w:pStyle w:val="56"/>
                    <w:spacing w:before="0"/>
                    <w:ind w:right="0" w:rightChars="0" w:firstLine="0" w:firstLineChars="0"/>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机械维修</w:t>
                  </w:r>
                </w:p>
              </w:tc>
              <w:tc>
                <w:tcPr>
                  <w:tcW w:w="274" w:type="pct"/>
                  <w:tcBorders>
                    <w:top w:val="single" w:color="auto" w:sz="12" w:space="0"/>
                    <w:left w:val="single" w:color="auto" w:sz="4" w:space="0"/>
                    <w:bottom w:val="single" w:color="auto" w:sz="4" w:space="0"/>
                    <w:right w:val="single" w:color="auto" w:sz="4" w:space="0"/>
                  </w:tcBorders>
                  <w:vAlign w:val="center"/>
                </w:tcPr>
                <w:p w14:paraId="5AB7B3C6">
                  <w:pPr>
                    <w:pStyle w:val="56"/>
                    <w:spacing w:before="0"/>
                    <w:ind w:right="0" w:rightChars="0" w:firstLine="0" w:firstLineChars="0"/>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固</w:t>
                  </w:r>
                </w:p>
              </w:tc>
              <w:tc>
                <w:tcPr>
                  <w:tcW w:w="375" w:type="pct"/>
                  <w:tcBorders>
                    <w:top w:val="single" w:color="auto" w:sz="12" w:space="0"/>
                    <w:left w:val="single" w:color="auto" w:sz="4" w:space="0"/>
                    <w:bottom w:val="single" w:color="auto" w:sz="4" w:space="0"/>
                    <w:right w:val="single" w:color="auto" w:sz="4" w:space="0"/>
                  </w:tcBorders>
                  <w:vAlign w:val="center"/>
                </w:tcPr>
                <w:p w14:paraId="56A145FE">
                  <w:pPr>
                    <w:pStyle w:val="56"/>
                    <w:spacing w:before="0"/>
                    <w:ind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矿物油等</w:t>
                  </w:r>
                </w:p>
              </w:tc>
              <w:tc>
                <w:tcPr>
                  <w:tcW w:w="343" w:type="pct"/>
                  <w:tcBorders>
                    <w:top w:val="single" w:color="auto" w:sz="12" w:space="0"/>
                    <w:left w:val="single" w:color="auto" w:sz="4" w:space="0"/>
                    <w:bottom w:val="single" w:color="auto" w:sz="4" w:space="0"/>
                    <w:right w:val="single" w:color="auto" w:sz="4" w:space="0"/>
                  </w:tcBorders>
                  <w:vAlign w:val="center"/>
                </w:tcPr>
                <w:p w14:paraId="11B19298">
                  <w:pPr>
                    <w:pStyle w:val="56"/>
                    <w:spacing w:before="0"/>
                    <w:ind w:right="0" w:rightChars="0" w:firstLine="0" w:firstLineChars="0"/>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废油脂</w:t>
                  </w:r>
                </w:p>
              </w:tc>
              <w:tc>
                <w:tcPr>
                  <w:tcW w:w="463" w:type="pct"/>
                  <w:tcBorders>
                    <w:top w:val="single" w:color="auto" w:sz="12" w:space="0"/>
                    <w:left w:val="single" w:color="auto" w:sz="4" w:space="0"/>
                    <w:bottom w:val="single" w:color="auto" w:sz="4" w:space="0"/>
                    <w:right w:val="nil"/>
                  </w:tcBorders>
                  <w:vAlign w:val="center"/>
                </w:tcPr>
                <w:p w14:paraId="764ED977">
                  <w:pPr>
                    <w:pStyle w:val="56"/>
                    <w:spacing w:before="0"/>
                    <w:ind w:right="0" w:rightChars="0" w:firstLine="0" w:firstLineChars="0"/>
                    <w:rPr>
                      <w:color w:val="auto"/>
                      <w:sz w:val="21"/>
                      <w:szCs w:val="21"/>
                      <w:highlight w:val="none"/>
                    </w:rPr>
                  </w:pPr>
                  <w:r>
                    <w:rPr>
                      <w:rFonts w:hint="eastAsia"/>
                      <w:color w:val="auto"/>
                      <w:highlight w:val="none"/>
                      <w:lang w:val="en-US" w:eastAsia="zh-CN"/>
                    </w:rPr>
                    <w:t>T，I</w:t>
                  </w:r>
                </w:p>
              </w:tc>
              <w:tc>
                <w:tcPr>
                  <w:tcW w:w="851" w:type="pct"/>
                  <w:vMerge w:val="continue"/>
                  <w:tcBorders>
                    <w:top w:val="single" w:color="auto" w:sz="12" w:space="0"/>
                    <w:left w:val="nil"/>
                    <w:right w:val="nil"/>
                  </w:tcBorders>
                  <w:vAlign w:val="center"/>
                </w:tcPr>
                <w:p w14:paraId="5253440A">
                  <w:pPr>
                    <w:pStyle w:val="56"/>
                    <w:spacing w:before="0"/>
                    <w:ind w:right="0"/>
                    <w:rPr>
                      <w:rFonts w:hint="eastAsia"/>
                      <w:b w:val="0"/>
                      <w:bCs w:val="0"/>
                      <w:color w:val="auto"/>
                      <w:sz w:val="21"/>
                      <w:szCs w:val="21"/>
                      <w:highlight w:val="none"/>
                    </w:rPr>
                  </w:pPr>
                </w:p>
              </w:tc>
            </w:tr>
            <w:tr w14:paraId="6683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75" w:type="pct"/>
                  <w:tcBorders>
                    <w:top w:val="single" w:color="auto" w:sz="4" w:space="0"/>
                    <w:left w:val="nil"/>
                    <w:bottom w:val="single" w:color="auto" w:sz="12" w:space="0"/>
                    <w:right w:val="single" w:color="auto" w:sz="4" w:space="0"/>
                  </w:tcBorders>
                  <w:vAlign w:val="center"/>
                </w:tcPr>
                <w:p w14:paraId="613C7236">
                  <w:pPr>
                    <w:pStyle w:val="56"/>
                    <w:spacing w:before="0"/>
                    <w:ind w:right="0"/>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295" w:type="pct"/>
                  <w:tcBorders>
                    <w:top w:val="single" w:color="auto" w:sz="4" w:space="0"/>
                    <w:left w:val="single" w:color="auto" w:sz="4" w:space="0"/>
                    <w:bottom w:val="single" w:color="auto" w:sz="12" w:space="0"/>
                    <w:right w:val="single" w:color="auto" w:sz="4" w:space="0"/>
                  </w:tcBorders>
                  <w:vAlign w:val="center"/>
                </w:tcPr>
                <w:p w14:paraId="6434D342">
                  <w:pPr>
                    <w:pStyle w:val="56"/>
                    <w:spacing w:before="0"/>
                    <w:ind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废沾油手套</w:t>
                  </w:r>
                </w:p>
              </w:tc>
              <w:tc>
                <w:tcPr>
                  <w:tcW w:w="454" w:type="pct"/>
                  <w:tcBorders>
                    <w:top w:val="single" w:color="auto" w:sz="4" w:space="0"/>
                    <w:left w:val="single" w:color="auto" w:sz="4" w:space="0"/>
                    <w:bottom w:val="single" w:color="auto" w:sz="12" w:space="0"/>
                    <w:right w:val="single" w:color="auto" w:sz="4" w:space="0"/>
                  </w:tcBorders>
                  <w:shd w:val="clear" w:color="auto" w:fill="auto"/>
                  <w:vAlign w:val="center"/>
                </w:tcPr>
                <w:p w14:paraId="280577D0">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HW49</w:t>
                  </w:r>
                </w:p>
              </w:tc>
              <w:tc>
                <w:tcPr>
                  <w:tcW w:w="664" w:type="pct"/>
                  <w:tcBorders>
                    <w:top w:val="single" w:color="auto" w:sz="4" w:space="0"/>
                    <w:left w:val="single" w:color="auto" w:sz="4" w:space="0"/>
                    <w:bottom w:val="single" w:color="auto" w:sz="12" w:space="0"/>
                    <w:right w:val="single" w:color="auto" w:sz="4" w:space="0"/>
                  </w:tcBorders>
                  <w:shd w:val="clear" w:color="auto" w:fill="auto"/>
                  <w:vAlign w:val="center"/>
                </w:tcPr>
                <w:p w14:paraId="43434A1E">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900-041-49</w:t>
                  </w:r>
                </w:p>
              </w:tc>
              <w:tc>
                <w:tcPr>
                  <w:tcW w:w="535" w:type="pct"/>
                  <w:tcBorders>
                    <w:top w:val="single" w:color="auto" w:sz="4" w:space="0"/>
                    <w:left w:val="single" w:color="auto" w:sz="4" w:space="0"/>
                    <w:bottom w:val="single" w:color="auto" w:sz="12" w:space="0"/>
                    <w:right w:val="single" w:color="auto" w:sz="4" w:space="0"/>
                  </w:tcBorders>
                  <w:shd w:val="clear" w:color="auto" w:fill="auto"/>
                  <w:vAlign w:val="center"/>
                </w:tcPr>
                <w:p w14:paraId="4B8433E9">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565" w:type="pct"/>
                  <w:tcBorders>
                    <w:top w:val="single" w:color="auto" w:sz="4" w:space="0"/>
                    <w:left w:val="single" w:color="auto" w:sz="4" w:space="0"/>
                    <w:bottom w:val="single" w:color="auto" w:sz="12" w:space="0"/>
                    <w:right w:val="single" w:color="auto" w:sz="4" w:space="0"/>
                  </w:tcBorders>
                  <w:shd w:val="clear" w:color="auto" w:fill="auto"/>
                  <w:vAlign w:val="center"/>
                </w:tcPr>
                <w:p w14:paraId="0C043240">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机械维修</w:t>
                  </w:r>
                </w:p>
              </w:tc>
              <w:tc>
                <w:tcPr>
                  <w:tcW w:w="274" w:type="pct"/>
                  <w:tcBorders>
                    <w:top w:val="single" w:color="auto" w:sz="4" w:space="0"/>
                    <w:left w:val="single" w:color="auto" w:sz="4" w:space="0"/>
                    <w:bottom w:val="single" w:color="auto" w:sz="12" w:space="0"/>
                    <w:right w:val="single" w:color="auto" w:sz="4" w:space="0"/>
                  </w:tcBorders>
                  <w:shd w:val="clear" w:color="auto" w:fill="auto"/>
                  <w:vAlign w:val="center"/>
                </w:tcPr>
                <w:p w14:paraId="639CF478">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固</w:t>
                  </w:r>
                </w:p>
              </w:tc>
              <w:tc>
                <w:tcPr>
                  <w:tcW w:w="375" w:type="pct"/>
                  <w:tcBorders>
                    <w:top w:val="single" w:color="auto" w:sz="4" w:space="0"/>
                    <w:left w:val="single" w:color="auto" w:sz="4" w:space="0"/>
                    <w:bottom w:val="single" w:color="auto" w:sz="12" w:space="0"/>
                    <w:right w:val="single" w:color="auto" w:sz="4" w:space="0"/>
                  </w:tcBorders>
                  <w:shd w:val="clear" w:color="auto" w:fill="auto"/>
                  <w:vAlign w:val="center"/>
                </w:tcPr>
                <w:p w14:paraId="7CA7E1FE">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合成纤维</w:t>
                  </w:r>
                </w:p>
              </w:tc>
              <w:tc>
                <w:tcPr>
                  <w:tcW w:w="343" w:type="pct"/>
                  <w:tcBorders>
                    <w:top w:val="single" w:color="auto" w:sz="4" w:space="0"/>
                    <w:left w:val="single" w:color="auto" w:sz="4" w:space="0"/>
                    <w:bottom w:val="single" w:color="auto" w:sz="12" w:space="0"/>
                    <w:right w:val="single" w:color="auto" w:sz="4" w:space="0"/>
                  </w:tcBorders>
                  <w:shd w:val="clear" w:color="auto" w:fill="auto"/>
                  <w:vAlign w:val="center"/>
                </w:tcPr>
                <w:p w14:paraId="4D6733F5">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废油脂</w:t>
                  </w:r>
                </w:p>
              </w:tc>
              <w:tc>
                <w:tcPr>
                  <w:tcW w:w="463" w:type="pct"/>
                  <w:tcBorders>
                    <w:top w:val="single" w:color="auto" w:sz="4" w:space="0"/>
                    <w:left w:val="single" w:color="auto" w:sz="4" w:space="0"/>
                    <w:bottom w:val="single" w:color="auto" w:sz="12" w:space="0"/>
                    <w:right w:val="nil"/>
                  </w:tcBorders>
                  <w:shd w:val="clear" w:color="auto" w:fill="auto"/>
                  <w:vAlign w:val="center"/>
                </w:tcPr>
                <w:p w14:paraId="7155B4C3">
                  <w:pPr>
                    <w:pStyle w:val="56"/>
                    <w:spacing w:before="0"/>
                    <w:ind w:right="0" w:rightChars="0" w:firstLine="0" w:firstLineChars="0"/>
                    <w:rPr>
                      <w:rFonts w:ascii="Times New Roman" w:hAnsi="Times New Roman" w:eastAsia="宋体" w:cs="Times New Roman"/>
                      <w:color w:val="auto"/>
                      <w:kern w:val="0"/>
                      <w:sz w:val="21"/>
                      <w:szCs w:val="21"/>
                      <w:highlight w:val="none"/>
                      <w:lang w:val="en-US" w:eastAsia="zh-CN" w:bidi="ar-SA"/>
                    </w:rPr>
                  </w:pPr>
                  <w:r>
                    <w:rPr>
                      <w:rFonts w:hint="default"/>
                      <w:color w:val="auto"/>
                      <w:highlight w:val="none"/>
                      <w:lang w:eastAsia="zh-CN"/>
                    </w:rPr>
                    <w:t>T</w:t>
                  </w:r>
                  <w:r>
                    <w:rPr>
                      <w:rFonts w:hint="eastAsia"/>
                      <w:color w:val="auto"/>
                      <w:highlight w:val="none"/>
                      <w:lang w:eastAsia="zh-CN"/>
                    </w:rPr>
                    <w:t>，</w:t>
                  </w:r>
                  <w:r>
                    <w:rPr>
                      <w:rFonts w:hint="eastAsia"/>
                      <w:color w:val="auto"/>
                      <w:highlight w:val="none"/>
                      <w:lang w:val="en-US" w:eastAsia="zh-CN"/>
                    </w:rPr>
                    <w:t>In</w:t>
                  </w:r>
                </w:p>
              </w:tc>
              <w:tc>
                <w:tcPr>
                  <w:tcW w:w="851" w:type="pct"/>
                  <w:vMerge w:val="continue"/>
                  <w:tcBorders>
                    <w:left w:val="nil"/>
                    <w:right w:val="nil"/>
                  </w:tcBorders>
                  <w:vAlign w:val="center"/>
                </w:tcPr>
                <w:p w14:paraId="0BFC128F">
                  <w:pPr>
                    <w:pStyle w:val="56"/>
                    <w:spacing w:before="0"/>
                    <w:ind w:right="0"/>
                    <w:rPr>
                      <w:rFonts w:hint="eastAsia"/>
                      <w:b w:val="0"/>
                      <w:bCs w:val="0"/>
                      <w:color w:val="auto"/>
                      <w:sz w:val="21"/>
                      <w:szCs w:val="21"/>
                      <w:highlight w:val="none"/>
                    </w:rPr>
                  </w:pPr>
                </w:p>
              </w:tc>
            </w:tr>
            <w:bookmarkEnd w:id="25"/>
          </w:tbl>
          <w:p w14:paraId="4310CF36">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eastAsia"/>
                <w:color w:val="auto"/>
                <w:highlight w:val="none"/>
              </w:rPr>
            </w:pPr>
            <w:r>
              <w:rPr>
                <w:rFonts w:hint="eastAsia"/>
                <w:color w:val="auto"/>
                <w:highlight w:val="none"/>
              </w:rPr>
              <w:t>本项目危险废物暂存场所（设施）基本情况见下表。</w:t>
            </w:r>
          </w:p>
          <w:p w14:paraId="2816723A">
            <w:pPr>
              <w:pStyle w:val="14"/>
              <w:bidi w:val="0"/>
              <w:rPr>
                <w:rFonts w:hint="default"/>
                <w:color w:val="auto"/>
                <w:highlight w:val="none"/>
                <w:lang w:val="en-US" w:eastAsia="zh-CN"/>
              </w:rPr>
            </w:pPr>
            <w:bookmarkStart w:id="26" w:name="_Hlk47616735"/>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22</w:t>
            </w:r>
            <w:r>
              <w:rPr>
                <w:color w:val="auto"/>
                <w:highlight w:val="none"/>
              </w:rPr>
              <w:fldChar w:fldCharType="end"/>
            </w:r>
            <w:r>
              <w:rPr>
                <w:rFonts w:hint="eastAsia"/>
                <w:color w:val="auto"/>
                <w:highlight w:val="none"/>
                <w:lang w:val="en-US" w:eastAsia="zh-CN"/>
              </w:rPr>
              <w:t xml:space="preserve">  建设项目危险废物贮存场所（设施）基本情况</w:t>
            </w:r>
          </w:p>
          <w:tbl>
            <w:tblPr>
              <w:tblStyle w:val="28"/>
              <w:tblW w:w="499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313"/>
              <w:gridCol w:w="876"/>
              <w:gridCol w:w="1413"/>
              <w:gridCol w:w="759"/>
              <w:gridCol w:w="2208"/>
              <w:gridCol w:w="651"/>
              <w:gridCol w:w="707"/>
            </w:tblGrid>
            <w:tr w14:paraId="06D47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1" w:type="pct"/>
                  <w:tcBorders>
                    <w:tl2br w:val="nil"/>
                    <w:tr2bl w:val="nil"/>
                  </w:tcBorders>
                  <w:vAlign w:val="center"/>
                </w:tcPr>
                <w:p w14:paraId="0CDC2CD4">
                  <w:pPr>
                    <w:pStyle w:val="106"/>
                    <w:bidi w:val="0"/>
                    <w:rPr>
                      <w:b/>
                      <w:bCs/>
                      <w:color w:val="auto"/>
                      <w:highlight w:val="none"/>
                    </w:rPr>
                  </w:pPr>
                  <w:r>
                    <w:rPr>
                      <w:b/>
                      <w:bCs/>
                      <w:color w:val="auto"/>
                      <w:highlight w:val="none"/>
                    </w:rPr>
                    <w:t>贮存场所（设施）名称</w:t>
                  </w:r>
                </w:p>
              </w:tc>
              <w:tc>
                <w:tcPr>
                  <w:tcW w:w="727" w:type="pct"/>
                  <w:tcBorders>
                    <w:tl2br w:val="nil"/>
                    <w:tr2bl w:val="nil"/>
                  </w:tcBorders>
                  <w:vAlign w:val="center"/>
                </w:tcPr>
                <w:p w14:paraId="75B085B9">
                  <w:pPr>
                    <w:pStyle w:val="106"/>
                    <w:bidi w:val="0"/>
                    <w:rPr>
                      <w:b/>
                      <w:bCs/>
                      <w:color w:val="auto"/>
                      <w:highlight w:val="none"/>
                    </w:rPr>
                  </w:pPr>
                  <w:r>
                    <w:rPr>
                      <w:b/>
                      <w:bCs/>
                      <w:color w:val="auto"/>
                      <w:highlight w:val="none"/>
                    </w:rPr>
                    <w:t>危险废物名称</w:t>
                  </w:r>
                </w:p>
              </w:tc>
              <w:tc>
                <w:tcPr>
                  <w:tcW w:w="484" w:type="pct"/>
                  <w:tcBorders>
                    <w:tl2br w:val="nil"/>
                    <w:tr2bl w:val="nil"/>
                  </w:tcBorders>
                  <w:vAlign w:val="center"/>
                </w:tcPr>
                <w:p w14:paraId="1006F9B4">
                  <w:pPr>
                    <w:pStyle w:val="106"/>
                    <w:bidi w:val="0"/>
                    <w:rPr>
                      <w:b/>
                      <w:bCs/>
                      <w:color w:val="auto"/>
                      <w:highlight w:val="none"/>
                    </w:rPr>
                  </w:pPr>
                  <w:r>
                    <w:rPr>
                      <w:b/>
                      <w:bCs/>
                      <w:color w:val="auto"/>
                      <w:highlight w:val="none"/>
                    </w:rPr>
                    <w:t>危险废物类别</w:t>
                  </w:r>
                </w:p>
              </w:tc>
              <w:tc>
                <w:tcPr>
                  <w:tcW w:w="782" w:type="pct"/>
                  <w:tcBorders>
                    <w:tl2br w:val="nil"/>
                    <w:tr2bl w:val="nil"/>
                  </w:tcBorders>
                  <w:vAlign w:val="center"/>
                </w:tcPr>
                <w:p w14:paraId="76A62CA7">
                  <w:pPr>
                    <w:pStyle w:val="106"/>
                    <w:bidi w:val="0"/>
                    <w:rPr>
                      <w:b/>
                      <w:bCs/>
                      <w:color w:val="auto"/>
                      <w:highlight w:val="none"/>
                    </w:rPr>
                  </w:pPr>
                  <w:r>
                    <w:rPr>
                      <w:b/>
                      <w:bCs/>
                      <w:color w:val="auto"/>
                      <w:highlight w:val="none"/>
                    </w:rPr>
                    <w:t>危险废物代码</w:t>
                  </w:r>
                </w:p>
              </w:tc>
              <w:tc>
                <w:tcPr>
                  <w:tcW w:w="420" w:type="pct"/>
                  <w:tcBorders>
                    <w:tl2br w:val="nil"/>
                    <w:tr2bl w:val="nil"/>
                  </w:tcBorders>
                  <w:vAlign w:val="center"/>
                </w:tcPr>
                <w:p w14:paraId="600C00B2">
                  <w:pPr>
                    <w:pStyle w:val="106"/>
                    <w:bidi w:val="0"/>
                    <w:rPr>
                      <w:b/>
                      <w:bCs/>
                      <w:color w:val="auto"/>
                      <w:highlight w:val="none"/>
                    </w:rPr>
                  </w:pPr>
                  <w:r>
                    <w:rPr>
                      <w:b/>
                      <w:bCs/>
                      <w:color w:val="auto"/>
                      <w:highlight w:val="none"/>
                    </w:rPr>
                    <w:t>占地面积</w:t>
                  </w:r>
                </w:p>
              </w:tc>
              <w:tc>
                <w:tcPr>
                  <w:tcW w:w="1222" w:type="pct"/>
                  <w:tcBorders>
                    <w:tl2br w:val="nil"/>
                    <w:tr2bl w:val="nil"/>
                  </w:tcBorders>
                  <w:vAlign w:val="center"/>
                </w:tcPr>
                <w:p w14:paraId="47839A95">
                  <w:pPr>
                    <w:pStyle w:val="106"/>
                    <w:bidi w:val="0"/>
                    <w:rPr>
                      <w:b/>
                      <w:bCs/>
                      <w:color w:val="auto"/>
                      <w:highlight w:val="none"/>
                    </w:rPr>
                  </w:pPr>
                  <w:r>
                    <w:rPr>
                      <w:b/>
                      <w:bCs/>
                      <w:color w:val="auto"/>
                      <w:highlight w:val="none"/>
                    </w:rPr>
                    <w:t>贮存方式</w:t>
                  </w:r>
                </w:p>
              </w:tc>
              <w:tc>
                <w:tcPr>
                  <w:tcW w:w="360" w:type="pct"/>
                  <w:tcBorders>
                    <w:tl2br w:val="nil"/>
                    <w:tr2bl w:val="nil"/>
                  </w:tcBorders>
                  <w:vAlign w:val="center"/>
                </w:tcPr>
                <w:p w14:paraId="675C3FDB">
                  <w:pPr>
                    <w:pStyle w:val="106"/>
                    <w:bidi w:val="0"/>
                    <w:rPr>
                      <w:b/>
                      <w:bCs/>
                      <w:color w:val="auto"/>
                      <w:highlight w:val="none"/>
                    </w:rPr>
                  </w:pPr>
                  <w:r>
                    <w:rPr>
                      <w:b/>
                      <w:bCs/>
                      <w:color w:val="auto"/>
                      <w:highlight w:val="none"/>
                    </w:rPr>
                    <w:t>贮存能力</w:t>
                  </w:r>
                </w:p>
              </w:tc>
              <w:tc>
                <w:tcPr>
                  <w:tcW w:w="391" w:type="pct"/>
                  <w:tcBorders>
                    <w:tl2br w:val="nil"/>
                    <w:tr2bl w:val="nil"/>
                  </w:tcBorders>
                  <w:vAlign w:val="center"/>
                </w:tcPr>
                <w:p w14:paraId="590A9A76">
                  <w:pPr>
                    <w:pStyle w:val="106"/>
                    <w:bidi w:val="0"/>
                    <w:rPr>
                      <w:b/>
                      <w:bCs/>
                      <w:color w:val="auto"/>
                      <w:highlight w:val="none"/>
                    </w:rPr>
                  </w:pPr>
                  <w:r>
                    <w:rPr>
                      <w:b/>
                      <w:bCs/>
                      <w:color w:val="auto"/>
                      <w:highlight w:val="none"/>
                    </w:rPr>
                    <w:t>贮存周期</w:t>
                  </w:r>
                </w:p>
              </w:tc>
            </w:tr>
            <w:tr w14:paraId="04FD7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1" w:type="pct"/>
                  <w:vMerge w:val="restart"/>
                  <w:tcBorders>
                    <w:tl2br w:val="nil"/>
                    <w:tr2bl w:val="nil"/>
                  </w:tcBorders>
                  <w:vAlign w:val="center"/>
                </w:tcPr>
                <w:p w14:paraId="20A2415C">
                  <w:pPr>
                    <w:pStyle w:val="106"/>
                    <w:bidi w:val="0"/>
                    <w:rPr>
                      <w:color w:val="auto"/>
                      <w:highlight w:val="none"/>
                    </w:rPr>
                  </w:pPr>
                  <w:r>
                    <w:rPr>
                      <w:color w:val="auto"/>
                      <w:highlight w:val="none"/>
                    </w:rPr>
                    <w:t>危废暂存间</w:t>
                  </w:r>
                </w:p>
              </w:tc>
              <w:tc>
                <w:tcPr>
                  <w:tcW w:w="727" w:type="pct"/>
                  <w:tcBorders>
                    <w:tl2br w:val="nil"/>
                    <w:tr2bl w:val="nil"/>
                  </w:tcBorders>
                  <w:shd w:val="clear" w:color="auto" w:fill="auto"/>
                  <w:vAlign w:val="center"/>
                </w:tcPr>
                <w:p w14:paraId="0BB2243E">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废机油</w:t>
                  </w:r>
                </w:p>
              </w:tc>
              <w:tc>
                <w:tcPr>
                  <w:tcW w:w="484" w:type="pct"/>
                  <w:tcBorders>
                    <w:tl2br w:val="nil"/>
                    <w:tr2bl w:val="nil"/>
                  </w:tcBorders>
                  <w:shd w:val="clear" w:color="auto" w:fill="auto"/>
                  <w:vAlign w:val="center"/>
                </w:tcPr>
                <w:p w14:paraId="4C250C61">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HW08</w:t>
                  </w:r>
                </w:p>
              </w:tc>
              <w:tc>
                <w:tcPr>
                  <w:tcW w:w="782" w:type="pct"/>
                  <w:tcBorders>
                    <w:tl2br w:val="nil"/>
                    <w:tr2bl w:val="nil"/>
                  </w:tcBorders>
                  <w:shd w:val="clear" w:color="auto" w:fill="auto"/>
                  <w:vAlign w:val="center"/>
                </w:tcPr>
                <w:p w14:paraId="4458C55F">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900-214-08</w:t>
                  </w:r>
                </w:p>
              </w:tc>
              <w:tc>
                <w:tcPr>
                  <w:tcW w:w="420" w:type="pct"/>
                  <w:vMerge w:val="restart"/>
                  <w:tcBorders>
                    <w:tl2br w:val="nil"/>
                    <w:tr2bl w:val="nil"/>
                  </w:tcBorders>
                  <w:vAlign w:val="center"/>
                </w:tcPr>
                <w:p w14:paraId="1C98A914">
                  <w:pPr>
                    <w:pStyle w:val="106"/>
                    <w:bidi w:val="0"/>
                    <w:rPr>
                      <w:color w:val="auto"/>
                      <w:highlight w:val="none"/>
                    </w:rPr>
                  </w:pPr>
                  <w:r>
                    <w:rPr>
                      <w:rFonts w:hint="eastAsia"/>
                      <w:color w:val="auto"/>
                      <w:highlight w:val="none"/>
                      <w:lang w:val="en-US" w:eastAsia="zh-CN"/>
                    </w:rPr>
                    <w:t>5</w:t>
                  </w:r>
                  <w:r>
                    <w:rPr>
                      <w:color w:val="auto"/>
                      <w:highlight w:val="none"/>
                    </w:rPr>
                    <w:t>m</w:t>
                  </w:r>
                  <w:r>
                    <w:rPr>
                      <w:color w:val="auto"/>
                      <w:highlight w:val="none"/>
                      <w:vertAlign w:val="superscript"/>
                    </w:rPr>
                    <w:t>2</w:t>
                  </w:r>
                </w:p>
              </w:tc>
              <w:tc>
                <w:tcPr>
                  <w:tcW w:w="1222" w:type="pct"/>
                  <w:tcBorders>
                    <w:tl2br w:val="nil"/>
                    <w:tr2bl w:val="nil"/>
                  </w:tcBorders>
                  <w:vAlign w:val="center"/>
                </w:tcPr>
                <w:p w14:paraId="279B1665">
                  <w:pPr>
                    <w:pStyle w:val="106"/>
                    <w:bidi w:val="0"/>
                    <w:jc w:val="center"/>
                    <w:rPr>
                      <w:color w:val="auto"/>
                      <w:highlight w:val="none"/>
                    </w:rPr>
                  </w:pPr>
                  <w:r>
                    <w:rPr>
                      <w:color w:val="auto"/>
                      <w:highlight w:val="none"/>
                    </w:rPr>
                    <w:t>采用专用容器盛装并在容器下方设置托盘</w:t>
                  </w:r>
                </w:p>
              </w:tc>
              <w:tc>
                <w:tcPr>
                  <w:tcW w:w="360" w:type="pct"/>
                  <w:vMerge w:val="restart"/>
                  <w:tcBorders>
                    <w:tl2br w:val="nil"/>
                    <w:tr2bl w:val="nil"/>
                  </w:tcBorders>
                  <w:vAlign w:val="center"/>
                </w:tcPr>
                <w:p w14:paraId="03B6E807">
                  <w:pPr>
                    <w:pStyle w:val="106"/>
                    <w:bidi w:val="0"/>
                    <w:rPr>
                      <w:rFonts w:hint="default" w:eastAsia="宋体"/>
                      <w:color w:val="auto"/>
                      <w:highlight w:val="none"/>
                      <w:lang w:val="en-US" w:eastAsia="zh-CN"/>
                    </w:rPr>
                  </w:pPr>
                  <w:r>
                    <w:rPr>
                      <w:rFonts w:hint="eastAsia"/>
                      <w:color w:val="auto"/>
                      <w:highlight w:val="none"/>
                      <w:lang w:val="en-US" w:eastAsia="zh-CN"/>
                    </w:rPr>
                    <w:t>10t</w:t>
                  </w:r>
                </w:p>
              </w:tc>
              <w:tc>
                <w:tcPr>
                  <w:tcW w:w="391" w:type="pct"/>
                  <w:vMerge w:val="restart"/>
                  <w:tcBorders>
                    <w:tl2br w:val="nil"/>
                    <w:tr2bl w:val="nil"/>
                  </w:tcBorders>
                  <w:vAlign w:val="center"/>
                </w:tcPr>
                <w:p w14:paraId="1AF00506">
                  <w:pPr>
                    <w:pStyle w:val="106"/>
                    <w:bidi w:val="0"/>
                    <w:rPr>
                      <w:rFonts w:hint="default" w:eastAsia="宋体"/>
                      <w:color w:val="auto"/>
                      <w:highlight w:val="none"/>
                      <w:lang w:val="en-US" w:eastAsia="zh-CN"/>
                    </w:rPr>
                  </w:pPr>
                  <w:r>
                    <w:rPr>
                      <w:rFonts w:hint="eastAsia"/>
                      <w:color w:val="auto"/>
                      <w:highlight w:val="none"/>
                      <w:lang w:val="en-US" w:eastAsia="zh-CN"/>
                    </w:rPr>
                    <w:t>不超过1年</w:t>
                  </w:r>
                </w:p>
              </w:tc>
            </w:tr>
            <w:tr w14:paraId="3B8AE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1" w:type="pct"/>
                  <w:vMerge w:val="continue"/>
                  <w:tcBorders>
                    <w:tl2br w:val="nil"/>
                    <w:tr2bl w:val="nil"/>
                  </w:tcBorders>
                  <w:vAlign w:val="center"/>
                </w:tcPr>
                <w:p w14:paraId="62CF85F3">
                  <w:pPr>
                    <w:pStyle w:val="106"/>
                    <w:bidi w:val="0"/>
                    <w:rPr>
                      <w:color w:val="auto"/>
                      <w:highlight w:val="none"/>
                    </w:rPr>
                  </w:pPr>
                </w:p>
              </w:tc>
              <w:tc>
                <w:tcPr>
                  <w:tcW w:w="727" w:type="pct"/>
                  <w:tcBorders>
                    <w:tl2br w:val="nil"/>
                    <w:tr2bl w:val="nil"/>
                  </w:tcBorders>
                  <w:shd w:val="clear" w:color="auto" w:fill="auto"/>
                  <w:vAlign w:val="center"/>
                </w:tcPr>
                <w:p w14:paraId="12654D8D">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废机油桶</w:t>
                  </w:r>
                </w:p>
              </w:tc>
              <w:tc>
                <w:tcPr>
                  <w:tcW w:w="484" w:type="pct"/>
                  <w:tcBorders>
                    <w:tl2br w:val="nil"/>
                    <w:tr2bl w:val="nil"/>
                  </w:tcBorders>
                  <w:shd w:val="clear" w:color="auto" w:fill="auto"/>
                  <w:vAlign w:val="center"/>
                </w:tcPr>
                <w:p w14:paraId="68880654">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HW08</w:t>
                  </w:r>
                </w:p>
              </w:tc>
              <w:tc>
                <w:tcPr>
                  <w:tcW w:w="782" w:type="pct"/>
                  <w:tcBorders>
                    <w:tl2br w:val="nil"/>
                    <w:tr2bl w:val="nil"/>
                  </w:tcBorders>
                  <w:shd w:val="clear" w:color="auto" w:fill="auto"/>
                  <w:vAlign w:val="center"/>
                </w:tcPr>
                <w:p w14:paraId="5A8EDD58">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900-249-08</w:t>
                  </w:r>
                </w:p>
              </w:tc>
              <w:tc>
                <w:tcPr>
                  <w:tcW w:w="420" w:type="pct"/>
                  <w:vMerge w:val="continue"/>
                  <w:tcBorders>
                    <w:tl2br w:val="nil"/>
                    <w:tr2bl w:val="nil"/>
                  </w:tcBorders>
                  <w:vAlign w:val="center"/>
                </w:tcPr>
                <w:p w14:paraId="3E0D4907">
                  <w:pPr>
                    <w:pStyle w:val="106"/>
                    <w:bidi w:val="0"/>
                    <w:rPr>
                      <w:color w:val="auto"/>
                      <w:highlight w:val="none"/>
                    </w:rPr>
                  </w:pPr>
                </w:p>
              </w:tc>
              <w:tc>
                <w:tcPr>
                  <w:tcW w:w="1222" w:type="pct"/>
                  <w:tcBorders>
                    <w:tl2br w:val="nil"/>
                    <w:tr2bl w:val="nil"/>
                  </w:tcBorders>
                  <w:vAlign w:val="center"/>
                </w:tcPr>
                <w:p w14:paraId="39ADCF46">
                  <w:pPr>
                    <w:pStyle w:val="106"/>
                    <w:bidi w:val="0"/>
                    <w:jc w:val="center"/>
                    <w:rPr>
                      <w:color w:val="auto"/>
                      <w:highlight w:val="none"/>
                    </w:rPr>
                  </w:pPr>
                  <w:r>
                    <w:rPr>
                      <w:color w:val="auto"/>
                      <w:highlight w:val="none"/>
                    </w:rPr>
                    <w:t>专用容器盛装</w:t>
                  </w:r>
                </w:p>
              </w:tc>
              <w:tc>
                <w:tcPr>
                  <w:tcW w:w="360" w:type="pct"/>
                  <w:vMerge w:val="continue"/>
                  <w:tcBorders>
                    <w:tl2br w:val="nil"/>
                    <w:tr2bl w:val="nil"/>
                  </w:tcBorders>
                  <w:vAlign w:val="center"/>
                </w:tcPr>
                <w:p w14:paraId="70A7A982">
                  <w:pPr>
                    <w:pStyle w:val="106"/>
                    <w:bidi w:val="0"/>
                    <w:rPr>
                      <w:color w:val="auto"/>
                      <w:highlight w:val="none"/>
                    </w:rPr>
                  </w:pPr>
                </w:p>
              </w:tc>
              <w:tc>
                <w:tcPr>
                  <w:tcW w:w="391" w:type="pct"/>
                  <w:vMerge w:val="continue"/>
                  <w:tcBorders>
                    <w:tl2br w:val="nil"/>
                    <w:tr2bl w:val="nil"/>
                  </w:tcBorders>
                  <w:vAlign w:val="center"/>
                </w:tcPr>
                <w:p w14:paraId="406F0ADB">
                  <w:pPr>
                    <w:pStyle w:val="106"/>
                    <w:bidi w:val="0"/>
                    <w:rPr>
                      <w:rFonts w:hint="eastAsia"/>
                      <w:color w:val="auto"/>
                      <w:highlight w:val="none"/>
                    </w:rPr>
                  </w:pPr>
                </w:p>
              </w:tc>
            </w:tr>
            <w:tr w14:paraId="24A2C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1" w:type="pct"/>
                  <w:vMerge w:val="continue"/>
                  <w:tcBorders>
                    <w:tl2br w:val="nil"/>
                    <w:tr2bl w:val="nil"/>
                  </w:tcBorders>
                  <w:vAlign w:val="center"/>
                </w:tcPr>
                <w:p w14:paraId="3C1FC0F0">
                  <w:pPr>
                    <w:pStyle w:val="106"/>
                    <w:bidi w:val="0"/>
                    <w:rPr>
                      <w:color w:val="auto"/>
                      <w:highlight w:val="none"/>
                    </w:rPr>
                  </w:pPr>
                </w:p>
              </w:tc>
              <w:tc>
                <w:tcPr>
                  <w:tcW w:w="727" w:type="pct"/>
                  <w:tcBorders>
                    <w:tl2br w:val="nil"/>
                    <w:tr2bl w:val="nil"/>
                  </w:tcBorders>
                  <w:shd w:val="clear" w:color="auto" w:fill="auto"/>
                  <w:vAlign w:val="center"/>
                </w:tcPr>
                <w:p w14:paraId="09AA915E">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废沾油手套</w:t>
                  </w:r>
                </w:p>
              </w:tc>
              <w:tc>
                <w:tcPr>
                  <w:tcW w:w="484" w:type="pct"/>
                  <w:tcBorders>
                    <w:tl2br w:val="nil"/>
                    <w:tr2bl w:val="nil"/>
                  </w:tcBorders>
                  <w:shd w:val="clear" w:color="auto" w:fill="auto"/>
                  <w:vAlign w:val="center"/>
                </w:tcPr>
                <w:p w14:paraId="01C9B224">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HW49</w:t>
                  </w:r>
                </w:p>
              </w:tc>
              <w:tc>
                <w:tcPr>
                  <w:tcW w:w="782" w:type="pct"/>
                  <w:tcBorders>
                    <w:tl2br w:val="nil"/>
                    <w:tr2bl w:val="nil"/>
                  </w:tcBorders>
                  <w:shd w:val="clear" w:color="auto" w:fill="auto"/>
                  <w:vAlign w:val="center"/>
                </w:tcPr>
                <w:p w14:paraId="12D72F24">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900-041-49</w:t>
                  </w:r>
                </w:p>
              </w:tc>
              <w:tc>
                <w:tcPr>
                  <w:tcW w:w="420" w:type="pct"/>
                  <w:vMerge w:val="continue"/>
                  <w:tcBorders>
                    <w:tl2br w:val="nil"/>
                    <w:tr2bl w:val="nil"/>
                  </w:tcBorders>
                  <w:vAlign w:val="center"/>
                </w:tcPr>
                <w:p w14:paraId="7F7CA273">
                  <w:pPr>
                    <w:pStyle w:val="106"/>
                    <w:bidi w:val="0"/>
                    <w:rPr>
                      <w:color w:val="auto"/>
                      <w:highlight w:val="none"/>
                    </w:rPr>
                  </w:pPr>
                </w:p>
              </w:tc>
              <w:tc>
                <w:tcPr>
                  <w:tcW w:w="1222" w:type="pct"/>
                  <w:tcBorders>
                    <w:tl2br w:val="nil"/>
                    <w:tr2bl w:val="nil"/>
                  </w:tcBorders>
                  <w:vAlign w:val="center"/>
                </w:tcPr>
                <w:p w14:paraId="2C3CBD69">
                  <w:pPr>
                    <w:pStyle w:val="106"/>
                    <w:bidi w:val="0"/>
                    <w:jc w:val="center"/>
                    <w:rPr>
                      <w:color w:val="auto"/>
                      <w:highlight w:val="none"/>
                    </w:rPr>
                  </w:pPr>
                  <w:r>
                    <w:rPr>
                      <w:color w:val="auto"/>
                      <w:highlight w:val="none"/>
                    </w:rPr>
                    <w:t>专用容器盛装</w:t>
                  </w:r>
                </w:p>
              </w:tc>
              <w:tc>
                <w:tcPr>
                  <w:tcW w:w="360" w:type="pct"/>
                  <w:vMerge w:val="continue"/>
                  <w:tcBorders>
                    <w:tl2br w:val="nil"/>
                    <w:tr2bl w:val="nil"/>
                  </w:tcBorders>
                  <w:vAlign w:val="center"/>
                </w:tcPr>
                <w:p w14:paraId="496AE091">
                  <w:pPr>
                    <w:pStyle w:val="106"/>
                    <w:bidi w:val="0"/>
                    <w:rPr>
                      <w:color w:val="auto"/>
                      <w:highlight w:val="none"/>
                    </w:rPr>
                  </w:pPr>
                </w:p>
              </w:tc>
              <w:tc>
                <w:tcPr>
                  <w:tcW w:w="391" w:type="pct"/>
                  <w:vMerge w:val="continue"/>
                  <w:tcBorders>
                    <w:tl2br w:val="nil"/>
                    <w:tr2bl w:val="nil"/>
                  </w:tcBorders>
                  <w:vAlign w:val="center"/>
                </w:tcPr>
                <w:p w14:paraId="02982FD8">
                  <w:pPr>
                    <w:pStyle w:val="106"/>
                    <w:bidi w:val="0"/>
                    <w:rPr>
                      <w:rFonts w:hint="eastAsia"/>
                      <w:color w:val="auto"/>
                      <w:highlight w:val="none"/>
                    </w:rPr>
                  </w:pPr>
                </w:p>
              </w:tc>
            </w:tr>
            <w:bookmarkEnd w:id="26"/>
          </w:tbl>
          <w:p w14:paraId="6B2469F4">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本项目拟建1间</w:t>
            </w:r>
            <w:r>
              <w:rPr>
                <w:rFonts w:hint="default" w:ascii="Times New Roman" w:hAnsi="Times New Roman" w:cs="Times New Roman"/>
                <w:b w:val="0"/>
                <w:bCs w:val="0"/>
                <w:color w:val="auto"/>
                <w:sz w:val="24"/>
                <w:highlight w:val="none"/>
              </w:rPr>
              <w:t>危废</w:t>
            </w:r>
            <w:r>
              <w:rPr>
                <w:rFonts w:hint="eastAsia" w:cs="Times New Roman"/>
                <w:b w:val="0"/>
                <w:bCs w:val="0"/>
                <w:color w:val="auto"/>
                <w:sz w:val="24"/>
                <w:highlight w:val="none"/>
                <w:lang w:val="en-US" w:eastAsia="zh-CN"/>
              </w:rPr>
              <w:t>暂存间</w:t>
            </w:r>
            <w:r>
              <w:rPr>
                <w:rFonts w:hint="default" w:ascii="Times New Roman" w:hAnsi="Times New Roman" w:cs="Times New Roman"/>
                <w:b w:val="0"/>
                <w:bCs w:val="0"/>
                <w:color w:val="auto"/>
                <w:sz w:val="24"/>
                <w:highlight w:val="none"/>
                <w:lang w:val="en-US" w:eastAsia="zh-CN"/>
              </w:rPr>
              <w:t>进行危废暂存</w:t>
            </w:r>
            <w:r>
              <w:rPr>
                <w:rFonts w:hint="eastAsia" w:cs="Times New Roman"/>
                <w:b w:val="0"/>
                <w:bCs w:val="0"/>
                <w:color w:val="auto"/>
                <w:sz w:val="24"/>
                <w:highlight w:val="none"/>
                <w:lang w:val="en-US" w:eastAsia="zh-CN"/>
              </w:rPr>
              <w:t>，拟设置于项目生产车间内东侧，</w:t>
            </w:r>
            <w:r>
              <w:rPr>
                <w:rFonts w:hint="default" w:ascii="Times New Roman" w:hAnsi="Times New Roman" w:cs="Times New Roman"/>
                <w:b w:val="0"/>
                <w:bCs w:val="0"/>
                <w:color w:val="auto"/>
                <w:sz w:val="24"/>
                <w:highlight w:val="none"/>
                <w:lang w:val="en-US" w:eastAsia="zh-CN"/>
              </w:rPr>
              <w:t>面积约</w:t>
            </w:r>
            <w:r>
              <w:rPr>
                <w:rFonts w:hint="eastAsia" w:cs="Times New Roman"/>
                <w:b w:val="0"/>
                <w:bCs w:val="0"/>
                <w:color w:val="auto"/>
                <w:sz w:val="24"/>
                <w:highlight w:val="none"/>
                <w:lang w:val="en-US" w:eastAsia="zh-CN"/>
              </w:rPr>
              <w:t>5</w:t>
            </w:r>
            <w:r>
              <w:rPr>
                <w:rFonts w:hint="default" w:ascii="Times New Roman" w:hAnsi="Times New Roman" w:cs="Times New Roman"/>
                <w:b w:val="0"/>
                <w:bCs w:val="0"/>
                <w:color w:val="auto"/>
                <w:sz w:val="24"/>
                <w:highlight w:val="none"/>
                <w:lang w:val="en-US" w:eastAsia="zh-CN"/>
              </w:rPr>
              <w:t>m</w:t>
            </w:r>
            <w:r>
              <w:rPr>
                <w:rFonts w:hint="default" w:ascii="Times New Roman" w:hAnsi="Times New Roman" w:cs="Times New Roman"/>
                <w:b w:val="0"/>
                <w:bCs w:val="0"/>
                <w:color w:val="auto"/>
                <w:sz w:val="24"/>
                <w:highlight w:val="none"/>
                <w:vertAlign w:val="superscript"/>
                <w:lang w:val="en-US" w:eastAsia="zh-CN"/>
              </w:rPr>
              <w:t>2</w:t>
            </w:r>
            <w:r>
              <w:rPr>
                <w:rFonts w:hint="default"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vertAlign w:val="baseline"/>
                <w:lang w:val="en-US" w:eastAsia="zh-CN"/>
              </w:rPr>
              <w:t>项目危废最大产生量预计为0.255t/a，项目拟建危废暂存间预计危废暂存能力约10t，储存周期按1年计，故项目拟设危废暂存间暂存能力可满足项目需要</w:t>
            </w:r>
            <w:r>
              <w:rPr>
                <w:rFonts w:hint="default" w:ascii="Times New Roman" w:hAnsi="Times New Roman" w:cs="Times New Roman"/>
                <w:b w:val="0"/>
                <w:bCs w:val="0"/>
                <w:color w:val="auto"/>
                <w:sz w:val="24"/>
                <w:highlight w:val="none"/>
                <w:vertAlign w:val="baseline"/>
                <w:lang w:val="en-US" w:eastAsia="zh-CN"/>
              </w:rPr>
              <w:t>。</w:t>
            </w:r>
          </w:p>
          <w:p w14:paraId="150CA6A0">
            <w:pPr>
              <w:keepNext w:val="0"/>
              <w:keepLines w:val="0"/>
              <w:pageBreakBefore w:val="0"/>
              <w:widowControl w:val="0"/>
              <w:kinsoku/>
              <w:wordWrap/>
              <w:overflowPunct/>
              <w:topLinePunct w:val="0"/>
              <w:autoSpaceDE w:val="0"/>
              <w:autoSpaceDN w:val="0"/>
              <w:bidi w:val="0"/>
              <w:adjustRightInd w:val="0"/>
              <w:snapToGrid w:val="0"/>
              <w:ind w:firstLine="482"/>
              <w:jc w:val="both"/>
              <w:textAlignment w:val="auto"/>
              <w:rPr>
                <w:color w:val="auto"/>
                <w:sz w:val="24"/>
                <w:highlight w:val="none"/>
                <w:lang w:val="zh-CN" w:bidi="zh-CN"/>
              </w:rPr>
            </w:pPr>
            <w:r>
              <w:rPr>
                <w:b/>
                <w:bCs/>
                <w:color w:val="auto"/>
                <w:sz w:val="24"/>
                <w:highlight w:val="none"/>
                <w:lang w:bidi="zh-CN"/>
              </w:rPr>
              <w:t>（二）固体废物贮存方式、利用处置方式、环境管理要求</w:t>
            </w:r>
          </w:p>
          <w:p w14:paraId="08331B3A">
            <w:pPr>
              <w:ind w:firstLine="482"/>
              <w:rPr>
                <w:rFonts w:hint="default"/>
                <w:b/>
                <w:bCs/>
                <w:color w:val="auto"/>
                <w:sz w:val="24"/>
                <w:highlight w:val="none"/>
                <w:lang w:val="en-US" w:bidi="zh-CN"/>
              </w:rPr>
            </w:pPr>
            <w:r>
              <w:rPr>
                <w:b/>
                <w:bCs/>
                <w:color w:val="auto"/>
                <w:sz w:val="24"/>
                <w:highlight w:val="none"/>
                <w:lang w:bidi="zh-CN"/>
              </w:rPr>
              <w:t>1、</w:t>
            </w:r>
            <w:r>
              <w:rPr>
                <w:rFonts w:hint="eastAsia"/>
                <w:b/>
                <w:bCs/>
                <w:color w:val="auto"/>
                <w:sz w:val="24"/>
                <w:highlight w:val="none"/>
                <w:lang w:val="en-US" w:bidi="zh-CN"/>
              </w:rPr>
              <w:t>生活垃圾管理要求</w:t>
            </w:r>
          </w:p>
          <w:p w14:paraId="546E3FF6">
            <w:pPr>
              <w:pStyle w:val="102"/>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本项目所产生的生活垃圾由环卫部门每天统一清运。</w:t>
            </w:r>
          </w:p>
          <w:p w14:paraId="09365D12">
            <w:pPr>
              <w:ind w:firstLine="482"/>
              <w:rPr>
                <w:b/>
                <w:bCs/>
                <w:color w:val="auto"/>
                <w:sz w:val="24"/>
                <w:highlight w:val="none"/>
                <w:lang w:bidi="zh-CN"/>
              </w:rPr>
            </w:pPr>
            <w:r>
              <w:rPr>
                <w:rFonts w:hint="default" w:ascii="Times New Roman" w:hAnsi="Times New Roman" w:cs="Times New Roman"/>
                <w:color w:val="auto"/>
                <w:highlight w:val="none"/>
                <w:lang w:bidi="ar"/>
              </w:rPr>
              <w:t>生活垃圾必须实现袋装或桶装集中，不可形成随处乱堆乱排现象。由于生活垃圾中含有易发酵（即腐烂）的有机类垃圾，同时散发恶臭气味；并易招引蚊蝇、鼠狗之类栖息、形成病菌类产生和传播的温床。这不仅直接损害了</w:t>
            </w:r>
            <w:r>
              <w:rPr>
                <w:rFonts w:hint="default" w:ascii="Times New Roman" w:hAnsi="Times New Roman" w:cs="Times New Roman"/>
                <w:color w:val="auto"/>
                <w:highlight w:val="none"/>
                <w:lang w:val="en-US" w:eastAsia="zh-CN" w:bidi="ar"/>
              </w:rPr>
              <w:t>厂区</w:t>
            </w:r>
            <w:r>
              <w:rPr>
                <w:rFonts w:hint="default" w:ascii="Times New Roman" w:hAnsi="Times New Roman" w:cs="Times New Roman"/>
                <w:color w:val="auto"/>
                <w:highlight w:val="none"/>
                <w:lang w:bidi="ar"/>
              </w:rPr>
              <w:t>的环境卫生，而产生的臭气和诱发的蚊蝇滋生则会对附近的</w:t>
            </w:r>
            <w:r>
              <w:rPr>
                <w:rFonts w:hint="default" w:ascii="Times New Roman" w:hAnsi="Times New Roman" w:cs="Times New Roman"/>
                <w:color w:val="auto"/>
                <w:highlight w:val="none"/>
                <w:lang w:val="en-US" w:eastAsia="zh-CN" w:bidi="ar"/>
              </w:rPr>
              <w:t>生产企业等</w:t>
            </w:r>
            <w:r>
              <w:rPr>
                <w:rFonts w:hint="default" w:ascii="Times New Roman" w:hAnsi="Times New Roman" w:cs="Times New Roman"/>
                <w:color w:val="auto"/>
                <w:highlight w:val="none"/>
                <w:lang w:bidi="ar"/>
              </w:rPr>
              <w:t>造成很大的影响。为此，</w:t>
            </w:r>
            <w:r>
              <w:rPr>
                <w:rFonts w:hint="default" w:ascii="Times New Roman" w:hAnsi="Times New Roman" w:cs="Times New Roman"/>
                <w:color w:val="auto"/>
                <w:highlight w:val="none"/>
                <w:lang w:val="en-US" w:eastAsia="zh-CN" w:bidi="ar"/>
              </w:rPr>
              <w:t>厂区</w:t>
            </w:r>
            <w:r>
              <w:rPr>
                <w:rFonts w:hint="default" w:ascii="Times New Roman" w:hAnsi="Times New Roman" w:cs="Times New Roman"/>
                <w:color w:val="auto"/>
                <w:highlight w:val="none"/>
                <w:lang w:bidi="ar"/>
              </w:rPr>
              <w:t>应配备足够的垃圾桶和加强管理，对生活垃圾做到日产日清，保证</w:t>
            </w:r>
            <w:r>
              <w:rPr>
                <w:rFonts w:hint="default" w:ascii="Times New Roman" w:hAnsi="Times New Roman" w:cs="Times New Roman"/>
                <w:color w:val="auto"/>
                <w:highlight w:val="none"/>
                <w:lang w:val="en-US" w:eastAsia="zh-CN" w:bidi="ar"/>
              </w:rPr>
              <w:t>厂区</w:t>
            </w:r>
            <w:r>
              <w:rPr>
                <w:rFonts w:hint="default" w:ascii="Times New Roman" w:hAnsi="Times New Roman" w:cs="Times New Roman"/>
                <w:color w:val="auto"/>
                <w:highlight w:val="none"/>
                <w:lang w:bidi="ar"/>
              </w:rPr>
              <w:t>范围内无腐烂垃圾堆放。</w:t>
            </w:r>
          </w:p>
          <w:p w14:paraId="64B793E6">
            <w:pPr>
              <w:ind w:firstLine="482"/>
              <w:rPr>
                <w:b/>
                <w:bCs/>
                <w:color w:val="auto"/>
                <w:sz w:val="24"/>
                <w:highlight w:val="none"/>
                <w:lang w:bidi="zh-CN"/>
              </w:rPr>
            </w:pPr>
            <w:r>
              <w:rPr>
                <w:rFonts w:hint="eastAsia"/>
                <w:b/>
                <w:bCs/>
                <w:color w:val="auto"/>
                <w:sz w:val="24"/>
                <w:highlight w:val="none"/>
                <w:lang w:val="en-US" w:bidi="zh-CN"/>
              </w:rPr>
              <w:t>2、</w:t>
            </w:r>
            <w:r>
              <w:rPr>
                <w:b/>
                <w:bCs/>
                <w:color w:val="auto"/>
                <w:sz w:val="24"/>
                <w:highlight w:val="none"/>
                <w:lang w:bidi="zh-CN"/>
              </w:rPr>
              <w:t>一般工业固废环境管理要求</w:t>
            </w:r>
          </w:p>
          <w:p w14:paraId="0313750A">
            <w:pPr>
              <w:ind w:firstLine="480"/>
              <w:jc w:val="both"/>
              <w:rPr>
                <w:color w:val="auto"/>
                <w:sz w:val="24"/>
                <w:highlight w:val="none"/>
                <w:lang w:bidi="zh-CN"/>
              </w:rPr>
            </w:pPr>
            <w:r>
              <w:rPr>
                <w:color w:val="auto"/>
                <w:kern w:val="0"/>
                <w:sz w:val="24"/>
                <w:highlight w:val="none"/>
                <w:lang w:val="zh-CN" w:bidi="zh-CN"/>
              </w:rPr>
              <w:t>根据《一般工业固体废物的贮存和填埋污染控制标准》（GB18599-2020）中提出“采用库房、包装工具（罐、桶、包装袋等）贮存一般工业固体废物过程的污染控制，不适用本标准，其贮存过程应满足相应防渗漏、防雨淋、防扬尘等环境保护要求”</w:t>
            </w:r>
            <w:r>
              <w:rPr>
                <w:rFonts w:hint="eastAsia"/>
                <w:color w:val="auto"/>
                <w:kern w:val="0"/>
                <w:sz w:val="24"/>
                <w:highlight w:val="none"/>
                <w:lang w:val="zh-CN" w:bidi="zh-CN"/>
              </w:rPr>
              <w:t>。</w:t>
            </w:r>
            <w:r>
              <w:rPr>
                <w:rFonts w:hint="eastAsia"/>
                <w:color w:val="auto"/>
                <w:kern w:val="0"/>
                <w:sz w:val="24"/>
                <w:highlight w:val="none"/>
                <w:lang w:val="en-US" w:bidi="zh-CN"/>
              </w:rPr>
              <w:t>本项目拟设2间一般工业固废暂存区，一车间、二车间一层各1间，面积分别约25m</w:t>
            </w:r>
            <w:r>
              <w:rPr>
                <w:rFonts w:hint="eastAsia"/>
                <w:color w:val="auto"/>
                <w:kern w:val="0"/>
                <w:sz w:val="24"/>
                <w:highlight w:val="none"/>
                <w:vertAlign w:val="superscript"/>
                <w:lang w:val="en-US" w:bidi="zh-CN"/>
              </w:rPr>
              <w:t>2</w:t>
            </w:r>
            <w:r>
              <w:rPr>
                <w:rFonts w:hint="eastAsia"/>
                <w:color w:val="auto"/>
                <w:kern w:val="0"/>
                <w:sz w:val="24"/>
                <w:highlight w:val="none"/>
                <w:lang w:val="zh-CN" w:bidi="zh-CN"/>
              </w:rPr>
              <w:t>。</w:t>
            </w:r>
            <w:r>
              <w:rPr>
                <w:rFonts w:hint="eastAsia"/>
                <w:color w:val="auto"/>
                <w:kern w:val="0"/>
                <w:sz w:val="24"/>
                <w:highlight w:val="none"/>
                <w:lang w:val="en-US" w:bidi="zh-CN"/>
              </w:rPr>
              <w:t>项目拟设一般工业固废暂存区</w:t>
            </w:r>
            <w:r>
              <w:rPr>
                <w:color w:val="auto"/>
                <w:kern w:val="0"/>
                <w:sz w:val="24"/>
                <w:highlight w:val="none"/>
                <w:lang w:val="zh-CN" w:bidi="zh-CN"/>
              </w:rPr>
              <w:t>应做到防渗漏、防雨淋、防扬尘等环境保护要求，</w:t>
            </w:r>
            <w:r>
              <w:rPr>
                <w:color w:val="auto"/>
                <w:sz w:val="24"/>
                <w:highlight w:val="none"/>
                <w:lang w:bidi="zh-CN"/>
              </w:rPr>
              <w:t>并严禁危险废物和生活垃圾混入</w:t>
            </w:r>
            <w:r>
              <w:rPr>
                <w:rFonts w:hint="eastAsia"/>
                <w:color w:val="auto"/>
                <w:sz w:val="24"/>
                <w:highlight w:val="none"/>
                <w:lang w:bidi="zh-CN"/>
              </w:rPr>
              <w:t>；</w:t>
            </w:r>
            <w:r>
              <w:rPr>
                <w:rFonts w:hint="default" w:ascii="Times New Roman" w:hAnsi="Times New Roman" w:eastAsia="宋体" w:cs="Times New Roman"/>
                <w:color w:val="auto"/>
                <w:highlight w:val="none"/>
                <w:lang w:bidi="ar"/>
              </w:rPr>
              <w:t>在贮存、运输、利用、处置工业固体废物时，必须采取防扬散、防流失、防渗漏或其它防止污染环境的措施，并对贮存、运输、处置固体废物的设施、设备和场所加强管理和维护，保证其正常运行和使用</w:t>
            </w:r>
            <w:r>
              <w:rPr>
                <w:color w:val="auto"/>
                <w:sz w:val="24"/>
                <w:highlight w:val="none"/>
                <w:lang w:bidi="zh-CN"/>
              </w:rPr>
              <w:t>。</w:t>
            </w:r>
          </w:p>
          <w:p w14:paraId="078754DB">
            <w:pPr>
              <w:ind w:firstLine="482"/>
              <w:jc w:val="both"/>
              <w:rPr>
                <w:b/>
                <w:bCs/>
                <w:color w:val="auto"/>
                <w:sz w:val="24"/>
                <w:highlight w:val="none"/>
                <w:lang w:val="zh-CN" w:bidi="zh-CN"/>
              </w:rPr>
            </w:pPr>
            <w:r>
              <w:rPr>
                <w:rFonts w:hint="eastAsia"/>
                <w:b/>
                <w:bCs/>
                <w:color w:val="auto"/>
                <w:sz w:val="24"/>
                <w:highlight w:val="none"/>
                <w:lang w:val="en-US" w:bidi="zh-CN"/>
              </w:rPr>
              <w:t>3</w:t>
            </w:r>
            <w:r>
              <w:rPr>
                <w:b/>
                <w:bCs/>
                <w:color w:val="auto"/>
                <w:sz w:val="24"/>
                <w:highlight w:val="none"/>
                <w:lang w:bidi="zh-CN"/>
              </w:rPr>
              <w:t>、</w:t>
            </w:r>
            <w:r>
              <w:rPr>
                <w:b/>
                <w:bCs/>
                <w:color w:val="auto"/>
                <w:sz w:val="24"/>
                <w:highlight w:val="none"/>
                <w:lang w:val="zh-CN" w:bidi="zh-CN"/>
              </w:rPr>
              <w:t>危险固废环境管理要求</w:t>
            </w:r>
          </w:p>
          <w:p w14:paraId="324F2DA2">
            <w:pPr>
              <w:pStyle w:val="102"/>
              <w:ind w:firstLine="480"/>
              <w:rPr>
                <w:rFonts w:hint="default" w:ascii="Times New Roman" w:hAnsi="Times New Roman" w:eastAsia="宋体" w:cs="Times New Roman"/>
                <w:color w:val="auto"/>
                <w:highlight w:val="none"/>
                <w:lang w:bidi="ar"/>
              </w:rPr>
            </w:pPr>
            <w:r>
              <w:rPr>
                <w:rFonts w:hint="eastAsia" w:cs="Times New Roman"/>
                <w:b w:val="0"/>
                <w:bCs w:val="0"/>
                <w:color w:val="auto"/>
                <w:sz w:val="24"/>
                <w:highlight w:val="none"/>
                <w:lang w:val="en-US" w:eastAsia="zh-CN"/>
              </w:rPr>
              <w:t>本项目拟建1间</w:t>
            </w:r>
            <w:r>
              <w:rPr>
                <w:rFonts w:hint="default" w:ascii="Times New Roman" w:hAnsi="Times New Roman" w:cs="Times New Roman"/>
                <w:b w:val="0"/>
                <w:bCs w:val="0"/>
                <w:color w:val="auto"/>
                <w:sz w:val="24"/>
                <w:highlight w:val="none"/>
              </w:rPr>
              <w:t>危废</w:t>
            </w:r>
            <w:r>
              <w:rPr>
                <w:rFonts w:hint="eastAsia" w:cs="Times New Roman"/>
                <w:b w:val="0"/>
                <w:bCs w:val="0"/>
                <w:color w:val="auto"/>
                <w:sz w:val="24"/>
                <w:highlight w:val="none"/>
                <w:lang w:val="en-US" w:eastAsia="zh-CN"/>
              </w:rPr>
              <w:t>暂存间</w:t>
            </w:r>
            <w:r>
              <w:rPr>
                <w:rFonts w:hint="default" w:ascii="Times New Roman" w:hAnsi="Times New Roman" w:cs="Times New Roman"/>
                <w:b w:val="0"/>
                <w:bCs w:val="0"/>
                <w:color w:val="auto"/>
                <w:sz w:val="24"/>
                <w:highlight w:val="none"/>
                <w:lang w:val="en-US" w:eastAsia="zh-CN"/>
              </w:rPr>
              <w:t>进行危废暂存</w:t>
            </w:r>
            <w:r>
              <w:rPr>
                <w:rFonts w:hint="eastAsia" w:cs="Times New Roman"/>
                <w:b w:val="0"/>
                <w:bCs w:val="0"/>
                <w:color w:val="auto"/>
                <w:sz w:val="24"/>
                <w:highlight w:val="none"/>
                <w:lang w:val="en-US" w:eastAsia="zh-CN"/>
              </w:rPr>
              <w:t>，拟设置于项目综合楼内，</w:t>
            </w:r>
            <w:r>
              <w:rPr>
                <w:rFonts w:hint="default" w:ascii="Times New Roman" w:hAnsi="Times New Roman" w:cs="Times New Roman"/>
                <w:b w:val="0"/>
                <w:bCs w:val="0"/>
                <w:color w:val="auto"/>
                <w:sz w:val="24"/>
                <w:highlight w:val="none"/>
                <w:lang w:val="en-US" w:eastAsia="zh-CN"/>
              </w:rPr>
              <w:t>面积约</w:t>
            </w:r>
            <w:r>
              <w:rPr>
                <w:rFonts w:hint="eastAsia" w:cs="Times New Roman"/>
                <w:b w:val="0"/>
                <w:bCs w:val="0"/>
                <w:color w:val="auto"/>
                <w:sz w:val="24"/>
                <w:highlight w:val="none"/>
                <w:lang w:val="en-US" w:eastAsia="zh-CN"/>
              </w:rPr>
              <w:t>10</w:t>
            </w:r>
            <w:r>
              <w:rPr>
                <w:rFonts w:hint="default" w:ascii="Times New Roman" w:hAnsi="Times New Roman" w:cs="Times New Roman"/>
                <w:b w:val="0"/>
                <w:bCs w:val="0"/>
                <w:color w:val="auto"/>
                <w:sz w:val="24"/>
                <w:highlight w:val="none"/>
                <w:lang w:val="en-US" w:eastAsia="zh-CN"/>
              </w:rPr>
              <w:t>m</w:t>
            </w:r>
            <w:r>
              <w:rPr>
                <w:rFonts w:hint="default" w:ascii="Times New Roman" w:hAnsi="Times New Roman" w:cs="Times New Roman"/>
                <w:b w:val="0"/>
                <w:bCs w:val="0"/>
                <w:color w:val="auto"/>
                <w:sz w:val="24"/>
                <w:highlight w:val="none"/>
                <w:vertAlign w:val="superscript"/>
                <w:lang w:val="en-US" w:eastAsia="zh-CN"/>
              </w:rPr>
              <w:t>2</w:t>
            </w:r>
            <w:r>
              <w:rPr>
                <w:rFonts w:hint="default" w:ascii="Times New Roman" w:hAnsi="Times New Roman" w:cs="Times New Roman"/>
                <w:b w:val="0"/>
                <w:bCs w:val="0"/>
                <w:color w:val="auto"/>
                <w:sz w:val="24"/>
                <w:highlight w:val="none"/>
                <w:lang w:val="en-US" w:eastAsia="zh-CN"/>
              </w:rPr>
              <w:t>，</w:t>
            </w:r>
            <w:r>
              <w:rPr>
                <w:color w:val="auto"/>
                <w:sz w:val="24"/>
                <w:highlight w:val="none"/>
                <w:lang w:val="zh-CN" w:bidi="zh-CN"/>
              </w:rPr>
              <w:t>危险废物的储存过程</w:t>
            </w:r>
            <w:r>
              <w:rPr>
                <w:rFonts w:hint="eastAsia"/>
                <w:color w:val="auto"/>
                <w:sz w:val="24"/>
                <w:highlight w:val="none"/>
                <w:lang w:val="zh-CN" w:bidi="zh-CN"/>
              </w:rPr>
              <w:t>达到</w:t>
            </w:r>
            <w:r>
              <w:rPr>
                <w:color w:val="auto"/>
                <w:sz w:val="24"/>
                <w:highlight w:val="none"/>
                <w:lang w:val="zh-CN" w:bidi="zh-CN"/>
              </w:rPr>
              <w:t>一定量后</w:t>
            </w:r>
            <w:r>
              <w:rPr>
                <w:b/>
                <w:bCs/>
                <w:color w:val="auto"/>
                <w:sz w:val="24"/>
                <w:highlight w:val="none"/>
                <w:u w:val="single"/>
                <w:lang w:val="zh-CN" w:bidi="zh-CN"/>
              </w:rPr>
              <w:t>（存放期不超过一年）</w:t>
            </w:r>
            <w:r>
              <w:rPr>
                <w:color w:val="auto"/>
                <w:sz w:val="24"/>
                <w:highlight w:val="none"/>
                <w:lang w:val="zh-CN" w:bidi="zh-CN"/>
              </w:rPr>
              <w:t>，及时由有危险废物处置资质的单位进行运输、处置。</w:t>
            </w:r>
            <w:r>
              <w:rPr>
                <w:rFonts w:hint="default" w:ascii="Times New Roman" w:hAnsi="Times New Roman" w:eastAsia="宋体" w:cs="Times New Roman"/>
                <w:color w:val="auto"/>
                <w:highlight w:val="none"/>
                <w:lang w:bidi="ar"/>
              </w:rPr>
              <w:t>结合本项目产生的危险废物性质，针对本项目危险废物贮存提出以下要求：</w:t>
            </w:r>
          </w:p>
          <w:p w14:paraId="2246E118">
            <w:pPr>
              <w:pStyle w:val="102"/>
              <w:ind w:firstLine="480"/>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①危险废物的储存</w:t>
            </w:r>
          </w:p>
          <w:p w14:paraId="79EE6E3F">
            <w:pPr>
              <w:pStyle w:val="102"/>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贮存设施应根据危险废物的形态、物理化学性质、包装形式和污染物迁移途径，采取必要的防风、防晒、防雨、防漏、防渗、防腐以及其他环境污染防治措施，不应露天堆放危险废物。贮存设施应根据危险废物的类别、数量、形态、物理化学性质和污染防治等要求设置必要的贮存分区，避免不兼容的危险废物接触、混合。贮存设施或贮存分区内地面、墙面裙脚、堵截泄漏的围堰、接触危险废物的隔板和墙体等应采用坚固的材料建造，表面无裂缝。贮存设施地面与裙脚应采取表面防渗措施；表面防渗材料应与所接触的物料或污染物兼容，可采用抗渗混凝土、HDPE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highlight w:val="none"/>
                <w:vertAlign w:val="superscript"/>
                <w:lang w:bidi="ar"/>
              </w:rPr>
              <w:t>-7</w:t>
            </w:r>
            <w:r>
              <w:rPr>
                <w:rFonts w:hint="default" w:ascii="Times New Roman" w:hAnsi="Times New Roman" w:eastAsia="宋体" w:cs="Times New Roman"/>
                <w:color w:val="auto"/>
                <w:highlight w:val="none"/>
                <w:lang w:bidi="ar"/>
              </w:rPr>
              <w:t>cm/s），或至少2mm厚HDPE膜等人工防渗材料（渗透系数不大于10</w:t>
            </w:r>
            <w:r>
              <w:rPr>
                <w:rFonts w:hint="default" w:ascii="Times New Roman" w:hAnsi="Times New Roman" w:eastAsia="宋体" w:cs="Times New Roman"/>
                <w:color w:val="auto"/>
                <w:highlight w:val="none"/>
                <w:vertAlign w:val="superscript"/>
                <w:lang w:bidi="ar"/>
              </w:rPr>
              <w:t>-10</w:t>
            </w:r>
            <w:r>
              <w:rPr>
                <w:rFonts w:hint="default" w:ascii="Times New Roman" w:hAnsi="Times New Roman" w:eastAsia="宋体" w:cs="Times New Roman"/>
                <w:color w:val="auto"/>
                <w:highlight w:val="none"/>
                <w:lang w:bidi="ar"/>
              </w:rPr>
              <w:t>cm/s），或其他防渗性能等效的材料。同一贮存设施宜采用相同的防渗、防腐工艺（包括防渗、防腐结构或材料），防渗、防腐材料应覆盖所有可能与废物及其渗滤液、渗漏液等接触的构筑物表面；采用不同防渗、防腐工艺应分别建设贮存分区。贮存设施应采取技术和管理措施防止无关人员进入。</w:t>
            </w:r>
          </w:p>
          <w:p w14:paraId="6DFC0DCE">
            <w:pPr>
              <w:pStyle w:val="102"/>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根据《危险废物识别标志设置技术规范》（HJ1276-2022）相关标准要求</w:t>
            </w:r>
            <w:r>
              <w:rPr>
                <w:rFonts w:hint="eastAsia" w:cs="Times New Roman"/>
                <w:color w:val="auto"/>
                <w:highlight w:val="none"/>
                <w:lang w:val="en-US" w:eastAsia="zh-CN" w:bidi="ar"/>
              </w:rPr>
              <w:t>设置</w:t>
            </w:r>
            <w:r>
              <w:rPr>
                <w:rFonts w:hint="default" w:ascii="Times New Roman" w:hAnsi="Times New Roman" w:eastAsia="宋体" w:cs="Times New Roman"/>
                <w:color w:val="auto"/>
                <w:highlight w:val="none"/>
                <w:lang w:bidi="ar"/>
              </w:rPr>
              <w:t>危险废物暂存标识标牌。</w:t>
            </w:r>
          </w:p>
          <w:p w14:paraId="5E759BE5">
            <w:pPr>
              <w:pStyle w:val="102"/>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val="en-US" w:eastAsia="zh-CN" w:bidi="ar"/>
              </w:rPr>
              <w:t>②</w:t>
            </w:r>
            <w:r>
              <w:rPr>
                <w:rFonts w:hint="default" w:ascii="Times New Roman" w:hAnsi="Times New Roman" w:eastAsia="宋体" w:cs="Times New Roman"/>
                <w:color w:val="auto"/>
                <w:highlight w:val="none"/>
                <w:lang w:bidi="ar"/>
              </w:rPr>
              <w:t>危险废物的交接</w:t>
            </w:r>
          </w:p>
          <w:p w14:paraId="5001C72A">
            <w:pPr>
              <w:pStyle w:val="102"/>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a.废物转运应当依照《中华人民共和国固体废物污染环境防治法》的规定，执行危险废物转移联单管理制度。应当对危险废物进行登记，登记内容应当包括危险废物的来源、种类、重量或者数量、交接时间、处置方法、最终去向以及经办人签名等项目。保存时间为3年。</w:t>
            </w:r>
          </w:p>
          <w:p w14:paraId="1647D808">
            <w:pPr>
              <w:pStyle w:val="102"/>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b.每车每次运送的危险废物采用《危险废物运送登记卡》管理，一车一卡，由危险废物管理人员交接时填写并签字。当危险废物运至处置单位时，处置厂接收人员确认该登记卡上填写的危险废物数量真实、准确后签收。</w:t>
            </w:r>
          </w:p>
          <w:p w14:paraId="11E7C846">
            <w:pPr>
              <w:pStyle w:val="102"/>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val="en-US" w:eastAsia="zh-CN" w:bidi="ar"/>
              </w:rPr>
              <w:t>③</w:t>
            </w:r>
            <w:r>
              <w:rPr>
                <w:rFonts w:hint="default" w:ascii="Times New Roman" w:hAnsi="Times New Roman" w:eastAsia="宋体" w:cs="Times New Roman"/>
                <w:color w:val="auto"/>
                <w:highlight w:val="none"/>
                <w:lang w:bidi="ar"/>
              </w:rPr>
              <w:t>危险废物的运送</w:t>
            </w:r>
          </w:p>
          <w:p w14:paraId="3F2A3FD8">
            <w:pPr>
              <w:pStyle w:val="102"/>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a.本项目危险废物由</w:t>
            </w:r>
            <w:r>
              <w:rPr>
                <w:rFonts w:hint="eastAsia" w:cs="Times New Roman"/>
                <w:color w:val="auto"/>
                <w:highlight w:val="none"/>
                <w:lang w:eastAsia="zh-CN" w:bidi="ar"/>
              </w:rPr>
              <w:t>处置</w:t>
            </w:r>
            <w:r>
              <w:rPr>
                <w:rFonts w:hint="default" w:ascii="Times New Roman" w:hAnsi="Times New Roman" w:eastAsia="宋体" w:cs="Times New Roman"/>
                <w:color w:val="auto"/>
                <w:highlight w:val="none"/>
                <w:lang w:bidi="ar"/>
              </w:rPr>
              <w:t>专用车辆定期运送到相应处置单位。危险废物转运车应符合相关要求。</w:t>
            </w:r>
          </w:p>
          <w:p w14:paraId="75B5A3A5">
            <w:pPr>
              <w:pStyle w:val="102"/>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b.运送路线应尽量避开人口密集区域和交通拥堵道路。驾驶室与货箱完全隔开，以保证驾驶人员的安全。</w:t>
            </w:r>
          </w:p>
          <w:p w14:paraId="7A848805">
            <w:pPr>
              <w:pStyle w:val="102"/>
              <w:ind w:firstLine="480"/>
              <w:rPr>
                <w:rFonts w:hint="default"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bidi="ar"/>
              </w:rPr>
              <w:t>c.车厢应经防渗处理，在装载货物时，即使车厢内部有液体，也不会渗漏到厢体和外部环境中；车厢底部应设置具有良好气密性的排水孔，在清洗车厢内部时，能够有效收集和排出污水，不可使清洗污水直接漫流到外部环境中；正常运输使用时应具有良好气密性。</w:t>
            </w:r>
          </w:p>
          <w:p w14:paraId="42A569F0">
            <w:pPr>
              <w:pStyle w:val="102"/>
              <w:ind w:firstLine="480"/>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d.危险废物运送前，处置单位必须对每辆运送车的车况进行检查，确保车况良好后方可出车。危险废物运送车辆不得搭乘其他无关人员，不得装载或混装其他货物和动植物。车辆行驶时应锁闭车厢门，确保安全，不得丢失、遗撒和打开包装取出危险废物。</w:t>
            </w:r>
          </w:p>
          <w:p w14:paraId="24715544">
            <w:pPr>
              <w:pStyle w:val="102"/>
              <w:ind w:firstLine="480"/>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e.危险废物转运车应在明显部位固定产品标牌；应在车辆的前、后部及车厢两侧喷涂警示标志；驾驶室两侧标明危险废物处置转运单位名称。</w:t>
            </w:r>
          </w:p>
          <w:p w14:paraId="327F8DA4">
            <w:pPr>
              <w:pStyle w:val="102"/>
              <w:ind w:firstLine="480"/>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④其他应注意的事项</w:t>
            </w:r>
          </w:p>
          <w:p w14:paraId="1F28539D">
            <w:pPr>
              <w:pStyle w:val="102"/>
              <w:ind w:firstLine="480"/>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a.应当制定与危险废物安全处置有关的规章制度和在发生意外事故时的应急方案；设置监控部门或者专</w:t>
            </w:r>
            <w:r>
              <w:rPr>
                <w:rFonts w:hint="default" w:ascii="Times New Roman" w:hAnsi="Times New Roman" w:cs="Times New Roman"/>
                <w:color w:val="auto"/>
                <w:highlight w:val="none"/>
                <w:lang w:val="en-US" w:eastAsia="zh-CN" w:bidi="ar"/>
              </w:rPr>
              <w:t>（</w:t>
            </w:r>
            <w:r>
              <w:rPr>
                <w:rFonts w:hint="default" w:ascii="Times New Roman" w:hAnsi="Times New Roman" w:eastAsia="宋体" w:cs="Times New Roman"/>
                <w:color w:val="auto"/>
                <w:highlight w:val="none"/>
                <w:lang w:val="en-US" w:eastAsia="zh-CN" w:bidi="ar"/>
              </w:rPr>
              <w:t>兼</w:t>
            </w:r>
            <w:r>
              <w:rPr>
                <w:rFonts w:hint="default" w:ascii="Times New Roman" w:hAnsi="Times New Roman" w:cs="Times New Roman"/>
                <w:color w:val="auto"/>
                <w:highlight w:val="none"/>
                <w:lang w:val="en-US" w:eastAsia="zh-CN" w:bidi="ar"/>
              </w:rPr>
              <w:t>）</w:t>
            </w:r>
            <w:r>
              <w:rPr>
                <w:rFonts w:hint="default" w:ascii="Times New Roman" w:hAnsi="Times New Roman" w:eastAsia="宋体" w:cs="Times New Roman"/>
                <w:color w:val="auto"/>
                <w:highlight w:val="none"/>
                <w:lang w:val="en-US" w:eastAsia="zh-CN" w:bidi="ar"/>
              </w:rPr>
              <w:t>职人员，负责检查、督促、落实本项目危险废物的管理工作。</w:t>
            </w:r>
          </w:p>
          <w:p w14:paraId="5800D287">
            <w:pPr>
              <w:pStyle w:val="102"/>
              <w:ind w:firstLine="480"/>
              <w:rPr>
                <w:rFonts w:hint="default" w:ascii="Times New Roman" w:hAnsi="Times New Roman" w:eastAsia="宋体" w:cs="Times New Roman"/>
                <w:color w:val="auto"/>
                <w:highlight w:val="none"/>
                <w:lang w:val="en-US" w:eastAsia="zh-CN" w:bidi="ar"/>
              </w:rPr>
            </w:pPr>
            <w:r>
              <w:rPr>
                <w:rFonts w:hint="default" w:ascii="Times New Roman" w:hAnsi="Times New Roman" w:eastAsia="宋体" w:cs="Times New Roman"/>
                <w:color w:val="auto"/>
                <w:highlight w:val="none"/>
                <w:lang w:val="en-US" w:eastAsia="zh-CN" w:bidi="ar"/>
              </w:rPr>
              <w:t>b.应当对本项目从事危险废物收集、运送、贮存、处置等工作的人员和管理人员，进行相关法律和专业技术、安全防护以及紧急处理等知识的培训。</w:t>
            </w:r>
          </w:p>
          <w:p w14:paraId="6FD1EA9A">
            <w:pPr>
              <w:pStyle w:val="102"/>
              <w:ind w:firstLine="480"/>
              <w:rPr>
                <w:rFonts w:hint="default" w:ascii="Times New Roman" w:hAnsi="Times New Roman" w:cs="Times New Roman"/>
                <w:color w:val="auto"/>
                <w:highlight w:val="none"/>
                <w:lang w:bidi="ar"/>
              </w:rPr>
            </w:pPr>
            <w:r>
              <w:rPr>
                <w:rFonts w:hint="default" w:ascii="Times New Roman" w:hAnsi="Times New Roman" w:eastAsia="宋体" w:cs="Times New Roman"/>
                <w:color w:val="auto"/>
                <w:highlight w:val="none"/>
                <w:lang w:val="en-US" w:eastAsia="zh-CN" w:bidi="ar"/>
              </w:rPr>
              <w:t>c</w:t>
            </w:r>
            <w:r>
              <w:rPr>
                <w:rFonts w:hint="default" w:ascii="Times New Roman" w:hAnsi="Times New Roman" w:eastAsia="宋体" w:cs="Times New Roman"/>
                <w:color w:val="auto"/>
                <w:highlight w:val="none"/>
                <w:lang w:bidi="ar"/>
              </w:rPr>
              <w:t>.禁止任何单位和个人转让、买卖危险废物。禁止在运送过程中丢弃危险废物；禁止在非贮存地点倾倒、堆</w:t>
            </w:r>
            <w:r>
              <w:rPr>
                <w:rFonts w:hint="default" w:ascii="Times New Roman" w:hAnsi="Times New Roman" w:cs="Times New Roman"/>
                <w:color w:val="auto"/>
                <w:highlight w:val="none"/>
                <w:lang w:bidi="ar"/>
              </w:rPr>
              <w:t>放危险废物或者将危险废物混入其他废物和生活垃圾。</w:t>
            </w:r>
          </w:p>
          <w:p w14:paraId="1466B5EC">
            <w:pPr>
              <w:pStyle w:val="102"/>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bidi="ar"/>
              </w:rPr>
            </w:pPr>
            <w:r>
              <w:rPr>
                <w:rFonts w:hint="default" w:ascii="Times New Roman" w:hAnsi="Times New Roman" w:cs="Times New Roman"/>
                <w:color w:val="auto"/>
                <w:highlight w:val="none"/>
                <w:lang w:bidi="ar"/>
              </w:rPr>
              <w:t>d.禁止邮寄危险废物。禁止通过铁路、航空运输危险废物。有陆路通道的，禁止通过水路运输危险废物；没有陆路通道必需经水路运输危险废物的，应当经设区的市级以上人民政府环境保护行政主管部门批准，并采取严格的环境保护措施后，方可通过水路运输。禁止将危险废物与旅客在同一运输工具上载运。禁止在饮用水源保护区的水体上运输危险废物。</w:t>
            </w:r>
          </w:p>
          <w:p w14:paraId="445DF042">
            <w:pPr>
              <w:widowControl/>
              <w:snapToGrid w:val="0"/>
              <w:ind w:firstLine="482"/>
              <w:jc w:val="both"/>
              <w:rPr>
                <w:b/>
                <w:bCs/>
                <w:color w:val="auto"/>
                <w:kern w:val="0"/>
                <w:sz w:val="24"/>
                <w:highlight w:val="none"/>
              </w:rPr>
            </w:pPr>
            <w:r>
              <w:rPr>
                <w:b/>
                <w:bCs/>
                <w:color w:val="auto"/>
                <w:kern w:val="0"/>
                <w:sz w:val="24"/>
                <w:highlight w:val="none"/>
              </w:rPr>
              <w:t>综上，</w:t>
            </w:r>
            <w:r>
              <w:rPr>
                <w:rFonts w:hint="eastAsia"/>
                <w:b/>
                <w:bCs/>
                <w:color w:val="auto"/>
                <w:kern w:val="0"/>
                <w:sz w:val="24"/>
                <w:highlight w:val="none"/>
                <w:lang w:eastAsia="zh-CN"/>
              </w:rPr>
              <w:t>本项目</w:t>
            </w:r>
            <w:r>
              <w:rPr>
                <w:b/>
                <w:bCs/>
                <w:color w:val="auto"/>
                <w:kern w:val="0"/>
                <w:sz w:val="24"/>
                <w:highlight w:val="none"/>
              </w:rPr>
              <w:t>一般固废处置满足防渗漏、防雨淋、防扬尘等环境保护要求，危险废物处置满足《危险废物贮存污染控制标准》（GB18597-2023）</w:t>
            </w:r>
            <w:r>
              <w:rPr>
                <w:rFonts w:hint="eastAsia"/>
                <w:b/>
                <w:bCs/>
                <w:color w:val="auto"/>
                <w:kern w:val="0"/>
                <w:sz w:val="24"/>
                <w:highlight w:val="none"/>
                <w:lang w:val="en-US" w:eastAsia="zh-CN"/>
              </w:rPr>
              <w:t>相关</w:t>
            </w:r>
            <w:r>
              <w:rPr>
                <w:b/>
                <w:bCs/>
                <w:color w:val="auto"/>
                <w:kern w:val="0"/>
                <w:sz w:val="24"/>
                <w:highlight w:val="none"/>
              </w:rPr>
              <w:t>要求。</w:t>
            </w:r>
            <w:r>
              <w:rPr>
                <w:rFonts w:hint="eastAsia"/>
                <w:b/>
                <w:bCs/>
                <w:color w:val="auto"/>
                <w:kern w:val="0"/>
                <w:sz w:val="24"/>
                <w:highlight w:val="none"/>
                <w:lang w:eastAsia="zh-CN"/>
              </w:rPr>
              <w:t>本项目</w:t>
            </w:r>
            <w:r>
              <w:rPr>
                <w:b/>
                <w:bCs/>
                <w:color w:val="auto"/>
                <w:kern w:val="0"/>
                <w:sz w:val="24"/>
                <w:highlight w:val="none"/>
              </w:rPr>
              <w:t>产生的固体废物去向明确，</w:t>
            </w:r>
            <w:r>
              <w:rPr>
                <w:rFonts w:hint="eastAsia"/>
                <w:b/>
                <w:bCs/>
                <w:color w:val="auto"/>
                <w:kern w:val="0"/>
                <w:sz w:val="24"/>
                <w:highlight w:val="none"/>
                <w:lang w:val="en-US" w:eastAsia="zh-CN"/>
              </w:rPr>
              <w:t>可</w:t>
            </w:r>
            <w:r>
              <w:rPr>
                <w:b/>
                <w:bCs/>
                <w:color w:val="auto"/>
                <w:kern w:val="0"/>
                <w:sz w:val="24"/>
                <w:highlight w:val="none"/>
              </w:rPr>
              <w:t>有效防止固体废物对环境的二次污染，不会对周围环境造成影响。</w:t>
            </w:r>
          </w:p>
          <w:p w14:paraId="4D3F4DC1">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eastAsia="宋体"/>
                <w:b/>
                <w:color w:val="auto"/>
                <w:sz w:val="24"/>
                <w:highlight w:val="none"/>
                <w:lang w:val="en-US" w:eastAsia="zh-CN"/>
              </w:rPr>
            </w:pPr>
            <w:r>
              <w:rPr>
                <w:rFonts w:hint="eastAsia" w:ascii="黑体" w:hAnsi="黑体" w:eastAsia="黑体" w:cs="黑体"/>
                <w:b/>
                <w:color w:val="auto"/>
                <w:sz w:val="24"/>
                <w:highlight w:val="none"/>
                <w:lang w:val="en-US" w:eastAsia="zh-CN"/>
              </w:rPr>
              <w:t>5、地下水、土壤</w:t>
            </w:r>
          </w:p>
          <w:p w14:paraId="6AEBCC2F">
            <w:pPr>
              <w:widowControl/>
              <w:autoSpaceDE/>
              <w:autoSpaceDN/>
              <w:adjustRightInd w:val="0"/>
              <w:snapToGrid w:val="0"/>
              <w:spacing w:line="360" w:lineRule="auto"/>
              <w:ind w:firstLine="482" w:firstLineChars="200"/>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（1）环境影响类型与影响途径识别</w:t>
            </w:r>
          </w:p>
          <w:p w14:paraId="3A5F73CA">
            <w:pPr>
              <w:widowControl/>
              <w:autoSpaceDE/>
              <w:autoSpaceDN/>
              <w:adjustRightInd w:val="0"/>
              <w:snapToGrid w:val="0"/>
              <w:spacing w:line="360" w:lineRule="auto"/>
              <w:ind w:firstLine="440" w:firstLineChars="200"/>
              <w:jc w:val="left"/>
              <w:rPr>
                <w:rFonts w:hint="default" w:ascii="Times New Roman" w:hAnsi="Times New Roman" w:cs="Times New Roman"/>
                <w:bCs/>
                <w:color w:val="auto"/>
                <w:spacing w:val="-10"/>
                <w:sz w:val="24"/>
                <w:highlight w:val="none"/>
              </w:rPr>
            </w:pPr>
            <w:r>
              <w:rPr>
                <w:rFonts w:hint="eastAsia" w:cs="Times New Roman"/>
                <w:bCs/>
                <w:color w:val="auto"/>
                <w:spacing w:val="-10"/>
                <w:sz w:val="24"/>
                <w:highlight w:val="none"/>
                <w:lang w:val="en-US" w:eastAsia="zh-CN"/>
              </w:rPr>
              <w:t>本项目建成后厂区</w:t>
            </w:r>
            <w:r>
              <w:rPr>
                <w:rFonts w:hint="default" w:ascii="Times New Roman" w:hAnsi="Times New Roman" w:cs="Times New Roman"/>
                <w:bCs/>
                <w:color w:val="auto"/>
                <w:spacing w:val="-10"/>
                <w:sz w:val="24"/>
                <w:highlight w:val="none"/>
              </w:rPr>
              <w:t>对地下水、土壤影响的污染源主要为</w:t>
            </w:r>
            <w:r>
              <w:rPr>
                <w:rFonts w:hint="eastAsia" w:cs="Times New Roman"/>
                <w:bCs/>
                <w:color w:val="auto"/>
                <w:spacing w:val="-10"/>
                <w:sz w:val="24"/>
                <w:highlight w:val="none"/>
                <w:lang w:val="en-US" w:eastAsia="zh-CN"/>
              </w:rPr>
              <w:t>现有项目危废暂存间等</w:t>
            </w:r>
            <w:r>
              <w:rPr>
                <w:rFonts w:hint="default" w:ascii="Times New Roman" w:hAnsi="Times New Roman" w:cs="Times New Roman"/>
                <w:bCs/>
                <w:color w:val="auto"/>
                <w:spacing w:val="-10"/>
                <w:sz w:val="24"/>
                <w:highlight w:val="none"/>
              </w:rPr>
              <w:t>，主要污染物为</w:t>
            </w:r>
            <w:r>
              <w:rPr>
                <w:rFonts w:hint="eastAsia" w:cs="Times New Roman"/>
                <w:bCs/>
                <w:color w:val="auto"/>
                <w:spacing w:val="-10"/>
                <w:sz w:val="24"/>
                <w:highlight w:val="none"/>
                <w:lang w:val="en-US" w:eastAsia="zh-CN"/>
              </w:rPr>
              <w:t>废机油等</w:t>
            </w:r>
            <w:r>
              <w:rPr>
                <w:rFonts w:hint="default" w:ascii="Times New Roman" w:hAnsi="Times New Roman" w:cs="Times New Roman"/>
                <w:bCs/>
                <w:color w:val="auto"/>
                <w:spacing w:val="-10"/>
                <w:sz w:val="24"/>
                <w:highlight w:val="none"/>
              </w:rPr>
              <w:t>。</w:t>
            </w:r>
            <w:r>
              <w:rPr>
                <w:rFonts w:hint="eastAsia" w:cs="Times New Roman"/>
                <w:bCs/>
                <w:color w:val="auto"/>
                <w:spacing w:val="-10"/>
                <w:sz w:val="24"/>
                <w:highlight w:val="none"/>
                <w:lang w:eastAsia="zh-CN"/>
              </w:rPr>
              <w:t>本项目</w:t>
            </w:r>
            <w:r>
              <w:rPr>
                <w:rFonts w:hint="default" w:ascii="Times New Roman" w:hAnsi="Times New Roman" w:cs="Times New Roman"/>
                <w:bCs/>
                <w:color w:val="auto"/>
                <w:spacing w:val="-10"/>
                <w:sz w:val="24"/>
                <w:highlight w:val="none"/>
              </w:rPr>
              <w:t>对地下水、土壤的影响类型和途径见下表。</w:t>
            </w:r>
          </w:p>
          <w:p w14:paraId="045213E6">
            <w:pPr>
              <w:pStyle w:val="14"/>
              <w:bidi w:val="0"/>
              <w:rPr>
                <w:rFonts w:hint="default"/>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22</w:t>
            </w:r>
            <w:r>
              <w:rPr>
                <w:color w:val="auto"/>
                <w:highlight w:val="none"/>
              </w:rPr>
              <w:fldChar w:fldCharType="end"/>
            </w:r>
            <w:r>
              <w:rPr>
                <w:rFonts w:hint="eastAsia"/>
                <w:color w:val="auto"/>
                <w:highlight w:val="none"/>
                <w:lang w:val="en-US" w:eastAsia="zh-CN"/>
              </w:rPr>
              <w:t xml:space="preserve">  </w:t>
            </w:r>
            <w:r>
              <w:rPr>
                <w:rFonts w:hint="default"/>
                <w:color w:val="auto"/>
                <w:highlight w:val="none"/>
              </w:rPr>
              <w:t>项目地下水、土壤影响类型与影响途径识别表</w:t>
            </w:r>
          </w:p>
          <w:tbl>
            <w:tblPr>
              <w:tblStyle w:val="28"/>
              <w:tblW w:w="50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757"/>
              <w:gridCol w:w="1488"/>
              <w:gridCol w:w="2000"/>
              <w:gridCol w:w="2012"/>
            </w:tblGrid>
            <w:tr w14:paraId="5348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20" w:type="pct"/>
                  <w:tcBorders>
                    <w:top w:val="single" w:color="auto" w:sz="12" w:space="0"/>
                    <w:bottom w:val="single" w:color="auto" w:sz="4" w:space="0"/>
                    <w:right w:val="single" w:color="auto" w:sz="4" w:space="0"/>
                  </w:tcBorders>
                  <w:noWrap w:val="0"/>
                  <w:vAlign w:val="center"/>
                </w:tcPr>
                <w:p w14:paraId="592D7ADD">
                  <w:pPr>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963" w:type="pct"/>
                  <w:tcBorders>
                    <w:top w:val="single" w:color="auto" w:sz="12" w:space="0"/>
                    <w:left w:val="single" w:color="auto" w:sz="4" w:space="0"/>
                    <w:bottom w:val="single" w:color="auto" w:sz="4" w:space="0"/>
                    <w:right w:val="single" w:color="auto" w:sz="4" w:space="0"/>
                  </w:tcBorders>
                  <w:noWrap w:val="0"/>
                  <w:vAlign w:val="center"/>
                </w:tcPr>
                <w:p w14:paraId="53E96CC9">
                  <w:pPr>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工艺流程/节点</w:t>
                  </w:r>
                </w:p>
              </w:tc>
              <w:tc>
                <w:tcPr>
                  <w:tcW w:w="816" w:type="pct"/>
                  <w:tcBorders>
                    <w:top w:val="single" w:color="auto" w:sz="12" w:space="0"/>
                    <w:left w:val="single" w:color="auto" w:sz="4" w:space="0"/>
                    <w:bottom w:val="single" w:color="auto" w:sz="4" w:space="0"/>
                    <w:right w:val="single" w:color="auto" w:sz="4" w:space="0"/>
                  </w:tcBorders>
                  <w:noWrap w:val="0"/>
                  <w:vAlign w:val="center"/>
                </w:tcPr>
                <w:p w14:paraId="4C4F4153">
                  <w:pPr>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污染途径</w:t>
                  </w:r>
                </w:p>
              </w:tc>
              <w:tc>
                <w:tcPr>
                  <w:tcW w:w="1096" w:type="pct"/>
                  <w:tcBorders>
                    <w:top w:val="single" w:color="auto" w:sz="12" w:space="0"/>
                    <w:left w:val="single" w:color="auto" w:sz="4" w:space="0"/>
                    <w:bottom w:val="single" w:color="auto" w:sz="4" w:space="0"/>
                    <w:right w:val="single" w:color="auto" w:sz="4" w:space="0"/>
                  </w:tcBorders>
                  <w:noWrap w:val="0"/>
                  <w:vAlign w:val="center"/>
                </w:tcPr>
                <w:p w14:paraId="7F2882FE">
                  <w:pPr>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特征因子</w:t>
                  </w:r>
                </w:p>
              </w:tc>
              <w:tc>
                <w:tcPr>
                  <w:tcW w:w="1103" w:type="pct"/>
                  <w:tcBorders>
                    <w:top w:val="single" w:color="auto" w:sz="12" w:space="0"/>
                    <w:left w:val="single" w:color="auto" w:sz="4" w:space="0"/>
                    <w:bottom w:val="single" w:color="auto" w:sz="4" w:space="0"/>
                    <w:right w:val="nil"/>
                  </w:tcBorders>
                  <w:noWrap w:val="0"/>
                  <w:vAlign w:val="center"/>
                </w:tcPr>
                <w:p w14:paraId="6861C84F">
                  <w:pPr>
                    <w:autoSpaceDE/>
                    <w:autoSpaceDN/>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14:paraId="3137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20" w:type="pct"/>
                  <w:tcBorders>
                    <w:top w:val="single" w:color="auto" w:sz="4" w:space="0"/>
                    <w:left w:val="nil"/>
                    <w:bottom w:val="single" w:color="auto" w:sz="12" w:space="0"/>
                    <w:right w:val="single" w:color="auto" w:sz="4" w:space="0"/>
                  </w:tcBorders>
                  <w:noWrap w:val="0"/>
                  <w:vAlign w:val="center"/>
                </w:tcPr>
                <w:p w14:paraId="729BC02B">
                  <w:pPr>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危废暂存间</w:t>
                  </w:r>
                </w:p>
              </w:tc>
              <w:tc>
                <w:tcPr>
                  <w:tcW w:w="963" w:type="pct"/>
                  <w:tcBorders>
                    <w:top w:val="single" w:color="auto" w:sz="4" w:space="0"/>
                    <w:left w:val="single" w:color="auto" w:sz="4" w:space="0"/>
                    <w:bottom w:val="single" w:color="auto" w:sz="12" w:space="0"/>
                    <w:right w:val="single" w:color="auto" w:sz="4" w:space="0"/>
                  </w:tcBorders>
                  <w:noWrap w:val="0"/>
                  <w:vAlign w:val="center"/>
                </w:tcPr>
                <w:p w14:paraId="175A3746">
                  <w:pPr>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危废暂存</w:t>
                  </w:r>
                </w:p>
              </w:tc>
              <w:tc>
                <w:tcPr>
                  <w:tcW w:w="816" w:type="pct"/>
                  <w:tcBorders>
                    <w:top w:val="single" w:color="auto" w:sz="4" w:space="0"/>
                    <w:left w:val="single" w:color="auto" w:sz="4" w:space="0"/>
                    <w:bottom w:val="single" w:color="auto" w:sz="12" w:space="0"/>
                    <w:right w:val="single" w:color="auto" w:sz="4" w:space="0"/>
                  </w:tcBorders>
                  <w:noWrap w:val="0"/>
                  <w:vAlign w:val="center"/>
                </w:tcPr>
                <w:p w14:paraId="05919514">
                  <w:pPr>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垂直入渗</w:t>
                  </w:r>
                </w:p>
              </w:tc>
              <w:tc>
                <w:tcPr>
                  <w:tcW w:w="1096" w:type="pct"/>
                  <w:tcBorders>
                    <w:top w:val="single" w:color="auto" w:sz="4" w:space="0"/>
                    <w:left w:val="single" w:color="auto" w:sz="4" w:space="0"/>
                    <w:bottom w:val="single" w:color="auto" w:sz="12" w:space="0"/>
                    <w:right w:val="single" w:color="auto" w:sz="4" w:space="0"/>
                  </w:tcBorders>
                  <w:noWrap w:val="0"/>
                  <w:vAlign w:val="center"/>
                </w:tcPr>
                <w:p w14:paraId="629C1CF7">
                  <w:pPr>
                    <w:autoSpaceDE/>
                    <w:autoSpaceDN/>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矿物油等</w:t>
                  </w:r>
                </w:p>
              </w:tc>
              <w:tc>
                <w:tcPr>
                  <w:tcW w:w="1103" w:type="pct"/>
                  <w:tcBorders>
                    <w:top w:val="single" w:color="auto" w:sz="4" w:space="0"/>
                    <w:left w:val="single" w:color="auto" w:sz="4" w:space="0"/>
                    <w:bottom w:val="single" w:color="auto" w:sz="12" w:space="0"/>
                    <w:right w:val="nil"/>
                  </w:tcBorders>
                  <w:noWrap w:val="0"/>
                  <w:vAlign w:val="center"/>
                </w:tcPr>
                <w:p w14:paraId="4BF817E1">
                  <w:pPr>
                    <w:autoSpaceDE/>
                    <w:autoSpaceDN/>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w:t>
                  </w:r>
                  <w:r>
                    <w:rPr>
                      <w:rFonts w:hint="default" w:ascii="Times New Roman" w:hAnsi="Times New Roman" w:cs="Times New Roman"/>
                      <w:color w:val="auto"/>
                      <w:kern w:val="0"/>
                      <w:sz w:val="21"/>
                      <w:szCs w:val="21"/>
                      <w:highlight w:val="none"/>
                    </w:rPr>
                    <w:t>、非正常</w:t>
                  </w:r>
                </w:p>
              </w:tc>
            </w:tr>
          </w:tbl>
          <w:p w14:paraId="1C93553A">
            <w:pPr>
              <w:pStyle w:val="52"/>
              <w:keepNext w:val="0"/>
              <w:keepLines w:val="0"/>
              <w:pageBreakBefore w:val="0"/>
              <w:widowControl w:val="0"/>
              <w:kinsoku/>
              <w:wordWrap/>
              <w:overflowPunct/>
              <w:topLinePunct w:val="0"/>
              <w:autoSpaceDE w:val="0"/>
              <w:autoSpaceDN w:val="0"/>
              <w:bidi w:val="0"/>
              <w:adjustRightInd w:val="0"/>
              <w:snapToGrid w:val="0"/>
              <w:spacing w:before="157" w:beforeLines="50"/>
              <w:ind w:firstLine="480"/>
              <w:jc w:val="both"/>
              <w:textAlignment w:val="baseline"/>
              <w:rPr>
                <w:rFonts w:hint="eastAsia" w:eastAsia="宋体"/>
                <w:color w:val="auto"/>
                <w:sz w:val="24"/>
                <w:szCs w:val="24"/>
                <w:highlight w:val="none"/>
                <w:lang w:eastAsia="zh-CN"/>
              </w:rPr>
            </w:pPr>
            <w:r>
              <w:rPr>
                <w:rFonts w:hint="default" w:ascii="Times New Roman" w:hAnsi="Times New Roman" w:cs="Times New Roman"/>
                <w:b/>
                <w:color w:val="auto"/>
                <w:sz w:val="24"/>
                <w:highlight w:val="none"/>
              </w:rPr>
              <w:t>（2）地下水、土壤污染防控措施</w:t>
            </w:r>
          </w:p>
          <w:p w14:paraId="445A9940">
            <w:pPr>
              <w:pStyle w:val="52"/>
              <w:ind w:firstLine="482"/>
              <w:jc w:val="both"/>
              <w:rPr>
                <w:b/>
                <w:bCs/>
                <w:color w:val="auto"/>
                <w:sz w:val="24"/>
                <w:szCs w:val="24"/>
                <w:highlight w:val="none"/>
              </w:rPr>
            </w:pPr>
            <w:r>
              <w:rPr>
                <w:b/>
                <w:bCs/>
                <w:color w:val="auto"/>
                <w:sz w:val="24"/>
                <w:szCs w:val="24"/>
                <w:highlight w:val="none"/>
              </w:rPr>
              <w:t>1、源头控制措施</w:t>
            </w:r>
          </w:p>
          <w:p w14:paraId="3A26E5DE">
            <w:pPr>
              <w:pStyle w:val="52"/>
              <w:ind w:firstLine="480"/>
              <w:jc w:val="both"/>
              <w:rPr>
                <w:color w:val="auto"/>
                <w:sz w:val="24"/>
                <w:szCs w:val="24"/>
                <w:highlight w:val="none"/>
              </w:rPr>
            </w:pPr>
            <w:r>
              <w:rPr>
                <w:color w:val="auto"/>
                <w:sz w:val="24"/>
                <w:szCs w:val="24"/>
                <w:highlight w:val="none"/>
              </w:rPr>
              <w:t>①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48292668">
            <w:pPr>
              <w:pStyle w:val="52"/>
              <w:ind w:firstLine="480"/>
              <w:jc w:val="both"/>
              <w:rPr>
                <w:color w:val="auto"/>
                <w:sz w:val="24"/>
                <w:szCs w:val="24"/>
                <w:highlight w:val="none"/>
              </w:rPr>
            </w:pPr>
            <w:r>
              <w:rPr>
                <w:color w:val="auto"/>
                <w:sz w:val="24"/>
                <w:szCs w:val="24"/>
                <w:highlight w:val="none"/>
              </w:rPr>
              <w:t>②对工艺、设备、污水储存及处理构筑物采取控制措施，防止污染物的跑、冒、滴、漏，将污染物泄漏的环境风险事故降到最低限度。</w:t>
            </w:r>
          </w:p>
          <w:p w14:paraId="7285699C">
            <w:pPr>
              <w:pStyle w:val="52"/>
              <w:ind w:firstLine="482"/>
              <w:jc w:val="both"/>
              <w:rPr>
                <w:b/>
                <w:bCs/>
                <w:color w:val="auto"/>
                <w:sz w:val="24"/>
                <w:szCs w:val="24"/>
                <w:highlight w:val="none"/>
              </w:rPr>
            </w:pPr>
            <w:r>
              <w:rPr>
                <w:b/>
                <w:bCs/>
                <w:color w:val="auto"/>
                <w:sz w:val="24"/>
                <w:szCs w:val="24"/>
                <w:highlight w:val="none"/>
              </w:rPr>
              <w:t>2、分区防治措施</w:t>
            </w:r>
          </w:p>
          <w:p w14:paraId="298E276D">
            <w:pPr>
              <w:pStyle w:val="52"/>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为保护区域地下水及土壤不受污染，本次环评依据厂区各功能单元的污染程度和污染特性，以及区域水文地质条件，将厂区划分为简单防渗区、重点防渗区，针对不同的污染防治区域，采取相应的污染防治措施，具体如下表所示。</w:t>
            </w:r>
          </w:p>
          <w:p w14:paraId="64D8FFB3">
            <w:pPr>
              <w:pStyle w:val="14"/>
              <w:bidi w:val="0"/>
              <w:rPr>
                <w:rFonts w:hint="default"/>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23</w:t>
            </w:r>
            <w:r>
              <w:rPr>
                <w:color w:val="auto"/>
                <w:highlight w:val="none"/>
              </w:rPr>
              <w:fldChar w:fldCharType="end"/>
            </w:r>
            <w:r>
              <w:rPr>
                <w:rFonts w:hint="eastAsia"/>
                <w:color w:val="auto"/>
                <w:highlight w:val="none"/>
                <w:lang w:val="en-US" w:eastAsia="zh-CN"/>
              </w:rPr>
              <w:t xml:space="preserve">  </w:t>
            </w:r>
            <w:r>
              <w:rPr>
                <w:rFonts w:hint="eastAsia"/>
                <w:color w:val="auto"/>
                <w:highlight w:val="none"/>
                <w:lang w:eastAsia="zh-CN"/>
              </w:rPr>
              <w:t>本项目</w:t>
            </w:r>
            <w:r>
              <w:rPr>
                <w:rFonts w:hint="default"/>
                <w:color w:val="auto"/>
                <w:highlight w:val="none"/>
              </w:rPr>
              <w:t>防渗分区及措施</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754"/>
              <w:gridCol w:w="2315"/>
              <w:gridCol w:w="2934"/>
              <w:gridCol w:w="1953"/>
              <w:gridCol w:w="729"/>
            </w:tblGrid>
            <w:tr w14:paraId="4A6E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4" w:type="dxa"/>
                  <w:tcBorders>
                    <w:top w:val="single" w:color="auto" w:sz="12" w:space="0"/>
                    <w:bottom w:val="single" w:color="auto" w:sz="4" w:space="0"/>
                    <w:right w:val="single" w:color="auto" w:sz="4" w:space="0"/>
                  </w:tcBorders>
                  <w:noWrap w:val="0"/>
                  <w:vAlign w:val="center"/>
                </w:tcPr>
                <w:p w14:paraId="6158FA39">
                  <w:pPr>
                    <w:autoSpaceDE/>
                    <w:autoSpaceDN/>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754" w:type="dxa"/>
                  <w:tcBorders>
                    <w:top w:val="single" w:color="auto" w:sz="12" w:space="0"/>
                    <w:left w:val="single" w:color="auto" w:sz="4" w:space="0"/>
                    <w:bottom w:val="single" w:color="auto" w:sz="4" w:space="0"/>
                    <w:right w:val="single" w:color="auto" w:sz="4" w:space="0"/>
                  </w:tcBorders>
                  <w:noWrap w:val="0"/>
                  <w:vAlign w:val="center"/>
                </w:tcPr>
                <w:p w14:paraId="5EAFD26C">
                  <w:pPr>
                    <w:autoSpaceDE/>
                    <w:autoSpaceDN/>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防渗分区</w:t>
                  </w:r>
                </w:p>
              </w:tc>
              <w:tc>
                <w:tcPr>
                  <w:tcW w:w="2315" w:type="dxa"/>
                  <w:tcBorders>
                    <w:top w:val="single" w:color="auto" w:sz="12" w:space="0"/>
                    <w:left w:val="single" w:color="auto" w:sz="4" w:space="0"/>
                    <w:bottom w:val="single" w:color="auto" w:sz="4" w:space="0"/>
                    <w:right w:val="single" w:color="auto" w:sz="4" w:space="0"/>
                  </w:tcBorders>
                  <w:noWrap w:val="0"/>
                  <w:vAlign w:val="center"/>
                </w:tcPr>
                <w:p w14:paraId="051EE0CD">
                  <w:pPr>
                    <w:autoSpaceDE/>
                    <w:autoSpaceDN/>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具体范围</w:t>
                  </w:r>
                </w:p>
              </w:tc>
              <w:tc>
                <w:tcPr>
                  <w:tcW w:w="2934" w:type="dxa"/>
                  <w:tcBorders>
                    <w:top w:val="single" w:color="auto" w:sz="12" w:space="0"/>
                    <w:left w:val="single" w:color="auto" w:sz="4" w:space="0"/>
                    <w:bottom w:val="single" w:color="auto" w:sz="4" w:space="0"/>
                    <w:right w:val="single" w:color="auto" w:sz="4" w:space="0"/>
                  </w:tcBorders>
                  <w:noWrap w:val="0"/>
                  <w:vAlign w:val="center"/>
                </w:tcPr>
                <w:p w14:paraId="4C86F208">
                  <w:pPr>
                    <w:autoSpaceDE/>
                    <w:autoSpaceDN/>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防渗要求</w:t>
                  </w:r>
                </w:p>
              </w:tc>
              <w:tc>
                <w:tcPr>
                  <w:tcW w:w="1953" w:type="dxa"/>
                  <w:tcBorders>
                    <w:top w:val="single" w:color="auto" w:sz="12" w:space="0"/>
                    <w:left w:val="single" w:color="auto" w:sz="4" w:space="0"/>
                    <w:bottom w:val="single" w:color="auto" w:sz="4" w:space="0"/>
                    <w:right w:val="single" w:color="auto" w:sz="4" w:space="0"/>
                  </w:tcBorders>
                  <w:noWrap w:val="0"/>
                  <w:vAlign w:val="center"/>
                </w:tcPr>
                <w:p w14:paraId="4BB7202F">
                  <w:pPr>
                    <w:autoSpaceDE/>
                    <w:autoSpaceDN/>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本次环评新增防渗措施</w:t>
                  </w:r>
                </w:p>
              </w:tc>
              <w:tc>
                <w:tcPr>
                  <w:tcW w:w="729" w:type="dxa"/>
                  <w:tcBorders>
                    <w:top w:val="single" w:color="auto" w:sz="12" w:space="0"/>
                    <w:left w:val="single" w:color="auto" w:sz="4" w:space="0"/>
                    <w:bottom w:val="single" w:color="auto" w:sz="4" w:space="0"/>
                    <w:right w:val="nil"/>
                  </w:tcBorders>
                  <w:noWrap w:val="0"/>
                  <w:vAlign w:val="center"/>
                </w:tcPr>
                <w:p w14:paraId="408EBCB7">
                  <w:pPr>
                    <w:autoSpaceDE/>
                    <w:autoSpaceDN/>
                    <w:adjustRightInd w:val="0"/>
                    <w:snapToGrid w:val="0"/>
                    <w:spacing w:line="240" w:lineRule="auto"/>
                    <w:ind w:firstLine="0" w:firstLineChars="0"/>
                    <w:jc w:val="center"/>
                    <w:rPr>
                      <w:rFonts w:hint="eastAsia"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备注</w:t>
                  </w:r>
                </w:p>
              </w:tc>
            </w:tr>
            <w:tr w14:paraId="7844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4" w:type="dxa"/>
                  <w:vMerge w:val="restart"/>
                  <w:tcBorders>
                    <w:top w:val="single" w:color="auto" w:sz="4" w:space="0"/>
                    <w:left w:val="nil"/>
                    <w:bottom w:val="single" w:color="auto" w:sz="4" w:space="0"/>
                    <w:right w:val="single" w:color="auto" w:sz="4" w:space="0"/>
                  </w:tcBorders>
                  <w:noWrap w:val="0"/>
                  <w:vAlign w:val="center"/>
                </w:tcPr>
                <w:p w14:paraId="2AF70023">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754" w:type="dxa"/>
                  <w:vMerge w:val="restart"/>
                  <w:tcBorders>
                    <w:top w:val="single" w:color="auto" w:sz="4" w:space="0"/>
                    <w:left w:val="single" w:color="auto" w:sz="4" w:space="0"/>
                    <w:bottom w:val="single" w:color="auto" w:sz="4" w:space="0"/>
                    <w:right w:val="single" w:color="auto" w:sz="4" w:space="0"/>
                  </w:tcBorders>
                  <w:noWrap w:val="0"/>
                  <w:vAlign w:val="center"/>
                </w:tcPr>
                <w:p w14:paraId="396A7431">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重点防渗</w:t>
                  </w:r>
                </w:p>
              </w:tc>
              <w:tc>
                <w:tcPr>
                  <w:tcW w:w="2315" w:type="dxa"/>
                  <w:tcBorders>
                    <w:top w:val="single" w:color="auto" w:sz="4" w:space="0"/>
                    <w:left w:val="single" w:color="auto" w:sz="4" w:space="0"/>
                    <w:bottom w:val="single" w:color="auto" w:sz="4" w:space="0"/>
                    <w:right w:val="single" w:color="auto" w:sz="4" w:space="0"/>
                  </w:tcBorders>
                  <w:noWrap w:val="0"/>
                  <w:vAlign w:val="center"/>
                </w:tcPr>
                <w:p w14:paraId="0EABFF94">
                  <w:pPr>
                    <w:autoSpaceDE/>
                    <w:autoSpaceDN/>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危废暂存间</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18250C1B">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8"/>
                      <w:highlight w:val="none"/>
                    </w:rPr>
                    <w:t>基础必须防渗，防渗层为至少1米厚粘土层（渗透系数≤10</w:t>
                  </w:r>
                  <w:r>
                    <w:rPr>
                      <w:rFonts w:hint="default" w:ascii="Times New Roman" w:hAnsi="Times New Roman" w:cs="Times New Roman"/>
                      <w:color w:val="auto"/>
                      <w:sz w:val="21"/>
                      <w:szCs w:val="28"/>
                      <w:highlight w:val="none"/>
                      <w:vertAlign w:val="superscript"/>
                    </w:rPr>
                    <w:t>-7</w:t>
                  </w:r>
                  <w:r>
                    <w:rPr>
                      <w:rFonts w:hint="default" w:ascii="Times New Roman" w:hAnsi="Times New Roman" w:cs="Times New Roman"/>
                      <w:color w:val="auto"/>
                      <w:sz w:val="21"/>
                      <w:szCs w:val="28"/>
                      <w:highlight w:val="none"/>
                    </w:rPr>
                    <w:t>厘米/秒），或2毫米厚高密度聚乙烯，或至少2毫米厚的其它人工材料，渗透系数≤10</w:t>
                  </w:r>
                  <w:r>
                    <w:rPr>
                      <w:rFonts w:hint="default" w:ascii="Times New Roman" w:hAnsi="Times New Roman" w:cs="Times New Roman"/>
                      <w:color w:val="auto"/>
                      <w:sz w:val="21"/>
                      <w:szCs w:val="28"/>
                      <w:highlight w:val="none"/>
                      <w:vertAlign w:val="superscript"/>
                    </w:rPr>
                    <w:t>-10</w:t>
                  </w:r>
                  <w:r>
                    <w:rPr>
                      <w:rFonts w:hint="default" w:ascii="Times New Roman" w:hAnsi="Times New Roman" w:cs="Times New Roman"/>
                      <w:color w:val="auto"/>
                      <w:sz w:val="21"/>
                      <w:szCs w:val="28"/>
                      <w:highlight w:val="none"/>
                    </w:rPr>
                    <w:t>厘米/秒</w:t>
                  </w:r>
                </w:p>
              </w:tc>
              <w:tc>
                <w:tcPr>
                  <w:tcW w:w="1953" w:type="dxa"/>
                  <w:tcBorders>
                    <w:top w:val="single" w:color="auto" w:sz="4" w:space="0"/>
                    <w:left w:val="single" w:color="auto" w:sz="4" w:space="0"/>
                    <w:bottom w:val="single" w:color="auto" w:sz="4" w:space="0"/>
                    <w:right w:val="single" w:color="auto" w:sz="4" w:space="0"/>
                  </w:tcBorders>
                  <w:noWrap w:val="0"/>
                  <w:vAlign w:val="center"/>
                </w:tcPr>
                <w:p w14:paraId="3064D0E1">
                  <w:pPr>
                    <w:autoSpaceDE/>
                    <w:autoSpaceDN/>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需</w:t>
                  </w:r>
                  <w:r>
                    <w:rPr>
                      <w:rFonts w:hint="default" w:ascii="Times New Roman" w:hAnsi="Times New Roman" w:cs="Times New Roman"/>
                      <w:bCs/>
                      <w:color w:val="auto"/>
                      <w:sz w:val="21"/>
                      <w:szCs w:val="21"/>
                      <w:highlight w:val="none"/>
                    </w:rPr>
                    <w:t>采用防渗混凝土+玻璃纤维膜+2mm厚环氧树脂地坪漆+金属托盘等重点防渗处理，并设置围堰</w:t>
                  </w:r>
                </w:p>
              </w:tc>
              <w:tc>
                <w:tcPr>
                  <w:tcW w:w="729" w:type="dxa"/>
                  <w:tcBorders>
                    <w:top w:val="single" w:color="auto" w:sz="4" w:space="0"/>
                    <w:left w:val="single" w:color="auto" w:sz="4" w:space="0"/>
                    <w:bottom w:val="single" w:color="auto" w:sz="4" w:space="0"/>
                    <w:right w:val="nil"/>
                  </w:tcBorders>
                  <w:noWrap w:val="0"/>
                  <w:vAlign w:val="center"/>
                </w:tcPr>
                <w:p w14:paraId="4E76DF6B">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新建</w:t>
                  </w:r>
                </w:p>
              </w:tc>
            </w:tr>
            <w:tr w14:paraId="1B59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4" w:type="dxa"/>
                  <w:vMerge w:val="continue"/>
                  <w:tcBorders>
                    <w:top w:val="single" w:color="auto" w:sz="4" w:space="0"/>
                    <w:left w:val="nil"/>
                    <w:bottom w:val="single" w:color="auto" w:sz="4" w:space="0"/>
                    <w:right w:val="single" w:color="auto" w:sz="4" w:space="0"/>
                  </w:tcBorders>
                  <w:noWrap w:val="0"/>
                  <w:vAlign w:val="center"/>
                </w:tcPr>
                <w:p w14:paraId="3D4F39AE">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p>
              </w:tc>
              <w:tc>
                <w:tcPr>
                  <w:tcW w:w="754" w:type="dxa"/>
                  <w:vMerge w:val="continue"/>
                  <w:tcBorders>
                    <w:top w:val="single" w:color="auto" w:sz="4" w:space="0"/>
                    <w:left w:val="single" w:color="auto" w:sz="4" w:space="0"/>
                    <w:bottom w:val="single" w:color="auto" w:sz="4" w:space="0"/>
                    <w:right w:val="single" w:color="auto" w:sz="4" w:space="0"/>
                  </w:tcBorders>
                  <w:noWrap w:val="0"/>
                  <w:vAlign w:val="center"/>
                </w:tcPr>
                <w:p w14:paraId="3AAD9B1A">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14:paraId="4315FAA4">
                  <w:pPr>
                    <w:autoSpaceDE/>
                    <w:autoSpaceDN/>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污水处理池</w:t>
                  </w:r>
                </w:p>
              </w:tc>
              <w:tc>
                <w:tcPr>
                  <w:tcW w:w="2934" w:type="dxa"/>
                  <w:vMerge w:val="restart"/>
                  <w:tcBorders>
                    <w:top w:val="single" w:color="auto" w:sz="4" w:space="0"/>
                    <w:left w:val="single" w:color="auto" w:sz="4" w:space="0"/>
                    <w:bottom w:val="single" w:color="auto" w:sz="4" w:space="0"/>
                    <w:right w:val="single" w:color="auto" w:sz="4" w:space="0"/>
                  </w:tcBorders>
                  <w:noWrap w:val="0"/>
                  <w:vAlign w:val="center"/>
                </w:tcPr>
                <w:p w14:paraId="718E47D8">
                  <w:pPr>
                    <w:autoSpaceDE/>
                    <w:autoSpaceDN/>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Mb≥6.0m，K≤1×10</w:t>
                  </w:r>
                  <w:r>
                    <w:rPr>
                      <w:rFonts w:hint="default" w:ascii="Times New Roman" w:hAnsi="Times New Roman" w:cs="Times New Roman"/>
                      <w:color w:val="auto"/>
                      <w:sz w:val="21"/>
                      <w:szCs w:val="28"/>
                      <w:highlight w:val="none"/>
                      <w:vertAlign w:val="superscript"/>
                    </w:rPr>
                    <w:t>-7</w:t>
                  </w:r>
                  <w:r>
                    <w:rPr>
                      <w:rFonts w:hint="default" w:ascii="Times New Roman" w:hAnsi="Times New Roman" w:cs="Times New Roman"/>
                      <w:color w:val="auto"/>
                      <w:sz w:val="21"/>
                      <w:szCs w:val="28"/>
                      <w:highlight w:val="none"/>
                    </w:rPr>
                    <w:t>cm/s</w:t>
                  </w:r>
                </w:p>
              </w:tc>
              <w:tc>
                <w:tcPr>
                  <w:tcW w:w="195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3CD4AB5D">
                  <w:pPr>
                    <w:autoSpaceDE/>
                    <w:autoSpaceDN/>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防渗混凝土硬化+至少2mm厚的HDPE膜或其他人工材料</w:t>
                  </w:r>
                </w:p>
              </w:tc>
              <w:tc>
                <w:tcPr>
                  <w:tcW w:w="729" w:type="dxa"/>
                  <w:vMerge w:val="restart"/>
                  <w:tcBorders>
                    <w:top w:val="single" w:color="auto" w:sz="4" w:space="0"/>
                    <w:left w:val="single" w:color="auto" w:sz="4" w:space="0"/>
                    <w:bottom w:val="single" w:color="auto" w:sz="4" w:space="0"/>
                    <w:right w:val="nil"/>
                  </w:tcBorders>
                  <w:shd w:val="clear" w:color="auto" w:fill="auto"/>
                  <w:noWrap w:val="0"/>
                  <w:vAlign w:val="center"/>
                </w:tcPr>
                <w:p w14:paraId="09ECDDEE">
                  <w:pPr>
                    <w:autoSpaceDE/>
                    <w:autoSpaceDN/>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14:paraId="086C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4" w:type="dxa"/>
                  <w:vMerge w:val="continue"/>
                  <w:tcBorders>
                    <w:top w:val="single" w:color="auto" w:sz="4" w:space="0"/>
                    <w:left w:val="nil"/>
                    <w:bottom w:val="single" w:color="auto" w:sz="4" w:space="0"/>
                    <w:right w:val="single" w:color="auto" w:sz="4" w:space="0"/>
                  </w:tcBorders>
                  <w:noWrap w:val="0"/>
                  <w:vAlign w:val="center"/>
                </w:tcPr>
                <w:p w14:paraId="354EFE60">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p>
              </w:tc>
              <w:tc>
                <w:tcPr>
                  <w:tcW w:w="754" w:type="dxa"/>
                  <w:vMerge w:val="continue"/>
                  <w:tcBorders>
                    <w:top w:val="single" w:color="auto" w:sz="4" w:space="0"/>
                    <w:left w:val="single" w:color="auto" w:sz="4" w:space="0"/>
                    <w:bottom w:val="single" w:color="auto" w:sz="4" w:space="0"/>
                    <w:right w:val="single" w:color="auto" w:sz="4" w:space="0"/>
                  </w:tcBorders>
                  <w:noWrap w:val="0"/>
                  <w:vAlign w:val="center"/>
                </w:tcPr>
                <w:p w14:paraId="6FD5D5FA">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p>
              </w:tc>
              <w:tc>
                <w:tcPr>
                  <w:tcW w:w="2315" w:type="dxa"/>
                  <w:tcBorders>
                    <w:top w:val="single" w:color="auto" w:sz="4" w:space="0"/>
                    <w:left w:val="single" w:color="auto" w:sz="4" w:space="0"/>
                    <w:bottom w:val="single" w:color="auto" w:sz="4" w:space="0"/>
                    <w:right w:val="single" w:color="auto" w:sz="4" w:space="0"/>
                  </w:tcBorders>
                  <w:noWrap w:val="0"/>
                  <w:vAlign w:val="center"/>
                </w:tcPr>
                <w:p w14:paraId="11F6A417">
                  <w:pPr>
                    <w:autoSpaceDE/>
                    <w:autoSpaceDN/>
                    <w:adjustRightInd w:val="0"/>
                    <w:snapToGrid w:val="0"/>
                    <w:spacing w:line="240" w:lineRule="auto"/>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预处理池</w:t>
                  </w:r>
                </w:p>
              </w:tc>
              <w:tc>
                <w:tcPr>
                  <w:tcW w:w="2934" w:type="dxa"/>
                  <w:vMerge w:val="continue"/>
                  <w:tcBorders>
                    <w:top w:val="single" w:color="auto" w:sz="4" w:space="0"/>
                    <w:left w:val="single" w:color="auto" w:sz="4" w:space="0"/>
                    <w:bottom w:val="single" w:color="auto" w:sz="4" w:space="0"/>
                    <w:right w:val="single" w:color="auto" w:sz="4" w:space="0"/>
                  </w:tcBorders>
                  <w:noWrap w:val="0"/>
                  <w:vAlign w:val="center"/>
                </w:tcPr>
                <w:p w14:paraId="203D9979">
                  <w:pPr>
                    <w:autoSpaceDE/>
                    <w:autoSpaceDN/>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p>
              </w:tc>
              <w:tc>
                <w:tcPr>
                  <w:tcW w:w="1953" w:type="dxa"/>
                  <w:vMerge w:val="continue"/>
                  <w:tcBorders>
                    <w:top w:val="single" w:color="auto" w:sz="4" w:space="0"/>
                    <w:left w:val="single" w:color="auto" w:sz="4" w:space="0"/>
                    <w:bottom w:val="single" w:color="auto" w:sz="4" w:space="0"/>
                    <w:right w:val="single" w:color="auto" w:sz="4" w:space="0"/>
                  </w:tcBorders>
                  <w:noWrap w:val="0"/>
                  <w:vAlign w:val="center"/>
                </w:tcPr>
                <w:p w14:paraId="5636D85B">
                  <w:pPr>
                    <w:autoSpaceDE/>
                    <w:autoSpaceDN/>
                    <w:adjustRightInd w:val="0"/>
                    <w:snapToGrid w:val="0"/>
                    <w:spacing w:line="240" w:lineRule="auto"/>
                    <w:ind w:firstLine="0" w:firstLineChars="0"/>
                    <w:jc w:val="center"/>
                    <w:rPr>
                      <w:rFonts w:hint="eastAsia" w:ascii="Times New Roman" w:hAnsi="Times New Roman" w:cs="Times New Roman"/>
                      <w:bCs/>
                      <w:color w:val="auto"/>
                      <w:sz w:val="21"/>
                      <w:szCs w:val="21"/>
                      <w:highlight w:val="none"/>
                      <w:lang w:val="en-US" w:eastAsia="zh-CN"/>
                    </w:rPr>
                  </w:pPr>
                </w:p>
              </w:tc>
              <w:tc>
                <w:tcPr>
                  <w:tcW w:w="729" w:type="dxa"/>
                  <w:vMerge w:val="continue"/>
                  <w:tcBorders>
                    <w:top w:val="single" w:color="auto" w:sz="4" w:space="0"/>
                    <w:left w:val="single" w:color="auto" w:sz="4" w:space="0"/>
                    <w:bottom w:val="single" w:color="auto" w:sz="4" w:space="0"/>
                    <w:right w:val="nil"/>
                  </w:tcBorders>
                  <w:noWrap w:val="0"/>
                  <w:vAlign w:val="center"/>
                </w:tcPr>
                <w:p w14:paraId="08406EF2">
                  <w:pPr>
                    <w:autoSpaceDE/>
                    <w:autoSpaceDN/>
                    <w:adjustRightInd w:val="0"/>
                    <w:snapToGrid w:val="0"/>
                    <w:spacing w:line="240" w:lineRule="auto"/>
                    <w:ind w:firstLine="0" w:firstLineChars="0"/>
                    <w:jc w:val="center"/>
                    <w:rPr>
                      <w:rFonts w:hint="eastAsia" w:cs="Times New Roman"/>
                      <w:bCs/>
                      <w:color w:val="auto"/>
                      <w:sz w:val="21"/>
                      <w:szCs w:val="21"/>
                      <w:highlight w:val="none"/>
                      <w:lang w:val="en-US" w:eastAsia="zh-CN"/>
                    </w:rPr>
                  </w:pPr>
                </w:p>
              </w:tc>
            </w:tr>
            <w:tr w14:paraId="78AD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4" w:type="dxa"/>
                  <w:tcBorders>
                    <w:top w:val="single" w:color="auto" w:sz="4" w:space="0"/>
                    <w:left w:val="nil"/>
                    <w:bottom w:val="single" w:color="auto" w:sz="4" w:space="0"/>
                    <w:right w:val="single" w:color="auto" w:sz="4" w:space="0"/>
                  </w:tcBorders>
                  <w:noWrap w:val="0"/>
                  <w:vAlign w:val="center"/>
                </w:tcPr>
                <w:p w14:paraId="29D90BF3">
                  <w:pPr>
                    <w:autoSpaceDE/>
                    <w:autoSpaceDN/>
                    <w:adjustRightInd w:val="0"/>
                    <w:snapToGrid w:val="0"/>
                    <w:spacing w:line="240" w:lineRule="auto"/>
                    <w:ind w:firstLine="0" w:firstLineChars="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2</w:t>
                  </w:r>
                </w:p>
              </w:tc>
              <w:tc>
                <w:tcPr>
                  <w:tcW w:w="754" w:type="dxa"/>
                  <w:tcBorders>
                    <w:top w:val="single" w:color="auto" w:sz="4" w:space="0"/>
                    <w:left w:val="single" w:color="auto" w:sz="4" w:space="0"/>
                    <w:bottom w:val="single" w:color="auto" w:sz="4" w:space="0"/>
                    <w:right w:val="single" w:color="auto" w:sz="4" w:space="0"/>
                  </w:tcBorders>
                  <w:noWrap w:val="0"/>
                  <w:vAlign w:val="center"/>
                </w:tcPr>
                <w:p w14:paraId="035246B6">
                  <w:pPr>
                    <w:autoSpaceDE/>
                    <w:autoSpaceDN/>
                    <w:adjustRightInd w:val="0"/>
                    <w:snapToGrid w:val="0"/>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一般防渗</w:t>
                  </w:r>
                </w:p>
              </w:tc>
              <w:tc>
                <w:tcPr>
                  <w:tcW w:w="2315" w:type="dxa"/>
                  <w:tcBorders>
                    <w:top w:val="single" w:color="auto" w:sz="4" w:space="0"/>
                    <w:left w:val="single" w:color="auto" w:sz="4" w:space="0"/>
                    <w:bottom w:val="single" w:color="auto" w:sz="4" w:space="0"/>
                    <w:right w:val="single" w:color="auto" w:sz="4" w:space="0"/>
                  </w:tcBorders>
                  <w:noWrap w:val="0"/>
                  <w:vAlign w:val="center"/>
                </w:tcPr>
                <w:p w14:paraId="0F13EFFF">
                  <w:pPr>
                    <w:autoSpaceDE/>
                    <w:autoSpaceDN/>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除重点防渗区以外的</w:t>
                  </w:r>
                  <w:r>
                    <w:rPr>
                      <w:rFonts w:hint="eastAsia" w:ascii="Times New Roman" w:hAnsi="Times New Roman" w:cs="Times New Roman"/>
                      <w:bCs/>
                      <w:color w:val="auto"/>
                      <w:sz w:val="21"/>
                      <w:szCs w:val="21"/>
                      <w:highlight w:val="none"/>
                      <w:lang w:val="en-US" w:eastAsia="zh-CN"/>
                    </w:rPr>
                    <w:t>生产区</w:t>
                  </w:r>
                </w:p>
              </w:tc>
              <w:tc>
                <w:tcPr>
                  <w:tcW w:w="2934" w:type="dxa"/>
                  <w:tcBorders>
                    <w:top w:val="single" w:color="auto" w:sz="4" w:space="0"/>
                    <w:left w:val="single" w:color="auto" w:sz="4" w:space="0"/>
                    <w:bottom w:val="single" w:color="auto" w:sz="4" w:space="0"/>
                    <w:right w:val="single" w:color="auto" w:sz="4" w:space="0"/>
                  </w:tcBorders>
                  <w:noWrap w:val="0"/>
                  <w:vAlign w:val="center"/>
                </w:tcPr>
                <w:p w14:paraId="359BAFB2">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等效</w:t>
                  </w:r>
                  <w:r>
                    <w:rPr>
                      <w:rFonts w:hint="default" w:ascii="Times New Roman" w:hAnsi="Times New Roman" w:cs="Times New Roman"/>
                      <w:color w:val="auto"/>
                      <w:sz w:val="21"/>
                      <w:szCs w:val="28"/>
                      <w:highlight w:val="none"/>
                    </w:rPr>
                    <w:t>粘土</w:t>
                  </w:r>
                  <w:r>
                    <w:rPr>
                      <w:rFonts w:hint="default" w:ascii="Times New Roman" w:hAnsi="Times New Roman" w:cs="Times New Roman"/>
                      <w:bCs/>
                      <w:color w:val="auto"/>
                      <w:sz w:val="21"/>
                      <w:szCs w:val="21"/>
                      <w:highlight w:val="none"/>
                    </w:rPr>
                    <w:t>防渗层Mb≥1.5m，K≤1×10</w:t>
                  </w:r>
                  <w:r>
                    <w:rPr>
                      <w:rFonts w:hint="default" w:ascii="Times New Roman" w:hAnsi="Times New Roman" w:cs="Times New Roman"/>
                      <w:bCs/>
                      <w:color w:val="auto"/>
                      <w:sz w:val="21"/>
                      <w:szCs w:val="21"/>
                      <w:highlight w:val="none"/>
                      <w:vertAlign w:val="superscript"/>
                    </w:rPr>
                    <w:t>-7</w:t>
                  </w:r>
                  <w:r>
                    <w:rPr>
                      <w:rFonts w:hint="default" w:ascii="Times New Roman" w:hAnsi="Times New Roman" w:cs="Times New Roman"/>
                      <w:color w:val="auto"/>
                      <w:sz w:val="21"/>
                      <w:szCs w:val="28"/>
                      <w:highlight w:val="none"/>
                    </w:rPr>
                    <w:t>厘米/秒</w:t>
                  </w:r>
                  <w:r>
                    <w:rPr>
                      <w:rFonts w:hint="default" w:ascii="Times New Roman" w:hAnsi="Times New Roman" w:cs="Times New Roman"/>
                      <w:bCs/>
                      <w:color w:val="auto"/>
                      <w:sz w:val="21"/>
                      <w:szCs w:val="21"/>
                      <w:highlight w:val="none"/>
                    </w:rPr>
                    <w:t>；或参照GB16889执行</w:t>
                  </w:r>
                </w:p>
              </w:tc>
              <w:tc>
                <w:tcPr>
                  <w:tcW w:w="195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FCC941">
                  <w:pPr>
                    <w:autoSpaceDE/>
                    <w:autoSpaceDN/>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需采用防渗混凝土</w:t>
                  </w:r>
                  <w:r>
                    <w:rPr>
                      <w:rFonts w:hint="eastAsia" w:cs="Times New Roman"/>
                      <w:bCs/>
                      <w:color w:val="auto"/>
                      <w:sz w:val="21"/>
                      <w:szCs w:val="21"/>
                      <w:highlight w:val="none"/>
                      <w:lang w:val="en-US" w:eastAsia="zh-CN"/>
                    </w:rPr>
                    <w:t>硬化处理</w:t>
                  </w:r>
                </w:p>
              </w:tc>
              <w:tc>
                <w:tcPr>
                  <w:tcW w:w="729" w:type="dxa"/>
                  <w:tcBorders>
                    <w:top w:val="single" w:color="auto" w:sz="4" w:space="0"/>
                    <w:left w:val="single" w:color="auto" w:sz="4" w:space="0"/>
                    <w:bottom w:val="single" w:color="auto" w:sz="4" w:space="0"/>
                    <w:right w:val="nil"/>
                  </w:tcBorders>
                  <w:shd w:val="clear" w:color="auto" w:fill="auto"/>
                  <w:noWrap w:val="0"/>
                  <w:vAlign w:val="center"/>
                </w:tcPr>
                <w:p w14:paraId="384E8EDF">
                  <w:pPr>
                    <w:autoSpaceDE/>
                    <w:autoSpaceDN/>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14:paraId="60B4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4" w:type="dxa"/>
                  <w:tcBorders>
                    <w:top w:val="single" w:color="auto" w:sz="4" w:space="0"/>
                    <w:left w:val="nil"/>
                    <w:bottom w:val="single" w:color="auto" w:sz="12" w:space="0"/>
                    <w:right w:val="single" w:color="auto" w:sz="4" w:space="0"/>
                  </w:tcBorders>
                  <w:noWrap w:val="0"/>
                  <w:vAlign w:val="center"/>
                </w:tcPr>
                <w:p w14:paraId="06C1692E">
                  <w:pPr>
                    <w:autoSpaceDE/>
                    <w:autoSpaceDN/>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c>
                <w:tcPr>
                  <w:tcW w:w="754" w:type="dxa"/>
                  <w:tcBorders>
                    <w:top w:val="single" w:color="auto" w:sz="4" w:space="0"/>
                    <w:left w:val="single" w:color="auto" w:sz="4" w:space="0"/>
                    <w:bottom w:val="single" w:color="auto" w:sz="12" w:space="0"/>
                    <w:right w:val="single" w:color="auto" w:sz="4" w:space="0"/>
                  </w:tcBorders>
                  <w:noWrap w:val="0"/>
                  <w:vAlign w:val="center"/>
                </w:tcPr>
                <w:p w14:paraId="6ED702EC">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简单防渗</w:t>
                  </w:r>
                </w:p>
              </w:tc>
              <w:tc>
                <w:tcPr>
                  <w:tcW w:w="2315" w:type="dxa"/>
                  <w:tcBorders>
                    <w:top w:val="single" w:color="auto" w:sz="4" w:space="0"/>
                    <w:left w:val="single" w:color="auto" w:sz="4" w:space="0"/>
                    <w:bottom w:val="single" w:color="auto" w:sz="12" w:space="0"/>
                    <w:right w:val="single" w:color="auto" w:sz="4" w:space="0"/>
                  </w:tcBorders>
                  <w:noWrap w:val="0"/>
                  <w:vAlign w:val="center"/>
                </w:tcPr>
                <w:p w14:paraId="140C19EC">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办公室、厂区道路等</w:t>
                  </w:r>
                </w:p>
              </w:tc>
              <w:tc>
                <w:tcPr>
                  <w:tcW w:w="2934" w:type="dxa"/>
                  <w:tcBorders>
                    <w:top w:val="single" w:color="auto" w:sz="4" w:space="0"/>
                    <w:left w:val="single" w:color="auto" w:sz="4" w:space="0"/>
                    <w:bottom w:val="single" w:color="auto" w:sz="12" w:space="0"/>
                    <w:right w:val="single" w:color="auto" w:sz="4" w:space="0"/>
                  </w:tcBorders>
                  <w:noWrap w:val="0"/>
                  <w:vAlign w:val="center"/>
                </w:tcPr>
                <w:p w14:paraId="08C9D9D3">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一般地面硬化</w:t>
                  </w:r>
                </w:p>
              </w:tc>
              <w:tc>
                <w:tcPr>
                  <w:tcW w:w="1953" w:type="dxa"/>
                  <w:tcBorders>
                    <w:top w:val="single" w:color="auto" w:sz="4" w:space="0"/>
                    <w:left w:val="single" w:color="auto" w:sz="4" w:space="0"/>
                    <w:bottom w:val="single" w:color="auto" w:sz="12" w:space="0"/>
                    <w:right w:val="single" w:color="auto" w:sz="4" w:space="0"/>
                  </w:tcBorders>
                  <w:noWrap w:val="0"/>
                  <w:vAlign w:val="center"/>
                </w:tcPr>
                <w:p w14:paraId="51C891B9">
                  <w:pPr>
                    <w:autoSpaceDE/>
                    <w:autoSpaceDN/>
                    <w:adjustRightInd w:val="0"/>
                    <w:snapToGrid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采取水泥硬化</w:t>
                  </w:r>
                </w:p>
              </w:tc>
              <w:tc>
                <w:tcPr>
                  <w:tcW w:w="729" w:type="dxa"/>
                  <w:tcBorders>
                    <w:top w:val="single" w:color="auto" w:sz="4" w:space="0"/>
                    <w:left w:val="single" w:color="auto" w:sz="4" w:space="0"/>
                    <w:bottom w:val="single" w:color="auto" w:sz="12" w:space="0"/>
                    <w:right w:val="nil"/>
                  </w:tcBorders>
                  <w:noWrap w:val="0"/>
                  <w:vAlign w:val="center"/>
                </w:tcPr>
                <w:p w14:paraId="4F950F44">
                  <w:pPr>
                    <w:autoSpaceDE/>
                    <w:autoSpaceDN/>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新建</w:t>
                  </w:r>
                </w:p>
              </w:tc>
            </w:tr>
          </w:tbl>
          <w:p w14:paraId="05C7A6E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项目针对各类污染物均采取了对应的污染治理措施，可确保污染物的达标排放及防止渗漏发生，可从源头上控制项目对区域土壤环境的污染源强，确保项目对区域土壤、地下水环境的影响处于可接受水平。</w:t>
            </w:r>
          </w:p>
          <w:p w14:paraId="511AE50D">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val="en-US" w:eastAsia="zh-CN"/>
              </w:rPr>
              <w:t>6、排污口规范化设置</w:t>
            </w:r>
          </w:p>
          <w:p w14:paraId="52185891">
            <w:pPr>
              <w:autoSpaceDE/>
              <w:autoSpaceDN/>
              <w:adjustRightInd/>
              <w:snapToGrid/>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（1）废水排放口</w:t>
            </w:r>
          </w:p>
          <w:p w14:paraId="258E37A8">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项目的污水处理设施排放口必须设置便于采样的采样井，并在其排放口设立明显标志牌，符合《环境保护图形标志》（GB15562.1-1995）要求。</w:t>
            </w:r>
          </w:p>
          <w:p w14:paraId="511EFBF6">
            <w:pPr>
              <w:autoSpaceDE/>
              <w:autoSpaceDN/>
              <w:adjustRightInd/>
              <w:snapToGrid/>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（2）废气排放口</w:t>
            </w:r>
          </w:p>
          <w:p w14:paraId="194E43E5">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对于有组织排放的废气，排气筒应设置便于采样、监测的采样平台、采样口，采样口的设置应符合《污染源监测技术规范》要求。废气排放口均应设置环保图形标志牌。</w:t>
            </w:r>
          </w:p>
          <w:p w14:paraId="24F1468B">
            <w:pPr>
              <w:autoSpaceDE/>
              <w:autoSpaceDN/>
              <w:adjustRightInd/>
              <w:snapToGrid/>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（3）固定噪声源</w:t>
            </w:r>
          </w:p>
          <w:p w14:paraId="6792E986">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不同噪声源的情况，采取减振降噪、隔声等措施，使厂界达到相应功能区的标准要求。在厂界噪声敏感且对外界影响最大处设置固定噪声源的监测点和噪声环境保护图形标志牌。</w:t>
            </w:r>
          </w:p>
          <w:p w14:paraId="0FE6FFBA">
            <w:pPr>
              <w:autoSpaceDE/>
              <w:autoSpaceDN/>
              <w:adjustRightInd/>
              <w:snapToGrid/>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（4）固废</w:t>
            </w:r>
          </w:p>
          <w:p w14:paraId="5AB2A95F">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对于各类固体废物应设置专用贮存、堆放场地。各类固体废物贮存场所均应设置醒目的标志牌。</w:t>
            </w:r>
          </w:p>
          <w:p w14:paraId="263F7CFF">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①固体废物贮存场所要防流失、防渗漏、防雨、防洪水。</w:t>
            </w:r>
          </w:p>
          <w:p w14:paraId="01167533">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②一般固体废物贮存场所在醒目处设置一个标志牌。</w:t>
            </w:r>
          </w:p>
          <w:p w14:paraId="4064A398">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③危险废物暂存间的边界采用墙体封闭，并在边界各进出口设置明显标志牌。</w:t>
            </w:r>
          </w:p>
          <w:p w14:paraId="5DED4C67">
            <w:pPr>
              <w:autoSpaceDE/>
              <w:autoSpaceDN/>
              <w:adjustRightInd/>
              <w:snapToGrid/>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（5）设置标志牌要求</w:t>
            </w:r>
          </w:p>
          <w:p w14:paraId="32A6BE52">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环境保护图形标志牌由环保部统一定点制作，企业排污口分布图由市环境监管部门统一绘制。排放一般污染物排污口（源），设置提示式标志牌，排放有毒有害等污染物的排污口设置警告式标志牌。</w:t>
            </w:r>
          </w:p>
          <w:p w14:paraId="0DB9D6E9">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标志牌设置位置在排污口附近且醒目处，高度为标志牌上缘离地面2m；排污口附近1m范围内有建筑物的，设平面式标志牌，无建筑物的设立式标志牌。</w:t>
            </w:r>
          </w:p>
          <w:p w14:paraId="79FA51E2">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规范化排污口的有关设置（如图形标志牌、监控装置等）属环保设施，排污单位必须负责日常的维护保养，任何单位和个人不得擅自拆除，如需变更的须报环境监管部门同意并办理变更手续。</w:t>
            </w:r>
          </w:p>
          <w:p w14:paraId="255CC219">
            <w:pPr>
              <w:autoSpaceDE/>
              <w:autoSpaceDN/>
              <w:adjustRightInd/>
              <w:snapToGrid/>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在厂区的废气排放口、废水排放口、噪声排放源、固体废物贮存处置场应设置环境保护图形标志，见下表。</w:t>
            </w:r>
          </w:p>
          <w:p w14:paraId="0F31BE36">
            <w:pPr>
              <w:pStyle w:val="14"/>
              <w:bidi w:val="0"/>
              <w:rPr>
                <w:color w:val="auto"/>
                <w:highlight w:val="none"/>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24</w:t>
            </w:r>
            <w:r>
              <w:rPr>
                <w:color w:val="auto"/>
                <w:highlight w:val="none"/>
              </w:rPr>
              <w:fldChar w:fldCharType="end"/>
            </w:r>
            <w:r>
              <w:rPr>
                <w:rFonts w:hint="eastAsia"/>
                <w:color w:val="auto"/>
                <w:highlight w:val="none"/>
                <w:lang w:val="en-US" w:eastAsia="zh-CN"/>
              </w:rPr>
              <w:t xml:space="preserve">  </w:t>
            </w:r>
            <w:r>
              <w:rPr>
                <w:rFonts w:hint="default"/>
                <w:color w:val="auto"/>
                <w:highlight w:val="none"/>
              </w:rPr>
              <w:t>环境保护图形符号一览表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259"/>
              <w:gridCol w:w="1820"/>
              <w:gridCol w:w="1453"/>
              <w:gridCol w:w="1804"/>
              <w:gridCol w:w="2047"/>
            </w:tblGrid>
            <w:tr w14:paraId="257F6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66" w:type="pct"/>
                  <w:tcBorders>
                    <w:tl2br w:val="nil"/>
                    <w:tr2bl w:val="nil"/>
                  </w:tcBorders>
                  <w:noWrap w:val="0"/>
                  <w:vAlign w:val="center"/>
                </w:tcPr>
                <w:p w14:paraId="124E95D2">
                  <w:pPr>
                    <w:autoSpaceDE/>
                    <w:autoSpaceDN/>
                    <w:adjustRightInd w:val="0"/>
                    <w:snapToGrid w:val="0"/>
                    <w:spacing w:line="240" w:lineRule="auto"/>
                    <w:ind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序号</w:t>
                  </w:r>
                </w:p>
              </w:tc>
              <w:tc>
                <w:tcPr>
                  <w:tcW w:w="696" w:type="pct"/>
                  <w:tcBorders>
                    <w:tl2br w:val="nil"/>
                    <w:tr2bl w:val="nil"/>
                  </w:tcBorders>
                  <w:noWrap w:val="0"/>
                  <w:vAlign w:val="center"/>
                </w:tcPr>
                <w:p w14:paraId="31CD1A44">
                  <w:pPr>
                    <w:autoSpaceDE/>
                    <w:autoSpaceDN/>
                    <w:adjustRightInd w:val="0"/>
                    <w:snapToGrid w:val="0"/>
                    <w:spacing w:line="240" w:lineRule="auto"/>
                    <w:ind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提示图形符号</w:t>
                  </w:r>
                </w:p>
              </w:tc>
              <w:tc>
                <w:tcPr>
                  <w:tcW w:w="1006" w:type="pct"/>
                  <w:tcBorders>
                    <w:tl2br w:val="nil"/>
                    <w:tr2bl w:val="nil"/>
                  </w:tcBorders>
                  <w:noWrap w:val="0"/>
                  <w:vAlign w:val="center"/>
                </w:tcPr>
                <w:p w14:paraId="6EC42196">
                  <w:pPr>
                    <w:autoSpaceDE/>
                    <w:autoSpaceDN/>
                    <w:adjustRightInd w:val="0"/>
                    <w:snapToGrid w:val="0"/>
                    <w:spacing w:line="240" w:lineRule="auto"/>
                    <w:ind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警告图形符号</w:t>
                  </w:r>
                </w:p>
              </w:tc>
              <w:tc>
                <w:tcPr>
                  <w:tcW w:w="803" w:type="pct"/>
                  <w:tcBorders>
                    <w:tl2br w:val="nil"/>
                    <w:tr2bl w:val="nil"/>
                  </w:tcBorders>
                  <w:noWrap w:val="0"/>
                  <w:vAlign w:val="center"/>
                </w:tcPr>
                <w:p w14:paraId="5353EA07">
                  <w:pPr>
                    <w:autoSpaceDE/>
                    <w:autoSpaceDN/>
                    <w:adjustRightInd w:val="0"/>
                    <w:snapToGrid w:val="0"/>
                    <w:spacing w:line="240" w:lineRule="auto"/>
                    <w:ind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名称</w:t>
                  </w:r>
                </w:p>
              </w:tc>
              <w:tc>
                <w:tcPr>
                  <w:tcW w:w="997" w:type="pct"/>
                  <w:tcBorders>
                    <w:tl2br w:val="nil"/>
                    <w:tr2bl w:val="nil"/>
                  </w:tcBorders>
                  <w:noWrap w:val="0"/>
                  <w:vAlign w:val="center"/>
                </w:tcPr>
                <w:p w14:paraId="549A3561">
                  <w:pPr>
                    <w:autoSpaceDE/>
                    <w:autoSpaceDN/>
                    <w:adjustRightInd w:val="0"/>
                    <w:snapToGrid w:val="0"/>
                    <w:spacing w:line="240" w:lineRule="auto"/>
                    <w:ind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功能</w:t>
                  </w:r>
                </w:p>
              </w:tc>
              <w:tc>
                <w:tcPr>
                  <w:tcW w:w="1132" w:type="pct"/>
                  <w:tcBorders>
                    <w:tl2br w:val="nil"/>
                    <w:tr2bl w:val="nil"/>
                  </w:tcBorders>
                  <w:noWrap w:val="0"/>
                  <w:vAlign w:val="center"/>
                </w:tcPr>
                <w:p w14:paraId="129940A5">
                  <w:pPr>
                    <w:autoSpaceDE/>
                    <w:autoSpaceDN/>
                    <w:adjustRightInd w:val="0"/>
                    <w:snapToGrid w:val="0"/>
                    <w:spacing w:line="240" w:lineRule="auto"/>
                    <w:ind w:firstLine="0" w:firstLineChars="0"/>
                    <w:jc w:val="center"/>
                    <w:rPr>
                      <w:rFonts w:hint="default" w:ascii="Times New Roman" w:hAnsi="Times New Roman" w:cs="Times New Roman"/>
                      <w:b/>
                      <w:bCs/>
                      <w:color w:val="auto"/>
                      <w:kern w:val="18"/>
                      <w:sz w:val="21"/>
                      <w:szCs w:val="21"/>
                      <w:highlight w:val="none"/>
                    </w:rPr>
                  </w:pPr>
                  <w:r>
                    <w:rPr>
                      <w:rFonts w:hint="default" w:ascii="Times New Roman" w:hAnsi="Times New Roman" w:cs="Times New Roman"/>
                      <w:b/>
                      <w:bCs/>
                      <w:color w:val="auto"/>
                      <w:kern w:val="18"/>
                      <w:sz w:val="21"/>
                      <w:szCs w:val="21"/>
                      <w:highlight w:val="none"/>
                    </w:rPr>
                    <w:t>设置要求</w:t>
                  </w:r>
                </w:p>
              </w:tc>
            </w:tr>
            <w:tr w14:paraId="531B5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tcBorders>
                    <w:tl2br w:val="nil"/>
                    <w:tr2bl w:val="nil"/>
                  </w:tcBorders>
                  <w:noWrap w:val="0"/>
                  <w:vAlign w:val="center"/>
                </w:tcPr>
                <w:p w14:paraId="13F3EE98">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1</w:t>
                  </w:r>
                </w:p>
              </w:tc>
              <w:tc>
                <w:tcPr>
                  <w:tcW w:w="696" w:type="pct"/>
                  <w:tcBorders>
                    <w:tl2br w:val="nil"/>
                    <w:tr2bl w:val="nil"/>
                  </w:tcBorders>
                  <w:noWrap w:val="0"/>
                  <w:vAlign w:val="center"/>
                </w:tcPr>
                <w:p w14:paraId="210F1D96">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sz w:val="21"/>
                      <w:szCs w:val="21"/>
                      <w:highlight w:val="none"/>
                    </w:rPr>
                    <w:drawing>
                      <wp:inline distT="0" distB="0" distL="114300" distR="114300">
                        <wp:extent cx="520700" cy="499745"/>
                        <wp:effectExtent l="0" t="0" r="12700" b="14605"/>
                        <wp:docPr id="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pic:cNvPicPr>
                                  <a:picLocks noChangeAspect="1"/>
                                </pic:cNvPicPr>
                              </pic:nvPicPr>
                              <pic:blipFill>
                                <a:blip r:embed="rId33"/>
                                <a:stretch>
                                  <a:fillRect/>
                                </a:stretch>
                              </pic:blipFill>
                              <pic:spPr>
                                <a:xfrm>
                                  <a:off x="0" y="0"/>
                                  <a:ext cx="520700" cy="499745"/>
                                </a:xfrm>
                                <a:prstGeom prst="rect">
                                  <a:avLst/>
                                </a:prstGeom>
                                <a:noFill/>
                                <a:ln>
                                  <a:noFill/>
                                </a:ln>
                              </pic:spPr>
                            </pic:pic>
                          </a:graphicData>
                        </a:graphic>
                      </wp:inline>
                    </w:drawing>
                  </w:r>
                </w:p>
              </w:tc>
              <w:tc>
                <w:tcPr>
                  <w:tcW w:w="1006" w:type="pct"/>
                  <w:tcBorders>
                    <w:tl2br w:val="nil"/>
                    <w:tr2bl w:val="nil"/>
                  </w:tcBorders>
                  <w:noWrap w:val="0"/>
                  <w:vAlign w:val="center"/>
                </w:tcPr>
                <w:p w14:paraId="2A6A5CE5">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drawing>
                      <wp:inline distT="0" distB="0" distL="114300" distR="114300">
                        <wp:extent cx="605790" cy="531495"/>
                        <wp:effectExtent l="0" t="0" r="3810" b="1905"/>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1"/>
                                </pic:cNvPicPr>
                              </pic:nvPicPr>
                              <pic:blipFill>
                                <a:blip r:embed="rId34"/>
                                <a:stretch>
                                  <a:fillRect/>
                                </a:stretch>
                              </pic:blipFill>
                              <pic:spPr>
                                <a:xfrm>
                                  <a:off x="0" y="0"/>
                                  <a:ext cx="605790" cy="531495"/>
                                </a:xfrm>
                                <a:prstGeom prst="rect">
                                  <a:avLst/>
                                </a:prstGeom>
                                <a:noFill/>
                                <a:ln>
                                  <a:noFill/>
                                </a:ln>
                              </pic:spPr>
                            </pic:pic>
                          </a:graphicData>
                        </a:graphic>
                      </wp:inline>
                    </w:drawing>
                  </w:r>
                </w:p>
              </w:tc>
              <w:tc>
                <w:tcPr>
                  <w:tcW w:w="803" w:type="pct"/>
                  <w:tcBorders>
                    <w:tl2br w:val="nil"/>
                    <w:tr2bl w:val="nil"/>
                  </w:tcBorders>
                  <w:noWrap w:val="0"/>
                  <w:vAlign w:val="center"/>
                </w:tcPr>
                <w:p w14:paraId="27DA4F97">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废水排放口</w:t>
                  </w:r>
                </w:p>
              </w:tc>
              <w:tc>
                <w:tcPr>
                  <w:tcW w:w="997" w:type="pct"/>
                  <w:tcBorders>
                    <w:tl2br w:val="nil"/>
                    <w:tr2bl w:val="nil"/>
                  </w:tcBorders>
                  <w:noWrap w:val="0"/>
                  <w:vAlign w:val="center"/>
                </w:tcPr>
                <w:p w14:paraId="63881BFD">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标识废水向水体环境排放</w:t>
                  </w:r>
                </w:p>
              </w:tc>
              <w:tc>
                <w:tcPr>
                  <w:tcW w:w="1132" w:type="pct"/>
                  <w:vMerge w:val="restart"/>
                  <w:tcBorders>
                    <w:tl2br w:val="nil"/>
                    <w:tr2bl w:val="nil"/>
                  </w:tcBorders>
                  <w:noWrap w:val="0"/>
                  <w:vAlign w:val="center"/>
                </w:tcPr>
                <w:p w14:paraId="14C91D4D">
                  <w:pPr>
                    <w:autoSpaceDE/>
                    <w:autoSpaceDN/>
                    <w:adjustRightInd w:val="0"/>
                    <w:snapToGrid w:val="0"/>
                    <w:spacing w:line="240" w:lineRule="auto"/>
                    <w:ind w:firstLine="0" w:firstLineChars="0"/>
                    <w:jc w:val="left"/>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形状：边长40cm等边三角形</w:t>
                  </w:r>
                </w:p>
                <w:p w14:paraId="7A9AA9CD">
                  <w:pPr>
                    <w:autoSpaceDE/>
                    <w:autoSpaceDN/>
                    <w:adjustRightInd w:val="0"/>
                    <w:snapToGrid w:val="0"/>
                    <w:spacing w:line="240" w:lineRule="auto"/>
                    <w:ind w:firstLine="0" w:firstLineChars="0"/>
                    <w:jc w:val="left"/>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颜色：背景为黄色，图形为黑色警告标志外檐2.5cm</w:t>
                  </w:r>
                </w:p>
              </w:tc>
            </w:tr>
            <w:tr w14:paraId="0F724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tcBorders>
                    <w:tl2br w:val="nil"/>
                    <w:tr2bl w:val="nil"/>
                  </w:tcBorders>
                  <w:noWrap w:val="0"/>
                  <w:vAlign w:val="center"/>
                </w:tcPr>
                <w:p w14:paraId="42A8AB27">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2</w:t>
                  </w:r>
                </w:p>
              </w:tc>
              <w:tc>
                <w:tcPr>
                  <w:tcW w:w="696" w:type="pct"/>
                  <w:tcBorders>
                    <w:tl2br w:val="nil"/>
                    <w:tr2bl w:val="nil"/>
                  </w:tcBorders>
                  <w:noWrap w:val="0"/>
                  <w:vAlign w:val="center"/>
                </w:tcPr>
                <w:p w14:paraId="69C11523">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drawing>
                      <wp:inline distT="0" distB="0" distL="114300" distR="114300">
                        <wp:extent cx="499745" cy="499745"/>
                        <wp:effectExtent l="0" t="0" r="14605" b="14605"/>
                        <wp:docPr id="58" name="图片 20"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descr="13003"/>
                                <pic:cNvPicPr>
                                  <a:picLocks noChangeAspect="1"/>
                                </pic:cNvPicPr>
                              </pic:nvPicPr>
                              <pic:blipFill>
                                <a:blip r:embed="rId35"/>
                                <a:stretch>
                                  <a:fillRect/>
                                </a:stretch>
                              </pic:blipFill>
                              <pic:spPr>
                                <a:xfrm>
                                  <a:off x="0" y="0"/>
                                  <a:ext cx="499745" cy="499745"/>
                                </a:xfrm>
                                <a:prstGeom prst="rect">
                                  <a:avLst/>
                                </a:prstGeom>
                                <a:noFill/>
                                <a:ln>
                                  <a:noFill/>
                                </a:ln>
                              </pic:spPr>
                            </pic:pic>
                          </a:graphicData>
                        </a:graphic>
                      </wp:inline>
                    </w:drawing>
                  </w:r>
                </w:p>
              </w:tc>
              <w:tc>
                <w:tcPr>
                  <w:tcW w:w="1006" w:type="pct"/>
                  <w:tcBorders>
                    <w:tl2br w:val="nil"/>
                    <w:tr2bl w:val="nil"/>
                  </w:tcBorders>
                  <w:noWrap w:val="0"/>
                  <w:vAlign w:val="center"/>
                </w:tcPr>
                <w:p w14:paraId="21909105">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drawing>
                      <wp:inline distT="0" distB="0" distL="114300" distR="114300">
                        <wp:extent cx="520700" cy="520700"/>
                        <wp:effectExtent l="0" t="0" r="12700" b="12700"/>
                        <wp:docPr id="59"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descr="4"/>
                                <pic:cNvPicPr>
                                  <a:picLocks noChangeAspect="1"/>
                                </pic:cNvPicPr>
                              </pic:nvPicPr>
                              <pic:blipFill>
                                <a:blip r:embed="rId36"/>
                                <a:stretch>
                                  <a:fillRect/>
                                </a:stretch>
                              </pic:blipFill>
                              <pic:spPr>
                                <a:xfrm>
                                  <a:off x="0" y="0"/>
                                  <a:ext cx="520700" cy="520700"/>
                                </a:xfrm>
                                <a:prstGeom prst="rect">
                                  <a:avLst/>
                                </a:prstGeom>
                                <a:noFill/>
                                <a:ln>
                                  <a:noFill/>
                                </a:ln>
                              </pic:spPr>
                            </pic:pic>
                          </a:graphicData>
                        </a:graphic>
                      </wp:inline>
                    </w:drawing>
                  </w:r>
                </w:p>
              </w:tc>
              <w:tc>
                <w:tcPr>
                  <w:tcW w:w="803" w:type="pct"/>
                  <w:tcBorders>
                    <w:tl2br w:val="nil"/>
                    <w:tr2bl w:val="nil"/>
                  </w:tcBorders>
                  <w:noWrap w:val="0"/>
                  <w:vAlign w:val="center"/>
                </w:tcPr>
                <w:p w14:paraId="4D561441">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废气排放口</w:t>
                  </w:r>
                </w:p>
              </w:tc>
              <w:tc>
                <w:tcPr>
                  <w:tcW w:w="997" w:type="pct"/>
                  <w:tcBorders>
                    <w:tl2br w:val="nil"/>
                    <w:tr2bl w:val="nil"/>
                  </w:tcBorders>
                  <w:noWrap w:val="0"/>
                  <w:vAlign w:val="center"/>
                </w:tcPr>
                <w:p w14:paraId="3193EA9F">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表示废气向大气环境排放</w:t>
                  </w:r>
                </w:p>
              </w:tc>
              <w:tc>
                <w:tcPr>
                  <w:tcW w:w="1132" w:type="pct"/>
                  <w:vMerge w:val="continue"/>
                  <w:tcBorders>
                    <w:tl2br w:val="nil"/>
                    <w:tr2bl w:val="nil"/>
                  </w:tcBorders>
                  <w:noWrap w:val="0"/>
                  <w:vAlign w:val="center"/>
                </w:tcPr>
                <w:p w14:paraId="06ED6975">
                  <w:pPr>
                    <w:autoSpaceDE/>
                    <w:autoSpaceDN/>
                    <w:adjustRightInd w:val="0"/>
                    <w:snapToGrid w:val="0"/>
                    <w:spacing w:line="240" w:lineRule="auto"/>
                    <w:ind w:firstLine="0" w:firstLineChars="0"/>
                    <w:jc w:val="left"/>
                    <w:rPr>
                      <w:rFonts w:hint="default" w:ascii="Times New Roman" w:hAnsi="Times New Roman" w:cs="Times New Roman"/>
                      <w:color w:val="auto"/>
                      <w:kern w:val="18"/>
                      <w:sz w:val="21"/>
                      <w:szCs w:val="21"/>
                      <w:highlight w:val="none"/>
                    </w:rPr>
                  </w:pPr>
                </w:p>
              </w:tc>
            </w:tr>
            <w:tr w14:paraId="2F125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tcBorders>
                    <w:tl2br w:val="nil"/>
                    <w:tr2bl w:val="nil"/>
                  </w:tcBorders>
                  <w:noWrap w:val="0"/>
                  <w:vAlign w:val="center"/>
                </w:tcPr>
                <w:p w14:paraId="4CE82683">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3</w:t>
                  </w:r>
                </w:p>
              </w:tc>
              <w:tc>
                <w:tcPr>
                  <w:tcW w:w="696" w:type="pct"/>
                  <w:tcBorders>
                    <w:tl2br w:val="nil"/>
                    <w:tr2bl w:val="nil"/>
                  </w:tcBorders>
                  <w:noWrap w:val="0"/>
                  <w:vAlign w:val="center"/>
                </w:tcPr>
                <w:p w14:paraId="00A275D3">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drawing>
                      <wp:inline distT="0" distB="0" distL="114300" distR="114300">
                        <wp:extent cx="542290" cy="520700"/>
                        <wp:effectExtent l="0" t="0" r="10160" b="12700"/>
                        <wp:docPr id="63" name="图片 22"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descr="200602201518049853"/>
                                <pic:cNvPicPr>
                                  <a:picLocks noChangeAspect="1"/>
                                </pic:cNvPicPr>
                              </pic:nvPicPr>
                              <pic:blipFill>
                                <a:blip r:embed="rId37"/>
                                <a:stretch>
                                  <a:fillRect/>
                                </a:stretch>
                              </pic:blipFill>
                              <pic:spPr>
                                <a:xfrm>
                                  <a:off x="0" y="0"/>
                                  <a:ext cx="542290" cy="520700"/>
                                </a:xfrm>
                                <a:prstGeom prst="rect">
                                  <a:avLst/>
                                </a:prstGeom>
                                <a:noFill/>
                                <a:ln>
                                  <a:noFill/>
                                </a:ln>
                              </pic:spPr>
                            </pic:pic>
                          </a:graphicData>
                        </a:graphic>
                      </wp:inline>
                    </w:drawing>
                  </w:r>
                </w:p>
              </w:tc>
              <w:tc>
                <w:tcPr>
                  <w:tcW w:w="1006" w:type="pct"/>
                  <w:tcBorders>
                    <w:tl2br w:val="nil"/>
                    <w:tr2bl w:val="nil"/>
                  </w:tcBorders>
                  <w:noWrap w:val="0"/>
                  <w:vAlign w:val="center"/>
                </w:tcPr>
                <w:p w14:paraId="47B84A1A">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drawing>
                      <wp:inline distT="0" distB="0" distL="114300" distR="114300">
                        <wp:extent cx="584835" cy="510540"/>
                        <wp:effectExtent l="0" t="0" r="5715" b="3810"/>
                        <wp:docPr id="61" name="图片 23"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descr="200602201519018631"/>
                                <pic:cNvPicPr>
                                  <a:picLocks noChangeAspect="1"/>
                                </pic:cNvPicPr>
                              </pic:nvPicPr>
                              <pic:blipFill>
                                <a:blip r:embed="rId38"/>
                                <a:stretch>
                                  <a:fillRect/>
                                </a:stretch>
                              </pic:blipFill>
                              <pic:spPr>
                                <a:xfrm>
                                  <a:off x="0" y="0"/>
                                  <a:ext cx="584835" cy="510540"/>
                                </a:xfrm>
                                <a:prstGeom prst="rect">
                                  <a:avLst/>
                                </a:prstGeom>
                                <a:noFill/>
                                <a:ln>
                                  <a:noFill/>
                                </a:ln>
                              </pic:spPr>
                            </pic:pic>
                          </a:graphicData>
                        </a:graphic>
                      </wp:inline>
                    </w:drawing>
                  </w:r>
                </w:p>
              </w:tc>
              <w:tc>
                <w:tcPr>
                  <w:tcW w:w="803" w:type="pct"/>
                  <w:tcBorders>
                    <w:tl2br w:val="nil"/>
                    <w:tr2bl w:val="nil"/>
                  </w:tcBorders>
                  <w:noWrap w:val="0"/>
                  <w:vAlign w:val="center"/>
                </w:tcPr>
                <w:p w14:paraId="30E41400">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噪声排放源</w:t>
                  </w:r>
                </w:p>
              </w:tc>
              <w:tc>
                <w:tcPr>
                  <w:tcW w:w="997" w:type="pct"/>
                  <w:tcBorders>
                    <w:tl2br w:val="nil"/>
                    <w:tr2bl w:val="nil"/>
                  </w:tcBorders>
                  <w:noWrap w:val="0"/>
                  <w:vAlign w:val="center"/>
                </w:tcPr>
                <w:p w14:paraId="6BABB2E6">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表示噪声向外环境排放</w:t>
                  </w:r>
                </w:p>
              </w:tc>
              <w:tc>
                <w:tcPr>
                  <w:tcW w:w="1132" w:type="pct"/>
                  <w:vMerge w:val="continue"/>
                  <w:tcBorders>
                    <w:tl2br w:val="nil"/>
                    <w:tr2bl w:val="nil"/>
                  </w:tcBorders>
                  <w:noWrap w:val="0"/>
                  <w:vAlign w:val="center"/>
                </w:tcPr>
                <w:p w14:paraId="606B8820">
                  <w:pPr>
                    <w:autoSpaceDE/>
                    <w:autoSpaceDN/>
                    <w:adjustRightInd w:val="0"/>
                    <w:snapToGrid w:val="0"/>
                    <w:spacing w:line="240" w:lineRule="auto"/>
                    <w:ind w:firstLine="0" w:firstLineChars="0"/>
                    <w:jc w:val="left"/>
                    <w:rPr>
                      <w:rFonts w:hint="default" w:ascii="Times New Roman" w:hAnsi="Times New Roman" w:cs="Times New Roman"/>
                      <w:color w:val="auto"/>
                      <w:kern w:val="18"/>
                      <w:sz w:val="21"/>
                      <w:szCs w:val="21"/>
                      <w:highlight w:val="none"/>
                    </w:rPr>
                  </w:pPr>
                </w:p>
              </w:tc>
            </w:tr>
            <w:tr w14:paraId="6D1DE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tcBorders>
                    <w:tl2br w:val="nil"/>
                    <w:tr2bl w:val="nil"/>
                  </w:tcBorders>
                  <w:noWrap w:val="0"/>
                  <w:vAlign w:val="center"/>
                </w:tcPr>
                <w:p w14:paraId="74FDA891">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4</w:t>
                  </w:r>
                </w:p>
              </w:tc>
              <w:tc>
                <w:tcPr>
                  <w:tcW w:w="696" w:type="pct"/>
                  <w:tcBorders>
                    <w:tl2br w:val="nil"/>
                    <w:tr2bl w:val="nil"/>
                  </w:tcBorders>
                  <w:noWrap w:val="0"/>
                  <w:vAlign w:val="center"/>
                </w:tcPr>
                <w:p w14:paraId="69486479">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drawing>
                      <wp:inline distT="0" distB="0" distL="114300" distR="114300">
                        <wp:extent cx="542290" cy="553085"/>
                        <wp:effectExtent l="0" t="0" r="10160" b="18415"/>
                        <wp:docPr id="64" name="图片 24"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descr="14001"/>
                                <pic:cNvPicPr>
                                  <a:picLocks noChangeAspect="1"/>
                                </pic:cNvPicPr>
                              </pic:nvPicPr>
                              <pic:blipFill>
                                <a:blip r:embed="rId39"/>
                                <a:stretch>
                                  <a:fillRect/>
                                </a:stretch>
                              </pic:blipFill>
                              <pic:spPr>
                                <a:xfrm>
                                  <a:off x="0" y="0"/>
                                  <a:ext cx="542290" cy="553085"/>
                                </a:xfrm>
                                <a:prstGeom prst="rect">
                                  <a:avLst/>
                                </a:prstGeom>
                                <a:noFill/>
                                <a:ln>
                                  <a:noFill/>
                                </a:ln>
                              </pic:spPr>
                            </pic:pic>
                          </a:graphicData>
                        </a:graphic>
                      </wp:inline>
                    </w:drawing>
                  </w:r>
                </w:p>
              </w:tc>
              <w:tc>
                <w:tcPr>
                  <w:tcW w:w="1006" w:type="pct"/>
                  <w:tcBorders>
                    <w:tl2br w:val="nil"/>
                    <w:tr2bl w:val="nil"/>
                  </w:tcBorders>
                  <w:noWrap w:val="0"/>
                  <w:vAlign w:val="center"/>
                </w:tcPr>
                <w:p w14:paraId="0BD9716C">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drawing>
                      <wp:inline distT="0" distB="0" distL="114300" distR="114300">
                        <wp:extent cx="595630" cy="563245"/>
                        <wp:effectExtent l="0" t="0" r="13970" b="8255"/>
                        <wp:docPr id="62" name="图片 25"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descr="14002"/>
                                <pic:cNvPicPr>
                                  <a:picLocks noChangeAspect="1"/>
                                </pic:cNvPicPr>
                              </pic:nvPicPr>
                              <pic:blipFill>
                                <a:blip r:embed="rId40"/>
                                <a:stretch>
                                  <a:fillRect/>
                                </a:stretch>
                              </pic:blipFill>
                              <pic:spPr>
                                <a:xfrm>
                                  <a:off x="0" y="0"/>
                                  <a:ext cx="595630" cy="563245"/>
                                </a:xfrm>
                                <a:prstGeom prst="rect">
                                  <a:avLst/>
                                </a:prstGeom>
                                <a:noFill/>
                                <a:ln>
                                  <a:noFill/>
                                </a:ln>
                              </pic:spPr>
                            </pic:pic>
                          </a:graphicData>
                        </a:graphic>
                      </wp:inline>
                    </w:drawing>
                  </w:r>
                </w:p>
              </w:tc>
              <w:tc>
                <w:tcPr>
                  <w:tcW w:w="803" w:type="pct"/>
                  <w:tcBorders>
                    <w:tl2br w:val="nil"/>
                    <w:tr2bl w:val="nil"/>
                  </w:tcBorders>
                  <w:noWrap w:val="0"/>
                  <w:vAlign w:val="center"/>
                </w:tcPr>
                <w:p w14:paraId="5090C80D">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一般固体废物</w:t>
                  </w:r>
                </w:p>
              </w:tc>
              <w:tc>
                <w:tcPr>
                  <w:tcW w:w="997" w:type="pct"/>
                  <w:tcBorders>
                    <w:tl2br w:val="nil"/>
                    <w:tr2bl w:val="nil"/>
                  </w:tcBorders>
                  <w:noWrap w:val="0"/>
                  <w:vAlign w:val="center"/>
                </w:tcPr>
                <w:p w14:paraId="215C9598">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表示一般固体废物贮存、处置场</w:t>
                  </w:r>
                </w:p>
              </w:tc>
              <w:tc>
                <w:tcPr>
                  <w:tcW w:w="1132" w:type="pct"/>
                  <w:vMerge w:val="continue"/>
                  <w:tcBorders>
                    <w:tl2br w:val="nil"/>
                    <w:tr2bl w:val="nil"/>
                  </w:tcBorders>
                  <w:noWrap w:val="0"/>
                  <w:vAlign w:val="center"/>
                </w:tcPr>
                <w:p w14:paraId="5671036D">
                  <w:pPr>
                    <w:autoSpaceDE/>
                    <w:autoSpaceDN/>
                    <w:adjustRightInd w:val="0"/>
                    <w:snapToGrid w:val="0"/>
                    <w:spacing w:line="240" w:lineRule="auto"/>
                    <w:ind w:firstLine="0" w:firstLineChars="0"/>
                    <w:jc w:val="left"/>
                    <w:rPr>
                      <w:rFonts w:hint="default" w:ascii="Times New Roman" w:hAnsi="Times New Roman" w:cs="Times New Roman"/>
                      <w:color w:val="auto"/>
                      <w:kern w:val="18"/>
                      <w:sz w:val="21"/>
                      <w:szCs w:val="21"/>
                      <w:highlight w:val="none"/>
                    </w:rPr>
                  </w:pPr>
                </w:p>
              </w:tc>
            </w:tr>
            <w:tr w14:paraId="4E9E9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366" w:type="pct"/>
                  <w:tcBorders>
                    <w:tl2br w:val="nil"/>
                    <w:tr2bl w:val="nil"/>
                  </w:tcBorders>
                  <w:noWrap w:val="0"/>
                  <w:vAlign w:val="center"/>
                </w:tcPr>
                <w:p w14:paraId="3E8CFF1F">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5</w:t>
                  </w:r>
                </w:p>
              </w:tc>
              <w:tc>
                <w:tcPr>
                  <w:tcW w:w="696" w:type="pct"/>
                  <w:tcBorders>
                    <w:tl2br w:val="nil"/>
                    <w:tr2bl w:val="nil"/>
                  </w:tcBorders>
                  <w:noWrap w:val="0"/>
                  <w:vAlign w:val="center"/>
                </w:tcPr>
                <w:p w14:paraId="4E542002">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w:t>
                  </w:r>
                </w:p>
              </w:tc>
              <w:tc>
                <w:tcPr>
                  <w:tcW w:w="1006" w:type="pct"/>
                  <w:tcBorders>
                    <w:tl2br w:val="nil"/>
                    <w:tr2bl w:val="nil"/>
                  </w:tcBorders>
                  <w:noWrap w:val="0"/>
                  <w:vAlign w:val="center"/>
                </w:tcPr>
                <w:p w14:paraId="2E2690EF">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sz w:val="21"/>
                      <w:highlight w:val="none"/>
                    </w:rPr>
                    <w:drawing>
                      <wp:inline distT="0" distB="0" distL="114300" distR="114300">
                        <wp:extent cx="747395" cy="633095"/>
                        <wp:effectExtent l="0" t="0" r="14605" b="14605"/>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41"/>
                                <a:stretch>
                                  <a:fillRect/>
                                </a:stretch>
                              </pic:blipFill>
                              <pic:spPr>
                                <a:xfrm>
                                  <a:off x="0" y="0"/>
                                  <a:ext cx="747395" cy="633095"/>
                                </a:xfrm>
                                <a:prstGeom prst="rect">
                                  <a:avLst/>
                                </a:prstGeom>
                                <a:noFill/>
                                <a:ln>
                                  <a:noFill/>
                                </a:ln>
                              </pic:spPr>
                            </pic:pic>
                          </a:graphicData>
                        </a:graphic>
                      </wp:inline>
                    </w:drawing>
                  </w:r>
                </w:p>
              </w:tc>
              <w:tc>
                <w:tcPr>
                  <w:tcW w:w="803" w:type="pct"/>
                  <w:tcBorders>
                    <w:tl2br w:val="nil"/>
                    <w:tr2bl w:val="nil"/>
                  </w:tcBorders>
                  <w:noWrap w:val="0"/>
                  <w:vAlign w:val="center"/>
                </w:tcPr>
                <w:p w14:paraId="5ED0FE95">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危险废物暂存间</w:t>
                  </w:r>
                </w:p>
              </w:tc>
              <w:tc>
                <w:tcPr>
                  <w:tcW w:w="997" w:type="pct"/>
                  <w:tcBorders>
                    <w:tl2br w:val="nil"/>
                    <w:tr2bl w:val="nil"/>
                  </w:tcBorders>
                  <w:noWrap w:val="0"/>
                  <w:vAlign w:val="center"/>
                </w:tcPr>
                <w:p w14:paraId="31A10435">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r>
                    <w:rPr>
                      <w:rFonts w:hint="default" w:ascii="Times New Roman" w:hAnsi="Times New Roman" w:cs="Times New Roman"/>
                      <w:color w:val="auto"/>
                      <w:kern w:val="18"/>
                      <w:sz w:val="21"/>
                      <w:szCs w:val="21"/>
                      <w:highlight w:val="none"/>
                    </w:rPr>
                    <w:t>表示危险废物贮存、处置场</w:t>
                  </w:r>
                </w:p>
              </w:tc>
              <w:tc>
                <w:tcPr>
                  <w:tcW w:w="1132" w:type="pct"/>
                  <w:vMerge w:val="continue"/>
                  <w:tcBorders>
                    <w:tl2br w:val="nil"/>
                    <w:tr2bl w:val="nil"/>
                  </w:tcBorders>
                  <w:noWrap w:val="0"/>
                  <w:vAlign w:val="center"/>
                </w:tcPr>
                <w:p w14:paraId="1891DA6C">
                  <w:pPr>
                    <w:autoSpaceDE/>
                    <w:autoSpaceDN/>
                    <w:adjustRightInd w:val="0"/>
                    <w:snapToGrid w:val="0"/>
                    <w:spacing w:line="240" w:lineRule="auto"/>
                    <w:ind w:firstLine="0" w:firstLineChars="0"/>
                    <w:jc w:val="center"/>
                    <w:rPr>
                      <w:rFonts w:hint="default" w:ascii="Times New Roman" w:hAnsi="Times New Roman" w:cs="Times New Roman"/>
                      <w:color w:val="auto"/>
                      <w:kern w:val="18"/>
                      <w:sz w:val="21"/>
                      <w:szCs w:val="21"/>
                      <w:highlight w:val="none"/>
                    </w:rPr>
                  </w:pPr>
                </w:p>
              </w:tc>
            </w:tr>
          </w:tbl>
          <w:p w14:paraId="553C994A">
            <w:pPr>
              <w:overflowPunct w:val="0"/>
              <w:autoSpaceDE w:val="0"/>
              <w:autoSpaceDN w:val="0"/>
              <w:adjustRightInd w:val="0"/>
              <w:snapToGrid w:val="0"/>
              <w:spacing w:before="120" w:beforeLines="50" w:line="360" w:lineRule="auto"/>
              <w:ind w:firstLine="482" w:firstLineChars="200"/>
              <w:jc w:val="left"/>
              <w:textAlignment w:val="baseline"/>
              <w:rPr>
                <w:rFonts w:hint="default" w:ascii="Times New Roman" w:hAnsi="Times New Roman" w:eastAsia="Calibri" w:cs="Times New Roman"/>
                <w:b/>
                <w:bCs/>
                <w:color w:val="auto"/>
                <w:kern w:val="0"/>
                <w:sz w:val="24"/>
                <w:highlight w:val="none"/>
              </w:rPr>
            </w:pPr>
            <w:r>
              <w:rPr>
                <w:rFonts w:hint="eastAsia" w:eastAsia="宋体" w:cs="Times New Roman"/>
                <w:b/>
                <w:bCs/>
                <w:color w:val="auto"/>
                <w:kern w:val="0"/>
                <w:sz w:val="24"/>
                <w:highlight w:val="none"/>
                <w:lang w:eastAsia="zh-CN"/>
              </w:rPr>
              <w:t>（</w:t>
            </w:r>
            <w:r>
              <w:rPr>
                <w:rFonts w:hint="eastAsia" w:eastAsia="宋体" w:cs="Times New Roman"/>
                <w:b/>
                <w:bCs/>
                <w:color w:val="auto"/>
                <w:kern w:val="0"/>
                <w:sz w:val="24"/>
                <w:highlight w:val="none"/>
                <w:lang w:val="en-US" w:eastAsia="zh-CN"/>
              </w:rPr>
              <w:t>6</w:t>
            </w:r>
            <w:r>
              <w:rPr>
                <w:rFonts w:hint="eastAsia" w:eastAsia="宋体"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rPr>
              <w:t>排污口管理</w:t>
            </w:r>
          </w:p>
          <w:p w14:paraId="68F0F1AC">
            <w:pPr>
              <w:overflowPunct w:val="0"/>
              <w:autoSpaceDE w:val="0"/>
              <w:autoSpaceDN w:val="0"/>
              <w:adjustRightInd w:val="0"/>
              <w:snapToGrid w:val="0"/>
              <w:spacing w:line="360" w:lineRule="auto"/>
              <w:ind w:firstLine="480" w:firstLineChars="200"/>
              <w:jc w:val="left"/>
              <w:textAlignment w:val="baseline"/>
              <w:rPr>
                <w:rFonts w:hint="default" w:ascii="Times New Roman" w:hAnsi="Times New Roman" w:eastAsia="Calibri" w:cs="Times New Roman"/>
                <w:color w:val="auto"/>
                <w:kern w:val="0"/>
                <w:sz w:val="24"/>
                <w:highlight w:val="none"/>
              </w:rPr>
            </w:pPr>
            <w:r>
              <w:rPr>
                <w:rFonts w:hint="default" w:ascii="Times New Roman" w:hAnsi="Times New Roman" w:cs="Times New Roman"/>
                <w:color w:val="auto"/>
                <w:kern w:val="0"/>
                <w:sz w:val="24"/>
                <w:highlight w:val="none"/>
              </w:rPr>
              <w:t>管理原则：排污口是企业污染物进入环境，污染环境的通道，强化排污口的管理是实施污染物总量控制的基础工作之一，也是区域环境管理逐步实现污染物排放科学化、定量化的重要手段。</w:t>
            </w:r>
          </w:p>
          <w:p w14:paraId="3EC26833">
            <w:pPr>
              <w:overflowPunct w:val="0"/>
              <w:autoSpaceDE w:val="0"/>
              <w:autoSpaceDN w:val="0"/>
              <w:adjustRightInd w:val="0"/>
              <w:snapToGrid w:val="0"/>
              <w:spacing w:line="360" w:lineRule="auto"/>
              <w:ind w:firstLine="480" w:firstLineChars="200"/>
              <w:jc w:val="left"/>
              <w:textAlignment w:val="baseline"/>
              <w:rPr>
                <w:rFonts w:hint="default" w:ascii="Times New Roman" w:hAnsi="Times New Roman" w:eastAsia="Calibri" w:cs="Times New Roman"/>
                <w:color w:val="auto"/>
                <w:kern w:val="0"/>
                <w:sz w:val="24"/>
                <w:highlight w:val="none"/>
              </w:rPr>
            </w:pPr>
            <w:r>
              <w:rPr>
                <w:rFonts w:hint="default" w:ascii="Times New Roman" w:hAnsi="Times New Roman" w:cs="Times New Roman"/>
                <w:color w:val="auto"/>
                <w:kern w:val="0"/>
                <w:sz w:val="24"/>
                <w:highlight w:val="none"/>
              </w:rPr>
              <w:t>①具体管理原则如下：</w:t>
            </w:r>
          </w:p>
          <w:p w14:paraId="3DD16229">
            <w:pPr>
              <w:overflowPunct w:val="0"/>
              <w:autoSpaceDE w:val="0"/>
              <w:autoSpaceDN w:val="0"/>
              <w:adjustRightInd w:val="0"/>
              <w:snapToGrid w:val="0"/>
              <w:spacing w:line="360" w:lineRule="auto"/>
              <w:ind w:firstLine="480" w:firstLineChars="200"/>
              <w:jc w:val="left"/>
              <w:textAlignment w:val="baseline"/>
              <w:rPr>
                <w:rFonts w:hint="default" w:ascii="Times New Roman" w:hAnsi="Times New Roman" w:eastAsia="Calibri" w:cs="Times New Roman"/>
                <w:color w:val="auto"/>
                <w:kern w:val="0"/>
                <w:sz w:val="24"/>
                <w:highlight w:val="none"/>
              </w:rPr>
            </w:pPr>
            <w:r>
              <w:rPr>
                <w:rFonts w:hint="default" w:ascii="Times New Roman" w:hAnsi="Times New Roman" w:eastAsia="Calibri" w:cs="Times New Roman"/>
                <w:color w:val="auto"/>
                <w:kern w:val="0"/>
                <w:sz w:val="24"/>
                <w:highlight w:val="none"/>
              </w:rPr>
              <w:t>a</w:t>
            </w:r>
            <w:r>
              <w:rPr>
                <w:rFonts w:hint="default" w:ascii="Times New Roman" w:hAnsi="Times New Roman" w:cs="Times New Roman"/>
                <w:color w:val="auto"/>
                <w:kern w:val="0"/>
                <w:sz w:val="24"/>
                <w:highlight w:val="none"/>
              </w:rPr>
              <w:t>．向环境排放的污染物的排放口必须规范化。</w:t>
            </w:r>
          </w:p>
          <w:p w14:paraId="3F5E0AF7">
            <w:pPr>
              <w:overflowPunct w:val="0"/>
              <w:autoSpaceDE w:val="0"/>
              <w:autoSpaceDN w:val="0"/>
              <w:adjustRightInd w:val="0"/>
              <w:snapToGrid w:val="0"/>
              <w:spacing w:line="360" w:lineRule="auto"/>
              <w:ind w:firstLine="480" w:firstLineChars="200"/>
              <w:jc w:val="left"/>
              <w:textAlignment w:val="baseline"/>
              <w:rPr>
                <w:rFonts w:hint="default" w:ascii="Times New Roman" w:hAnsi="Times New Roman" w:eastAsia="Calibri" w:cs="Times New Roman"/>
                <w:color w:val="auto"/>
                <w:kern w:val="0"/>
                <w:sz w:val="24"/>
                <w:highlight w:val="none"/>
              </w:rPr>
            </w:pPr>
            <w:r>
              <w:rPr>
                <w:rFonts w:hint="default" w:ascii="Times New Roman" w:hAnsi="Times New Roman" w:eastAsia="Calibri" w:cs="Times New Roman"/>
                <w:color w:val="auto"/>
                <w:kern w:val="0"/>
                <w:sz w:val="24"/>
                <w:highlight w:val="none"/>
              </w:rPr>
              <w:t>b</w:t>
            </w:r>
            <w:r>
              <w:rPr>
                <w:rFonts w:hint="default" w:ascii="Times New Roman" w:hAnsi="Times New Roman" w:cs="Times New Roman"/>
                <w:color w:val="auto"/>
                <w:kern w:val="0"/>
                <w:sz w:val="24"/>
                <w:highlight w:val="none"/>
              </w:rPr>
              <w:t>．列入总量控制的污染物排放源列为管理的重点。</w:t>
            </w:r>
          </w:p>
          <w:p w14:paraId="23AE7098">
            <w:pPr>
              <w:overflowPunct w:val="0"/>
              <w:autoSpaceDE w:val="0"/>
              <w:autoSpaceDN w:val="0"/>
              <w:adjustRightInd w:val="0"/>
              <w:snapToGrid w:val="0"/>
              <w:spacing w:line="360" w:lineRule="auto"/>
              <w:ind w:firstLine="480" w:firstLineChars="200"/>
              <w:jc w:val="left"/>
              <w:textAlignment w:val="baseline"/>
              <w:rPr>
                <w:rFonts w:hint="default" w:ascii="Times New Roman" w:hAnsi="Times New Roman" w:eastAsia="Calibri" w:cs="Times New Roman"/>
                <w:color w:val="auto"/>
                <w:kern w:val="0"/>
                <w:sz w:val="24"/>
                <w:highlight w:val="none"/>
              </w:rPr>
            </w:pPr>
            <w:r>
              <w:rPr>
                <w:rFonts w:hint="default" w:ascii="Times New Roman" w:hAnsi="Times New Roman" w:eastAsia="Calibri" w:cs="Times New Roman"/>
                <w:color w:val="auto"/>
                <w:kern w:val="0"/>
                <w:sz w:val="24"/>
                <w:highlight w:val="none"/>
              </w:rPr>
              <w:t>c</w:t>
            </w:r>
            <w:r>
              <w:rPr>
                <w:rFonts w:hint="default" w:ascii="Times New Roman" w:hAnsi="Times New Roman" w:cs="Times New Roman"/>
                <w:color w:val="auto"/>
                <w:kern w:val="0"/>
                <w:sz w:val="24"/>
                <w:highlight w:val="none"/>
              </w:rPr>
              <w:t>．如实向环保管理部门申报排污口数量、位置及所排放的主要污染物种类、数量、浓度、排放去向等情况。</w:t>
            </w:r>
          </w:p>
          <w:p w14:paraId="009D70D3">
            <w:pPr>
              <w:overflowPunct w:val="0"/>
              <w:autoSpaceDE w:val="0"/>
              <w:autoSpaceDN w:val="0"/>
              <w:adjustRightInd w:val="0"/>
              <w:snapToGrid w:val="0"/>
              <w:spacing w:line="360" w:lineRule="auto"/>
              <w:ind w:firstLine="480" w:firstLineChars="200"/>
              <w:jc w:val="left"/>
              <w:textAlignment w:val="baseline"/>
              <w:rPr>
                <w:rFonts w:hint="default" w:ascii="Times New Roman" w:hAnsi="Times New Roman" w:eastAsia="Calibri" w:cs="Times New Roman"/>
                <w:color w:val="auto"/>
                <w:kern w:val="0"/>
                <w:sz w:val="24"/>
                <w:highlight w:val="none"/>
              </w:rPr>
            </w:pPr>
            <w:r>
              <w:rPr>
                <w:rFonts w:hint="default" w:ascii="Times New Roman" w:hAnsi="Times New Roman" w:eastAsia="Calibri" w:cs="Times New Roman"/>
                <w:color w:val="auto"/>
                <w:kern w:val="0"/>
                <w:sz w:val="24"/>
                <w:highlight w:val="none"/>
              </w:rPr>
              <w:t>d</w:t>
            </w:r>
            <w:r>
              <w:rPr>
                <w:rFonts w:hint="default" w:ascii="Times New Roman" w:hAnsi="Times New Roman" w:cs="Times New Roman"/>
                <w:color w:val="auto"/>
                <w:kern w:val="0"/>
                <w:sz w:val="24"/>
                <w:highlight w:val="none"/>
              </w:rPr>
              <w:t>．废气排气装置应设置便于采样、监测的采样孔和采样平台，设置应符合《污染源监测技术规范》。</w:t>
            </w:r>
          </w:p>
          <w:p w14:paraId="02278D1D">
            <w:pPr>
              <w:overflowPunct w:val="0"/>
              <w:autoSpaceDE w:val="0"/>
              <w:autoSpaceDN w:val="0"/>
              <w:adjustRightInd w:val="0"/>
              <w:snapToGrid w:val="0"/>
              <w:spacing w:line="360" w:lineRule="auto"/>
              <w:ind w:firstLine="480" w:firstLineChars="200"/>
              <w:jc w:val="left"/>
              <w:textAlignment w:val="baseline"/>
              <w:rPr>
                <w:rFonts w:hint="eastAsia" w:ascii="Times New Roman" w:hAnsi="Times New Roman" w:eastAsia="宋体" w:cs="Times New Roman"/>
                <w:color w:val="auto"/>
                <w:kern w:val="0"/>
                <w:sz w:val="24"/>
                <w:highlight w:val="none"/>
                <w:lang w:eastAsia="zh-CN"/>
              </w:rPr>
            </w:pPr>
            <w:r>
              <w:rPr>
                <w:rFonts w:hint="default" w:ascii="Times New Roman" w:hAnsi="Times New Roman" w:eastAsia="Calibri" w:cs="Times New Roman"/>
                <w:color w:val="auto"/>
                <w:kern w:val="0"/>
                <w:sz w:val="24"/>
                <w:highlight w:val="none"/>
              </w:rPr>
              <w:t>e</w:t>
            </w:r>
            <w:r>
              <w:rPr>
                <w:rFonts w:hint="default" w:ascii="Times New Roman" w:hAnsi="Times New Roman" w:cs="Times New Roman"/>
                <w:color w:val="auto"/>
                <w:kern w:val="0"/>
                <w:sz w:val="24"/>
                <w:highlight w:val="none"/>
              </w:rPr>
              <w:t>．工程固废堆存时，应设置专用堆放场地，并有防扬散、防流失、对有毒有害固废采取防渗漏措施。危险废物暂存间应设置危险废物标签</w:t>
            </w:r>
            <w:r>
              <w:rPr>
                <w:rFonts w:hint="eastAsia" w:cs="Times New Roman"/>
                <w:color w:val="auto"/>
                <w:kern w:val="0"/>
                <w:sz w:val="24"/>
                <w:highlight w:val="none"/>
                <w:lang w:eastAsia="zh-CN"/>
              </w:rPr>
              <w:t>。</w:t>
            </w:r>
          </w:p>
          <w:p w14:paraId="0810D7E9">
            <w:pPr>
              <w:overflowPunct w:val="0"/>
              <w:autoSpaceDE w:val="0"/>
              <w:autoSpaceDN w:val="0"/>
              <w:adjustRightInd w:val="0"/>
              <w:snapToGrid w:val="0"/>
              <w:spacing w:line="360" w:lineRule="auto"/>
              <w:ind w:firstLine="480" w:firstLineChars="200"/>
              <w:jc w:val="left"/>
              <w:textAlignment w:val="baseline"/>
              <w:rPr>
                <w:rFonts w:hint="default" w:ascii="Times New Roman" w:hAnsi="Times New Roman" w:eastAsia="Calibri" w:cs="Times New Roman"/>
                <w:color w:val="auto"/>
                <w:kern w:val="0"/>
                <w:sz w:val="24"/>
                <w:highlight w:val="none"/>
              </w:rPr>
            </w:pPr>
            <w:r>
              <w:rPr>
                <w:rFonts w:hint="default" w:ascii="Times New Roman" w:hAnsi="Times New Roman" w:cs="Times New Roman"/>
                <w:color w:val="auto"/>
                <w:kern w:val="0"/>
                <w:sz w:val="24"/>
                <w:highlight w:val="none"/>
              </w:rPr>
              <w:t>②排放源建档</w:t>
            </w:r>
          </w:p>
          <w:p w14:paraId="0B5AAEB4">
            <w:pPr>
              <w:overflowPunct w:val="0"/>
              <w:autoSpaceDE w:val="0"/>
              <w:autoSpaceDN w:val="0"/>
              <w:adjustRightInd w:val="0"/>
              <w:snapToGrid w:val="0"/>
              <w:spacing w:line="360" w:lineRule="auto"/>
              <w:ind w:firstLine="480" w:firstLineChars="200"/>
              <w:jc w:val="left"/>
              <w:textAlignment w:val="baseline"/>
              <w:rPr>
                <w:rFonts w:hint="default" w:ascii="Times New Roman" w:hAnsi="Times New Roman" w:eastAsia="Calibri" w:cs="Times New Roman"/>
                <w:color w:val="auto"/>
                <w:kern w:val="0"/>
                <w:sz w:val="24"/>
                <w:highlight w:val="none"/>
              </w:rPr>
            </w:pPr>
            <w:r>
              <w:rPr>
                <w:rFonts w:hint="default" w:ascii="Times New Roman" w:hAnsi="Times New Roman" w:eastAsia="Calibri" w:cs="Times New Roman"/>
                <w:color w:val="auto"/>
                <w:kern w:val="0"/>
                <w:sz w:val="24"/>
                <w:highlight w:val="none"/>
              </w:rPr>
              <w:t>a</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eastAsia="zh-CN"/>
              </w:rPr>
              <w:t>本项目</w:t>
            </w:r>
            <w:r>
              <w:rPr>
                <w:rFonts w:hint="default" w:ascii="Times New Roman" w:hAnsi="Times New Roman" w:cs="Times New Roman"/>
                <w:color w:val="auto"/>
                <w:kern w:val="0"/>
                <w:sz w:val="24"/>
                <w:highlight w:val="none"/>
              </w:rPr>
              <w:t>应使用生态环境部统一印制的《中华人民共和国规范化排污口标志登记证》，并按要求填写有关内容。</w:t>
            </w:r>
          </w:p>
          <w:p w14:paraId="231633A8">
            <w:pPr>
              <w:widowControl/>
              <w:autoSpaceDE/>
              <w:autoSpaceDN/>
              <w:adjustRightInd/>
              <w:snapToGrid/>
              <w:spacing w:line="360" w:lineRule="auto"/>
              <w:ind w:firstLine="480" w:firstLineChars="200"/>
              <w:textAlignment w:val="bottom"/>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b.根据排污口管理内容要求，项目建成投产后，应将主要污染物种类、数量、浓度、排放去向，</w:t>
            </w:r>
            <w:r>
              <w:rPr>
                <w:rFonts w:hint="eastAsia" w:cs="Times New Roman"/>
                <w:color w:val="auto"/>
                <w:kern w:val="0"/>
                <w:sz w:val="24"/>
                <w:highlight w:val="none"/>
                <w:lang w:eastAsia="zh-CN"/>
              </w:rPr>
              <w:t>达标</w:t>
            </w:r>
            <w:r>
              <w:rPr>
                <w:rFonts w:hint="default" w:ascii="Times New Roman" w:hAnsi="Times New Roman" w:cs="Times New Roman"/>
                <w:color w:val="auto"/>
                <w:kern w:val="0"/>
                <w:sz w:val="24"/>
                <w:highlight w:val="none"/>
              </w:rPr>
              <w:t>情况及设施运行情况记录于档案。</w:t>
            </w:r>
          </w:p>
          <w:p w14:paraId="233A8CE9">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eastAsia" w:ascii="黑体" w:hAnsi="黑体" w:eastAsia="黑体" w:cs="黑体"/>
                <w:b/>
                <w:color w:val="auto"/>
                <w:sz w:val="24"/>
                <w:highlight w:val="none"/>
                <w:lang w:val="zh-CN" w:eastAsia="zh-CN"/>
              </w:rPr>
            </w:pPr>
            <w:r>
              <w:rPr>
                <w:rFonts w:hint="eastAsia" w:ascii="黑体" w:hAnsi="黑体" w:eastAsia="黑体" w:cs="黑体"/>
                <w:b/>
                <w:color w:val="auto"/>
                <w:sz w:val="24"/>
                <w:highlight w:val="none"/>
                <w:lang w:val="en-US" w:eastAsia="zh-CN"/>
              </w:rPr>
              <w:t>7、</w:t>
            </w:r>
            <w:r>
              <w:rPr>
                <w:rFonts w:hint="eastAsia" w:ascii="黑体" w:hAnsi="黑体" w:eastAsia="黑体" w:cs="黑体"/>
                <w:b/>
                <w:color w:val="auto"/>
                <w:sz w:val="24"/>
                <w:highlight w:val="none"/>
                <w:lang w:val="zh-CN" w:eastAsia="zh-CN"/>
              </w:rPr>
              <w:t>环境风险评价</w:t>
            </w:r>
          </w:p>
          <w:p w14:paraId="78B59155">
            <w:pPr>
              <w:autoSpaceDE w:val="0"/>
              <w:autoSpaceDN w:val="0"/>
              <w:adjustRightInd w:val="0"/>
              <w:ind w:firstLine="482"/>
              <w:jc w:val="both"/>
              <w:rPr>
                <w:b/>
                <w:color w:val="auto"/>
                <w:kern w:val="0"/>
                <w:sz w:val="24"/>
                <w:highlight w:val="none"/>
              </w:rPr>
            </w:pPr>
            <w:r>
              <w:rPr>
                <w:rFonts w:hint="eastAsia"/>
                <w:b/>
                <w:color w:val="auto"/>
                <w:kern w:val="0"/>
                <w:sz w:val="24"/>
                <w:highlight w:val="none"/>
                <w:lang w:val="en-US" w:eastAsia="zh-CN"/>
              </w:rPr>
              <w:t>①</w:t>
            </w:r>
            <w:r>
              <w:rPr>
                <w:b/>
                <w:color w:val="auto"/>
                <w:kern w:val="0"/>
                <w:sz w:val="24"/>
                <w:highlight w:val="none"/>
              </w:rPr>
              <w:t>环境风险因素识别</w:t>
            </w:r>
          </w:p>
          <w:p w14:paraId="74DFB1C5">
            <w:pPr>
              <w:spacing w:line="360" w:lineRule="auto"/>
              <w:ind w:firstLine="480" w:firstLineChars="200"/>
              <w:rPr>
                <w:rFonts w:hint="eastAsia"/>
                <w:color w:val="auto"/>
                <w:kern w:val="0"/>
                <w:sz w:val="24"/>
                <w:highlight w:val="none"/>
              </w:rPr>
            </w:pPr>
            <w:r>
              <w:rPr>
                <w:rFonts w:hint="eastAsia"/>
                <w:color w:val="auto"/>
                <w:kern w:val="0"/>
                <w:sz w:val="24"/>
                <w:highlight w:val="none"/>
              </w:rPr>
              <w:t>根据《建设项目环境风险评价技术导则》（HJ169-2018）附录B，</w:t>
            </w:r>
            <w:r>
              <w:rPr>
                <w:rFonts w:hint="eastAsia"/>
                <w:color w:val="auto"/>
                <w:kern w:val="0"/>
                <w:sz w:val="24"/>
                <w:highlight w:val="none"/>
                <w:lang w:val="en-US" w:eastAsia="zh-CN"/>
              </w:rPr>
              <w:t>本项目涉及的环境风险物质有机油、危险废物等。</w:t>
            </w:r>
          </w:p>
          <w:p w14:paraId="34973A88">
            <w:pPr>
              <w:spacing w:line="360" w:lineRule="auto"/>
              <w:ind w:firstLine="480" w:firstLineChars="200"/>
              <w:rPr>
                <w:rFonts w:hint="eastAsia"/>
                <w:color w:val="auto"/>
                <w:kern w:val="0"/>
                <w:sz w:val="24"/>
                <w:highlight w:val="none"/>
              </w:rPr>
            </w:pPr>
            <w:r>
              <w:rPr>
                <w:rFonts w:hint="eastAsia"/>
                <w:color w:val="auto"/>
                <w:kern w:val="0"/>
                <w:sz w:val="24"/>
                <w:highlight w:val="none"/>
                <w:lang w:val="en-US" w:eastAsia="zh-CN"/>
              </w:rPr>
              <w:t>本项目建成后厂区</w:t>
            </w:r>
            <w:r>
              <w:rPr>
                <w:rFonts w:hint="eastAsia"/>
                <w:color w:val="auto"/>
                <w:kern w:val="0"/>
                <w:sz w:val="24"/>
                <w:highlight w:val="none"/>
              </w:rPr>
              <w:t>涉及突发环境事件风险物质及临界量见下表。</w:t>
            </w:r>
          </w:p>
          <w:p w14:paraId="44997DAF">
            <w:pPr>
              <w:pStyle w:val="14"/>
              <w:bidi w:val="0"/>
              <w:rPr>
                <w:color w:val="auto"/>
                <w:highlight w:val="none"/>
              </w:rPr>
            </w:pPr>
            <w:bookmarkStart w:id="27" w:name="环境风险"/>
            <w:bookmarkEnd w:id="27"/>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25</w:t>
            </w:r>
            <w:r>
              <w:rPr>
                <w:color w:val="auto"/>
                <w:highlight w:val="none"/>
              </w:rPr>
              <w:fldChar w:fldCharType="end"/>
            </w:r>
            <w:r>
              <w:rPr>
                <w:rFonts w:hint="eastAsia"/>
                <w:color w:val="auto"/>
                <w:highlight w:val="none"/>
                <w:lang w:val="en-US" w:eastAsia="zh-CN"/>
              </w:rPr>
              <w:t xml:space="preserve">  本项目</w:t>
            </w:r>
            <w:r>
              <w:rPr>
                <w:rFonts w:hint="default"/>
                <w:color w:val="auto"/>
                <w:highlight w:val="none"/>
              </w:rPr>
              <w:t>涉及突发环境事件风险物质清单表</w:t>
            </w:r>
          </w:p>
          <w:tbl>
            <w:tblPr>
              <w:tblStyle w:val="28"/>
              <w:tblW w:w="9039" w:type="dxa"/>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547"/>
              <w:gridCol w:w="1015"/>
              <w:gridCol w:w="769"/>
              <w:gridCol w:w="1118"/>
              <w:gridCol w:w="1032"/>
              <w:gridCol w:w="1334"/>
              <w:gridCol w:w="865"/>
              <w:gridCol w:w="1106"/>
              <w:gridCol w:w="1253"/>
            </w:tblGrid>
            <w:tr w14:paraId="356787BF">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786" w:hRule="atLeast"/>
                <w:tblHeader/>
                <w:jc w:val="center"/>
              </w:trPr>
              <w:tc>
                <w:tcPr>
                  <w:tcW w:w="547" w:type="dxa"/>
                  <w:tcBorders>
                    <w:right w:val="single" w:color="000000" w:sz="4" w:space="0"/>
                    <w:tl2br w:val="nil"/>
                    <w:tr2bl w:val="nil"/>
                  </w:tcBorders>
                  <w:noWrap w:val="0"/>
                  <w:vAlign w:val="center"/>
                </w:tcPr>
                <w:p w14:paraId="0B4B912D">
                  <w:pPr>
                    <w:autoSpaceDE/>
                    <w:autoSpaceDN/>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序号</w:t>
                  </w:r>
                </w:p>
              </w:tc>
              <w:tc>
                <w:tcPr>
                  <w:tcW w:w="1015" w:type="dxa"/>
                  <w:tcBorders>
                    <w:left w:val="single" w:color="000000" w:sz="4" w:space="0"/>
                    <w:right w:val="single" w:color="000000" w:sz="4" w:space="0"/>
                    <w:tl2br w:val="nil"/>
                    <w:tr2bl w:val="nil"/>
                  </w:tcBorders>
                  <w:noWrap w:val="0"/>
                  <w:vAlign w:val="center"/>
                </w:tcPr>
                <w:p w14:paraId="4C49967F">
                  <w:pPr>
                    <w:autoSpaceDE/>
                    <w:autoSpaceDN/>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物料名称</w:t>
                  </w:r>
                </w:p>
              </w:tc>
              <w:tc>
                <w:tcPr>
                  <w:tcW w:w="769" w:type="dxa"/>
                  <w:tcBorders>
                    <w:left w:val="single" w:color="000000" w:sz="4" w:space="0"/>
                    <w:right w:val="single" w:color="000000" w:sz="4" w:space="0"/>
                    <w:tl2br w:val="nil"/>
                    <w:tr2bl w:val="nil"/>
                  </w:tcBorders>
                  <w:noWrap w:val="0"/>
                  <w:vAlign w:val="center"/>
                </w:tcPr>
                <w:p w14:paraId="4FAB86C8">
                  <w:pPr>
                    <w:autoSpaceDE/>
                    <w:autoSpaceDN/>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危害特性</w:t>
                  </w:r>
                </w:p>
              </w:tc>
              <w:tc>
                <w:tcPr>
                  <w:tcW w:w="1118" w:type="dxa"/>
                  <w:tcBorders>
                    <w:left w:val="single" w:color="000000" w:sz="4" w:space="0"/>
                    <w:right w:val="single" w:color="000000" w:sz="4" w:space="0"/>
                    <w:tl2br w:val="nil"/>
                    <w:tr2bl w:val="nil"/>
                  </w:tcBorders>
                  <w:noWrap w:val="0"/>
                  <w:vAlign w:val="center"/>
                </w:tcPr>
                <w:p w14:paraId="19812767">
                  <w:pPr>
                    <w:autoSpaceDE/>
                    <w:autoSpaceDN/>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形态</w:t>
                  </w:r>
                </w:p>
              </w:tc>
              <w:tc>
                <w:tcPr>
                  <w:tcW w:w="1032" w:type="dxa"/>
                  <w:tcBorders>
                    <w:left w:val="single" w:color="000000" w:sz="4" w:space="0"/>
                    <w:right w:val="single" w:color="000000" w:sz="4" w:space="0"/>
                    <w:tl2br w:val="nil"/>
                    <w:tr2bl w:val="nil"/>
                  </w:tcBorders>
                  <w:noWrap w:val="0"/>
                  <w:vAlign w:val="center"/>
                </w:tcPr>
                <w:p w14:paraId="33254BE9">
                  <w:pPr>
                    <w:autoSpaceDE/>
                    <w:autoSpaceDN/>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包装方式</w:t>
                  </w:r>
                </w:p>
              </w:tc>
              <w:tc>
                <w:tcPr>
                  <w:tcW w:w="1334" w:type="dxa"/>
                  <w:tcBorders>
                    <w:left w:val="single" w:color="000000" w:sz="4" w:space="0"/>
                    <w:right w:val="single" w:color="000000" w:sz="4" w:space="0"/>
                    <w:tl2br w:val="nil"/>
                    <w:tr2bl w:val="nil"/>
                  </w:tcBorders>
                  <w:noWrap w:val="0"/>
                  <w:vAlign w:val="center"/>
                </w:tcPr>
                <w:p w14:paraId="11BC496E">
                  <w:pPr>
                    <w:autoSpaceDE/>
                    <w:autoSpaceDN/>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eastAsia" w:cs="Times New Roman"/>
                      <w:b/>
                      <w:color w:val="auto"/>
                      <w:sz w:val="21"/>
                      <w:szCs w:val="21"/>
                      <w:highlight w:val="none"/>
                      <w:lang w:val="en-US" w:eastAsia="zh-CN"/>
                    </w:rPr>
                    <w:t>厂区</w:t>
                  </w:r>
                  <w:r>
                    <w:rPr>
                      <w:rFonts w:hint="default" w:ascii="Times New Roman" w:hAnsi="Times New Roman" w:cs="Times New Roman"/>
                      <w:b/>
                      <w:color w:val="auto"/>
                      <w:sz w:val="21"/>
                      <w:szCs w:val="21"/>
                      <w:highlight w:val="none"/>
                    </w:rPr>
                    <w:t>最大储存量q（t）</w:t>
                  </w:r>
                </w:p>
              </w:tc>
              <w:tc>
                <w:tcPr>
                  <w:tcW w:w="865" w:type="dxa"/>
                  <w:tcBorders>
                    <w:left w:val="single" w:color="000000" w:sz="4" w:space="0"/>
                    <w:right w:val="single" w:color="000000" w:sz="4" w:space="0"/>
                    <w:tl2br w:val="nil"/>
                    <w:tr2bl w:val="nil"/>
                  </w:tcBorders>
                  <w:noWrap w:val="0"/>
                  <w:vAlign w:val="center"/>
                </w:tcPr>
                <w:p w14:paraId="380E8386">
                  <w:pPr>
                    <w:autoSpaceDE/>
                    <w:autoSpaceDN/>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color w:val="auto"/>
                      <w:sz w:val="21"/>
                      <w:szCs w:val="21"/>
                      <w:highlight w:val="none"/>
                    </w:rPr>
                    <w:t>临界量（t）</w:t>
                  </w:r>
                </w:p>
              </w:tc>
              <w:tc>
                <w:tcPr>
                  <w:tcW w:w="1106" w:type="dxa"/>
                  <w:tcBorders>
                    <w:left w:val="single" w:color="000000" w:sz="4" w:space="0"/>
                    <w:right w:val="single" w:color="000000" w:sz="4" w:space="0"/>
                    <w:tl2br w:val="nil"/>
                    <w:tr2bl w:val="nil"/>
                  </w:tcBorders>
                  <w:noWrap w:val="0"/>
                  <w:vAlign w:val="center"/>
                </w:tcPr>
                <w:p w14:paraId="57A8657B">
                  <w:pPr>
                    <w:autoSpaceDE/>
                    <w:autoSpaceDN/>
                    <w:adjustRightInd w:val="0"/>
                    <w:snapToGrid w:val="0"/>
                    <w:spacing w:line="240" w:lineRule="auto"/>
                    <w:ind w:firstLine="0" w:firstLineChars="0"/>
                    <w:jc w:val="center"/>
                    <w:rPr>
                      <w:rFonts w:hint="default" w:ascii="Times New Roman" w:hAnsi="Times New Roman" w:eastAsia="宋体" w:cs="Times New Roman"/>
                      <w:b/>
                      <w:bCs/>
                      <w:snapToGrid w:val="0"/>
                      <w:color w:val="auto"/>
                      <w:kern w:val="0"/>
                      <w:sz w:val="21"/>
                      <w:szCs w:val="21"/>
                      <w:highlight w:val="none"/>
                      <w:lang w:val="en-US" w:eastAsia="zh-CN"/>
                    </w:rPr>
                  </w:pPr>
                  <w:r>
                    <w:rPr>
                      <w:rFonts w:hint="eastAsia" w:cs="Times New Roman"/>
                      <w:b/>
                      <w:bCs/>
                      <w:snapToGrid w:val="0"/>
                      <w:color w:val="auto"/>
                      <w:kern w:val="0"/>
                      <w:sz w:val="21"/>
                      <w:szCs w:val="21"/>
                      <w:highlight w:val="none"/>
                      <w:lang w:val="en-US" w:eastAsia="zh-CN"/>
                    </w:rPr>
                    <w:t>Q值</w:t>
                  </w:r>
                </w:p>
              </w:tc>
              <w:tc>
                <w:tcPr>
                  <w:tcW w:w="1253" w:type="dxa"/>
                  <w:tcBorders>
                    <w:left w:val="single" w:color="000000" w:sz="4" w:space="0"/>
                    <w:tl2br w:val="nil"/>
                    <w:tr2bl w:val="nil"/>
                  </w:tcBorders>
                  <w:noWrap w:val="0"/>
                  <w:vAlign w:val="center"/>
                </w:tcPr>
                <w:p w14:paraId="4D91DE35">
                  <w:pPr>
                    <w:autoSpaceDE/>
                    <w:autoSpaceDN/>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储存位置</w:t>
                  </w:r>
                </w:p>
              </w:tc>
            </w:tr>
            <w:tr w14:paraId="0A3BB29D">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90" w:hRule="atLeast"/>
                <w:jc w:val="center"/>
              </w:trPr>
              <w:tc>
                <w:tcPr>
                  <w:tcW w:w="547" w:type="dxa"/>
                  <w:tcBorders>
                    <w:right w:val="single" w:color="000000" w:sz="4" w:space="0"/>
                    <w:tl2br w:val="nil"/>
                    <w:tr2bl w:val="nil"/>
                  </w:tcBorders>
                  <w:noWrap w:val="0"/>
                  <w:vAlign w:val="center"/>
                </w:tcPr>
                <w:p w14:paraId="52DA90F2">
                  <w:pPr>
                    <w:autoSpaceDE/>
                    <w:autoSpaceDN/>
                    <w:adjustRightInd w:val="0"/>
                    <w:snapToGrid w:val="0"/>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w:t>
                  </w:r>
                </w:p>
              </w:tc>
              <w:tc>
                <w:tcPr>
                  <w:tcW w:w="1015" w:type="dxa"/>
                  <w:tcBorders>
                    <w:left w:val="single" w:color="000000" w:sz="4" w:space="0"/>
                    <w:right w:val="single" w:color="000000" w:sz="4" w:space="0"/>
                    <w:tl2br w:val="nil"/>
                    <w:tr2bl w:val="nil"/>
                  </w:tcBorders>
                  <w:noWrap w:val="0"/>
                  <w:vAlign w:val="center"/>
                </w:tcPr>
                <w:p w14:paraId="311048BE">
                  <w:pPr>
                    <w:autoSpaceDE/>
                    <w:autoSpaceDN/>
                    <w:adjustRightInd/>
                    <w:snapToGrid/>
                    <w:spacing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机油</w:t>
                  </w:r>
                </w:p>
              </w:tc>
              <w:tc>
                <w:tcPr>
                  <w:tcW w:w="769" w:type="dxa"/>
                  <w:tcBorders>
                    <w:left w:val="single" w:color="000000" w:sz="4" w:space="0"/>
                    <w:right w:val="single" w:color="000000" w:sz="4" w:space="0"/>
                    <w:tl2br w:val="nil"/>
                    <w:tr2bl w:val="nil"/>
                  </w:tcBorders>
                  <w:noWrap w:val="0"/>
                  <w:vAlign w:val="center"/>
                </w:tcPr>
                <w:p w14:paraId="29920ED0">
                  <w:pPr>
                    <w:autoSpaceDE/>
                    <w:autoSpaceDN/>
                    <w:adjustRightInd w:val="0"/>
                    <w:snapToGrid w:val="0"/>
                    <w:spacing w:line="240" w:lineRule="auto"/>
                    <w:ind w:firstLine="0" w:firstLineChars="0"/>
                    <w:jc w:val="center"/>
                    <w:rPr>
                      <w:rFonts w:hint="eastAsia"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毒性</w:t>
                  </w:r>
                </w:p>
              </w:tc>
              <w:tc>
                <w:tcPr>
                  <w:tcW w:w="1118" w:type="dxa"/>
                  <w:tcBorders>
                    <w:left w:val="single" w:color="000000" w:sz="4" w:space="0"/>
                    <w:right w:val="single" w:color="000000" w:sz="4" w:space="0"/>
                    <w:tl2br w:val="nil"/>
                    <w:tr2bl w:val="nil"/>
                  </w:tcBorders>
                  <w:noWrap w:val="0"/>
                  <w:vAlign w:val="center"/>
                </w:tcPr>
                <w:p w14:paraId="0211BEAF">
                  <w:pPr>
                    <w:autoSpaceDE/>
                    <w:autoSpaceDN/>
                    <w:adjustRightInd w:val="0"/>
                    <w:snapToGrid w:val="0"/>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液态</w:t>
                  </w:r>
                </w:p>
              </w:tc>
              <w:tc>
                <w:tcPr>
                  <w:tcW w:w="1032" w:type="dxa"/>
                  <w:tcBorders>
                    <w:left w:val="single" w:color="000000" w:sz="4" w:space="0"/>
                    <w:right w:val="single" w:color="000000" w:sz="4" w:space="0"/>
                    <w:tl2br w:val="nil"/>
                    <w:tr2bl w:val="nil"/>
                  </w:tcBorders>
                  <w:noWrap w:val="0"/>
                  <w:vAlign w:val="center"/>
                </w:tcPr>
                <w:p w14:paraId="46448F56">
                  <w:pPr>
                    <w:pStyle w:val="94"/>
                    <w:bidi w:val="0"/>
                    <w:jc w:val="center"/>
                    <w:rPr>
                      <w:rFonts w:hint="eastAsia" w:eastAsia="宋体"/>
                      <w:color w:val="auto"/>
                      <w:highlight w:val="none"/>
                      <w:lang w:val="en-US" w:eastAsia="zh-CN"/>
                    </w:rPr>
                  </w:pPr>
                  <w:r>
                    <w:rPr>
                      <w:rFonts w:hint="eastAsia"/>
                      <w:color w:val="auto"/>
                      <w:highlight w:val="none"/>
                      <w:lang w:val="en-US" w:eastAsia="zh-CN"/>
                    </w:rPr>
                    <w:t>桶装</w:t>
                  </w:r>
                </w:p>
              </w:tc>
              <w:tc>
                <w:tcPr>
                  <w:tcW w:w="1334" w:type="dxa"/>
                  <w:tcBorders>
                    <w:left w:val="single" w:color="000000" w:sz="4" w:space="0"/>
                    <w:right w:val="single" w:color="000000" w:sz="4" w:space="0"/>
                    <w:tl2br w:val="nil"/>
                    <w:tr2bl w:val="nil"/>
                  </w:tcBorders>
                  <w:noWrap w:val="0"/>
                  <w:vAlign w:val="center"/>
                </w:tcPr>
                <w:p w14:paraId="29AC2575">
                  <w:pPr>
                    <w:pStyle w:val="94"/>
                    <w:bidi w:val="0"/>
                    <w:ind w:firstLine="0" w:firstLine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w:t>
                  </w:r>
                </w:p>
              </w:tc>
              <w:tc>
                <w:tcPr>
                  <w:tcW w:w="865" w:type="dxa"/>
                  <w:tcBorders>
                    <w:left w:val="single" w:color="000000" w:sz="4" w:space="0"/>
                    <w:right w:val="single" w:color="000000" w:sz="4" w:space="0"/>
                    <w:tl2br w:val="nil"/>
                    <w:tr2bl w:val="nil"/>
                  </w:tcBorders>
                  <w:noWrap w:val="0"/>
                  <w:vAlign w:val="center"/>
                </w:tcPr>
                <w:p w14:paraId="4177BA4B">
                  <w:pPr>
                    <w:autoSpaceDE/>
                    <w:autoSpaceDN/>
                    <w:adjustRightInd w:val="0"/>
                    <w:snapToGrid w:val="0"/>
                    <w:spacing w:line="240" w:lineRule="auto"/>
                    <w:ind w:firstLine="0" w:firstLineChars="0"/>
                    <w:jc w:val="center"/>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2500</w:t>
                  </w:r>
                </w:p>
              </w:tc>
              <w:tc>
                <w:tcPr>
                  <w:tcW w:w="1106" w:type="dxa"/>
                  <w:tcBorders>
                    <w:left w:val="single" w:color="000000" w:sz="4" w:space="0"/>
                    <w:right w:val="single" w:color="000000" w:sz="4" w:space="0"/>
                    <w:tl2br w:val="nil"/>
                    <w:tr2bl w:val="nil"/>
                  </w:tcBorders>
                  <w:noWrap w:val="0"/>
                  <w:vAlign w:val="center"/>
                </w:tcPr>
                <w:p w14:paraId="4DB1B8AD">
                  <w:pPr>
                    <w:pStyle w:val="106"/>
                    <w:bidi w:val="0"/>
                    <w:rPr>
                      <w:rFonts w:hint="default"/>
                      <w:lang w:val="en-US" w:eastAsia="zh-CN"/>
                    </w:rPr>
                  </w:pPr>
                  <w:r>
                    <w:rPr>
                      <w:rFonts w:hint="eastAsia"/>
                      <w:lang w:val="en-US" w:eastAsia="zh-CN"/>
                    </w:rPr>
                    <w:t>0.000004</w:t>
                  </w:r>
                </w:p>
              </w:tc>
              <w:tc>
                <w:tcPr>
                  <w:tcW w:w="1253" w:type="dxa"/>
                  <w:tcBorders>
                    <w:left w:val="single" w:color="000000" w:sz="4" w:space="0"/>
                    <w:tl2br w:val="nil"/>
                    <w:tr2bl w:val="nil"/>
                  </w:tcBorders>
                  <w:noWrap w:val="0"/>
                  <w:vAlign w:val="center"/>
                </w:tcPr>
                <w:p w14:paraId="170BA71A">
                  <w:pPr>
                    <w:autoSpaceDE/>
                    <w:autoSpaceDN/>
                    <w:adjustRightInd w:val="0"/>
                    <w:snapToGrid w:val="0"/>
                    <w:spacing w:line="240" w:lineRule="auto"/>
                    <w:ind w:firstLine="0" w:firstLineChars="0"/>
                    <w:jc w:val="center"/>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生产车间</w:t>
                  </w:r>
                </w:p>
              </w:tc>
            </w:tr>
            <w:tr w14:paraId="267ABA1D">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90" w:hRule="atLeast"/>
                <w:jc w:val="center"/>
              </w:trPr>
              <w:tc>
                <w:tcPr>
                  <w:tcW w:w="547" w:type="dxa"/>
                  <w:tcBorders>
                    <w:right w:val="single" w:color="000000" w:sz="4" w:space="0"/>
                    <w:tl2br w:val="nil"/>
                    <w:tr2bl w:val="nil"/>
                  </w:tcBorders>
                  <w:noWrap w:val="0"/>
                  <w:vAlign w:val="center"/>
                </w:tcPr>
                <w:p w14:paraId="0A87E065">
                  <w:pPr>
                    <w:autoSpaceDE/>
                    <w:autoSpaceDN/>
                    <w:adjustRightInd w:val="0"/>
                    <w:snapToGrid w:val="0"/>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rPr>
                    <w:t>2</w:t>
                  </w:r>
                </w:p>
              </w:tc>
              <w:tc>
                <w:tcPr>
                  <w:tcW w:w="1015" w:type="dxa"/>
                  <w:tcBorders>
                    <w:left w:val="single" w:color="000000" w:sz="4" w:space="0"/>
                    <w:right w:val="single" w:color="000000" w:sz="4" w:space="0"/>
                    <w:tl2br w:val="nil"/>
                    <w:tr2bl w:val="nil"/>
                  </w:tcBorders>
                  <w:noWrap w:val="0"/>
                  <w:vAlign w:val="center"/>
                </w:tcPr>
                <w:p w14:paraId="0A1B2A91">
                  <w:pPr>
                    <w:autoSpaceDE/>
                    <w:autoSpaceDN/>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危险废物</w:t>
                  </w:r>
                </w:p>
              </w:tc>
              <w:tc>
                <w:tcPr>
                  <w:tcW w:w="769" w:type="dxa"/>
                  <w:tcBorders>
                    <w:left w:val="single" w:color="000000" w:sz="4" w:space="0"/>
                    <w:right w:val="single" w:color="000000" w:sz="4" w:space="0"/>
                    <w:tl2br w:val="nil"/>
                    <w:tr2bl w:val="nil"/>
                  </w:tcBorders>
                  <w:noWrap w:val="0"/>
                  <w:vAlign w:val="center"/>
                </w:tcPr>
                <w:p w14:paraId="6166D4B8">
                  <w:pPr>
                    <w:autoSpaceDE/>
                    <w:autoSpaceDN/>
                    <w:adjustRightInd w:val="0"/>
                    <w:snapToGrid w:val="0"/>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毒性</w:t>
                  </w:r>
                </w:p>
              </w:tc>
              <w:tc>
                <w:tcPr>
                  <w:tcW w:w="1118" w:type="dxa"/>
                  <w:tcBorders>
                    <w:left w:val="single" w:color="000000" w:sz="4" w:space="0"/>
                    <w:right w:val="single" w:color="000000" w:sz="4" w:space="0"/>
                    <w:tl2br w:val="nil"/>
                    <w:tr2bl w:val="nil"/>
                  </w:tcBorders>
                  <w:noWrap w:val="0"/>
                  <w:vAlign w:val="center"/>
                </w:tcPr>
                <w:p w14:paraId="1BF77076">
                  <w:pPr>
                    <w:autoSpaceDE/>
                    <w:autoSpaceDN/>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rPr>
                    <w:t>液态</w:t>
                  </w:r>
                  <w:r>
                    <w:rPr>
                      <w:rFonts w:hint="eastAsia" w:cs="Times New Roman"/>
                      <w:snapToGrid w:val="0"/>
                      <w:color w:val="auto"/>
                      <w:kern w:val="0"/>
                      <w:sz w:val="21"/>
                      <w:szCs w:val="21"/>
                      <w:highlight w:val="none"/>
                      <w:lang w:val="en-US" w:eastAsia="zh-CN"/>
                    </w:rPr>
                    <w:t>/固态</w:t>
                  </w:r>
                </w:p>
              </w:tc>
              <w:tc>
                <w:tcPr>
                  <w:tcW w:w="1032" w:type="dxa"/>
                  <w:tcBorders>
                    <w:left w:val="single" w:color="000000" w:sz="4" w:space="0"/>
                    <w:right w:val="single" w:color="000000" w:sz="4" w:space="0"/>
                    <w:tl2br w:val="nil"/>
                    <w:tr2bl w:val="nil"/>
                  </w:tcBorders>
                  <w:noWrap w:val="0"/>
                  <w:vAlign w:val="center"/>
                </w:tcPr>
                <w:p w14:paraId="24A568AB">
                  <w:pPr>
                    <w:pStyle w:val="94"/>
                    <w:bidi w:val="0"/>
                    <w:jc w:val="center"/>
                    <w:rPr>
                      <w:rFonts w:hint="default"/>
                      <w:color w:val="auto"/>
                      <w:highlight w:val="none"/>
                    </w:rPr>
                  </w:pPr>
                  <w:r>
                    <w:rPr>
                      <w:rFonts w:hint="default"/>
                      <w:color w:val="auto"/>
                      <w:highlight w:val="none"/>
                    </w:rPr>
                    <w:t>桶装</w:t>
                  </w:r>
                </w:p>
              </w:tc>
              <w:tc>
                <w:tcPr>
                  <w:tcW w:w="1334" w:type="dxa"/>
                  <w:tcBorders>
                    <w:left w:val="single" w:color="000000" w:sz="4" w:space="0"/>
                    <w:right w:val="single" w:color="000000" w:sz="4" w:space="0"/>
                    <w:tl2br w:val="nil"/>
                    <w:tr2bl w:val="nil"/>
                  </w:tcBorders>
                  <w:noWrap w:val="0"/>
                  <w:vAlign w:val="center"/>
                </w:tcPr>
                <w:p w14:paraId="213F6405">
                  <w:pPr>
                    <w:pStyle w:val="94"/>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0.255</w:t>
                  </w:r>
                </w:p>
              </w:tc>
              <w:tc>
                <w:tcPr>
                  <w:tcW w:w="865" w:type="dxa"/>
                  <w:tcBorders>
                    <w:left w:val="single" w:color="000000" w:sz="4" w:space="0"/>
                    <w:right w:val="single" w:color="000000" w:sz="4" w:space="0"/>
                    <w:tl2br w:val="nil"/>
                    <w:tr2bl w:val="nil"/>
                  </w:tcBorders>
                  <w:noWrap w:val="0"/>
                  <w:vAlign w:val="center"/>
                </w:tcPr>
                <w:p w14:paraId="3539A6E4">
                  <w:pPr>
                    <w:autoSpaceDE/>
                    <w:autoSpaceDN/>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50</w:t>
                  </w:r>
                </w:p>
              </w:tc>
              <w:tc>
                <w:tcPr>
                  <w:tcW w:w="1106" w:type="dxa"/>
                  <w:tcBorders>
                    <w:left w:val="single" w:color="000000" w:sz="4" w:space="0"/>
                    <w:right w:val="single" w:color="000000" w:sz="4" w:space="0"/>
                    <w:tl2br w:val="nil"/>
                    <w:tr2bl w:val="nil"/>
                  </w:tcBorders>
                  <w:shd w:val="clear" w:color="auto" w:fill="auto"/>
                  <w:noWrap w:val="0"/>
                  <w:vAlign w:val="center"/>
                </w:tcPr>
                <w:p w14:paraId="41401675">
                  <w:pPr>
                    <w:pStyle w:val="106"/>
                    <w:bidi w:val="0"/>
                    <w:rPr>
                      <w:rFonts w:hint="default"/>
                      <w:lang w:val="en-US" w:eastAsia="zh-CN"/>
                    </w:rPr>
                  </w:pPr>
                  <w:r>
                    <w:rPr>
                      <w:rFonts w:hint="eastAsia"/>
                      <w:lang w:val="en-US" w:eastAsia="zh-CN"/>
                    </w:rPr>
                    <w:t>0.0051</w:t>
                  </w:r>
                </w:p>
              </w:tc>
              <w:tc>
                <w:tcPr>
                  <w:tcW w:w="1253" w:type="dxa"/>
                  <w:tcBorders>
                    <w:left w:val="single" w:color="000000" w:sz="4" w:space="0"/>
                    <w:tl2br w:val="nil"/>
                    <w:tr2bl w:val="nil"/>
                  </w:tcBorders>
                  <w:noWrap w:val="0"/>
                  <w:vAlign w:val="center"/>
                </w:tcPr>
                <w:p w14:paraId="0BB66189">
                  <w:pPr>
                    <w:autoSpaceDE/>
                    <w:autoSpaceDN/>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危废暂存间</w:t>
                  </w:r>
                </w:p>
              </w:tc>
            </w:tr>
            <w:tr w14:paraId="18ACD95A">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90" w:hRule="atLeast"/>
                <w:jc w:val="center"/>
              </w:trPr>
              <w:tc>
                <w:tcPr>
                  <w:tcW w:w="6680" w:type="dxa"/>
                  <w:gridSpan w:val="7"/>
                  <w:tcBorders>
                    <w:right w:val="single" w:color="000000" w:sz="4" w:space="0"/>
                    <w:tl2br w:val="nil"/>
                    <w:tr2bl w:val="nil"/>
                  </w:tcBorders>
                  <w:noWrap w:val="0"/>
                  <w:vAlign w:val="center"/>
                </w:tcPr>
                <w:p w14:paraId="0D260281">
                  <w:pPr>
                    <w:autoSpaceDE/>
                    <w:autoSpaceDN/>
                    <w:adjustRightInd w:val="0"/>
                    <w:snapToGrid w:val="0"/>
                    <w:spacing w:line="240" w:lineRule="auto"/>
                    <w:ind w:firstLine="0" w:firstLineChars="0"/>
                    <w:jc w:val="center"/>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合计</w:t>
                  </w:r>
                </w:p>
              </w:tc>
              <w:tc>
                <w:tcPr>
                  <w:tcW w:w="1106" w:type="dxa"/>
                  <w:tcBorders>
                    <w:left w:val="single" w:color="000000" w:sz="4" w:space="0"/>
                    <w:right w:val="single" w:color="000000" w:sz="4" w:space="0"/>
                    <w:tl2br w:val="nil"/>
                    <w:tr2bl w:val="nil"/>
                  </w:tcBorders>
                  <w:noWrap w:val="0"/>
                  <w:vAlign w:val="center"/>
                </w:tcPr>
                <w:p w14:paraId="291A57A3">
                  <w:pPr>
                    <w:pStyle w:val="106"/>
                    <w:bidi w:val="0"/>
                    <w:rPr>
                      <w:rFonts w:hint="default"/>
                      <w:lang w:val="en-US" w:eastAsia="zh-CN"/>
                    </w:rPr>
                  </w:pPr>
                  <w:r>
                    <w:rPr>
                      <w:rFonts w:hint="eastAsia"/>
                      <w:lang w:val="en-US" w:eastAsia="zh-CN"/>
                    </w:rPr>
                    <w:t>0.005104</w:t>
                  </w:r>
                </w:p>
              </w:tc>
              <w:tc>
                <w:tcPr>
                  <w:tcW w:w="1253" w:type="dxa"/>
                  <w:tcBorders>
                    <w:left w:val="single" w:color="000000" w:sz="4" w:space="0"/>
                    <w:tl2br w:val="nil"/>
                    <w:tr2bl w:val="nil"/>
                  </w:tcBorders>
                  <w:noWrap w:val="0"/>
                  <w:vAlign w:val="center"/>
                </w:tcPr>
                <w:p w14:paraId="569D3466">
                  <w:pPr>
                    <w:autoSpaceDE/>
                    <w:autoSpaceDN/>
                    <w:adjustRightInd w:val="0"/>
                    <w:snapToGrid w:val="0"/>
                    <w:spacing w:line="240" w:lineRule="auto"/>
                    <w:ind w:firstLine="0" w:firstLineChars="0"/>
                    <w:jc w:val="center"/>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w:t>
                  </w:r>
                </w:p>
              </w:tc>
            </w:tr>
          </w:tbl>
          <w:p w14:paraId="369FC0A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textAlignment w:val="auto"/>
              <w:rPr>
                <w:rFonts w:hint="default" w:ascii="Times New Roman" w:hAnsi="Times New Roman" w:cs="Times New Roman"/>
                <w:color w:val="auto"/>
                <w:kern w:val="0"/>
                <w:sz w:val="21"/>
                <w:szCs w:val="21"/>
                <w:highlight w:val="none"/>
              </w:rPr>
            </w:pPr>
            <w:r>
              <w:rPr>
                <w:rFonts w:hint="eastAsia" w:cs="Times New Roman"/>
                <w:snapToGrid w:val="0"/>
                <w:color w:val="auto"/>
                <w:kern w:val="0"/>
                <w:sz w:val="21"/>
                <w:szCs w:val="21"/>
                <w:highlight w:val="none"/>
                <w:lang w:val="en-US" w:eastAsia="zh-CN"/>
              </w:rPr>
              <w:t>注：危险废物按健康危险急性毒性物质计。</w:t>
            </w:r>
          </w:p>
          <w:p w14:paraId="00EE8DAF">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eastAsia" w:eastAsia="宋体"/>
                <w:b/>
                <w:bCs/>
                <w:color w:val="auto"/>
                <w:szCs w:val="21"/>
                <w:highlight w:val="none"/>
                <w:lang w:eastAsia="zh-CN"/>
              </w:rPr>
            </w:pPr>
            <w:r>
              <w:rPr>
                <w:rFonts w:hint="default" w:ascii="Times New Roman" w:hAnsi="Times New Roman" w:cs="Times New Roman"/>
                <w:color w:val="auto"/>
                <w:kern w:val="0"/>
                <w:sz w:val="24"/>
                <w:highlight w:val="none"/>
              </w:rPr>
              <w:t>根据《建设项目环境风险评价技术导则》（HJ169-2018）附录C，计算项目Q=</w:t>
            </w:r>
            <w:r>
              <w:rPr>
                <w:rFonts w:hint="eastAsia"/>
                <w:lang w:val="en-US" w:eastAsia="zh-CN"/>
              </w:rPr>
              <w:t>0.005104</w:t>
            </w:r>
            <w:r>
              <w:rPr>
                <w:rFonts w:hint="default" w:ascii="Times New Roman" w:hAnsi="Times New Roman" w:cs="Times New Roman"/>
                <w:color w:val="auto"/>
                <w:kern w:val="0"/>
                <w:sz w:val="24"/>
                <w:highlight w:val="none"/>
              </w:rPr>
              <w:t>＜1，即项目环境风险潜势为I，环境风险评价工作等级为简单分析</w:t>
            </w:r>
            <w:r>
              <w:rPr>
                <w:rFonts w:hint="eastAsia" w:cs="Times New Roman"/>
                <w:color w:val="auto"/>
                <w:kern w:val="0"/>
                <w:sz w:val="24"/>
                <w:highlight w:val="none"/>
                <w:lang w:eastAsia="zh-CN"/>
              </w:rPr>
              <w:t>。</w:t>
            </w:r>
          </w:p>
          <w:p w14:paraId="4FDCD3C9">
            <w:pPr>
              <w:keepNext w:val="0"/>
              <w:keepLines w:val="0"/>
              <w:pageBreakBefore w:val="0"/>
              <w:widowControl w:val="0"/>
              <w:tabs>
                <w:tab w:val="left" w:pos="1260"/>
              </w:tabs>
              <w:kinsoku/>
              <w:wordWrap w:val="0"/>
              <w:overflowPunct/>
              <w:topLinePunct w:val="0"/>
              <w:autoSpaceDE/>
              <w:autoSpaceDN/>
              <w:bidi w:val="0"/>
              <w:adjustRightInd w:val="0"/>
              <w:snapToGrid/>
              <w:spacing w:line="360" w:lineRule="auto"/>
              <w:ind w:firstLine="482" w:firstLineChars="200"/>
              <w:textAlignment w:val="auto"/>
              <w:rPr>
                <w:b/>
                <w:color w:val="auto"/>
                <w:sz w:val="24"/>
                <w:highlight w:val="none"/>
              </w:rPr>
            </w:pPr>
            <w:r>
              <w:rPr>
                <w:rFonts w:hint="eastAsia"/>
                <w:b/>
                <w:color w:val="auto"/>
                <w:sz w:val="24"/>
                <w:highlight w:val="none"/>
                <w:lang w:val="en-US" w:eastAsia="zh-CN"/>
              </w:rPr>
              <w:t>②</w:t>
            </w:r>
            <w:r>
              <w:rPr>
                <w:rFonts w:hint="eastAsia"/>
                <w:b/>
                <w:color w:val="auto"/>
                <w:sz w:val="24"/>
                <w:highlight w:val="none"/>
              </w:rPr>
              <w:t>环境风险识别</w:t>
            </w:r>
          </w:p>
          <w:p w14:paraId="3EBF928E">
            <w:pPr>
              <w:spacing w:line="360" w:lineRule="auto"/>
              <w:ind w:firstLine="480" w:firstLineChars="200"/>
              <w:rPr>
                <w:color w:val="auto"/>
                <w:sz w:val="24"/>
                <w:highlight w:val="none"/>
              </w:rPr>
            </w:pPr>
            <w:r>
              <w:rPr>
                <w:rFonts w:hint="eastAsia"/>
                <w:color w:val="auto"/>
                <w:sz w:val="24"/>
                <w:szCs w:val="24"/>
                <w:highlight w:val="none"/>
              </w:rPr>
              <w:t>本项目危废暂存间可能发生液态危险废物泄漏事故对地下水和土壤造成污染</w:t>
            </w:r>
            <w:r>
              <w:rPr>
                <w:rFonts w:hint="eastAsia"/>
                <w:color w:val="auto"/>
                <w:sz w:val="24"/>
                <w:szCs w:val="24"/>
                <w:highlight w:val="none"/>
                <w:lang w:eastAsia="zh-CN"/>
              </w:rPr>
              <w:t>，</w:t>
            </w:r>
            <w:r>
              <w:rPr>
                <w:rFonts w:hint="eastAsia"/>
                <w:color w:val="auto"/>
                <w:sz w:val="24"/>
                <w:szCs w:val="24"/>
                <w:highlight w:val="none"/>
                <w:lang w:val="en-US" w:eastAsia="zh-CN"/>
              </w:rPr>
              <w:t>生产车间可能发生废机油遗撒泄漏对</w:t>
            </w:r>
            <w:r>
              <w:rPr>
                <w:rFonts w:hint="eastAsia"/>
                <w:color w:val="auto"/>
                <w:sz w:val="24"/>
                <w:szCs w:val="24"/>
                <w:highlight w:val="none"/>
              </w:rPr>
              <w:t>地下水和土壤造成污染</w:t>
            </w:r>
            <w:r>
              <w:rPr>
                <w:rFonts w:hint="eastAsia"/>
                <w:color w:val="auto"/>
                <w:sz w:val="24"/>
                <w:szCs w:val="24"/>
                <w:highlight w:val="none"/>
                <w:lang w:val="en-US" w:eastAsia="zh-CN"/>
              </w:rPr>
              <w:t>；机油易燃，遇明火可能发生火灾事故，</w:t>
            </w:r>
            <w:r>
              <w:rPr>
                <w:rFonts w:hint="eastAsia"/>
                <w:color w:val="auto"/>
                <w:highlight w:val="none"/>
                <w:lang w:val="en-US" w:eastAsia="zh-CN"/>
              </w:rPr>
              <w:t>项目空压机配套空气储罐遇明火存在火灾爆炸风险，</w:t>
            </w:r>
            <w:r>
              <w:rPr>
                <w:rFonts w:hint="eastAsia"/>
                <w:color w:val="auto"/>
                <w:sz w:val="24"/>
                <w:szCs w:val="24"/>
                <w:highlight w:val="none"/>
                <w:lang w:val="en-US" w:eastAsia="zh-CN"/>
              </w:rPr>
              <w:t>从而导致</w:t>
            </w:r>
            <w:r>
              <w:rPr>
                <w:rFonts w:hint="eastAsia"/>
                <w:color w:val="auto"/>
                <w:highlight w:val="none"/>
                <w:lang w:val="en-US" w:eastAsia="zh-CN"/>
              </w:rPr>
              <w:t>次生大气环境、水</w:t>
            </w:r>
            <w:r>
              <w:rPr>
                <w:color w:val="auto"/>
                <w:highlight w:val="none"/>
              </w:rPr>
              <w:t>环境污染</w:t>
            </w:r>
            <w:r>
              <w:rPr>
                <w:rFonts w:hint="eastAsia"/>
                <w:color w:val="auto"/>
                <w:highlight w:val="none"/>
                <w:lang w:val="en-US" w:eastAsia="zh-CN"/>
              </w:rPr>
              <w:t>事故</w:t>
            </w:r>
            <w:r>
              <w:rPr>
                <w:rFonts w:hint="eastAsia"/>
                <w:color w:val="auto"/>
                <w:sz w:val="24"/>
                <w:szCs w:val="24"/>
                <w:highlight w:val="none"/>
                <w:lang w:eastAsia="zh-CN"/>
              </w:rPr>
              <w:t>；</w:t>
            </w:r>
            <w:r>
              <w:rPr>
                <w:rFonts w:hint="eastAsia"/>
                <w:color w:val="auto"/>
                <w:sz w:val="24"/>
                <w:szCs w:val="24"/>
                <w:highlight w:val="none"/>
                <w:lang w:val="en-US" w:eastAsia="zh-CN"/>
              </w:rPr>
              <w:t>废气等环保设施故障可能导致废气事故性排放</w:t>
            </w:r>
            <w:r>
              <w:rPr>
                <w:rFonts w:hint="eastAsia"/>
                <w:color w:val="auto"/>
                <w:sz w:val="24"/>
                <w:szCs w:val="24"/>
                <w:highlight w:val="none"/>
              </w:rPr>
              <w:t>。</w:t>
            </w:r>
            <w:r>
              <w:rPr>
                <w:rFonts w:hint="eastAsia"/>
                <w:color w:val="auto"/>
                <w:sz w:val="24"/>
                <w:szCs w:val="24"/>
                <w:highlight w:val="none"/>
                <w:lang w:val="en-US" w:eastAsia="zh-CN"/>
              </w:rPr>
              <w:t>综上，</w:t>
            </w:r>
            <w:r>
              <w:rPr>
                <w:color w:val="auto"/>
                <w:sz w:val="24"/>
                <w:highlight w:val="none"/>
              </w:rPr>
              <w:t>在生产过程中主要有以下几个方面事故风险：</w:t>
            </w:r>
          </w:p>
          <w:p w14:paraId="547BA236">
            <w:pPr>
              <w:bidi w:val="0"/>
              <w:rPr>
                <w:color w:val="auto"/>
                <w:highlight w:val="none"/>
              </w:rPr>
            </w:pPr>
            <w:r>
              <w:rPr>
                <w:rFonts w:hint="eastAsia"/>
                <w:color w:val="auto"/>
                <w:highlight w:val="none"/>
                <w:lang w:val="en-US" w:eastAsia="zh-CN"/>
              </w:rPr>
              <w:t>①危废暂存间废液、废机油</w:t>
            </w:r>
            <w:r>
              <w:rPr>
                <w:rFonts w:hint="eastAsia"/>
                <w:color w:val="auto"/>
                <w:highlight w:val="none"/>
              </w:rPr>
              <w:t>等液态物料泄漏的风险。</w:t>
            </w:r>
          </w:p>
          <w:p w14:paraId="31B579E1">
            <w:pPr>
              <w:bidi w:val="0"/>
              <w:rPr>
                <w:color w:val="auto"/>
                <w:highlight w:val="none"/>
              </w:rPr>
            </w:pPr>
            <w:r>
              <w:rPr>
                <w:rFonts w:hint="eastAsia"/>
                <w:color w:val="auto"/>
                <w:highlight w:val="none"/>
                <w:lang w:val="en-US" w:eastAsia="zh-CN"/>
              </w:rPr>
              <w:t>②</w:t>
            </w:r>
            <w:r>
              <w:rPr>
                <w:color w:val="auto"/>
                <w:highlight w:val="none"/>
              </w:rPr>
              <w:t>在生产过程中存在</w:t>
            </w:r>
            <w:r>
              <w:rPr>
                <w:rFonts w:hint="eastAsia"/>
                <w:color w:val="auto"/>
                <w:highlight w:val="none"/>
                <w:lang w:val="en-US" w:eastAsia="zh-CN"/>
              </w:rPr>
              <w:t>火灾</w:t>
            </w:r>
            <w:r>
              <w:rPr>
                <w:color w:val="auto"/>
                <w:highlight w:val="none"/>
              </w:rPr>
              <w:t>事故风险。项目生产中一旦发生</w:t>
            </w:r>
            <w:r>
              <w:rPr>
                <w:rFonts w:hint="eastAsia"/>
                <w:color w:val="auto"/>
                <w:highlight w:val="none"/>
                <w:lang w:val="en-US" w:eastAsia="zh-CN"/>
              </w:rPr>
              <w:t>火灾</w:t>
            </w:r>
            <w:r>
              <w:rPr>
                <w:color w:val="auto"/>
                <w:highlight w:val="none"/>
              </w:rPr>
              <w:t>，</w:t>
            </w:r>
            <w:r>
              <w:rPr>
                <w:rFonts w:hint="eastAsia"/>
                <w:color w:val="auto"/>
                <w:highlight w:val="none"/>
                <w:lang w:val="en-US" w:eastAsia="zh-CN"/>
              </w:rPr>
              <w:t>可能</w:t>
            </w:r>
            <w:r>
              <w:rPr>
                <w:color w:val="auto"/>
                <w:highlight w:val="none"/>
              </w:rPr>
              <w:t>导致一系列人身危险危害、财产损失事故发生和</w:t>
            </w:r>
            <w:r>
              <w:rPr>
                <w:rFonts w:hint="eastAsia"/>
                <w:color w:val="auto"/>
                <w:highlight w:val="none"/>
                <w:lang w:val="en-US" w:eastAsia="zh-CN"/>
              </w:rPr>
              <w:t>次生大气环境、水</w:t>
            </w:r>
            <w:r>
              <w:rPr>
                <w:color w:val="auto"/>
                <w:highlight w:val="none"/>
              </w:rPr>
              <w:t>环境污染</w:t>
            </w:r>
            <w:r>
              <w:rPr>
                <w:rFonts w:hint="eastAsia"/>
                <w:color w:val="auto"/>
                <w:highlight w:val="none"/>
                <w:lang w:val="en-US" w:eastAsia="zh-CN"/>
              </w:rPr>
              <w:t>事故发生</w:t>
            </w:r>
            <w:r>
              <w:rPr>
                <w:color w:val="auto"/>
                <w:highlight w:val="none"/>
              </w:rPr>
              <w:t>。</w:t>
            </w:r>
          </w:p>
          <w:p w14:paraId="52F772A5">
            <w:pPr>
              <w:bidi w:val="0"/>
              <w:rPr>
                <w:color w:val="auto"/>
                <w:highlight w:val="none"/>
              </w:rPr>
            </w:pPr>
            <w:r>
              <w:rPr>
                <w:rFonts w:hint="eastAsia"/>
                <w:color w:val="auto"/>
                <w:highlight w:val="none"/>
                <w:lang w:val="en-US" w:eastAsia="zh-CN"/>
              </w:rPr>
              <w:t>③</w:t>
            </w:r>
            <w:r>
              <w:rPr>
                <w:color w:val="auto"/>
                <w:highlight w:val="none"/>
              </w:rPr>
              <w:t>未经治理的“三废”污染物进入环境事故</w:t>
            </w:r>
            <w:r>
              <w:rPr>
                <w:rFonts w:hint="eastAsia"/>
                <w:color w:val="auto"/>
                <w:highlight w:val="none"/>
                <w:lang w:eastAsia="zh-CN"/>
              </w:rPr>
              <w:t>。</w:t>
            </w:r>
            <w:r>
              <w:rPr>
                <w:color w:val="auto"/>
                <w:highlight w:val="none"/>
              </w:rPr>
              <w:t>三废治理工艺操作失误、设备故障、发生</w:t>
            </w:r>
            <w:r>
              <w:rPr>
                <w:rFonts w:hint="eastAsia"/>
                <w:color w:val="auto"/>
                <w:highlight w:val="none"/>
                <w:lang w:eastAsia="zh-CN"/>
              </w:rPr>
              <w:t>泄漏</w:t>
            </w:r>
            <w:r>
              <w:rPr>
                <w:color w:val="auto"/>
                <w:highlight w:val="none"/>
              </w:rPr>
              <w:t>、突发性排放三废、停电引起生产操作系统中断和治理系统停转等，导致废气的事故性排放，污染大气环境。</w:t>
            </w:r>
          </w:p>
          <w:p w14:paraId="43B492C9">
            <w:pPr>
              <w:widowControl/>
              <w:adjustRightInd w:val="0"/>
              <w:snapToGrid w:val="0"/>
              <w:spacing w:line="360" w:lineRule="auto"/>
              <w:ind w:firstLine="482" w:firstLineChars="200"/>
              <w:jc w:val="left"/>
              <w:rPr>
                <w:b/>
                <w:color w:val="auto"/>
                <w:sz w:val="24"/>
                <w:highlight w:val="none"/>
              </w:rPr>
            </w:pPr>
            <w:r>
              <w:rPr>
                <w:rFonts w:hint="eastAsia"/>
                <w:b/>
                <w:color w:val="auto"/>
                <w:sz w:val="24"/>
                <w:highlight w:val="none"/>
                <w:lang w:val="en-US" w:eastAsia="zh-CN"/>
              </w:rPr>
              <w:t>（3）</w:t>
            </w:r>
            <w:r>
              <w:rPr>
                <w:b/>
                <w:color w:val="auto"/>
                <w:sz w:val="24"/>
                <w:highlight w:val="none"/>
              </w:rPr>
              <w:t>环境风险防范措施及应急要求</w:t>
            </w:r>
          </w:p>
          <w:p w14:paraId="530E8D49">
            <w:pPr>
              <w:autoSpaceDE w:val="0"/>
              <w:autoSpaceDN w:val="0"/>
              <w:adjustRightInd w:val="0"/>
              <w:spacing w:line="360" w:lineRule="auto"/>
              <w:ind w:firstLine="482" w:firstLineChars="200"/>
              <w:jc w:val="left"/>
              <w:rPr>
                <w:rFonts w:hint="eastAsia" w:eastAsia="宋体"/>
                <w:b/>
                <w:bCs/>
                <w:color w:val="auto"/>
                <w:kern w:val="0"/>
                <w:sz w:val="24"/>
                <w:highlight w:val="none"/>
                <w:lang w:val="en-US" w:eastAsia="zh-CN"/>
              </w:rPr>
            </w:pPr>
            <w:r>
              <w:rPr>
                <w:rFonts w:hint="eastAsia"/>
                <w:b/>
                <w:bCs/>
                <w:color w:val="auto"/>
                <w:kern w:val="0"/>
                <w:sz w:val="24"/>
                <w:highlight w:val="none"/>
                <w:lang w:val="en-US" w:eastAsia="zh-CN"/>
              </w:rPr>
              <w:t>①</w:t>
            </w:r>
            <w:r>
              <w:rPr>
                <w:b/>
                <w:bCs/>
                <w:color w:val="auto"/>
                <w:kern w:val="0"/>
                <w:sz w:val="24"/>
                <w:highlight w:val="none"/>
              </w:rPr>
              <w:t>生产、仓储方面</w:t>
            </w:r>
          </w:p>
          <w:p w14:paraId="156AF9A4">
            <w:pPr>
              <w:autoSpaceDE w:val="0"/>
              <w:autoSpaceDN w:val="0"/>
              <w:adjustRightInd w:val="0"/>
              <w:spacing w:line="360" w:lineRule="auto"/>
              <w:ind w:firstLine="480" w:firstLineChars="200"/>
              <w:jc w:val="left"/>
              <w:rPr>
                <w:color w:val="auto"/>
                <w:kern w:val="0"/>
                <w:sz w:val="24"/>
                <w:highlight w:val="none"/>
              </w:rPr>
            </w:pPr>
            <w:r>
              <w:rPr>
                <w:color w:val="auto"/>
                <w:kern w:val="0"/>
                <w:sz w:val="24"/>
                <w:highlight w:val="none"/>
              </w:rPr>
              <w:t>在总平面图布置上，各建筑单体之间要按有关设计规范要求，留有足够的防火间距。必须有符合国家标准的生产工艺、设备或者储存方式、设施，虽然</w:t>
            </w:r>
            <w:r>
              <w:rPr>
                <w:rFonts w:hint="eastAsia"/>
                <w:color w:val="auto"/>
                <w:kern w:val="0"/>
                <w:sz w:val="24"/>
                <w:highlight w:val="none"/>
                <w:lang w:eastAsia="zh-CN"/>
              </w:rPr>
              <w:t>本项目</w:t>
            </w:r>
            <w:r>
              <w:rPr>
                <w:color w:val="auto"/>
                <w:kern w:val="0"/>
                <w:sz w:val="24"/>
                <w:highlight w:val="none"/>
              </w:rPr>
              <w:t>生产中使用和储存的危险物不构成重大危险源，其储存地仍尽量应远离水源、居住区等。必须在使用和储存易燃液体的场所采取防火、防爆措施，远离火种。建设方应配备符合生产或者储存需要的管理人员和技术人员，有健全的安全管理制度。建立完善的安全生产规章制度和操作规程，严格按操作规程生产。加强环保设施运行管理，确保其正常、高效地运转。</w:t>
            </w:r>
          </w:p>
          <w:p w14:paraId="0FE159DE">
            <w:pPr>
              <w:autoSpaceDE w:val="0"/>
              <w:autoSpaceDN w:val="0"/>
              <w:adjustRightInd w:val="0"/>
              <w:spacing w:line="360" w:lineRule="auto"/>
              <w:ind w:firstLine="482" w:firstLineChars="200"/>
              <w:jc w:val="left"/>
              <w:rPr>
                <w:b/>
                <w:bCs/>
                <w:color w:val="auto"/>
                <w:kern w:val="0"/>
                <w:sz w:val="24"/>
                <w:highlight w:val="none"/>
              </w:rPr>
            </w:pPr>
            <w:r>
              <w:rPr>
                <w:rFonts w:hint="eastAsia"/>
                <w:b/>
                <w:bCs/>
                <w:color w:val="auto"/>
                <w:kern w:val="0"/>
                <w:sz w:val="24"/>
                <w:highlight w:val="none"/>
                <w:lang w:val="en-US" w:eastAsia="zh-CN"/>
              </w:rPr>
              <w:t>②</w:t>
            </w:r>
            <w:r>
              <w:rPr>
                <w:b/>
                <w:bCs/>
                <w:color w:val="auto"/>
                <w:kern w:val="0"/>
                <w:sz w:val="24"/>
                <w:highlight w:val="none"/>
              </w:rPr>
              <w:t>生产管理防范措施</w:t>
            </w:r>
          </w:p>
          <w:p w14:paraId="3460D5E3">
            <w:pPr>
              <w:autoSpaceDE w:val="0"/>
              <w:autoSpaceDN w:val="0"/>
              <w:adjustRightInd w:val="0"/>
              <w:spacing w:line="360" w:lineRule="auto"/>
              <w:ind w:firstLine="480" w:firstLineChars="200"/>
              <w:rPr>
                <w:rFonts w:hint="eastAsia" w:eastAsia="宋体"/>
                <w:color w:val="auto"/>
                <w:kern w:val="0"/>
                <w:sz w:val="24"/>
                <w:highlight w:val="none"/>
                <w:lang w:eastAsia="zh-CN"/>
              </w:rPr>
            </w:pPr>
            <w:r>
              <w:rPr>
                <w:color w:val="auto"/>
                <w:kern w:val="0"/>
                <w:sz w:val="24"/>
                <w:highlight w:val="none"/>
              </w:rPr>
              <w:t>a、建立和完善各级安全生产责任制，并切实落到实处。各级领导和生产管理人员必须重视安全生产，积极推广科学安全管理方法，强化安全操作制度和劳动纪律</w:t>
            </w:r>
            <w:r>
              <w:rPr>
                <w:rFonts w:hint="eastAsia"/>
                <w:color w:val="auto"/>
                <w:kern w:val="0"/>
                <w:sz w:val="24"/>
                <w:highlight w:val="none"/>
                <w:lang w:eastAsia="zh-CN"/>
              </w:rPr>
              <w:t>；</w:t>
            </w:r>
          </w:p>
          <w:p w14:paraId="761A24BF">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b、对职工要加强职业培训和安全教育。培养职工要有高度的安全生产责任心，并且要熟悉相应的业务，有熟练的操作技能；</w:t>
            </w:r>
          </w:p>
          <w:p w14:paraId="07E8FF20">
            <w:pPr>
              <w:autoSpaceDE w:val="0"/>
              <w:autoSpaceDN w:val="0"/>
              <w:adjustRightInd w:val="0"/>
              <w:spacing w:line="360" w:lineRule="auto"/>
              <w:ind w:firstLine="480" w:firstLineChars="200"/>
              <w:rPr>
                <w:rFonts w:hint="eastAsia" w:eastAsia="宋体"/>
                <w:color w:val="auto"/>
                <w:kern w:val="0"/>
                <w:sz w:val="24"/>
                <w:highlight w:val="none"/>
                <w:lang w:eastAsia="zh-CN"/>
              </w:rPr>
            </w:pPr>
            <w:r>
              <w:rPr>
                <w:color w:val="auto"/>
                <w:kern w:val="0"/>
                <w:sz w:val="24"/>
                <w:highlight w:val="none"/>
              </w:rPr>
              <w:t>c、建立健全安全检查制度，定期进行安全检查，及时整改安全隐患，防止事故发生</w:t>
            </w:r>
            <w:r>
              <w:rPr>
                <w:rFonts w:hint="eastAsia"/>
                <w:color w:val="auto"/>
                <w:kern w:val="0"/>
                <w:sz w:val="24"/>
                <w:highlight w:val="none"/>
                <w:lang w:eastAsia="zh-CN"/>
              </w:rPr>
              <w:t>；</w:t>
            </w:r>
          </w:p>
          <w:p w14:paraId="5A6EF31E">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d、加强环保设施管理和维护，设置环保专员，定期检查维护环保设备，定期</w:t>
            </w:r>
            <w:r>
              <w:rPr>
                <w:rFonts w:hint="eastAsia"/>
                <w:color w:val="auto"/>
                <w:kern w:val="0"/>
                <w:sz w:val="24"/>
                <w:highlight w:val="none"/>
              </w:rPr>
              <w:t>清理布袋收尘</w:t>
            </w:r>
            <w:r>
              <w:rPr>
                <w:color w:val="auto"/>
                <w:kern w:val="0"/>
                <w:sz w:val="24"/>
                <w:highlight w:val="none"/>
              </w:rPr>
              <w:t>，并建立管理台账。</w:t>
            </w:r>
          </w:p>
          <w:p w14:paraId="1CDCCEF1">
            <w:pPr>
              <w:autoSpaceDE w:val="0"/>
              <w:autoSpaceDN w:val="0"/>
              <w:adjustRightInd w:val="0"/>
              <w:spacing w:line="360" w:lineRule="auto"/>
              <w:ind w:firstLine="482" w:firstLineChars="200"/>
              <w:jc w:val="left"/>
              <w:rPr>
                <w:b/>
                <w:bCs/>
                <w:color w:val="auto"/>
                <w:kern w:val="0"/>
                <w:sz w:val="24"/>
                <w:highlight w:val="none"/>
              </w:rPr>
            </w:pPr>
            <w:r>
              <w:rPr>
                <w:rFonts w:hint="eastAsia"/>
                <w:b/>
                <w:bCs/>
                <w:color w:val="auto"/>
                <w:kern w:val="0"/>
                <w:sz w:val="24"/>
                <w:highlight w:val="none"/>
                <w:lang w:val="en-US" w:eastAsia="zh-CN"/>
              </w:rPr>
              <w:t>③</w:t>
            </w:r>
            <w:r>
              <w:rPr>
                <w:rFonts w:hint="eastAsia"/>
                <w:b/>
                <w:bCs/>
                <w:color w:val="auto"/>
                <w:kern w:val="0"/>
                <w:sz w:val="24"/>
                <w:highlight w:val="none"/>
              </w:rPr>
              <w:t>液态物料</w:t>
            </w:r>
            <w:r>
              <w:rPr>
                <w:rFonts w:hint="eastAsia"/>
                <w:b/>
                <w:bCs/>
                <w:color w:val="auto"/>
                <w:kern w:val="0"/>
                <w:sz w:val="24"/>
                <w:highlight w:val="none"/>
                <w:lang w:val="en-US" w:eastAsia="zh-CN"/>
              </w:rPr>
              <w:t>暂存</w:t>
            </w:r>
            <w:r>
              <w:rPr>
                <w:rFonts w:hint="eastAsia"/>
                <w:b/>
                <w:bCs/>
                <w:color w:val="auto"/>
                <w:kern w:val="0"/>
                <w:sz w:val="24"/>
                <w:highlight w:val="none"/>
              </w:rPr>
              <w:t>泄漏风险防范措施</w:t>
            </w:r>
          </w:p>
          <w:p w14:paraId="4CE08CA6">
            <w:pPr>
              <w:autoSpaceDE w:val="0"/>
              <w:autoSpaceDN w:val="0"/>
              <w:adjustRightInd w:val="0"/>
              <w:spacing w:line="360" w:lineRule="auto"/>
              <w:ind w:firstLine="480" w:firstLineChars="200"/>
              <w:rPr>
                <w:rFonts w:hint="eastAsia" w:eastAsia="宋体"/>
                <w:color w:val="auto"/>
                <w:kern w:val="0"/>
                <w:sz w:val="24"/>
                <w:highlight w:val="none"/>
                <w:lang w:eastAsia="zh-CN"/>
              </w:rPr>
            </w:pPr>
            <w:r>
              <w:rPr>
                <w:rFonts w:hint="eastAsia"/>
                <w:color w:val="auto"/>
                <w:kern w:val="0"/>
                <w:sz w:val="24"/>
                <w:highlight w:val="none"/>
              </w:rPr>
              <w:t>a、按照环评提出的防渗措施，严格落实</w:t>
            </w:r>
            <w:r>
              <w:rPr>
                <w:rFonts w:hint="eastAsia"/>
                <w:color w:val="auto"/>
                <w:kern w:val="0"/>
                <w:sz w:val="24"/>
                <w:highlight w:val="none"/>
                <w:lang w:val="en-US" w:eastAsia="zh-CN"/>
              </w:rPr>
              <w:t>危废暂存间</w:t>
            </w:r>
            <w:r>
              <w:rPr>
                <w:rFonts w:hint="eastAsia"/>
                <w:color w:val="auto"/>
                <w:kern w:val="0"/>
                <w:sz w:val="24"/>
                <w:highlight w:val="none"/>
              </w:rPr>
              <w:t>等区域重点防渗建设要求</w:t>
            </w:r>
            <w:r>
              <w:rPr>
                <w:rFonts w:hint="eastAsia"/>
                <w:color w:val="auto"/>
                <w:kern w:val="0"/>
                <w:sz w:val="24"/>
                <w:highlight w:val="none"/>
                <w:lang w:eastAsia="zh-CN"/>
              </w:rPr>
              <w:t>，地面采用防渗混凝土+玻璃纤维膜+2mm厚环氧树脂地坪漆+</w:t>
            </w:r>
            <w:r>
              <w:rPr>
                <w:rFonts w:hint="eastAsia"/>
                <w:color w:val="auto"/>
                <w:kern w:val="0"/>
                <w:sz w:val="24"/>
                <w:highlight w:val="none"/>
                <w:lang w:val="en-US" w:eastAsia="zh-CN"/>
              </w:rPr>
              <w:t>5cm</w:t>
            </w:r>
            <w:r>
              <w:rPr>
                <w:rFonts w:hint="eastAsia"/>
                <w:color w:val="auto"/>
                <w:kern w:val="0"/>
                <w:sz w:val="24"/>
                <w:highlight w:val="none"/>
                <w:lang w:eastAsia="zh-CN"/>
              </w:rPr>
              <w:t>金属托盘等重点防渗处理，并设置围堰。</w:t>
            </w:r>
            <w:r>
              <w:rPr>
                <w:rFonts w:hint="eastAsia"/>
                <w:color w:val="auto"/>
                <w:kern w:val="0"/>
                <w:sz w:val="24"/>
                <w:highlight w:val="none"/>
                <w:lang w:val="en-US" w:eastAsia="zh-CN"/>
              </w:rPr>
              <w:t>危废暂存间</w:t>
            </w:r>
            <w:r>
              <w:rPr>
                <w:rFonts w:hint="eastAsia"/>
                <w:color w:val="auto"/>
                <w:kern w:val="0"/>
                <w:sz w:val="24"/>
                <w:highlight w:val="none"/>
                <w:lang w:eastAsia="zh-CN"/>
              </w:rPr>
              <w:t>液态危废物料</w:t>
            </w:r>
            <w:r>
              <w:rPr>
                <w:rFonts w:hint="eastAsia"/>
                <w:color w:val="auto"/>
                <w:kern w:val="0"/>
                <w:sz w:val="24"/>
                <w:highlight w:val="none"/>
              </w:rPr>
              <w:t>存放容器下方设防渗托盘，并设空桶作为备用应急收容设施；加强液态物料储存、使用及运输环节的环境管理，避免跑冒滴漏。</w:t>
            </w:r>
            <w:r>
              <w:rPr>
                <w:color w:val="auto"/>
                <w:kern w:val="0"/>
                <w:highlight w:val="none"/>
              </w:rPr>
              <w:t>按照《危险废物贮存污染控制标准》（GB18597-20</w:t>
            </w:r>
            <w:r>
              <w:rPr>
                <w:rFonts w:hint="eastAsia"/>
                <w:color w:val="auto"/>
                <w:kern w:val="0"/>
                <w:highlight w:val="none"/>
              </w:rPr>
              <w:t>23</w:t>
            </w:r>
            <w:r>
              <w:rPr>
                <w:color w:val="auto"/>
                <w:kern w:val="0"/>
                <w:highlight w:val="none"/>
              </w:rPr>
              <w:t>），修正的管理规定，对</w:t>
            </w:r>
            <w:r>
              <w:rPr>
                <w:rFonts w:hint="eastAsia"/>
                <w:color w:val="auto"/>
                <w:kern w:val="0"/>
                <w:highlight w:val="none"/>
                <w:lang w:val="en-US" w:eastAsia="zh-CN"/>
              </w:rPr>
              <w:t>危废暂存间</w:t>
            </w:r>
            <w:r>
              <w:rPr>
                <w:color w:val="auto"/>
                <w:kern w:val="0"/>
                <w:highlight w:val="none"/>
              </w:rPr>
              <w:t>做好</w:t>
            </w:r>
            <w:r>
              <w:rPr>
                <w:rFonts w:hint="eastAsia"/>
                <w:color w:val="auto"/>
                <w:kern w:val="0"/>
                <w:highlight w:val="none"/>
                <w:lang w:eastAsia="zh-CN"/>
              </w:rPr>
              <w:t>六防（防风、防晒、防雨、防漏、防渗、防腐）</w:t>
            </w:r>
            <w:r>
              <w:rPr>
                <w:color w:val="auto"/>
                <w:kern w:val="0"/>
                <w:highlight w:val="none"/>
              </w:rPr>
              <w:t>措施</w:t>
            </w:r>
            <w:r>
              <w:rPr>
                <w:rFonts w:hint="eastAsia"/>
                <w:color w:val="auto"/>
                <w:kern w:val="0"/>
                <w:highlight w:val="none"/>
                <w:lang w:eastAsia="zh-CN"/>
              </w:rPr>
              <w:t>。</w:t>
            </w:r>
          </w:p>
          <w:p w14:paraId="02B44C38">
            <w:pPr>
              <w:autoSpaceDE w:val="0"/>
              <w:autoSpaceDN w:val="0"/>
              <w:adjustRightInd w:val="0"/>
              <w:spacing w:line="360" w:lineRule="auto"/>
              <w:ind w:firstLine="480" w:firstLineChars="200"/>
              <w:rPr>
                <w:rFonts w:hint="eastAsia"/>
                <w:color w:val="auto"/>
                <w:kern w:val="0"/>
                <w:sz w:val="24"/>
                <w:highlight w:val="none"/>
              </w:rPr>
            </w:pPr>
            <w:r>
              <w:rPr>
                <w:rFonts w:hint="eastAsia"/>
                <w:color w:val="auto"/>
                <w:kern w:val="0"/>
                <w:sz w:val="24"/>
                <w:highlight w:val="none"/>
              </w:rPr>
              <w:t>b、</w:t>
            </w:r>
            <w:r>
              <w:rPr>
                <w:rFonts w:hint="eastAsia"/>
                <w:color w:val="auto"/>
                <w:kern w:val="0"/>
                <w:sz w:val="24"/>
                <w:highlight w:val="none"/>
                <w:lang w:val="en-US" w:eastAsia="zh-CN"/>
              </w:rPr>
              <w:t>危废暂存间</w:t>
            </w:r>
            <w:r>
              <w:rPr>
                <w:rFonts w:hint="eastAsia"/>
                <w:color w:val="auto"/>
                <w:kern w:val="0"/>
                <w:sz w:val="24"/>
                <w:highlight w:val="none"/>
              </w:rPr>
              <w:t>设置相应的标识标牌。</w:t>
            </w:r>
          </w:p>
          <w:p w14:paraId="143C3EBF">
            <w:pPr>
              <w:autoSpaceDE w:val="0"/>
              <w:autoSpaceDN w:val="0"/>
              <w:adjustRightInd w:val="0"/>
              <w:spacing w:line="360" w:lineRule="auto"/>
              <w:ind w:firstLine="480" w:firstLineChars="200"/>
              <w:jc w:val="left"/>
              <w:rPr>
                <w:rFonts w:hint="default" w:eastAsia="宋体"/>
                <w:color w:val="auto"/>
                <w:kern w:val="0"/>
                <w:sz w:val="24"/>
                <w:highlight w:val="none"/>
                <w:lang w:val="en-US" w:eastAsia="zh-CN"/>
              </w:rPr>
            </w:pPr>
            <w:r>
              <w:rPr>
                <w:rFonts w:hint="eastAsia"/>
                <w:color w:val="auto"/>
                <w:kern w:val="0"/>
                <w:sz w:val="24"/>
                <w:highlight w:val="none"/>
                <w:lang w:val="en-US" w:eastAsia="zh-CN"/>
              </w:rPr>
              <w:t>c</w:t>
            </w:r>
            <w:r>
              <w:rPr>
                <w:rFonts w:hint="eastAsia"/>
                <w:color w:val="auto"/>
                <w:kern w:val="0"/>
                <w:sz w:val="24"/>
                <w:highlight w:val="none"/>
              </w:rPr>
              <w:t>、</w:t>
            </w:r>
            <w:r>
              <w:rPr>
                <w:rFonts w:hint="eastAsia"/>
                <w:color w:val="auto"/>
                <w:kern w:val="0"/>
                <w:sz w:val="24"/>
                <w:highlight w:val="none"/>
                <w:lang w:val="en-US" w:eastAsia="zh-CN"/>
              </w:rPr>
              <w:t>机械维修过程中产生的废机油应按要求收集至危废暂存间内暂存，防止意外泄漏，对土壤等环境造成污染。</w:t>
            </w:r>
          </w:p>
          <w:p w14:paraId="72D8CAC9">
            <w:pPr>
              <w:autoSpaceDE w:val="0"/>
              <w:autoSpaceDN w:val="0"/>
              <w:adjustRightInd w:val="0"/>
              <w:spacing w:line="360" w:lineRule="auto"/>
              <w:ind w:firstLine="480" w:firstLineChars="200"/>
              <w:jc w:val="left"/>
              <w:rPr>
                <w:color w:val="auto"/>
                <w:kern w:val="0"/>
                <w:sz w:val="24"/>
                <w:highlight w:val="none"/>
              </w:rPr>
            </w:pPr>
            <w:r>
              <w:rPr>
                <w:rFonts w:hint="eastAsia"/>
                <w:color w:val="auto"/>
                <w:kern w:val="0"/>
                <w:sz w:val="24"/>
                <w:highlight w:val="none"/>
                <w:lang w:val="en-US" w:eastAsia="zh-CN"/>
              </w:rPr>
              <w:t>d、</w:t>
            </w:r>
            <w:r>
              <w:rPr>
                <w:rFonts w:hint="eastAsia"/>
                <w:color w:val="auto"/>
                <w:kern w:val="0"/>
                <w:sz w:val="24"/>
                <w:highlight w:val="none"/>
              </w:rPr>
              <w:t>管理工作人员应进行培训，经考核合格后持证上岗。</w:t>
            </w:r>
          </w:p>
          <w:p w14:paraId="3674E8B4">
            <w:pPr>
              <w:autoSpaceDE w:val="0"/>
              <w:autoSpaceDN w:val="0"/>
              <w:adjustRightInd w:val="0"/>
              <w:spacing w:line="360" w:lineRule="auto"/>
              <w:ind w:firstLine="480" w:firstLineChars="200"/>
              <w:jc w:val="left"/>
              <w:rPr>
                <w:color w:val="auto"/>
                <w:kern w:val="0"/>
                <w:sz w:val="24"/>
                <w:highlight w:val="none"/>
              </w:rPr>
            </w:pPr>
            <w:r>
              <w:rPr>
                <w:rFonts w:hint="eastAsia"/>
                <w:color w:val="auto"/>
                <w:kern w:val="0"/>
                <w:sz w:val="24"/>
                <w:highlight w:val="none"/>
                <w:lang w:val="en-US" w:eastAsia="zh-CN"/>
              </w:rPr>
              <w:t>e、</w:t>
            </w:r>
            <w:r>
              <w:rPr>
                <w:rFonts w:hint="eastAsia"/>
                <w:color w:val="auto"/>
                <w:kern w:val="0"/>
                <w:sz w:val="24"/>
                <w:highlight w:val="none"/>
              </w:rPr>
              <w:t>制定应急处理措施，</w:t>
            </w:r>
            <w:r>
              <w:rPr>
                <w:rFonts w:hint="eastAsia"/>
                <w:color w:val="auto"/>
                <w:kern w:val="0"/>
                <w:sz w:val="24"/>
                <w:highlight w:val="none"/>
                <w:lang w:val="en-US" w:eastAsia="zh-CN"/>
              </w:rPr>
              <w:t>修订</w:t>
            </w:r>
            <w:r>
              <w:rPr>
                <w:rFonts w:hint="eastAsia"/>
                <w:color w:val="auto"/>
                <w:kern w:val="0"/>
                <w:sz w:val="24"/>
                <w:highlight w:val="none"/>
              </w:rPr>
              <w:t>事故应急预案，应对意外突发事件。</w:t>
            </w:r>
          </w:p>
          <w:p w14:paraId="66FFB4D7">
            <w:pPr>
              <w:autoSpaceDE w:val="0"/>
              <w:autoSpaceDN w:val="0"/>
              <w:adjustRightInd w:val="0"/>
              <w:spacing w:line="360" w:lineRule="auto"/>
              <w:ind w:firstLine="482" w:firstLineChars="200"/>
              <w:jc w:val="left"/>
              <w:rPr>
                <w:b/>
                <w:bCs/>
                <w:color w:val="auto"/>
                <w:kern w:val="0"/>
                <w:sz w:val="24"/>
                <w:highlight w:val="none"/>
              </w:rPr>
            </w:pPr>
            <w:r>
              <w:rPr>
                <w:rFonts w:hint="eastAsia"/>
                <w:b/>
                <w:bCs/>
                <w:color w:val="auto"/>
                <w:kern w:val="0"/>
                <w:sz w:val="24"/>
                <w:highlight w:val="none"/>
                <w:lang w:val="en-US" w:eastAsia="zh-CN"/>
              </w:rPr>
              <w:t>④</w:t>
            </w:r>
            <w:r>
              <w:rPr>
                <w:b/>
                <w:bCs/>
                <w:color w:val="auto"/>
                <w:kern w:val="0"/>
                <w:sz w:val="24"/>
                <w:highlight w:val="none"/>
              </w:rPr>
              <w:t>危险废物存放及管理要求</w:t>
            </w:r>
          </w:p>
          <w:p w14:paraId="64FC4F81">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各类危险废物应分类存放，液体危险废物需由密闭的专用容器收集，固体危险废物需由加盖的储存桶收集</w:t>
            </w:r>
            <w:r>
              <w:rPr>
                <w:rFonts w:hint="eastAsia"/>
                <w:color w:val="auto"/>
                <w:kern w:val="0"/>
                <w:sz w:val="24"/>
                <w:highlight w:val="none"/>
              </w:rPr>
              <w:t>。</w:t>
            </w:r>
            <w:r>
              <w:rPr>
                <w:rFonts w:hint="eastAsia"/>
                <w:color w:val="auto"/>
                <w:kern w:val="0"/>
                <w:sz w:val="24"/>
                <w:highlight w:val="none"/>
                <w:lang w:eastAsia="zh-CN"/>
              </w:rPr>
              <w:t>危废暂存间</w:t>
            </w:r>
            <w:r>
              <w:rPr>
                <w:color w:val="auto"/>
                <w:kern w:val="0"/>
                <w:sz w:val="24"/>
                <w:highlight w:val="none"/>
              </w:rPr>
              <w:t>按照《危险废物贮存污染控制标准》（GB18597-20</w:t>
            </w:r>
            <w:r>
              <w:rPr>
                <w:rFonts w:hint="eastAsia"/>
                <w:color w:val="auto"/>
                <w:kern w:val="0"/>
                <w:sz w:val="24"/>
                <w:highlight w:val="none"/>
              </w:rPr>
              <w:t>23</w:t>
            </w:r>
            <w:r>
              <w:rPr>
                <w:color w:val="auto"/>
                <w:kern w:val="0"/>
                <w:sz w:val="24"/>
                <w:highlight w:val="none"/>
              </w:rPr>
              <w:t>）的管理规定，对</w:t>
            </w:r>
            <w:r>
              <w:rPr>
                <w:rFonts w:hint="eastAsia"/>
                <w:color w:val="auto"/>
                <w:kern w:val="0"/>
                <w:sz w:val="24"/>
                <w:highlight w:val="none"/>
                <w:lang w:eastAsia="zh-CN"/>
              </w:rPr>
              <w:t>危废暂存间</w:t>
            </w:r>
            <w:r>
              <w:rPr>
                <w:color w:val="auto"/>
                <w:kern w:val="0"/>
                <w:sz w:val="24"/>
                <w:highlight w:val="none"/>
              </w:rPr>
              <w:t>做好</w:t>
            </w:r>
            <w:r>
              <w:rPr>
                <w:rFonts w:hint="eastAsia"/>
                <w:color w:val="auto"/>
                <w:kern w:val="0"/>
                <w:highlight w:val="none"/>
                <w:lang w:eastAsia="zh-CN"/>
              </w:rPr>
              <w:t>六防（防风、防晒、防雨、防漏、防渗、防腐）</w:t>
            </w:r>
            <w:r>
              <w:rPr>
                <w:color w:val="auto"/>
                <w:kern w:val="0"/>
                <w:sz w:val="24"/>
                <w:highlight w:val="none"/>
              </w:rPr>
              <w:t>措施，</w:t>
            </w:r>
            <w:r>
              <w:rPr>
                <w:rFonts w:hint="eastAsia"/>
                <w:color w:val="auto"/>
                <w:kern w:val="0"/>
                <w:sz w:val="24"/>
                <w:highlight w:val="none"/>
                <w:lang w:eastAsia="zh-CN"/>
              </w:rPr>
              <w:t>危废暂存间</w:t>
            </w:r>
            <w:r>
              <w:rPr>
                <w:rFonts w:hint="eastAsia"/>
                <w:color w:val="auto"/>
                <w:kern w:val="0"/>
                <w:sz w:val="24"/>
                <w:highlight w:val="none"/>
              </w:rPr>
              <w:t>四周设置0.2m高围堰</w:t>
            </w:r>
            <w:r>
              <w:rPr>
                <w:color w:val="auto"/>
                <w:kern w:val="0"/>
                <w:sz w:val="24"/>
                <w:highlight w:val="none"/>
              </w:rPr>
              <w:t>，</w:t>
            </w:r>
            <w:r>
              <w:rPr>
                <w:rFonts w:hint="eastAsia"/>
                <w:color w:val="auto"/>
                <w:kern w:val="0"/>
                <w:sz w:val="24"/>
                <w:highlight w:val="none"/>
                <w:lang w:eastAsia="zh-CN"/>
              </w:rPr>
              <w:t>危废暂存间</w:t>
            </w:r>
            <w:r>
              <w:rPr>
                <w:rFonts w:hint="eastAsia"/>
                <w:color w:val="auto"/>
                <w:kern w:val="0"/>
                <w:sz w:val="24"/>
                <w:highlight w:val="none"/>
              </w:rPr>
              <w:t>中液态危废采用专用容器收集且下设</w:t>
            </w:r>
            <w:r>
              <w:rPr>
                <w:rFonts w:hint="eastAsia"/>
                <w:color w:val="auto"/>
                <w:kern w:val="0"/>
                <w:sz w:val="24"/>
                <w:highlight w:val="none"/>
                <w:lang w:val="en-US" w:eastAsia="zh-CN"/>
              </w:rPr>
              <w:t>5cm</w:t>
            </w:r>
            <w:r>
              <w:rPr>
                <w:rFonts w:hint="eastAsia"/>
                <w:color w:val="auto"/>
                <w:kern w:val="0"/>
                <w:sz w:val="24"/>
                <w:highlight w:val="none"/>
              </w:rPr>
              <w:t>防渗托盘，并设空桶作为备用应急收容设施，以防止</w:t>
            </w:r>
            <w:r>
              <w:rPr>
                <w:color w:val="auto"/>
                <w:kern w:val="0"/>
                <w:sz w:val="24"/>
                <w:highlight w:val="none"/>
              </w:rPr>
              <w:t>泄漏后，造成二次污染等，外运过程要防止抛洒泄漏，扬尘等二次污染，企业内部应建立危险废物产生、外运、处置及最终去向的详细台账，按照《危险废物转移联单管理办法》的要求做好危险废物转移联单填报登记工作，危废必须坚持交由资质单位处理，如资质单位在处理能力不能满足的情况下，企业应提前积极寻找其他资质单位并签订协议，企业不得擅自处理或排放。</w:t>
            </w:r>
          </w:p>
          <w:p w14:paraId="145C0811">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项目应根据《中华人民共和国固体废物污染环境防治法》，对危险废物的容器和包装物以及收集、贮存、运输、处置危险废物的设施、场所，必须设置危险废物识别标志；收集、贮存危险废物，必须按照危险废物特性分类进行，禁止混合收集、贮存、运输、处置性质不相容而未经安全性处置的危险废物，确保危废得到妥善处置。项目</w:t>
            </w:r>
            <w:r>
              <w:rPr>
                <w:rFonts w:hint="eastAsia"/>
                <w:color w:val="auto"/>
                <w:kern w:val="0"/>
                <w:sz w:val="24"/>
                <w:highlight w:val="none"/>
                <w:lang w:eastAsia="zh-CN"/>
              </w:rPr>
              <w:t>危废暂存间</w:t>
            </w:r>
            <w:r>
              <w:rPr>
                <w:color w:val="auto"/>
                <w:kern w:val="0"/>
                <w:sz w:val="24"/>
                <w:highlight w:val="none"/>
              </w:rPr>
              <w:t>应远离易爆、易燃品库，且暂存间内装载液体、半固体危险废物的容器内须留足够空间，容器顶部与液体表面之间保留100毫米以上的空间。</w:t>
            </w:r>
          </w:p>
          <w:p w14:paraId="7922EAA5">
            <w:pPr>
              <w:autoSpaceDE w:val="0"/>
              <w:autoSpaceDN w:val="0"/>
              <w:adjustRightInd w:val="0"/>
              <w:spacing w:line="360" w:lineRule="auto"/>
              <w:ind w:firstLine="482" w:firstLineChars="200"/>
              <w:jc w:val="left"/>
              <w:rPr>
                <w:b/>
                <w:bCs/>
                <w:color w:val="auto"/>
                <w:kern w:val="0"/>
                <w:sz w:val="24"/>
                <w:highlight w:val="none"/>
              </w:rPr>
            </w:pPr>
            <w:r>
              <w:rPr>
                <w:rFonts w:hint="eastAsia"/>
                <w:b/>
                <w:bCs/>
                <w:color w:val="auto"/>
                <w:kern w:val="0"/>
                <w:sz w:val="24"/>
                <w:highlight w:val="none"/>
                <w:lang w:val="en-US" w:eastAsia="zh-CN"/>
              </w:rPr>
              <w:t>⑤</w:t>
            </w:r>
            <w:r>
              <w:rPr>
                <w:rFonts w:hint="eastAsia"/>
                <w:b/>
                <w:bCs/>
                <w:color w:val="auto"/>
                <w:kern w:val="0"/>
                <w:sz w:val="24"/>
                <w:highlight w:val="none"/>
              </w:rPr>
              <w:t>火灾风险防范措施</w:t>
            </w:r>
          </w:p>
          <w:p w14:paraId="076FED03">
            <w:pPr>
              <w:pStyle w:val="42"/>
              <w:numPr>
                <w:ilvl w:val="0"/>
                <w:numId w:val="13"/>
              </w:numPr>
              <w:spacing w:line="360" w:lineRule="auto"/>
              <w:ind w:firstLine="480" w:firstLineChars="200"/>
              <w:jc w:val="both"/>
              <w:rPr>
                <w:rFonts w:hint="eastAsia"/>
                <w:color w:val="auto"/>
                <w:sz w:val="24"/>
                <w:szCs w:val="24"/>
                <w:highlight w:val="none"/>
                <w:lang w:eastAsia="zh-CN"/>
              </w:rPr>
            </w:pPr>
            <w:r>
              <w:rPr>
                <w:rFonts w:hint="eastAsia"/>
                <w:color w:val="auto"/>
                <w:sz w:val="24"/>
                <w:szCs w:val="24"/>
                <w:highlight w:val="none"/>
                <w:lang w:val="en-US" w:eastAsia="zh-CN"/>
              </w:rPr>
              <w:t>机油、废机油</w:t>
            </w:r>
            <w:r>
              <w:rPr>
                <w:rFonts w:hint="eastAsia"/>
                <w:color w:val="auto"/>
                <w:sz w:val="24"/>
                <w:szCs w:val="24"/>
                <w:highlight w:val="none"/>
              </w:rPr>
              <w:t>为可燃物质，因而经营或仓储场所应严禁烟火，工作人员或其他人员均应禁止抽烟，</w:t>
            </w:r>
            <w:r>
              <w:rPr>
                <w:rFonts w:hint="eastAsia"/>
                <w:color w:val="auto"/>
                <w:sz w:val="24"/>
                <w:szCs w:val="24"/>
                <w:highlight w:val="none"/>
                <w:lang w:val="en-US" w:eastAsia="zh-CN"/>
              </w:rPr>
              <w:t>危废暂存间等区域</w:t>
            </w:r>
            <w:r>
              <w:rPr>
                <w:rFonts w:hint="eastAsia"/>
                <w:color w:val="auto"/>
                <w:sz w:val="24"/>
                <w:szCs w:val="24"/>
                <w:highlight w:val="none"/>
              </w:rPr>
              <w:t>应远离明火</w:t>
            </w:r>
            <w:r>
              <w:rPr>
                <w:rFonts w:hint="eastAsia"/>
                <w:color w:val="auto"/>
                <w:sz w:val="24"/>
                <w:szCs w:val="24"/>
                <w:highlight w:val="none"/>
                <w:lang w:eastAsia="zh-CN"/>
              </w:rPr>
              <w:t>；</w:t>
            </w:r>
          </w:p>
          <w:p w14:paraId="055D7D45">
            <w:pPr>
              <w:pStyle w:val="42"/>
              <w:numPr>
                <w:ilvl w:val="0"/>
                <w:numId w:val="13"/>
              </w:numPr>
              <w:spacing w:line="360" w:lineRule="auto"/>
              <w:ind w:firstLine="480" w:firstLineChars="200"/>
              <w:jc w:val="both"/>
              <w:rPr>
                <w:rFonts w:hint="eastAsia"/>
                <w:color w:val="auto"/>
                <w:sz w:val="24"/>
                <w:szCs w:val="24"/>
                <w:highlight w:val="none"/>
                <w:lang w:eastAsia="zh-CN"/>
              </w:rPr>
            </w:pPr>
            <w:r>
              <w:rPr>
                <w:rFonts w:hint="default" w:ascii="Times New Roman" w:hAnsi="Times New Roman" w:cs="Times New Roman"/>
                <w:color w:val="auto"/>
                <w:highlight w:val="none"/>
              </w:rPr>
              <w:t>天然气管道等特种设备按《压力容器设计规范》的规定进行设计和检验，并且由有相应资质的单位设计、制造、安装，技术资料要真实、齐全，定期经有关部门检验。</w:t>
            </w:r>
          </w:p>
          <w:p w14:paraId="17BB8894">
            <w:pPr>
              <w:tabs>
                <w:tab w:val="left" w:pos="1260"/>
              </w:tabs>
              <w:adjustRightInd w:val="0"/>
              <w:spacing w:line="360" w:lineRule="auto"/>
              <w:ind w:firstLine="480" w:firstLineChars="200"/>
              <w:rPr>
                <w:rFonts w:hint="default" w:ascii="Times New Roman" w:hAnsi="Times New Roman" w:cs="Times New Roman"/>
                <w:color w:val="auto"/>
                <w:highlight w:val="none"/>
              </w:rPr>
            </w:pPr>
            <w:r>
              <w:rPr>
                <w:rFonts w:hint="eastAsia"/>
                <w:color w:val="auto"/>
                <w:sz w:val="24"/>
                <w:highlight w:val="none"/>
                <w:lang w:val="en-US" w:eastAsia="zh-CN"/>
              </w:rPr>
              <w:t>c</w:t>
            </w:r>
            <w:r>
              <w:rPr>
                <w:color w:val="auto"/>
                <w:sz w:val="24"/>
                <w:highlight w:val="none"/>
              </w:rPr>
              <w:t>.</w:t>
            </w:r>
            <w:r>
              <w:rPr>
                <w:rFonts w:hint="default" w:ascii="Times New Roman" w:hAnsi="Times New Roman" w:cs="Times New Roman"/>
                <w:color w:val="auto"/>
                <w:highlight w:val="none"/>
              </w:rPr>
              <w:t>定期</w:t>
            </w:r>
            <w:r>
              <w:rPr>
                <w:rFonts w:hint="default" w:ascii="Times New Roman" w:hAnsi="Times New Roman" w:cs="Times New Roman"/>
                <w:color w:val="auto"/>
                <w:highlight w:val="none"/>
                <w:lang w:val="en-US" w:eastAsia="zh-CN"/>
              </w:rPr>
              <w:t>对</w:t>
            </w:r>
            <w:r>
              <w:rPr>
                <w:rFonts w:hint="eastAsia" w:cs="Times New Roman"/>
                <w:color w:val="auto"/>
                <w:highlight w:val="none"/>
                <w:lang w:val="en-US" w:eastAsia="zh-CN"/>
              </w:rPr>
              <w:t>旋风收集器</w:t>
            </w:r>
            <w:r>
              <w:rPr>
                <w:rFonts w:hint="default" w:ascii="Times New Roman" w:hAnsi="Times New Roman" w:cs="Times New Roman"/>
                <w:color w:val="auto"/>
                <w:highlight w:val="none"/>
                <w:lang w:val="en-US" w:eastAsia="zh-CN"/>
              </w:rPr>
              <w:t>收集的粉尘进行清理；定期对</w:t>
            </w:r>
            <w:r>
              <w:rPr>
                <w:rFonts w:hint="eastAsia" w:cs="Times New Roman"/>
                <w:color w:val="auto"/>
                <w:highlight w:val="none"/>
                <w:lang w:val="en-US" w:eastAsia="zh-CN"/>
              </w:rPr>
              <w:t>生产车间</w:t>
            </w:r>
            <w:r>
              <w:rPr>
                <w:rFonts w:hint="default" w:ascii="Times New Roman" w:hAnsi="Times New Roman" w:cs="Times New Roman"/>
                <w:color w:val="auto"/>
                <w:highlight w:val="none"/>
                <w:lang w:val="en-US" w:eastAsia="zh-CN"/>
              </w:rPr>
              <w:t>散落的粉尘使用吸尘设备进行收集</w:t>
            </w:r>
            <w:r>
              <w:rPr>
                <w:rFonts w:hint="default" w:ascii="Times New Roman" w:hAnsi="Times New Roman" w:cs="Times New Roman"/>
                <w:color w:val="auto"/>
                <w:highlight w:val="none"/>
              </w:rPr>
              <w:t>。</w:t>
            </w:r>
          </w:p>
          <w:p w14:paraId="7C11AEE5">
            <w:pPr>
              <w:tabs>
                <w:tab w:val="left" w:pos="1260"/>
              </w:tabs>
              <w:adjustRightInd w:val="0"/>
              <w:spacing w:line="360" w:lineRule="auto"/>
              <w:ind w:firstLine="480" w:firstLineChars="200"/>
              <w:rPr>
                <w:color w:val="auto"/>
                <w:sz w:val="24"/>
                <w:highlight w:val="none"/>
              </w:rPr>
            </w:pPr>
            <w:r>
              <w:rPr>
                <w:rFonts w:hint="eastAsia" w:cs="Times New Roman"/>
                <w:color w:val="auto"/>
                <w:highlight w:val="none"/>
                <w:lang w:val="en-US" w:eastAsia="zh-CN"/>
              </w:rPr>
              <w:t>d.</w:t>
            </w:r>
            <w:r>
              <w:rPr>
                <w:rFonts w:hint="default" w:ascii="Times New Roman" w:hAnsi="Times New Roman" w:eastAsia="宋体" w:cs="Times New Roman"/>
                <w:color w:val="auto"/>
                <w:highlight w:val="none"/>
                <w:lang w:val="en-US" w:eastAsia="zh-CN"/>
              </w:rPr>
              <w:t>除尘系统管道使用抗静电管道系统并接地；除尘系统主回管道设置70°防火阀</w:t>
            </w:r>
            <w:r>
              <w:rPr>
                <w:rFonts w:hint="eastAsia" w:cs="Times New Roman"/>
                <w:color w:val="auto"/>
                <w:highlight w:val="none"/>
                <w:lang w:val="en-US" w:eastAsia="zh-CN"/>
              </w:rPr>
              <w:t>。</w:t>
            </w:r>
          </w:p>
          <w:p w14:paraId="4FBC9DEE">
            <w:pPr>
              <w:pStyle w:val="102"/>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e.</w:t>
            </w:r>
            <w:r>
              <w:rPr>
                <w:rFonts w:hint="default" w:ascii="Times New Roman" w:hAnsi="Times New Roman" w:eastAsia="宋体" w:cs="Times New Roman"/>
                <w:color w:val="auto"/>
                <w:highlight w:val="none"/>
                <w:lang w:val="en-US" w:eastAsia="zh-CN"/>
              </w:rPr>
              <w:t>除尘器内部和</w:t>
            </w:r>
            <w:r>
              <w:rPr>
                <w:rFonts w:hint="default" w:ascii="Times New Roman" w:hAnsi="Times New Roman" w:cs="Times New Roman"/>
                <w:color w:val="auto"/>
                <w:highlight w:val="none"/>
                <w:lang w:val="en-US" w:eastAsia="zh-CN"/>
              </w:rPr>
              <w:t>抽风</w:t>
            </w:r>
            <w:r>
              <w:rPr>
                <w:rFonts w:hint="default" w:ascii="Times New Roman" w:hAnsi="Times New Roman" w:eastAsia="宋体" w:cs="Times New Roman"/>
                <w:color w:val="auto"/>
                <w:highlight w:val="none"/>
                <w:lang w:val="en-US" w:eastAsia="zh-CN"/>
              </w:rPr>
              <w:t>进风口位置加装火花捕捉器防止火星进入除尘系统。</w:t>
            </w:r>
          </w:p>
          <w:p w14:paraId="60E58B22">
            <w:pPr>
              <w:tabs>
                <w:tab w:val="left" w:pos="1260"/>
              </w:tabs>
              <w:adjustRightInd w:val="0"/>
              <w:spacing w:line="360" w:lineRule="auto"/>
              <w:ind w:firstLine="480" w:firstLineChars="200"/>
              <w:rPr>
                <w:rFonts w:hint="eastAsia"/>
                <w:b/>
                <w:bCs/>
                <w:color w:val="auto"/>
                <w:sz w:val="24"/>
                <w:highlight w:val="none"/>
                <w:lang w:val="en-US" w:eastAsia="zh-CN"/>
              </w:rPr>
            </w:pPr>
            <w:r>
              <w:rPr>
                <w:rFonts w:hint="eastAsia" w:cs="Times New Roman"/>
                <w:color w:val="auto"/>
                <w:highlight w:val="none"/>
                <w:lang w:val="en-US" w:eastAsia="zh-CN"/>
              </w:rPr>
              <w:t>f.除尘系统应至少延时10min停机。</w:t>
            </w:r>
          </w:p>
          <w:p w14:paraId="24D9610B">
            <w:pPr>
              <w:tabs>
                <w:tab w:val="left" w:pos="1260"/>
              </w:tabs>
              <w:adjustRightInd w:val="0"/>
              <w:spacing w:line="360" w:lineRule="auto"/>
              <w:ind w:firstLine="480" w:firstLineChars="200"/>
              <w:rPr>
                <w:rFonts w:hint="eastAsia"/>
                <w:color w:val="auto"/>
                <w:sz w:val="24"/>
                <w:highlight w:val="none"/>
                <w:lang w:val="en-US" w:eastAsia="zh-CN"/>
              </w:rPr>
            </w:pPr>
            <w:r>
              <w:rPr>
                <w:rFonts w:hint="eastAsia" w:cs="Times New Roman"/>
                <w:color w:val="auto"/>
                <w:highlight w:val="none"/>
                <w:lang w:val="en-US" w:eastAsia="zh-CN"/>
              </w:rPr>
              <w:t>g.</w:t>
            </w:r>
            <w:r>
              <w:rPr>
                <w:rFonts w:hint="default" w:ascii="Times New Roman" w:hAnsi="Times New Roman" w:eastAsia="宋体" w:cs="Times New Roman"/>
                <w:color w:val="auto"/>
                <w:highlight w:val="none"/>
                <w:lang w:val="en-US" w:eastAsia="zh-CN"/>
              </w:rPr>
              <w:t>应检查确认电气设备及工具的电气连接导线绝缘层完好，电气设备可靠接地，防爆电气设备无异常。</w:t>
            </w:r>
          </w:p>
          <w:p w14:paraId="3CE4FD54">
            <w:pPr>
              <w:tabs>
                <w:tab w:val="left" w:pos="1260"/>
              </w:tabs>
              <w:adjustRightIn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h.生产车间、库房区域需</w:t>
            </w:r>
            <w:r>
              <w:rPr>
                <w:rFonts w:hint="eastAsia"/>
                <w:color w:val="auto"/>
                <w:sz w:val="24"/>
                <w:highlight w:val="none"/>
              </w:rPr>
              <w:t>配备必要的火灾应急救援器材、设备，对消防措施定期检查，保证消防措施的有效性，并定期组织演练</w:t>
            </w:r>
            <w:r>
              <w:rPr>
                <w:rFonts w:hint="eastAsia"/>
                <w:color w:val="auto"/>
                <w:sz w:val="24"/>
                <w:highlight w:val="none"/>
                <w:lang w:eastAsia="zh-CN"/>
              </w:rPr>
              <w:t>。</w:t>
            </w:r>
          </w:p>
          <w:p w14:paraId="0BDC47BF">
            <w:pPr>
              <w:tabs>
                <w:tab w:val="left" w:pos="1260"/>
              </w:tabs>
              <w:adjustRightIn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i</w:t>
            </w:r>
            <w:r>
              <w:rPr>
                <w:color w:val="auto"/>
                <w:sz w:val="24"/>
                <w:highlight w:val="none"/>
              </w:rPr>
              <w:t>.消防器材应在明显和便于取用的地点，周围不准堆放物品和杂物。消防设施、器材，应当由专人进行管理，负责检查，维修，保养，更换和添置，保证完好有效，严禁圈占、埋压和挪用。配备消防器材和消防设施；标识明确，使用方便；厂房内配备灭火器</w:t>
            </w:r>
            <w:r>
              <w:rPr>
                <w:rFonts w:hint="eastAsia"/>
                <w:color w:val="auto"/>
                <w:sz w:val="24"/>
                <w:highlight w:val="none"/>
                <w:lang w:eastAsia="zh-CN"/>
              </w:rPr>
              <w:t>。</w:t>
            </w:r>
          </w:p>
          <w:p w14:paraId="416DC1A6">
            <w:pPr>
              <w:tabs>
                <w:tab w:val="left" w:pos="1260"/>
              </w:tabs>
              <w:adjustRightIn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j</w:t>
            </w:r>
            <w:r>
              <w:rPr>
                <w:color w:val="auto"/>
                <w:sz w:val="24"/>
                <w:highlight w:val="none"/>
              </w:rPr>
              <w:t>.定期进行电气检修，电路检查，消除安全隐患</w:t>
            </w:r>
            <w:r>
              <w:rPr>
                <w:rFonts w:hint="eastAsia"/>
                <w:color w:val="auto"/>
                <w:sz w:val="24"/>
                <w:highlight w:val="none"/>
                <w:lang w:eastAsia="zh-CN"/>
              </w:rPr>
              <w:t>。</w:t>
            </w:r>
          </w:p>
          <w:p w14:paraId="364F010B">
            <w:pPr>
              <w:tabs>
                <w:tab w:val="left" w:pos="1260"/>
              </w:tabs>
              <w:adjustRightIn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k</w:t>
            </w:r>
            <w:r>
              <w:rPr>
                <w:color w:val="auto"/>
                <w:sz w:val="24"/>
                <w:highlight w:val="none"/>
              </w:rPr>
              <w:t>.</w:t>
            </w:r>
            <w:r>
              <w:rPr>
                <w:rFonts w:hint="eastAsia"/>
                <w:color w:val="auto"/>
                <w:sz w:val="24"/>
                <w:highlight w:val="none"/>
              </w:rPr>
              <w:t>若发生火灾事故，应立即切断物料供应，迅速转移人员，减少人员伤亡，利用一切可能的消防器材全力灭火抢险，并及时拨打火灾报警电话</w:t>
            </w:r>
            <w:r>
              <w:rPr>
                <w:rFonts w:hint="eastAsia"/>
                <w:color w:val="auto"/>
                <w:sz w:val="24"/>
                <w:highlight w:val="none"/>
                <w:lang w:eastAsia="zh-CN"/>
              </w:rPr>
              <w:t>。</w:t>
            </w:r>
          </w:p>
          <w:p w14:paraId="0AED2B7A">
            <w:pPr>
              <w:tabs>
                <w:tab w:val="left" w:pos="1260"/>
              </w:tabs>
              <w:adjustRightInd w:val="0"/>
              <w:spacing w:line="360" w:lineRule="auto"/>
              <w:ind w:firstLine="480" w:firstLineChars="200"/>
              <w:rPr>
                <w:color w:val="auto"/>
                <w:sz w:val="24"/>
                <w:highlight w:val="none"/>
              </w:rPr>
            </w:pPr>
            <w:r>
              <w:rPr>
                <w:rFonts w:hint="eastAsia"/>
                <w:color w:val="auto"/>
                <w:sz w:val="24"/>
                <w:highlight w:val="none"/>
                <w:lang w:val="en-US" w:eastAsia="zh-CN"/>
              </w:rPr>
              <w:t>l.</w:t>
            </w:r>
            <w:r>
              <w:rPr>
                <w:rFonts w:hint="eastAsia"/>
                <w:color w:val="auto"/>
                <w:sz w:val="24"/>
                <w:highlight w:val="none"/>
              </w:rPr>
              <w:t>企业应定期对车间和设备进行巡查和安全检测，巡查和安全检测内容、时间、人员应有记录保存。明火控制，其发生源为火柴、打火机等，维修用火控制，对设备维修检查，并有记录在案。加强用电设备的管理。加强消防基础设施建设。按要求配置消防设施器材，并经常性检修保养，确保设施完好能用。加强对员工日常防范和事故培训。</w:t>
            </w:r>
          </w:p>
          <w:p w14:paraId="6D8DD18A">
            <w:pPr>
              <w:autoSpaceDE w:val="0"/>
              <w:autoSpaceDN w:val="0"/>
              <w:adjustRightInd w:val="0"/>
              <w:spacing w:line="360" w:lineRule="auto"/>
              <w:ind w:firstLine="482" w:firstLineChars="200"/>
              <w:jc w:val="left"/>
              <w:rPr>
                <w:b/>
                <w:bCs/>
                <w:color w:val="auto"/>
                <w:kern w:val="0"/>
                <w:sz w:val="24"/>
                <w:highlight w:val="none"/>
              </w:rPr>
            </w:pPr>
            <w:r>
              <w:rPr>
                <w:rFonts w:hint="eastAsia"/>
                <w:b/>
                <w:bCs/>
                <w:color w:val="auto"/>
                <w:kern w:val="0"/>
                <w:sz w:val="24"/>
                <w:highlight w:val="none"/>
                <w:lang w:val="en-US" w:eastAsia="zh-CN"/>
              </w:rPr>
              <w:t>⑥</w:t>
            </w:r>
            <w:r>
              <w:rPr>
                <w:rFonts w:hint="eastAsia"/>
                <w:b/>
                <w:bCs/>
                <w:color w:val="auto"/>
                <w:kern w:val="0"/>
                <w:sz w:val="24"/>
                <w:highlight w:val="none"/>
              </w:rPr>
              <w:t>环保设施故障风险防范措施</w:t>
            </w:r>
          </w:p>
          <w:p w14:paraId="03C5DF29">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a、对污水收集管道进行定期检查和检修，发现问题立即采取措施进行控制。</w:t>
            </w:r>
          </w:p>
          <w:p w14:paraId="7B46D08E">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b、</w:t>
            </w:r>
            <w:r>
              <w:rPr>
                <w:rFonts w:hint="eastAsia"/>
                <w:color w:val="auto"/>
                <w:kern w:val="0"/>
                <w:sz w:val="24"/>
                <w:highlight w:val="none"/>
                <w:lang w:eastAsia="zh-CN"/>
              </w:rPr>
              <w:t>危废暂存间</w:t>
            </w:r>
            <w:r>
              <w:rPr>
                <w:rFonts w:hint="eastAsia"/>
                <w:color w:val="auto"/>
                <w:kern w:val="0"/>
                <w:sz w:val="24"/>
                <w:highlight w:val="none"/>
              </w:rPr>
              <w:t>密闭设置，并进行</w:t>
            </w:r>
            <w:r>
              <w:rPr>
                <w:rFonts w:hint="eastAsia"/>
                <w:color w:val="auto"/>
                <w:kern w:val="0"/>
                <w:highlight w:val="none"/>
                <w:lang w:eastAsia="zh-CN"/>
              </w:rPr>
              <w:t>防风、防晒、防雨、防漏、防渗、防腐</w:t>
            </w:r>
            <w:r>
              <w:rPr>
                <w:rFonts w:hint="eastAsia"/>
                <w:color w:val="auto"/>
                <w:kern w:val="0"/>
                <w:sz w:val="24"/>
                <w:highlight w:val="none"/>
              </w:rPr>
              <w:t>处理，各类危险废物分类规范地暂存于</w:t>
            </w:r>
            <w:r>
              <w:rPr>
                <w:rFonts w:hint="eastAsia"/>
                <w:color w:val="auto"/>
                <w:kern w:val="0"/>
                <w:sz w:val="24"/>
                <w:highlight w:val="none"/>
                <w:lang w:eastAsia="zh-CN"/>
              </w:rPr>
              <w:t>危废暂存间</w:t>
            </w:r>
            <w:r>
              <w:rPr>
                <w:rFonts w:hint="eastAsia"/>
                <w:color w:val="auto"/>
                <w:kern w:val="0"/>
                <w:sz w:val="24"/>
                <w:highlight w:val="none"/>
              </w:rPr>
              <w:t>内，定期交由有专业资质的单位收运处置，避免污染事故发生。</w:t>
            </w:r>
          </w:p>
          <w:p w14:paraId="53CAB963">
            <w:pPr>
              <w:autoSpaceDE w:val="0"/>
              <w:autoSpaceDN w:val="0"/>
              <w:adjustRightInd w:val="0"/>
              <w:spacing w:line="360" w:lineRule="auto"/>
              <w:ind w:firstLine="480" w:firstLineChars="200"/>
              <w:jc w:val="left"/>
              <w:rPr>
                <w:color w:val="auto"/>
                <w:kern w:val="0"/>
                <w:sz w:val="24"/>
                <w:highlight w:val="none"/>
              </w:rPr>
            </w:pPr>
            <w:r>
              <w:rPr>
                <w:rFonts w:hint="eastAsia"/>
                <w:color w:val="auto"/>
                <w:kern w:val="0"/>
                <w:sz w:val="24"/>
                <w:highlight w:val="none"/>
              </w:rPr>
              <w:t>c、各类设备选用安全可靠设备，管道应经过防腐处理。</w:t>
            </w:r>
          </w:p>
          <w:p w14:paraId="0341D294">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d、定期检查项目废气处理装置的运行情况，对关键性设备部件进行定期交换，是防止设备失灵引起事故的措施。</w:t>
            </w:r>
          </w:p>
          <w:p w14:paraId="6068EC58">
            <w:pPr>
              <w:autoSpaceDE w:val="0"/>
              <w:autoSpaceDN w:val="0"/>
              <w:adjustRightInd w:val="0"/>
              <w:spacing w:line="360" w:lineRule="auto"/>
              <w:ind w:firstLine="482" w:firstLineChars="200"/>
              <w:jc w:val="left"/>
              <w:rPr>
                <w:rFonts w:hint="eastAsia"/>
                <w:b/>
                <w:bCs/>
                <w:color w:val="auto"/>
                <w:kern w:val="0"/>
                <w:sz w:val="24"/>
                <w:highlight w:val="none"/>
              </w:rPr>
            </w:pPr>
            <w:r>
              <w:rPr>
                <w:rFonts w:hint="eastAsia"/>
                <w:b/>
                <w:bCs/>
                <w:color w:val="auto"/>
                <w:kern w:val="0"/>
                <w:sz w:val="24"/>
                <w:highlight w:val="none"/>
                <w:lang w:val="en-US" w:eastAsia="zh-CN"/>
              </w:rPr>
              <w:t>（4）</w:t>
            </w:r>
            <w:r>
              <w:rPr>
                <w:rFonts w:hint="eastAsia"/>
                <w:b/>
                <w:bCs/>
                <w:color w:val="auto"/>
                <w:kern w:val="0"/>
                <w:sz w:val="24"/>
                <w:highlight w:val="none"/>
              </w:rPr>
              <w:t>应急处理措施</w:t>
            </w:r>
          </w:p>
          <w:p w14:paraId="2C20B489">
            <w:pPr>
              <w:bidi w:val="0"/>
              <w:rPr>
                <w:rFonts w:hint="default"/>
                <w:color w:val="auto"/>
                <w:highlight w:val="none"/>
                <w:lang w:val="en-US" w:eastAsia="zh-CN"/>
              </w:rPr>
            </w:pPr>
            <w:r>
              <w:rPr>
                <w:rFonts w:hint="eastAsia"/>
                <w:color w:val="auto"/>
                <w:highlight w:val="none"/>
                <w:lang w:val="en-US" w:eastAsia="zh-CN"/>
              </w:rPr>
              <w:t>①泄漏应急处理</w:t>
            </w:r>
          </w:p>
          <w:p w14:paraId="199F22C8">
            <w:pPr>
              <w:bidi w:val="0"/>
              <w:rPr>
                <w:rFonts w:hint="eastAsia"/>
                <w:color w:val="auto"/>
                <w:highlight w:val="none"/>
              </w:rPr>
            </w:pPr>
            <w:r>
              <w:rPr>
                <w:rFonts w:hint="eastAsia"/>
                <w:color w:val="auto"/>
                <w:highlight w:val="none"/>
              </w:rPr>
              <w:t>一旦发生泄漏事故，企业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泄漏容器要妥善处理、修复、检验合格后再用；发生泄漏事故时应用预先确定的堵漏方式尽快堵漏。切断或控制泄漏源，尽快收集泄漏物料，小量泄漏可用砂土或其它不燃性材料吸附，大量泄漏应迅速构筑围堤，将泄漏部分转移至安全容器内封存。关闭泄漏点附近下水和排水口，防止泄漏物污染水体；事故现场加强通风。</w:t>
            </w:r>
          </w:p>
          <w:p w14:paraId="7A0C69D8">
            <w:pPr>
              <w:bidi w:val="0"/>
              <w:rPr>
                <w:rFonts w:hint="eastAsia"/>
                <w:color w:val="auto"/>
                <w:highlight w:val="none"/>
                <w:lang w:val="en-US" w:eastAsia="zh-CN"/>
              </w:rPr>
            </w:pPr>
            <w:r>
              <w:rPr>
                <w:rFonts w:hint="eastAsia"/>
                <w:color w:val="auto"/>
                <w:highlight w:val="none"/>
                <w:lang w:val="en-US" w:eastAsia="zh-CN"/>
              </w:rPr>
              <w:t>②火灾应急处理</w:t>
            </w:r>
          </w:p>
          <w:p w14:paraId="1636723E">
            <w:pPr>
              <w:bidi w:val="0"/>
              <w:rPr>
                <w:rFonts w:hint="default"/>
                <w:color w:val="auto"/>
                <w:highlight w:val="none"/>
                <w:lang w:val="en-US" w:eastAsia="zh-CN"/>
              </w:rPr>
            </w:pPr>
            <w:r>
              <w:rPr>
                <w:rFonts w:hint="default"/>
                <w:color w:val="auto"/>
                <w:highlight w:val="none"/>
                <w:lang w:val="en-US" w:eastAsia="zh-CN"/>
              </w:rPr>
              <w:t>企业应做好消防措施，一旦发生火灾，立即报警，通过采取必要和科学的灭火措施降低燃烧强度；尽可能将暂存的易燃易爆物质尽快撤离火场或对其进行隔离，切断火势蔓延的途径，冷却和疏散受火势威胁的密闭容器和可燃物，控制燃烧范围，并积极抢救受伤和被困人员；通知安全等相关部门人员，启动相应的应急救护程序；组织救援小组封锁现场，疏散人员；灭火工作结束后，对现场进行清理恢复。</w:t>
            </w:r>
          </w:p>
          <w:p w14:paraId="7CFDDDD0">
            <w:pPr>
              <w:bidi w:val="0"/>
              <w:rPr>
                <w:rFonts w:hint="default"/>
                <w:color w:val="auto"/>
                <w:highlight w:val="none"/>
                <w:lang w:val="en-US" w:eastAsia="zh-CN"/>
              </w:rPr>
            </w:pPr>
            <w:r>
              <w:rPr>
                <w:rFonts w:hint="eastAsia"/>
                <w:color w:val="auto"/>
                <w:highlight w:val="none"/>
                <w:lang w:val="en-US" w:eastAsia="zh-CN"/>
              </w:rPr>
              <w:t>③废气事故排放应急处理</w:t>
            </w:r>
          </w:p>
          <w:p w14:paraId="4A6CD92E">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rPr>
              <w:t>若环保设施发生故障，应立即停止生产，待环保设施检修合格并正常运行后，方可恢复生产。</w:t>
            </w:r>
          </w:p>
          <w:p w14:paraId="32E92CBD">
            <w:pPr>
              <w:bidi w:val="0"/>
              <w:rPr>
                <w:rFonts w:hint="default"/>
                <w:color w:val="auto"/>
                <w:highlight w:val="none"/>
                <w:lang w:val="en-US" w:eastAsia="zh-CN"/>
              </w:rPr>
            </w:pPr>
            <w:r>
              <w:rPr>
                <w:rFonts w:hint="eastAsia"/>
                <w:color w:val="auto"/>
                <w:highlight w:val="none"/>
                <w:lang w:val="en-US" w:eastAsia="zh-CN"/>
              </w:rPr>
              <w:t>④事故废水应急处理</w:t>
            </w:r>
          </w:p>
          <w:p w14:paraId="0A59A01F">
            <w:pPr>
              <w:pStyle w:val="102"/>
              <w:ind w:firstLine="480"/>
              <w:rPr>
                <w:color w:val="auto"/>
                <w:highlight w:val="none"/>
              </w:rPr>
            </w:pPr>
            <w:r>
              <w:rPr>
                <w:rFonts w:hint="eastAsia"/>
                <w:color w:val="auto"/>
                <w:highlight w:val="none"/>
                <w:lang w:val="en-US" w:eastAsia="zh-CN"/>
              </w:rPr>
              <w:t>a.</w:t>
            </w:r>
            <w:r>
              <w:rPr>
                <w:color w:val="auto"/>
                <w:highlight w:val="none"/>
              </w:rPr>
              <w:t>消防给水系统：本项目厂内的给水全部来</w:t>
            </w:r>
            <w:r>
              <w:rPr>
                <w:rFonts w:hint="eastAsia"/>
                <w:color w:val="auto"/>
                <w:highlight w:val="none"/>
                <w:lang w:val="en-US" w:eastAsia="zh-CN"/>
              </w:rPr>
              <w:t>园区</w:t>
            </w:r>
            <w:r>
              <w:rPr>
                <w:color w:val="auto"/>
                <w:highlight w:val="none"/>
              </w:rPr>
              <w:t>供水管网，消防给水厂区采用</w:t>
            </w:r>
            <w:r>
              <w:rPr>
                <w:rFonts w:hint="eastAsia"/>
                <w:color w:val="auto"/>
                <w:highlight w:val="none"/>
              </w:rPr>
              <w:t>高压式</w:t>
            </w:r>
            <w:r>
              <w:rPr>
                <w:color w:val="auto"/>
                <w:highlight w:val="none"/>
              </w:rPr>
              <w:t>，在生产车间</w:t>
            </w:r>
            <w:r>
              <w:rPr>
                <w:rFonts w:hint="eastAsia"/>
                <w:color w:val="auto"/>
                <w:highlight w:val="none"/>
                <w:lang w:val="en-US" w:eastAsia="zh-CN"/>
              </w:rPr>
              <w:t>内外部</w:t>
            </w:r>
            <w:r>
              <w:rPr>
                <w:color w:val="auto"/>
                <w:highlight w:val="none"/>
              </w:rPr>
              <w:t>设置满足数量的地上式消防栓。</w:t>
            </w:r>
          </w:p>
          <w:p w14:paraId="1FE6DA58">
            <w:pPr>
              <w:pStyle w:val="102"/>
              <w:ind w:firstLine="480"/>
              <w:rPr>
                <w:color w:val="auto"/>
                <w:highlight w:val="none"/>
              </w:rPr>
            </w:pPr>
            <w:r>
              <w:rPr>
                <w:rFonts w:hint="eastAsia"/>
                <w:color w:val="auto"/>
                <w:highlight w:val="none"/>
                <w:lang w:val="en-US" w:eastAsia="zh-CN"/>
              </w:rPr>
              <w:t>b.</w:t>
            </w:r>
            <w:r>
              <w:rPr>
                <w:color w:val="auto"/>
                <w:highlight w:val="none"/>
              </w:rPr>
              <w:t>火灾报警系统：在生产车间内设置足够的手提式及干粉式灭火器，在电房设置手提式二氧化碳灭火器，便于迅速应急使用。</w:t>
            </w:r>
          </w:p>
          <w:p w14:paraId="14EC0AF9">
            <w:pPr>
              <w:pStyle w:val="102"/>
              <w:bidi w:val="0"/>
              <w:rPr>
                <w:rFonts w:hint="default" w:ascii="Times New Roman" w:hAnsi="Times New Roman" w:cs="Times New Roman"/>
                <w:color w:val="auto"/>
                <w:highlight w:val="none"/>
              </w:rPr>
            </w:pPr>
            <w:r>
              <w:rPr>
                <w:rFonts w:hint="eastAsia"/>
                <w:color w:val="auto"/>
                <w:sz w:val="24"/>
                <w:szCs w:val="24"/>
                <w:highlight w:val="none"/>
                <w:lang w:val="en-US" w:eastAsia="zh-CN"/>
              </w:rPr>
              <w:t>项目区域消火栓设计流量按</w:t>
            </w:r>
            <w:r>
              <w:rPr>
                <w:rFonts w:hint="eastAsia"/>
                <w:color w:val="auto"/>
                <w:sz w:val="24"/>
                <w:szCs w:val="24"/>
                <w:highlight w:val="none"/>
              </w:rPr>
              <w:t>不小于</w:t>
            </w:r>
            <w:r>
              <w:rPr>
                <w:rFonts w:hint="eastAsia"/>
                <w:color w:val="auto"/>
                <w:sz w:val="24"/>
                <w:szCs w:val="24"/>
                <w:highlight w:val="none"/>
                <w:lang w:val="en-US" w:eastAsia="zh-CN"/>
              </w:rPr>
              <w:t>25</w:t>
            </w:r>
            <w:r>
              <w:rPr>
                <w:rFonts w:hint="eastAsia"/>
                <w:color w:val="auto"/>
                <w:sz w:val="24"/>
                <w:szCs w:val="24"/>
                <w:highlight w:val="none"/>
              </w:rPr>
              <w:t>L/s</w:t>
            </w:r>
            <w:r>
              <w:rPr>
                <w:rFonts w:hint="eastAsia"/>
                <w:color w:val="auto"/>
                <w:sz w:val="24"/>
                <w:szCs w:val="24"/>
                <w:highlight w:val="none"/>
                <w:lang w:val="en-US" w:eastAsia="zh-CN"/>
              </w:rPr>
              <w:t>计，使用消火栓数量按2支计，</w:t>
            </w:r>
            <w:r>
              <w:rPr>
                <w:rFonts w:hint="eastAsia"/>
                <w:color w:val="auto"/>
                <w:sz w:val="24"/>
                <w:szCs w:val="24"/>
                <w:highlight w:val="none"/>
              </w:rPr>
              <w:t>火灾延续时间</w:t>
            </w:r>
            <w:r>
              <w:rPr>
                <w:rFonts w:hint="eastAsia"/>
                <w:color w:val="auto"/>
                <w:sz w:val="24"/>
                <w:szCs w:val="24"/>
                <w:highlight w:val="none"/>
                <w:lang w:val="en-US" w:eastAsia="zh-CN"/>
              </w:rPr>
              <w:t>按1.5</w:t>
            </w:r>
            <w:r>
              <w:rPr>
                <w:rFonts w:hint="eastAsia"/>
                <w:color w:val="auto"/>
                <w:sz w:val="24"/>
                <w:szCs w:val="24"/>
                <w:highlight w:val="none"/>
              </w:rPr>
              <w:t>h</w:t>
            </w:r>
            <w:r>
              <w:rPr>
                <w:rFonts w:hint="eastAsia"/>
                <w:color w:val="auto"/>
                <w:sz w:val="24"/>
                <w:szCs w:val="24"/>
                <w:highlight w:val="none"/>
                <w:lang w:val="en-US" w:eastAsia="zh-CN"/>
              </w:rPr>
              <w:t>计</w:t>
            </w:r>
            <w:r>
              <w:rPr>
                <w:rFonts w:hint="eastAsia"/>
                <w:color w:val="auto"/>
                <w:sz w:val="24"/>
                <w:szCs w:val="24"/>
                <w:highlight w:val="none"/>
              </w:rPr>
              <w:t>，计算得消防废水产生量</w:t>
            </w:r>
            <w:r>
              <w:rPr>
                <w:rFonts w:hint="eastAsia"/>
                <w:color w:val="auto"/>
                <w:sz w:val="24"/>
                <w:szCs w:val="24"/>
                <w:highlight w:val="none"/>
                <w:lang w:val="en-US" w:eastAsia="zh-CN"/>
              </w:rPr>
              <w:t>270</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w:t>
            </w:r>
            <w:r>
              <w:rPr>
                <w:rFonts w:hint="default" w:ascii="Times New Roman" w:hAnsi="Times New Roman" w:cs="Times New Roman"/>
                <w:color w:val="auto"/>
                <w:highlight w:val="none"/>
              </w:rPr>
              <w:t>根据《建筑设计防火规范》（GB50016-2014）</w:t>
            </w:r>
            <w:r>
              <w:rPr>
                <w:rFonts w:hint="eastAsia" w:cs="Times New Roman"/>
                <w:color w:val="auto"/>
                <w:highlight w:val="none"/>
                <w:lang w:eastAsia="zh-CN"/>
              </w:rPr>
              <w:t>（</w:t>
            </w:r>
            <w:r>
              <w:rPr>
                <w:rFonts w:hint="default" w:ascii="Times New Roman" w:hAnsi="Times New Roman" w:cs="Times New Roman"/>
                <w:color w:val="auto"/>
                <w:highlight w:val="none"/>
              </w:rPr>
              <w:t>2018年版</w:t>
            </w:r>
            <w:r>
              <w:rPr>
                <w:rFonts w:hint="eastAsia" w:cs="Times New Roman"/>
                <w:color w:val="auto"/>
                <w:highlight w:val="none"/>
                <w:lang w:eastAsia="zh-CN"/>
              </w:rPr>
              <w:t>）</w:t>
            </w:r>
            <w:r>
              <w:rPr>
                <w:rFonts w:hint="default" w:ascii="Times New Roman" w:hAnsi="Times New Roman" w:cs="Times New Roman"/>
                <w:color w:val="auto"/>
                <w:highlight w:val="none"/>
              </w:rPr>
              <w:t>的要求，</w:t>
            </w:r>
            <w:r>
              <w:rPr>
                <w:color w:val="auto"/>
                <w:highlight w:val="none"/>
              </w:rPr>
              <w:t>本项目分别于生产厂房和仓库分布设置室内消火栓系统，并配置足量灭火器，污水事故截断措施和设施。项目所在厂区采取雨污分流制，本项目所有生产设备均设置在厂房内，故本项目无需设置初期雨水池，厂区雨水管排放口设置截留阀</w:t>
            </w:r>
            <w:r>
              <w:rPr>
                <w:rFonts w:hint="eastAsia"/>
                <w:color w:val="auto"/>
                <w:highlight w:val="none"/>
              </w:rPr>
              <w:t>，</w:t>
            </w:r>
            <w:r>
              <w:rPr>
                <w:color w:val="auto"/>
                <w:highlight w:val="none"/>
              </w:rPr>
              <w:t>项目租赁区域及附近现无事故应急池，故本环评要求，项目厂区内配备相应消防沙袋，用于厂区消防废水封堵，项目厂区产生消防废水</w:t>
            </w:r>
            <w:r>
              <w:rPr>
                <w:rFonts w:hint="eastAsia"/>
                <w:color w:val="auto"/>
                <w:highlight w:val="none"/>
                <w:lang w:val="en-US" w:eastAsia="zh-CN"/>
              </w:rPr>
              <w:t>经雨水管网收集后经泵抽至运输车运输至污水处理厂处理</w:t>
            </w:r>
            <w:r>
              <w:rPr>
                <w:color w:val="auto"/>
                <w:highlight w:val="none"/>
              </w:rPr>
              <w:t>。</w:t>
            </w:r>
            <w:r>
              <w:rPr>
                <w:rFonts w:hint="eastAsia"/>
                <w:color w:val="auto"/>
                <w:sz w:val="24"/>
                <w:szCs w:val="24"/>
                <w:highlight w:val="none"/>
                <w:lang w:val="en-US" w:eastAsia="zh-CN"/>
              </w:rPr>
              <w:t>龙眼井污水处理厂剩余处理能力预计约4600m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/d，故污水处理厂可容纳本项目消防废水</w:t>
            </w:r>
            <w:r>
              <w:rPr>
                <w:rFonts w:hint="default" w:ascii="Times New Roman" w:hAnsi="Times New Roman" w:cs="Times New Roman"/>
                <w:color w:val="auto"/>
                <w:highlight w:val="none"/>
              </w:rPr>
              <w:t>。</w:t>
            </w:r>
          </w:p>
          <w:p w14:paraId="7BA15D29">
            <w:pPr>
              <w:spacing w:line="360" w:lineRule="auto"/>
              <w:ind w:firstLine="482" w:firstLineChars="200"/>
              <w:rPr>
                <w:rFonts w:hint="eastAsia" w:hAnsi="宋体"/>
                <w:b/>
                <w:color w:val="auto"/>
                <w:sz w:val="24"/>
                <w:highlight w:val="none"/>
                <w:lang w:val="en-US" w:eastAsia="zh-CN"/>
              </w:rPr>
            </w:pPr>
            <w:r>
              <w:rPr>
                <w:rFonts w:hint="eastAsia" w:hAnsi="宋体"/>
                <w:b/>
                <w:color w:val="auto"/>
                <w:sz w:val="24"/>
                <w:highlight w:val="none"/>
                <w:lang w:val="en-US" w:eastAsia="zh-CN"/>
              </w:rPr>
              <w:t>（5）风险应急预案</w:t>
            </w:r>
          </w:p>
          <w:p w14:paraId="4902D4C1">
            <w:pPr>
              <w:widowControl w:val="0"/>
              <w:autoSpaceDE w:val="0"/>
              <w:autoSpaceDN w:val="0"/>
              <w:adjustRightInd w:val="0"/>
              <w:spacing w:line="360" w:lineRule="auto"/>
              <w:ind w:firstLine="480" w:firstLineChars="200"/>
              <w:rPr>
                <w:rFonts w:ascii="宋体" w:hAnsi="宋体" w:eastAsia="宋体" w:cs="宋体"/>
                <w:color w:val="auto"/>
                <w:sz w:val="24"/>
                <w:szCs w:val="23"/>
                <w:highlight w:val="none"/>
                <w:lang w:val="en-US" w:eastAsia="zh-CN" w:bidi="ar-SA"/>
              </w:rPr>
            </w:pPr>
            <w:r>
              <w:rPr>
                <w:rFonts w:ascii="宋体" w:hAnsi="宋体" w:eastAsia="宋体" w:cs="宋体"/>
                <w:color w:val="auto"/>
                <w:sz w:val="24"/>
                <w:szCs w:val="23"/>
                <w:highlight w:val="none"/>
                <w:lang w:val="en-US" w:eastAsia="zh-CN" w:bidi="ar-SA"/>
              </w:rPr>
              <w:t>《中华人民共和国安全生产法》《中华人民共和国职业病防治法》《中华人民共和国消防法》、国务院《危险化学品安全管理条例》、《国务院关于特大安全事故行政责任追究的规定》、国务院《使用有毒物品作业场所劳动保护条例》、国务院《特种设备安全监察条例》都明确要求企业应编制应急预案。</w:t>
            </w:r>
          </w:p>
          <w:p w14:paraId="0FADC3CE">
            <w:pPr>
              <w:autoSpaceDE/>
              <w:autoSpaceDN/>
              <w:adjustRightInd/>
              <w:snapToGrid w:val="0"/>
              <w:spacing w:line="360" w:lineRule="auto"/>
              <w:ind w:firstLine="480" w:firstLineChars="200"/>
              <w:jc w:val="left"/>
              <w:rPr>
                <w:rFonts w:ascii="Times New Roman" w:hAnsi="Times New Roman" w:eastAsia="宋体" w:cs="Times New Roman"/>
                <w:color w:val="auto"/>
                <w:sz w:val="24"/>
                <w:szCs w:val="23"/>
                <w:highlight w:val="none"/>
              </w:rPr>
            </w:pPr>
            <w:r>
              <w:rPr>
                <w:rFonts w:ascii="宋体" w:hAnsi="宋体" w:eastAsia="宋体" w:cs="宋体"/>
                <w:color w:val="auto"/>
                <w:sz w:val="24"/>
                <w:szCs w:val="23"/>
                <w:highlight w:val="none"/>
              </w:rPr>
              <w:t>无论预防工作如何周密，风险事故总是难以根本杜绝，制定风险事故应急预案的目的是要迅速而</w:t>
            </w:r>
            <w:bookmarkStart w:id="39" w:name="_GoBack"/>
            <w:bookmarkEnd w:id="39"/>
            <w:r>
              <w:rPr>
                <w:rFonts w:hint="eastAsia" w:ascii="宋体" w:hAnsi="宋体" w:cs="宋体"/>
                <w:color w:val="auto"/>
                <w:sz w:val="24"/>
                <w:szCs w:val="23"/>
                <w:highlight w:val="none"/>
                <w:lang w:eastAsia="zh-CN"/>
              </w:rPr>
              <w:t>有效地将</w:t>
            </w:r>
            <w:r>
              <w:rPr>
                <w:rFonts w:ascii="宋体" w:hAnsi="宋体" w:eastAsia="宋体" w:cs="宋体"/>
                <w:color w:val="auto"/>
                <w:sz w:val="24"/>
                <w:szCs w:val="23"/>
                <w:highlight w:val="none"/>
              </w:rPr>
              <w:t>事故损失减至最小。该项目运行过程中，一旦出现突发事故，必须按事先拟定的应急方案进行紧急处理，它包括应急状态分类、应急计划区、事故等级水平、应急防护和应急医学处理等。</w:t>
            </w:r>
            <w:r>
              <w:rPr>
                <w:rFonts w:ascii="Times New Roman" w:hAnsi="Times New Roman" w:eastAsia="宋体" w:cs="Times New Roman"/>
                <w:color w:val="auto"/>
                <w:sz w:val="24"/>
                <w:szCs w:val="23"/>
                <w:highlight w:val="none"/>
              </w:rPr>
              <w:t>本项目建成后，企业应根据预案纲要更新制定详细的“事故应急救援预案”，并认真执行。应急有关内容具体见下表。</w:t>
            </w:r>
          </w:p>
          <w:p w14:paraId="14B3E0A8">
            <w:pPr>
              <w:pStyle w:val="14"/>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26</w:t>
            </w:r>
            <w:r>
              <w:rPr>
                <w:color w:val="auto"/>
                <w:highlight w:val="none"/>
              </w:rPr>
              <w:fldChar w:fldCharType="end"/>
            </w:r>
            <w:r>
              <w:rPr>
                <w:rFonts w:hint="eastAsia"/>
                <w:color w:val="auto"/>
                <w:highlight w:val="none"/>
                <w:lang w:val="en-US" w:eastAsia="zh-CN"/>
              </w:rPr>
              <w:t xml:space="preserve">  环境风险的突发性事故应急预案主要内容</w:t>
            </w:r>
          </w:p>
          <w:tbl>
            <w:tblPr>
              <w:tblStyle w:val="28"/>
              <w:tblW w:w="90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586"/>
              <w:gridCol w:w="6777"/>
            </w:tblGrid>
            <w:tr w14:paraId="4828D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36" w:type="dxa"/>
                  <w:tcBorders>
                    <w:tl2br w:val="nil"/>
                    <w:tr2bl w:val="nil"/>
                  </w:tcBorders>
                  <w:shd w:val="clear" w:color="auto" w:fill="auto"/>
                  <w:vAlign w:val="center"/>
                </w:tcPr>
                <w:p w14:paraId="4565512B">
                  <w:pPr>
                    <w:pStyle w:val="94"/>
                    <w:bidi w:val="0"/>
                    <w:rPr>
                      <w:b/>
                      <w:bCs w:val="0"/>
                      <w:color w:val="auto"/>
                      <w:highlight w:val="none"/>
                    </w:rPr>
                  </w:pPr>
                  <w:r>
                    <w:rPr>
                      <w:b/>
                      <w:bCs w:val="0"/>
                      <w:color w:val="auto"/>
                      <w:highlight w:val="none"/>
                    </w:rPr>
                    <w:t>序号</w:t>
                  </w:r>
                </w:p>
              </w:tc>
              <w:tc>
                <w:tcPr>
                  <w:tcW w:w="1586" w:type="dxa"/>
                  <w:tcBorders>
                    <w:tl2br w:val="nil"/>
                    <w:tr2bl w:val="nil"/>
                  </w:tcBorders>
                  <w:shd w:val="clear" w:color="auto" w:fill="auto"/>
                  <w:vAlign w:val="center"/>
                </w:tcPr>
                <w:p w14:paraId="6AFE8971">
                  <w:pPr>
                    <w:pStyle w:val="94"/>
                    <w:bidi w:val="0"/>
                    <w:rPr>
                      <w:b/>
                      <w:bCs w:val="0"/>
                      <w:color w:val="auto"/>
                      <w:highlight w:val="none"/>
                    </w:rPr>
                  </w:pPr>
                  <w:r>
                    <w:rPr>
                      <w:b/>
                      <w:bCs w:val="0"/>
                      <w:color w:val="auto"/>
                      <w:highlight w:val="none"/>
                    </w:rPr>
                    <w:t>项目</w:t>
                  </w:r>
                </w:p>
              </w:tc>
              <w:tc>
                <w:tcPr>
                  <w:tcW w:w="6777" w:type="dxa"/>
                  <w:tcBorders>
                    <w:tl2br w:val="nil"/>
                    <w:tr2bl w:val="nil"/>
                  </w:tcBorders>
                  <w:shd w:val="clear" w:color="auto" w:fill="auto"/>
                  <w:vAlign w:val="center"/>
                </w:tcPr>
                <w:p w14:paraId="30E8F623">
                  <w:pPr>
                    <w:pStyle w:val="94"/>
                    <w:bidi w:val="0"/>
                    <w:jc w:val="center"/>
                    <w:rPr>
                      <w:b/>
                      <w:bCs w:val="0"/>
                      <w:color w:val="auto"/>
                      <w:highlight w:val="none"/>
                    </w:rPr>
                  </w:pPr>
                  <w:r>
                    <w:rPr>
                      <w:b/>
                      <w:bCs w:val="0"/>
                      <w:color w:val="auto"/>
                      <w:highlight w:val="none"/>
                    </w:rPr>
                    <w:t>内容及要求</w:t>
                  </w:r>
                </w:p>
              </w:tc>
            </w:tr>
            <w:tr w14:paraId="21ED5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36" w:type="dxa"/>
                  <w:tcBorders>
                    <w:tl2br w:val="nil"/>
                    <w:tr2bl w:val="nil"/>
                  </w:tcBorders>
                  <w:shd w:val="clear" w:color="auto" w:fill="auto"/>
                  <w:vAlign w:val="center"/>
                </w:tcPr>
                <w:p w14:paraId="65694914">
                  <w:pPr>
                    <w:pStyle w:val="94"/>
                    <w:bidi w:val="0"/>
                    <w:rPr>
                      <w:color w:val="auto"/>
                      <w:highlight w:val="none"/>
                    </w:rPr>
                  </w:pPr>
                  <w:r>
                    <w:rPr>
                      <w:color w:val="auto"/>
                      <w:highlight w:val="none"/>
                    </w:rPr>
                    <w:t>1</w:t>
                  </w:r>
                </w:p>
              </w:tc>
              <w:tc>
                <w:tcPr>
                  <w:tcW w:w="1586" w:type="dxa"/>
                  <w:tcBorders>
                    <w:tl2br w:val="nil"/>
                    <w:tr2bl w:val="nil"/>
                  </w:tcBorders>
                  <w:shd w:val="clear" w:color="auto" w:fill="auto"/>
                  <w:vAlign w:val="center"/>
                </w:tcPr>
                <w:p w14:paraId="4709FF0D">
                  <w:pPr>
                    <w:pStyle w:val="94"/>
                    <w:bidi w:val="0"/>
                    <w:rPr>
                      <w:color w:val="auto"/>
                      <w:highlight w:val="none"/>
                    </w:rPr>
                  </w:pPr>
                  <w:r>
                    <w:rPr>
                      <w:color w:val="auto"/>
                      <w:highlight w:val="none"/>
                    </w:rPr>
                    <w:t>总则</w:t>
                  </w:r>
                </w:p>
              </w:tc>
              <w:tc>
                <w:tcPr>
                  <w:tcW w:w="6777" w:type="dxa"/>
                  <w:tcBorders>
                    <w:tl2br w:val="nil"/>
                    <w:tr2bl w:val="nil"/>
                  </w:tcBorders>
                  <w:shd w:val="clear" w:color="auto" w:fill="auto"/>
                  <w:vAlign w:val="center"/>
                </w:tcPr>
                <w:p w14:paraId="08E987B5">
                  <w:pPr>
                    <w:pStyle w:val="94"/>
                    <w:bidi w:val="0"/>
                    <w:jc w:val="center"/>
                    <w:rPr>
                      <w:color w:val="auto"/>
                      <w:highlight w:val="none"/>
                    </w:rPr>
                  </w:pPr>
                </w:p>
              </w:tc>
            </w:tr>
            <w:tr w14:paraId="5E8A5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36" w:type="dxa"/>
                  <w:tcBorders>
                    <w:tl2br w:val="nil"/>
                    <w:tr2bl w:val="nil"/>
                  </w:tcBorders>
                  <w:shd w:val="clear" w:color="auto" w:fill="auto"/>
                  <w:vAlign w:val="center"/>
                </w:tcPr>
                <w:p w14:paraId="6A86121D">
                  <w:pPr>
                    <w:pStyle w:val="94"/>
                    <w:bidi w:val="0"/>
                    <w:rPr>
                      <w:color w:val="auto"/>
                      <w:highlight w:val="none"/>
                    </w:rPr>
                  </w:pPr>
                  <w:r>
                    <w:rPr>
                      <w:color w:val="auto"/>
                      <w:highlight w:val="none"/>
                    </w:rPr>
                    <w:t>2</w:t>
                  </w:r>
                </w:p>
              </w:tc>
              <w:tc>
                <w:tcPr>
                  <w:tcW w:w="1586" w:type="dxa"/>
                  <w:tcBorders>
                    <w:tl2br w:val="nil"/>
                    <w:tr2bl w:val="nil"/>
                  </w:tcBorders>
                  <w:shd w:val="clear" w:color="auto" w:fill="auto"/>
                  <w:vAlign w:val="center"/>
                </w:tcPr>
                <w:p w14:paraId="42BC29E2">
                  <w:pPr>
                    <w:pStyle w:val="94"/>
                    <w:bidi w:val="0"/>
                    <w:rPr>
                      <w:color w:val="auto"/>
                      <w:highlight w:val="none"/>
                    </w:rPr>
                  </w:pPr>
                  <w:r>
                    <w:rPr>
                      <w:color w:val="auto"/>
                      <w:highlight w:val="none"/>
                    </w:rPr>
                    <w:t>危险源情况</w:t>
                  </w:r>
                </w:p>
              </w:tc>
              <w:tc>
                <w:tcPr>
                  <w:tcW w:w="6777" w:type="dxa"/>
                  <w:tcBorders>
                    <w:tl2br w:val="nil"/>
                    <w:tr2bl w:val="nil"/>
                  </w:tcBorders>
                  <w:shd w:val="clear" w:color="auto" w:fill="auto"/>
                  <w:vAlign w:val="center"/>
                </w:tcPr>
                <w:p w14:paraId="7FF405BF">
                  <w:pPr>
                    <w:pStyle w:val="94"/>
                    <w:bidi w:val="0"/>
                    <w:jc w:val="both"/>
                    <w:rPr>
                      <w:color w:val="auto"/>
                      <w:highlight w:val="none"/>
                    </w:rPr>
                  </w:pPr>
                  <w:r>
                    <w:rPr>
                      <w:color w:val="auto"/>
                      <w:highlight w:val="none"/>
                    </w:rPr>
                    <w:t>详细说明危险源类型、数量、分布及其对环境的风险</w:t>
                  </w:r>
                </w:p>
              </w:tc>
            </w:tr>
            <w:tr w14:paraId="7C380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36" w:type="dxa"/>
                  <w:tcBorders>
                    <w:tl2br w:val="nil"/>
                    <w:tr2bl w:val="nil"/>
                  </w:tcBorders>
                  <w:shd w:val="clear" w:color="auto" w:fill="auto"/>
                  <w:vAlign w:val="center"/>
                </w:tcPr>
                <w:p w14:paraId="0F15E3AC">
                  <w:pPr>
                    <w:pStyle w:val="94"/>
                    <w:bidi w:val="0"/>
                    <w:rPr>
                      <w:color w:val="auto"/>
                      <w:highlight w:val="none"/>
                    </w:rPr>
                  </w:pPr>
                  <w:r>
                    <w:rPr>
                      <w:color w:val="auto"/>
                      <w:highlight w:val="none"/>
                    </w:rPr>
                    <w:t>3</w:t>
                  </w:r>
                </w:p>
              </w:tc>
              <w:tc>
                <w:tcPr>
                  <w:tcW w:w="1586" w:type="dxa"/>
                  <w:tcBorders>
                    <w:tl2br w:val="nil"/>
                    <w:tr2bl w:val="nil"/>
                  </w:tcBorders>
                  <w:shd w:val="clear" w:color="auto" w:fill="auto"/>
                  <w:vAlign w:val="center"/>
                </w:tcPr>
                <w:p w14:paraId="693C8736">
                  <w:pPr>
                    <w:pStyle w:val="94"/>
                    <w:bidi w:val="0"/>
                    <w:rPr>
                      <w:color w:val="auto"/>
                      <w:highlight w:val="none"/>
                    </w:rPr>
                  </w:pPr>
                  <w:r>
                    <w:rPr>
                      <w:color w:val="auto"/>
                      <w:highlight w:val="none"/>
                    </w:rPr>
                    <w:t>应急计划区</w:t>
                  </w:r>
                </w:p>
              </w:tc>
              <w:tc>
                <w:tcPr>
                  <w:tcW w:w="6777" w:type="dxa"/>
                  <w:tcBorders>
                    <w:tl2br w:val="nil"/>
                    <w:tr2bl w:val="nil"/>
                  </w:tcBorders>
                  <w:shd w:val="clear" w:color="auto" w:fill="auto"/>
                  <w:vAlign w:val="center"/>
                </w:tcPr>
                <w:p w14:paraId="2F86BCA0">
                  <w:pPr>
                    <w:pStyle w:val="94"/>
                    <w:bidi w:val="0"/>
                    <w:jc w:val="both"/>
                    <w:rPr>
                      <w:color w:val="auto"/>
                      <w:highlight w:val="none"/>
                    </w:rPr>
                  </w:pPr>
                  <w:r>
                    <w:rPr>
                      <w:color w:val="auto"/>
                      <w:highlight w:val="none"/>
                    </w:rPr>
                    <w:t>装置区、库区、临近地区</w:t>
                  </w:r>
                </w:p>
              </w:tc>
            </w:tr>
            <w:tr w14:paraId="1DA03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36" w:type="dxa"/>
                  <w:tcBorders>
                    <w:tl2br w:val="nil"/>
                    <w:tr2bl w:val="nil"/>
                  </w:tcBorders>
                  <w:shd w:val="clear" w:color="auto" w:fill="auto"/>
                  <w:vAlign w:val="center"/>
                </w:tcPr>
                <w:p w14:paraId="38959519">
                  <w:pPr>
                    <w:pStyle w:val="94"/>
                    <w:bidi w:val="0"/>
                    <w:rPr>
                      <w:color w:val="auto"/>
                      <w:highlight w:val="none"/>
                    </w:rPr>
                  </w:pPr>
                  <w:r>
                    <w:rPr>
                      <w:color w:val="auto"/>
                      <w:highlight w:val="none"/>
                    </w:rPr>
                    <w:t>4</w:t>
                  </w:r>
                </w:p>
              </w:tc>
              <w:tc>
                <w:tcPr>
                  <w:tcW w:w="1586" w:type="dxa"/>
                  <w:tcBorders>
                    <w:tl2br w:val="nil"/>
                    <w:tr2bl w:val="nil"/>
                  </w:tcBorders>
                  <w:shd w:val="clear" w:color="auto" w:fill="auto"/>
                  <w:vAlign w:val="center"/>
                </w:tcPr>
                <w:p w14:paraId="5F0B1CE5">
                  <w:pPr>
                    <w:pStyle w:val="94"/>
                    <w:bidi w:val="0"/>
                    <w:rPr>
                      <w:color w:val="auto"/>
                      <w:highlight w:val="none"/>
                    </w:rPr>
                  </w:pPr>
                  <w:r>
                    <w:rPr>
                      <w:color w:val="auto"/>
                      <w:highlight w:val="none"/>
                    </w:rPr>
                    <w:t>应急组织</w:t>
                  </w:r>
                </w:p>
              </w:tc>
              <w:tc>
                <w:tcPr>
                  <w:tcW w:w="6777" w:type="dxa"/>
                  <w:tcBorders>
                    <w:tl2br w:val="nil"/>
                    <w:tr2bl w:val="nil"/>
                  </w:tcBorders>
                  <w:shd w:val="clear" w:color="auto" w:fill="auto"/>
                  <w:vAlign w:val="center"/>
                </w:tcPr>
                <w:p w14:paraId="086C5399">
                  <w:pPr>
                    <w:pStyle w:val="94"/>
                    <w:bidi w:val="0"/>
                    <w:jc w:val="both"/>
                    <w:rPr>
                      <w:color w:val="auto"/>
                      <w:highlight w:val="none"/>
                    </w:rPr>
                  </w:pPr>
                  <w:r>
                    <w:rPr>
                      <w:color w:val="auto"/>
                      <w:highlight w:val="none"/>
                    </w:rPr>
                    <w:t>工厂：厂指挥部——负责现场全面指挥，专业救援队伍——负责事故控制、救援和善后处理</w:t>
                  </w:r>
                </w:p>
                <w:p w14:paraId="3BA3A920">
                  <w:pPr>
                    <w:pStyle w:val="94"/>
                    <w:bidi w:val="0"/>
                    <w:jc w:val="both"/>
                    <w:rPr>
                      <w:color w:val="auto"/>
                      <w:highlight w:val="none"/>
                    </w:rPr>
                  </w:pPr>
                  <w:r>
                    <w:rPr>
                      <w:color w:val="auto"/>
                      <w:highlight w:val="none"/>
                    </w:rPr>
                    <w:t>临近地区：地区指挥部——负责工厂附近地区全面指挥，救援、管制和疏散，专业救援队伍——负责对工厂专业救援队伍的支援</w:t>
                  </w:r>
                </w:p>
              </w:tc>
            </w:tr>
            <w:tr w14:paraId="5B125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36" w:type="dxa"/>
                  <w:tcBorders>
                    <w:tl2br w:val="nil"/>
                    <w:tr2bl w:val="nil"/>
                  </w:tcBorders>
                  <w:shd w:val="clear" w:color="auto" w:fill="auto"/>
                  <w:vAlign w:val="center"/>
                </w:tcPr>
                <w:p w14:paraId="145B416F">
                  <w:pPr>
                    <w:pStyle w:val="94"/>
                    <w:bidi w:val="0"/>
                    <w:rPr>
                      <w:color w:val="auto"/>
                      <w:highlight w:val="none"/>
                    </w:rPr>
                  </w:pPr>
                  <w:r>
                    <w:rPr>
                      <w:color w:val="auto"/>
                      <w:highlight w:val="none"/>
                    </w:rPr>
                    <w:t>5</w:t>
                  </w:r>
                </w:p>
              </w:tc>
              <w:tc>
                <w:tcPr>
                  <w:tcW w:w="1586" w:type="dxa"/>
                  <w:tcBorders>
                    <w:tl2br w:val="nil"/>
                    <w:tr2bl w:val="nil"/>
                  </w:tcBorders>
                  <w:shd w:val="clear" w:color="auto" w:fill="auto"/>
                  <w:vAlign w:val="center"/>
                </w:tcPr>
                <w:p w14:paraId="20250E3A">
                  <w:pPr>
                    <w:pStyle w:val="94"/>
                    <w:bidi w:val="0"/>
                    <w:rPr>
                      <w:color w:val="auto"/>
                      <w:highlight w:val="none"/>
                    </w:rPr>
                  </w:pPr>
                  <w:r>
                    <w:rPr>
                      <w:color w:val="auto"/>
                      <w:highlight w:val="none"/>
                    </w:rPr>
                    <w:t>应急状态分类应急响应程序</w:t>
                  </w:r>
                </w:p>
              </w:tc>
              <w:tc>
                <w:tcPr>
                  <w:tcW w:w="6777" w:type="dxa"/>
                  <w:tcBorders>
                    <w:tl2br w:val="nil"/>
                    <w:tr2bl w:val="nil"/>
                  </w:tcBorders>
                  <w:shd w:val="clear" w:color="auto" w:fill="auto"/>
                  <w:vAlign w:val="center"/>
                </w:tcPr>
                <w:p w14:paraId="64B1E284">
                  <w:pPr>
                    <w:pStyle w:val="94"/>
                    <w:bidi w:val="0"/>
                    <w:jc w:val="both"/>
                    <w:rPr>
                      <w:color w:val="auto"/>
                      <w:highlight w:val="none"/>
                    </w:rPr>
                  </w:pPr>
                  <w:r>
                    <w:rPr>
                      <w:color w:val="auto"/>
                      <w:highlight w:val="none"/>
                    </w:rPr>
                    <w:t>规定环境风险事故的级别及相应的应急状态分类，以此制定相应的应急响应程序</w:t>
                  </w:r>
                </w:p>
              </w:tc>
            </w:tr>
            <w:tr w14:paraId="5CED4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736" w:type="dxa"/>
                  <w:tcBorders>
                    <w:tl2br w:val="nil"/>
                    <w:tr2bl w:val="nil"/>
                  </w:tcBorders>
                  <w:shd w:val="clear" w:color="auto" w:fill="auto"/>
                  <w:vAlign w:val="center"/>
                </w:tcPr>
                <w:p w14:paraId="64D9CF8E">
                  <w:pPr>
                    <w:pStyle w:val="94"/>
                    <w:bidi w:val="0"/>
                    <w:rPr>
                      <w:color w:val="auto"/>
                      <w:highlight w:val="none"/>
                    </w:rPr>
                  </w:pPr>
                  <w:r>
                    <w:rPr>
                      <w:color w:val="auto"/>
                      <w:highlight w:val="none"/>
                    </w:rPr>
                    <w:t>6</w:t>
                  </w:r>
                </w:p>
              </w:tc>
              <w:tc>
                <w:tcPr>
                  <w:tcW w:w="1586" w:type="dxa"/>
                  <w:tcBorders>
                    <w:tl2br w:val="nil"/>
                    <w:tr2bl w:val="nil"/>
                  </w:tcBorders>
                  <w:shd w:val="clear" w:color="auto" w:fill="auto"/>
                  <w:vAlign w:val="center"/>
                </w:tcPr>
                <w:p w14:paraId="79CF7779">
                  <w:pPr>
                    <w:pStyle w:val="94"/>
                    <w:bidi w:val="0"/>
                    <w:rPr>
                      <w:color w:val="auto"/>
                      <w:highlight w:val="none"/>
                    </w:rPr>
                  </w:pPr>
                  <w:r>
                    <w:rPr>
                      <w:color w:val="auto"/>
                      <w:highlight w:val="none"/>
                    </w:rPr>
                    <w:t>应急设施设备与材料</w:t>
                  </w:r>
                </w:p>
              </w:tc>
              <w:tc>
                <w:tcPr>
                  <w:tcW w:w="6777" w:type="dxa"/>
                  <w:tcBorders>
                    <w:tl2br w:val="nil"/>
                    <w:tr2bl w:val="nil"/>
                  </w:tcBorders>
                  <w:shd w:val="clear" w:color="auto" w:fill="auto"/>
                  <w:vAlign w:val="center"/>
                </w:tcPr>
                <w:p w14:paraId="52D21561">
                  <w:pPr>
                    <w:pStyle w:val="94"/>
                    <w:bidi w:val="0"/>
                    <w:jc w:val="both"/>
                    <w:rPr>
                      <w:color w:val="auto"/>
                      <w:highlight w:val="none"/>
                    </w:rPr>
                  </w:pPr>
                  <w:r>
                    <w:rPr>
                      <w:color w:val="auto"/>
                      <w:highlight w:val="none"/>
                    </w:rPr>
                    <w:t>生产装置和罐区：防泄漏、火灾等的应急设施、设备与材料，主要为消防器材、消防服等；防有毒有害物质外溢、扩散，主要是水或低压蒸汽幕、喷淋设备、防毒服和一些土工作业工具，烧伤、中毒人员急救所用的一些药品、器材。</w:t>
                  </w:r>
                </w:p>
                <w:p w14:paraId="4978C952">
                  <w:pPr>
                    <w:pStyle w:val="94"/>
                    <w:bidi w:val="0"/>
                    <w:jc w:val="both"/>
                    <w:rPr>
                      <w:color w:val="auto"/>
                      <w:highlight w:val="none"/>
                    </w:rPr>
                  </w:pPr>
                  <w:r>
                    <w:rPr>
                      <w:color w:val="auto"/>
                      <w:highlight w:val="none"/>
                    </w:rPr>
                    <w:t>临界地区：烧伤、中毒人员急救所用的一些药品、器材</w:t>
                  </w:r>
                </w:p>
              </w:tc>
            </w:tr>
            <w:tr w14:paraId="2EB1C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36" w:type="dxa"/>
                  <w:tcBorders>
                    <w:tl2br w:val="nil"/>
                    <w:tr2bl w:val="nil"/>
                  </w:tcBorders>
                  <w:shd w:val="clear" w:color="auto" w:fill="auto"/>
                  <w:vAlign w:val="center"/>
                </w:tcPr>
                <w:p w14:paraId="71C98B49">
                  <w:pPr>
                    <w:pStyle w:val="94"/>
                    <w:bidi w:val="0"/>
                    <w:rPr>
                      <w:color w:val="auto"/>
                      <w:highlight w:val="none"/>
                    </w:rPr>
                  </w:pPr>
                  <w:r>
                    <w:rPr>
                      <w:color w:val="auto"/>
                      <w:highlight w:val="none"/>
                    </w:rPr>
                    <w:t>7</w:t>
                  </w:r>
                </w:p>
              </w:tc>
              <w:tc>
                <w:tcPr>
                  <w:tcW w:w="1586" w:type="dxa"/>
                  <w:tcBorders>
                    <w:tl2br w:val="nil"/>
                    <w:tr2bl w:val="nil"/>
                  </w:tcBorders>
                  <w:shd w:val="clear" w:color="auto" w:fill="auto"/>
                  <w:vAlign w:val="center"/>
                </w:tcPr>
                <w:p w14:paraId="4E7B5122">
                  <w:pPr>
                    <w:pStyle w:val="94"/>
                    <w:bidi w:val="0"/>
                    <w:rPr>
                      <w:color w:val="auto"/>
                      <w:highlight w:val="none"/>
                    </w:rPr>
                  </w:pPr>
                  <w:r>
                    <w:rPr>
                      <w:color w:val="auto"/>
                      <w:highlight w:val="none"/>
                    </w:rPr>
                    <w:t>应急通讯与交通</w:t>
                  </w:r>
                </w:p>
              </w:tc>
              <w:tc>
                <w:tcPr>
                  <w:tcW w:w="6777" w:type="dxa"/>
                  <w:tcBorders>
                    <w:tl2br w:val="nil"/>
                    <w:tr2bl w:val="nil"/>
                  </w:tcBorders>
                  <w:shd w:val="clear" w:color="auto" w:fill="auto"/>
                  <w:vAlign w:val="center"/>
                </w:tcPr>
                <w:p w14:paraId="6633F71D">
                  <w:pPr>
                    <w:pStyle w:val="94"/>
                    <w:bidi w:val="0"/>
                    <w:jc w:val="both"/>
                    <w:rPr>
                      <w:color w:val="auto"/>
                      <w:highlight w:val="none"/>
                    </w:rPr>
                  </w:pPr>
                  <w:r>
                    <w:rPr>
                      <w:color w:val="auto"/>
                      <w:highlight w:val="none"/>
                    </w:rPr>
                    <w:t>规定应急状态下的通讯、通告方式和交通保障、管制等事项</w:t>
                  </w:r>
                </w:p>
              </w:tc>
            </w:tr>
            <w:tr w14:paraId="3266E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36" w:type="dxa"/>
                  <w:tcBorders>
                    <w:tl2br w:val="nil"/>
                    <w:tr2bl w:val="nil"/>
                  </w:tcBorders>
                  <w:shd w:val="clear" w:color="auto" w:fill="auto"/>
                  <w:vAlign w:val="center"/>
                </w:tcPr>
                <w:p w14:paraId="30688CA6">
                  <w:pPr>
                    <w:pStyle w:val="94"/>
                    <w:bidi w:val="0"/>
                    <w:rPr>
                      <w:color w:val="auto"/>
                      <w:highlight w:val="none"/>
                    </w:rPr>
                  </w:pPr>
                  <w:r>
                    <w:rPr>
                      <w:color w:val="auto"/>
                      <w:highlight w:val="none"/>
                    </w:rPr>
                    <w:t>8</w:t>
                  </w:r>
                </w:p>
              </w:tc>
              <w:tc>
                <w:tcPr>
                  <w:tcW w:w="1586" w:type="dxa"/>
                  <w:tcBorders>
                    <w:tl2br w:val="nil"/>
                    <w:tr2bl w:val="nil"/>
                  </w:tcBorders>
                  <w:shd w:val="clear" w:color="auto" w:fill="auto"/>
                  <w:vAlign w:val="center"/>
                </w:tcPr>
                <w:p w14:paraId="55EEF98A">
                  <w:pPr>
                    <w:pStyle w:val="94"/>
                    <w:bidi w:val="0"/>
                    <w:rPr>
                      <w:color w:val="auto"/>
                      <w:highlight w:val="none"/>
                    </w:rPr>
                  </w:pPr>
                  <w:r>
                    <w:rPr>
                      <w:color w:val="auto"/>
                      <w:highlight w:val="none"/>
                    </w:rPr>
                    <w:t>应急环境监测及事故后评估</w:t>
                  </w:r>
                </w:p>
              </w:tc>
              <w:tc>
                <w:tcPr>
                  <w:tcW w:w="6777" w:type="dxa"/>
                  <w:tcBorders>
                    <w:tl2br w:val="nil"/>
                    <w:tr2bl w:val="nil"/>
                  </w:tcBorders>
                  <w:shd w:val="clear" w:color="auto" w:fill="auto"/>
                  <w:vAlign w:val="center"/>
                </w:tcPr>
                <w:p w14:paraId="7F5ACC2F">
                  <w:pPr>
                    <w:pStyle w:val="94"/>
                    <w:bidi w:val="0"/>
                    <w:jc w:val="both"/>
                    <w:rPr>
                      <w:color w:val="auto"/>
                      <w:highlight w:val="none"/>
                    </w:rPr>
                  </w:pPr>
                  <w:r>
                    <w:rPr>
                      <w:color w:val="auto"/>
                      <w:highlight w:val="none"/>
                    </w:rPr>
                    <w:t>由专业人员对环境风险事故现场进行应急监测，对事故性质、严重程度等所造成的环境危害后果进行评估，吸取经验教训，避免再次发生事故，为指挥部门提供决策依据。</w:t>
                  </w:r>
                </w:p>
              </w:tc>
            </w:tr>
            <w:tr w14:paraId="49878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36" w:type="dxa"/>
                  <w:tcBorders>
                    <w:tl2br w:val="nil"/>
                    <w:tr2bl w:val="nil"/>
                  </w:tcBorders>
                  <w:shd w:val="clear" w:color="auto" w:fill="auto"/>
                  <w:vAlign w:val="center"/>
                </w:tcPr>
                <w:p w14:paraId="212A68DC">
                  <w:pPr>
                    <w:pStyle w:val="94"/>
                    <w:bidi w:val="0"/>
                    <w:rPr>
                      <w:color w:val="auto"/>
                      <w:highlight w:val="none"/>
                    </w:rPr>
                  </w:pPr>
                  <w:r>
                    <w:rPr>
                      <w:color w:val="auto"/>
                      <w:highlight w:val="none"/>
                    </w:rPr>
                    <w:t>9</w:t>
                  </w:r>
                </w:p>
              </w:tc>
              <w:tc>
                <w:tcPr>
                  <w:tcW w:w="1586" w:type="dxa"/>
                  <w:tcBorders>
                    <w:tl2br w:val="nil"/>
                    <w:tr2bl w:val="nil"/>
                  </w:tcBorders>
                  <w:shd w:val="clear" w:color="auto" w:fill="auto"/>
                  <w:vAlign w:val="center"/>
                </w:tcPr>
                <w:p w14:paraId="27CAC09A">
                  <w:pPr>
                    <w:pStyle w:val="94"/>
                    <w:bidi w:val="0"/>
                    <w:rPr>
                      <w:color w:val="auto"/>
                      <w:highlight w:val="none"/>
                    </w:rPr>
                  </w:pPr>
                  <w:r>
                    <w:rPr>
                      <w:color w:val="auto"/>
                      <w:highlight w:val="none"/>
                    </w:rPr>
                    <w:t>应急防护措施消除泄漏措施及需使用器材</w:t>
                  </w:r>
                </w:p>
              </w:tc>
              <w:tc>
                <w:tcPr>
                  <w:tcW w:w="6777" w:type="dxa"/>
                  <w:tcBorders>
                    <w:tl2br w:val="nil"/>
                    <w:tr2bl w:val="nil"/>
                  </w:tcBorders>
                  <w:shd w:val="clear" w:color="auto" w:fill="auto"/>
                  <w:vAlign w:val="center"/>
                </w:tcPr>
                <w:p w14:paraId="2E2EC1AD">
                  <w:pPr>
                    <w:pStyle w:val="94"/>
                    <w:bidi w:val="0"/>
                    <w:jc w:val="both"/>
                    <w:rPr>
                      <w:color w:val="auto"/>
                      <w:highlight w:val="none"/>
                    </w:rPr>
                  </w:pPr>
                  <w:r>
                    <w:rPr>
                      <w:color w:val="auto"/>
                      <w:highlight w:val="none"/>
                    </w:rPr>
                    <w:t>事故现场：控制事故发展，防止扩大、蔓延及连锁反应；清除现场泄漏物，降低危害；相应的设施器材配备。</w:t>
                  </w:r>
                </w:p>
                <w:p w14:paraId="1F7FBBF4">
                  <w:pPr>
                    <w:pStyle w:val="94"/>
                    <w:bidi w:val="0"/>
                    <w:jc w:val="both"/>
                    <w:rPr>
                      <w:color w:val="auto"/>
                      <w:highlight w:val="none"/>
                    </w:rPr>
                  </w:pPr>
                  <w:r>
                    <w:rPr>
                      <w:color w:val="auto"/>
                      <w:highlight w:val="none"/>
                    </w:rPr>
                    <w:t>临近地区：控制防火区域，控制和消除环境污染的措施及相应的设备配备。</w:t>
                  </w:r>
                </w:p>
              </w:tc>
            </w:tr>
            <w:tr w14:paraId="40BA9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36" w:type="dxa"/>
                  <w:tcBorders>
                    <w:tl2br w:val="nil"/>
                    <w:tr2bl w:val="nil"/>
                  </w:tcBorders>
                  <w:shd w:val="clear" w:color="auto" w:fill="auto"/>
                  <w:vAlign w:val="center"/>
                </w:tcPr>
                <w:p w14:paraId="3BB20944">
                  <w:pPr>
                    <w:pStyle w:val="94"/>
                    <w:bidi w:val="0"/>
                    <w:rPr>
                      <w:color w:val="auto"/>
                      <w:highlight w:val="none"/>
                    </w:rPr>
                  </w:pPr>
                  <w:r>
                    <w:rPr>
                      <w:color w:val="auto"/>
                      <w:highlight w:val="none"/>
                    </w:rPr>
                    <w:t>10</w:t>
                  </w:r>
                </w:p>
              </w:tc>
              <w:tc>
                <w:tcPr>
                  <w:tcW w:w="1586" w:type="dxa"/>
                  <w:tcBorders>
                    <w:tl2br w:val="nil"/>
                    <w:tr2bl w:val="nil"/>
                  </w:tcBorders>
                  <w:shd w:val="clear" w:color="auto" w:fill="auto"/>
                  <w:vAlign w:val="center"/>
                </w:tcPr>
                <w:p w14:paraId="4F696936">
                  <w:pPr>
                    <w:pStyle w:val="94"/>
                    <w:bidi w:val="0"/>
                    <w:rPr>
                      <w:color w:val="auto"/>
                      <w:highlight w:val="none"/>
                    </w:rPr>
                  </w:pPr>
                  <w:r>
                    <w:rPr>
                      <w:color w:val="auto"/>
                      <w:highlight w:val="none"/>
                    </w:rPr>
                    <w:t>应急剂量控制撤离组织计划医疗救护与保护公众健康</w:t>
                  </w:r>
                </w:p>
              </w:tc>
              <w:tc>
                <w:tcPr>
                  <w:tcW w:w="6777" w:type="dxa"/>
                  <w:tcBorders>
                    <w:tl2br w:val="nil"/>
                    <w:tr2bl w:val="nil"/>
                  </w:tcBorders>
                  <w:shd w:val="clear" w:color="auto" w:fill="auto"/>
                  <w:vAlign w:val="center"/>
                </w:tcPr>
                <w:p w14:paraId="0C63041D">
                  <w:pPr>
                    <w:pStyle w:val="94"/>
                    <w:bidi w:val="0"/>
                    <w:jc w:val="both"/>
                    <w:rPr>
                      <w:color w:val="auto"/>
                      <w:highlight w:val="none"/>
                    </w:rPr>
                  </w:pPr>
                  <w:r>
                    <w:rPr>
                      <w:color w:val="auto"/>
                      <w:highlight w:val="none"/>
                    </w:rPr>
                    <w:t>事故现场：事故处理人员制定毒物的应急剂量、现场及临近装置人员的撤离组织计划和紧急救护方案。</w:t>
                  </w:r>
                </w:p>
                <w:p w14:paraId="53C9F0ED">
                  <w:pPr>
                    <w:pStyle w:val="94"/>
                    <w:bidi w:val="0"/>
                    <w:jc w:val="both"/>
                    <w:rPr>
                      <w:color w:val="auto"/>
                      <w:highlight w:val="none"/>
                    </w:rPr>
                  </w:pPr>
                  <w:r>
                    <w:rPr>
                      <w:color w:val="auto"/>
                      <w:highlight w:val="none"/>
                    </w:rPr>
                    <w:t>临近地区：制定受事故影响的临近地区内人员对毒物的应急剂量、公众的疏散组织计划和紧急救护方案。</w:t>
                  </w:r>
                </w:p>
              </w:tc>
            </w:tr>
            <w:tr w14:paraId="1E5AF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36" w:type="dxa"/>
                  <w:tcBorders>
                    <w:tl2br w:val="nil"/>
                    <w:tr2bl w:val="nil"/>
                  </w:tcBorders>
                  <w:shd w:val="clear" w:color="auto" w:fill="auto"/>
                  <w:vAlign w:val="center"/>
                </w:tcPr>
                <w:p w14:paraId="79246E75">
                  <w:pPr>
                    <w:pStyle w:val="94"/>
                    <w:bidi w:val="0"/>
                    <w:rPr>
                      <w:color w:val="auto"/>
                      <w:highlight w:val="none"/>
                    </w:rPr>
                  </w:pPr>
                  <w:r>
                    <w:rPr>
                      <w:color w:val="auto"/>
                      <w:highlight w:val="none"/>
                    </w:rPr>
                    <w:t>11</w:t>
                  </w:r>
                </w:p>
              </w:tc>
              <w:tc>
                <w:tcPr>
                  <w:tcW w:w="1586" w:type="dxa"/>
                  <w:tcBorders>
                    <w:tl2br w:val="nil"/>
                    <w:tr2bl w:val="nil"/>
                  </w:tcBorders>
                  <w:shd w:val="clear" w:color="auto" w:fill="auto"/>
                  <w:vAlign w:val="center"/>
                </w:tcPr>
                <w:p w14:paraId="7B403C82">
                  <w:pPr>
                    <w:pStyle w:val="94"/>
                    <w:bidi w:val="0"/>
                    <w:rPr>
                      <w:color w:val="auto"/>
                      <w:highlight w:val="none"/>
                    </w:rPr>
                  </w:pPr>
                  <w:r>
                    <w:rPr>
                      <w:color w:val="auto"/>
                      <w:highlight w:val="none"/>
                    </w:rPr>
                    <w:t>应急状态中止恢复措施</w:t>
                  </w:r>
                </w:p>
              </w:tc>
              <w:tc>
                <w:tcPr>
                  <w:tcW w:w="6777" w:type="dxa"/>
                  <w:tcBorders>
                    <w:tl2br w:val="nil"/>
                    <w:tr2bl w:val="nil"/>
                  </w:tcBorders>
                  <w:shd w:val="clear" w:color="auto" w:fill="auto"/>
                  <w:vAlign w:val="center"/>
                </w:tcPr>
                <w:p w14:paraId="11CF9E48">
                  <w:pPr>
                    <w:pStyle w:val="94"/>
                    <w:bidi w:val="0"/>
                    <w:jc w:val="both"/>
                    <w:rPr>
                      <w:color w:val="auto"/>
                      <w:highlight w:val="none"/>
                    </w:rPr>
                  </w:pPr>
                  <w:r>
                    <w:rPr>
                      <w:color w:val="auto"/>
                      <w:highlight w:val="none"/>
                    </w:rPr>
                    <w:t>事故现场：规定应急状态终止秩序：事故现场善后处理，恢复生产措施；</w:t>
                  </w:r>
                </w:p>
                <w:p w14:paraId="78C2C252">
                  <w:pPr>
                    <w:pStyle w:val="94"/>
                    <w:bidi w:val="0"/>
                    <w:jc w:val="both"/>
                    <w:rPr>
                      <w:color w:val="auto"/>
                      <w:highlight w:val="none"/>
                    </w:rPr>
                  </w:pPr>
                  <w:r>
                    <w:rPr>
                      <w:color w:val="auto"/>
                      <w:highlight w:val="none"/>
                    </w:rPr>
                    <w:t>临近地区：解除事故警戒、公众返回和善后恢复措施。</w:t>
                  </w:r>
                </w:p>
              </w:tc>
            </w:tr>
            <w:tr w14:paraId="077F6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36" w:type="dxa"/>
                  <w:tcBorders>
                    <w:tl2br w:val="nil"/>
                    <w:tr2bl w:val="nil"/>
                  </w:tcBorders>
                  <w:shd w:val="clear" w:color="auto" w:fill="auto"/>
                  <w:vAlign w:val="center"/>
                </w:tcPr>
                <w:p w14:paraId="4CB28964">
                  <w:pPr>
                    <w:pStyle w:val="94"/>
                    <w:bidi w:val="0"/>
                    <w:rPr>
                      <w:color w:val="auto"/>
                      <w:highlight w:val="none"/>
                    </w:rPr>
                  </w:pPr>
                  <w:r>
                    <w:rPr>
                      <w:color w:val="auto"/>
                      <w:highlight w:val="none"/>
                    </w:rPr>
                    <w:t>12</w:t>
                  </w:r>
                </w:p>
              </w:tc>
              <w:tc>
                <w:tcPr>
                  <w:tcW w:w="1586" w:type="dxa"/>
                  <w:tcBorders>
                    <w:tl2br w:val="nil"/>
                    <w:tr2bl w:val="nil"/>
                  </w:tcBorders>
                  <w:shd w:val="clear" w:color="auto" w:fill="auto"/>
                  <w:vAlign w:val="center"/>
                </w:tcPr>
                <w:p w14:paraId="2F11416E">
                  <w:pPr>
                    <w:pStyle w:val="94"/>
                    <w:bidi w:val="0"/>
                    <w:rPr>
                      <w:color w:val="auto"/>
                      <w:highlight w:val="none"/>
                    </w:rPr>
                  </w:pPr>
                  <w:r>
                    <w:rPr>
                      <w:color w:val="auto"/>
                      <w:highlight w:val="none"/>
                    </w:rPr>
                    <w:t>人员培训与演习</w:t>
                  </w:r>
                </w:p>
              </w:tc>
              <w:tc>
                <w:tcPr>
                  <w:tcW w:w="6777" w:type="dxa"/>
                  <w:tcBorders>
                    <w:tl2br w:val="nil"/>
                    <w:tr2bl w:val="nil"/>
                  </w:tcBorders>
                  <w:shd w:val="clear" w:color="auto" w:fill="auto"/>
                  <w:vAlign w:val="center"/>
                </w:tcPr>
                <w:p w14:paraId="037D70DD">
                  <w:pPr>
                    <w:pStyle w:val="94"/>
                    <w:bidi w:val="0"/>
                    <w:jc w:val="both"/>
                    <w:rPr>
                      <w:color w:val="auto"/>
                      <w:highlight w:val="none"/>
                    </w:rPr>
                  </w:pPr>
                  <w:r>
                    <w:rPr>
                      <w:color w:val="auto"/>
                      <w:highlight w:val="none"/>
                    </w:rPr>
                    <w:t>应急计划制定后，平时安排事故处理人员进行相关知识培训，进行事故应急处理演习；对工厂工人进行安全卫生教育</w:t>
                  </w:r>
                </w:p>
              </w:tc>
            </w:tr>
            <w:tr w14:paraId="18077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36" w:type="dxa"/>
                  <w:tcBorders>
                    <w:tl2br w:val="nil"/>
                    <w:tr2bl w:val="nil"/>
                  </w:tcBorders>
                  <w:shd w:val="clear" w:color="auto" w:fill="auto"/>
                  <w:vAlign w:val="center"/>
                </w:tcPr>
                <w:p w14:paraId="7A46E8A8">
                  <w:pPr>
                    <w:pStyle w:val="94"/>
                    <w:bidi w:val="0"/>
                    <w:rPr>
                      <w:color w:val="auto"/>
                      <w:highlight w:val="none"/>
                    </w:rPr>
                  </w:pPr>
                  <w:r>
                    <w:rPr>
                      <w:color w:val="auto"/>
                      <w:highlight w:val="none"/>
                    </w:rPr>
                    <w:t>13</w:t>
                  </w:r>
                </w:p>
              </w:tc>
              <w:tc>
                <w:tcPr>
                  <w:tcW w:w="1586" w:type="dxa"/>
                  <w:tcBorders>
                    <w:tl2br w:val="nil"/>
                    <w:tr2bl w:val="nil"/>
                  </w:tcBorders>
                  <w:shd w:val="clear" w:color="auto" w:fill="auto"/>
                  <w:vAlign w:val="center"/>
                </w:tcPr>
                <w:p w14:paraId="3EBE6DDB">
                  <w:pPr>
                    <w:pStyle w:val="94"/>
                    <w:bidi w:val="0"/>
                    <w:rPr>
                      <w:color w:val="auto"/>
                      <w:highlight w:val="none"/>
                    </w:rPr>
                  </w:pPr>
                  <w:r>
                    <w:rPr>
                      <w:color w:val="auto"/>
                      <w:highlight w:val="none"/>
                    </w:rPr>
                    <w:t>公众教育信息发布</w:t>
                  </w:r>
                </w:p>
              </w:tc>
              <w:tc>
                <w:tcPr>
                  <w:tcW w:w="6777" w:type="dxa"/>
                  <w:tcBorders>
                    <w:tl2br w:val="nil"/>
                    <w:tr2bl w:val="nil"/>
                  </w:tcBorders>
                  <w:shd w:val="clear" w:color="auto" w:fill="auto"/>
                  <w:vAlign w:val="center"/>
                </w:tcPr>
                <w:p w14:paraId="21557C69">
                  <w:pPr>
                    <w:pStyle w:val="94"/>
                    <w:bidi w:val="0"/>
                    <w:jc w:val="both"/>
                    <w:rPr>
                      <w:color w:val="auto"/>
                      <w:highlight w:val="none"/>
                    </w:rPr>
                  </w:pPr>
                  <w:r>
                    <w:rPr>
                      <w:color w:val="auto"/>
                      <w:highlight w:val="none"/>
                    </w:rPr>
                    <w:t>对工厂临近地区公众开展环境风险事故预防教育、应急知识培训并定期发布相关信息。</w:t>
                  </w:r>
                </w:p>
              </w:tc>
            </w:tr>
            <w:tr w14:paraId="60CFF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36" w:type="dxa"/>
                  <w:tcBorders>
                    <w:tl2br w:val="nil"/>
                    <w:tr2bl w:val="nil"/>
                  </w:tcBorders>
                  <w:shd w:val="clear" w:color="auto" w:fill="auto"/>
                  <w:vAlign w:val="center"/>
                </w:tcPr>
                <w:p w14:paraId="22486E27">
                  <w:pPr>
                    <w:pStyle w:val="94"/>
                    <w:bidi w:val="0"/>
                    <w:rPr>
                      <w:color w:val="auto"/>
                      <w:highlight w:val="none"/>
                    </w:rPr>
                  </w:pPr>
                  <w:r>
                    <w:rPr>
                      <w:color w:val="auto"/>
                      <w:highlight w:val="none"/>
                    </w:rPr>
                    <w:t>14</w:t>
                  </w:r>
                </w:p>
              </w:tc>
              <w:tc>
                <w:tcPr>
                  <w:tcW w:w="1586" w:type="dxa"/>
                  <w:tcBorders>
                    <w:tl2br w:val="nil"/>
                    <w:tr2bl w:val="nil"/>
                  </w:tcBorders>
                  <w:shd w:val="clear" w:color="auto" w:fill="auto"/>
                  <w:vAlign w:val="center"/>
                </w:tcPr>
                <w:p w14:paraId="30CEF356">
                  <w:pPr>
                    <w:pStyle w:val="94"/>
                    <w:bidi w:val="0"/>
                    <w:rPr>
                      <w:color w:val="auto"/>
                      <w:highlight w:val="none"/>
                    </w:rPr>
                  </w:pPr>
                  <w:r>
                    <w:rPr>
                      <w:color w:val="auto"/>
                      <w:highlight w:val="none"/>
                    </w:rPr>
                    <w:t>记录和报告</w:t>
                  </w:r>
                </w:p>
              </w:tc>
              <w:tc>
                <w:tcPr>
                  <w:tcW w:w="6777" w:type="dxa"/>
                  <w:tcBorders>
                    <w:tl2br w:val="nil"/>
                    <w:tr2bl w:val="nil"/>
                  </w:tcBorders>
                  <w:shd w:val="clear" w:color="auto" w:fill="auto"/>
                  <w:vAlign w:val="center"/>
                </w:tcPr>
                <w:p w14:paraId="2F9383AF">
                  <w:pPr>
                    <w:pStyle w:val="94"/>
                    <w:bidi w:val="0"/>
                    <w:jc w:val="both"/>
                    <w:rPr>
                      <w:color w:val="auto"/>
                      <w:highlight w:val="none"/>
                    </w:rPr>
                  </w:pPr>
                  <w:r>
                    <w:rPr>
                      <w:color w:val="auto"/>
                      <w:highlight w:val="none"/>
                    </w:rPr>
                    <w:t>设应急事故专门记录，建立档案和制度，设专门部门负责管理。</w:t>
                  </w:r>
                </w:p>
              </w:tc>
            </w:tr>
            <w:tr w14:paraId="6B788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6" w:type="dxa"/>
                  <w:tcBorders>
                    <w:tl2br w:val="nil"/>
                    <w:tr2bl w:val="nil"/>
                  </w:tcBorders>
                  <w:shd w:val="clear" w:color="auto" w:fill="auto"/>
                  <w:vAlign w:val="center"/>
                </w:tcPr>
                <w:p w14:paraId="28ADBC48">
                  <w:pPr>
                    <w:pStyle w:val="94"/>
                    <w:bidi w:val="0"/>
                    <w:rPr>
                      <w:color w:val="auto"/>
                      <w:highlight w:val="none"/>
                    </w:rPr>
                  </w:pPr>
                  <w:r>
                    <w:rPr>
                      <w:color w:val="auto"/>
                      <w:highlight w:val="none"/>
                    </w:rPr>
                    <w:t>15</w:t>
                  </w:r>
                </w:p>
              </w:tc>
              <w:tc>
                <w:tcPr>
                  <w:tcW w:w="1586" w:type="dxa"/>
                  <w:tcBorders>
                    <w:tl2br w:val="nil"/>
                    <w:tr2bl w:val="nil"/>
                  </w:tcBorders>
                  <w:shd w:val="clear" w:color="auto" w:fill="auto"/>
                  <w:vAlign w:val="center"/>
                </w:tcPr>
                <w:p w14:paraId="75518B2C">
                  <w:pPr>
                    <w:pStyle w:val="94"/>
                    <w:bidi w:val="0"/>
                    <w:rPr>
                      <w:color w:val="auto"/>
                      <w:highlight w:val="none"/>
                    </w:rPr>
                  </w:pPr>
                  <w:r>
                    <w:rPr>
                      <w:color w:val="auto"/>
                      <w:highlight w:val="none"/>
                    </w:rPr>
                    <w:t>附件</w:t>
                  </w:r>
                </w:p>
              </w:tc>
              <w:tc>
                <w:tcPr>
                  <w:tcW w:w="6777" w:type="dxa"/>
                  <w:tcBorders>
                    <w:tl2br w:val="nil"/>
                    <w:tr2bl w:val="nil"/>
                  </w:tcBorders>
                  <w:shd w:val="clear" w:color="auto" w:fill="auto"/>
                  <w:vAlign w:val="center"/>
                </w:tcPr>
                <w:p w14:paraId="4AA8D2CC">
                  <w:pPr>
                    <w:pStyle w:val="94"/>
                    <w:bidi w:val="0"/>
                    <w:jc w:val="both"/>
                    <w:rPr>
                      <w:color w:val="auto"/>
                      <w:highlight w:val="none"/>
                    </w:rPr>
                  </w:pPr>
                  <w:r>
                    <w:rPr>
                      <w:color w:val="auto"/>
                      <w:highlight w:val="none"/>
                    </w:rPr>
                    <w:t>准备并形成环境风险事故应急处理有关的附件材料。</w:t>
                  </w:r>
                </w:p>
              </w:tc>
            </w:tr>
          </w:tbl>
          <w:p w14:paraId="2E763CD0">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default"/>
                <w:color w:val="auto"/>
                <w:highlight w:val="none"/>
                <w:lang w:val="en-US" w:eastAsia="zh-CN"/>
              </w:rPr>
            </w:pPr>
            <w:r>
              <w:rPr>
                <w:rFonts w:hint="default"/>
                <w:color w:val="auto"/>
                <w:highlight w:val="none"/>
                <w:lang w:val="en-US" w:eastAsia="zh-CN"/>
              </w:rPr>
              <w:t>对可能发生的事故，应制订应急计划，使各部门在事故发生后能有步骤、有秩序地采取各项应急措施。</w:t>
            </w:r>
          </w:p>
          <w:p w14:paraId="749CFB2F">
            <w:pPr>
              <w:bidi w:val="0"/>
              <w:rPr>
                <w:rFonts w:hint="default"/>
                <w:color w:val="auto"/>
                <w:highlight w:val="none"/>
                <w:lang w:val="en-US" w:eastAsia="zh-CN"/>
              </w:rPr>
            </w:pPr>
            <w:r>
              <w:rPr>
                <w:rFonts w:hint="default"/>
                <w:color w:val="auto"/>
                <w:highlight w:val="none"/>
                <w:lang w:val="en-US" w:eastAsia="zh-CN"/>
              </w:rPr>
              <w:t>（1）事故发生后，应根据具体情况采取应急措施，切断泄漏源、火源，控制事故扩大，同时通知中央控制室，根据事故类型、大小启动相应的应急预案</w:t>
            </w:r>
            <w:r>
              <w:rPr>
                <w:rFonts w:hint="eastAsia"/>
                <w:color w:val="auto"/>
                <w:highlight w:val="none"/>
                <w:lang w:val="en-US" w:eastAsia="zh-CN"/>
              </w:rPr>
              <w:t>。</w:t>
            </w:r>
          </w:p>
          <w:p w14:paraId="154F18AC">
            <w:pPr>
              <w:bidi w:val="0"/>
              <w:rPr>
                <w:rFonts w:hint="default"/>
                <w:color w:val="auto"/>
                <w:highlight w:val="none"/>
                <w:lang w:val="en-US" w:eastAsia="zh-CN"/>
              </w:rPr>
            </w:pPr>
            <w:r>
              <w:rPr>
                <w:rFonts w:hint="default"/>
                <w:color w:val="auto"/>
                <w:highlight w:val="none"/>
                <w:lang w:val="en-US" w:eastAsia="zh-CN"/>
              </w:rPr>
              <w:t>（2）发生重大事故，应立即上报相关部门，启动社会救援系统，就近地区调拨到专业救援队伍协助处理</w:t>
            </w:r>
            <w:r>
              <w:rPr>
                <w:rFonts w:hint="eastAsia"/>
                <w:color w:val="auto"/>
                <w:highlight w:val="none"/>
                <w:lang w:val="en-US" w:eastAsia="zh-CN"/>
              </w:rPr>
              <w:t>。</w:t>
            </w:r>
          </w:p>
          <w:p w14:paraId="4728D22C">
            <w:pPr>
              <w:bidi w:val="0"/>
              <w:rPr>
                <w:rFonts w:hint="default"/>
                <w:color w:val="auto"/>
                <w:highlight w:val="none"/>
                <w:lang w:val="en-US" w:eastAsia="zh-CN"/>
              </w:rPr>
            </w:pPr>
            <w:r>
              <w:rPr>
                <w:rFonts w:hint="default"/>
                <w:color w:val="auto"/>
                <w:highlight w:val="none"/>
                <w:lang w:val="en-US" w:eastAsia="zh-CN"/>
              </w:rPr>
              <w:t>（3）事故发生后应立即通知当地环境保护局、自来水公司等市政部门，协同事故救援与监控。</w:t>
            </w:r>
          </w:p>
          <w:p w14:paraId="3BD1CAFC">
            <w:pPr>
              <w:bidi w:val="0"/>
              <w:rPr>
                <w:rFonts w:hint="default"/>
                <w:color w:val="auto"/>
                <w:highlight w:val="none"/>
                <w:lang w:val="en-US" w:eastAsia="zh-CN"/>
              </w:rPr>
            </w:pPr>
            <w:r>
              <w:rPr>
                <w:rFonts w:hint="default"/>
                <w:color w:val="auto"/>
                <w:highlight w:val="none"/>
                <w:lang w:val="en-US" w:eastAsia="zh-CN"/>
              </w:rPr>
              <w:t>（4）除有专业消防队外，公司还应组织义务消防队，并定期组织消防训练，使每名员工都会正确使用消防器材。</w:t>
            </w:r>
          </w:p>
          <w:p w14:paraId="713FDD59">
            <w:pPr>
              <w:bidi w:val="0"/>
              <w:rPr>
                <w:rFonts w:hint="default"/>
                <w:color w:val="auto"/>
                <w:highlight w:val="none"/>
                <w:lang w:val="en-US" w:eastAsia="zh-CN"/>
              </w:rPr>
            </w:pPr>
            <w:r>
              <w:rPr>
                <w:rFonts w:hint="default"/>
                <w:color w:val="auto"/>
                <w:highlight w:val="none"/>
                <w:lang w:val="en-US" w:eastAsia="zh-CN"/>
              </w:rPr>
              <w:t>（5）当发生事故时，公司保卫部门应立即组织人员维持好事故现场周围的秩序，公司各部门要负责本部门周围的秩序，严禁无关人员进入事故现场，保证消防人员补救工作顺利进行。</w:t>
            </w:r>
          </w:p>
          <w:p w14:paraId="6ED67387">
            <w:pPr>
              <w:bidi w:val="0"/>
              <w:rPr>
                <w:rFonts w:hint="default"/>
                <w:color w:val="auto"/>
                <w:highlight w:val="none"/>
                <w:lang w:val="en-US" w:eastAsia="zh-CN"/>
              </w:rPr>
            </w:pPr>
            <w:r>
              <w:rPr>
                <w:rFonts w:hint="default"/>
                <w:color w:val="auto"/>
                <w:highlight w:val="none"/>
                <w:lang w:val="en-US" w:eastAsia="zh-CN"/>
              </w:rPr>
              <w:t>（6）在发生爆炸、火灾事故十分钟内，公司保卫部门应立即封锁全厂所有大门，除消防车、救护车、汽车运送消防器材外，无关人员一律禁止入公司，同时增加公司内外巡回和保卫检查工作。</w:t>
            </w:r>
          </w:p>
          <w:p w14:paraId="1A4F6E9A">
            <w:pPr>
              <w:bidi w:val="0"/>
              <w:rPr>
                <w:rFonts w:hint="default"/>
                <w:color w:val="auto"/>
                <w:highlight w:val="none"/>
                <w:lang w:val="en-US" w:eastAsia="zh-CN"/>
              </w:rPr>
            </w:pPr>
            <w:r>
              <w:rPr>
                <w:rFonts w:hint="default"/>
                <w:color w:val="auto"/>
                <w:highlight w:val="none"/>
                <w:lang w:val="en-US" w:eastAsia="zh-CN"/>
              </w:rPr>
              <w:t>（7）在事故发生期间，全公司职工必须坚守岗位，按照命令执行各项工作。</w:t>
            </w:r>
          </w:p>
          <w:p w14:paraId="1CF1DD8D">
            <w:pPr>
              <w:bidi w:val="0"/>
              <w:rPr>
                <w:rFonts w:hint="default"/>
                <w:color w:val="auto"/>
                <w:highlight w:val="none"/>
                <w:lang w:val="en-US" w:eastAsia="zh-CN"/>
              </w:rPr>
            </w:pPr>
            <w:r>
              <w:rPr>
                <w:rFonts w:hint="eastAsia"/>
                <w:b/>
                <w:bCs/>
                <w:color w:val="auto"/>
                <w:highlight w:val="none"/>
                <w:lang w:val="en-US" w:eastAsia="zh-CN"/>
              </w:rPr>
              <w:t>⑥</w:t>
            </w:r>
            <w:r>
              <w:rPr>
                <w:rFonts w:hint="eastAsia" w:ascii="宋体" w:cs="宋体"/>
                <w:b/>
                <w:color w:val="auto"/>
                <w:kern w:val="0"/>
                <w:sz w:val="24"/>
                <w:highlight w:val="none"/>
              </w:rPr>
              <w:t>环境风险评价结论</w:t>
            </w:r>
          </w:p>
          <w:p w14:paraId="5B0DA3D4">
            <w:pPr>
              <w:bidi w:val="0"/>
              <w:rPr>
                <w:rFonts w:hint="default"/>
                <w:color w:val="auto"/>
                <w:highlight w:val="none"/>
                <w:lang w:val="en-US" w:eastAsia="zh-CN"/>
              </w:rPr>
            </w:pPr>
            <w:r>
              <w:rPr>
                <w:rFonts w:hint="default"/>
                <w:color w:val="auto"/>
                <w:highlight w:val="none"/>
                <w:lang w:val="en-US" w:eastAsia="zh-CN"/>
              </w:rPr>
              <w:t>项目营运过程中严格执行“三同时”制度，落实本报告提出的各项措施、建立和落实各项风险预警防范措施、环境风险削减措施和事故应急计划，杜绝重大安全事故和重大环境污染事故的发生，可使项目建成后风险水平处于可接受程度。因此，本项目的环境风险是可以接受的。</w:t>
            </w:r>
          </w:p>
          <w:p w14:paraId="357A5814">
            <w:pPr>
              <w:pStyle w:val="14"/>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27</w:t>
            </w:r>
            <w:r>
              <w:rPr>
                <w:color w:val="auto"/>
                <w:highlight w:val="none"/>
              </w:rPr>
              <w:fldChar w:fldCharType="end"/>
            </w:r>
            <w:r>
              <w:rPr>
                <w:rFonts w:hint="eastAsia"/>
                <w:color w:val="auto"/>
                <w:highlight w:val="none"/>
                <w:lang w:val="en-US" w:eastAsia="zh-CN"/>
              </w:rPr>
              <w:t xml:space="preserve">  建设项目环境风险简单分析内容表</w:t>
            </w:r>
          </w:p>
          <w:tbl>
            <w:tblPr>
              <w:tblStyle w:val="28"/>
              <w:tblW w:w="90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1970"/>
              <w:gridCol w:w="1839"/>
              <w:gridCol w:w="1485"/>
              <w:gridCol w:w="2223"/>
            </w:tblGrid>
            <w:tr w14:paraId="4C9EC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562" w:type="dxa"/>
                  <w:tcBorders>
                    <w:tl2br w:val="nil"/>
                    <w:tr2bl w:val="nil"/>
                  </w:tcBorders>
                  <w:vAlign w:val="center"/>
                </w:tcPr>
                <w:p w14:paraId="32383E21">
                  <w:pPr>
                    <w:pStyle w:val="94"/>
                    <w:bidi w:val="0"/>
                    <w:rPr>
                      <w:b/>
                      <w:bCs w:val="0"/>
                      <w:color w:val="auto"/>
                      <w:highlight w:val="none"/>
                    </w:rPr>
                  </w:pPr>
                  <w:r>
                    <w:rPr>
                      <w:b/>
                      <w:bCs w:val="0"/>
                      <w:color w:val="auto"/>
                      <w:highlight w:val="none"/>
                    </w:rPr>
                    <w:t>建设项目名称</w:t>
                  </w:r>
                </w:p>
              </w:tc>
              <w:tc>
                <w:tcPr>
                  <w:tcW w:w="7517" w:type="dxa"/>
                  <w:gridSpan w:val="4"/>
                  <w:tcBorders>
                    <w:tl2br w:val="nil"/>
                    <w:tr2bl w:val="nil"/>
                  </w:tcBorders>
                  <w:vAlign w:val="center"/>
                </w:tcPr>
                <w:p w14:paraId="08ED50FF">
                  <w:pPr>
                    <w:pStyle w:val="94"/>
                    <w:bidi w:val="0"/>
                    <w:rPr>
                      <w:rFonts w:hint="eastAsia" w:eastAsia="宋体"/>
                      <w:color w:val="auto"/>
                      <w:highlight w:val="none"/>
                      <w:lang w:eastAsia="zh-CN"/>
                    </w:rPr>
                  </w:pPr>
                  <w:r>
                    <w:rPr>
                      <w:rFonts w:hint="eastAsia"/>
                      <w:color w:val="auto"/>
                      <w:highlight w:val="none"/>
                      <w:lang w:eastAsia="zh-CN"/>
                    </w:rPr>
                    <w:t>遂宁市安居区果蔬和冻干副食品建设项目</w:t>
                  </w:r>
                </w:p>
              </w:tc>
            </w:tr>
            <w:tr w14:paraId="3D15F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562" w:type="dxa"/>
                  <w:tcBorders>
                    <w:tl2br w:val="nil"/>
                    <w:tr2bl w:val="nil"/>
                  </w:tcBorders>
                  <w:vAlign w:val="center"/>
                </w:tcPr>
                <w:p w14:paraId="296593CF">
                  <w:pPr>
                    <w:pStyle w:val="94"/>
                    <w:bidi w:val="0"/>
                    <w:rPr>
                      <w:b/>
                      <w:bCs w:val="0"/>
                      <w:color w:val="auto"/>
                      <w:highlight w:val="none"/>
                    </w:rPr>
                  </w:pPr>
                  <w:r>
                    <w:rPr>
                      <w:b/>
                      <w:bCs w:val="0"/>
                      <w:color w:val="auto"/>
                      <w:highlight w:val="none"/>
                    </w:rPr>
                    <w:t>建设地点</w:t>
                  </w:r>
                </w:p>
              </w:tc>
              <w:tc>
                <w:tcPr>
                  <w:tcW w:w="7517" w:type="dxa"/>
                  <w:gridSpan w:val="4"/>
                  <w:tcBorders>
                    <w:tl2br w:val="nil"/>
                    <w:tr2bl w:val="nil"/>
                  </w:tcBorders>
                  <w:vAlign w:val="center"/>
                </w:tcPr>
                <w:p w14:paraId="350DAA26">
                  <w:pPr>
                    <w:pStyle w:val="94"/>
                    <w:bidi w:val="0"/>
                    <w:rPr>
                      <w:rFonts w:hint="eastAsia" w:eastAsia="宋体"/>
                      <w:color w:val="auto"/>
                      <w:highlight w:val="none"/>
                      <w:lang w:eastAsia="zh-CN"/>
                    </w:rPr>
                  </w:pPr>
                  <w:r>
                    <w:rPr>
                      <w:rFonts w:hint="eastAsia"/>
                      <w:color w:val="auto"/>
                      <w:highlight w:val="none"/>
                      <w:lang w:eastAsia="zh-CN"/>
                    </w:rPr>
                    <w:t>四川省遂宁市安居区省级经济开发区现代装备制造产业园区 4-5</w:t>
                  </w:r>
                </w:p>
              </w:tc>
            </w:tr>
            <w:tr w14:paraId="3FFA9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562" w:type="dxa"/>
                  <w:tcBorders>
                    <w:tl2br w:val="nil"/>
                    <w:tr2bl w:val="nil"/>
                  </w:tcBorders>
                  <w:vAlign w:val="center"/>
                </w:tcPr>
                <w:p w14:paraId="3294F567">
                  <w:pPr>
                    <w:pStyle w:val="94"/>
                    <w:bidi w:val="0"/>
                    <w:rPr>
                      <w:b/>
                      <w:bCs w:val="0"/>
                      <w:color w:val="auto"/>
                      <w:highlight w:val="none"/>
                    </w:rPr>
                  </w:pPr>
                  <w:r>
                    <w:rPr>
                      <w:b/>
                      <w:bCs w:val="0"/>
                      <w:color w:val="auto"/>
                      <w:highlight w:val="none"/>
                    </w:rPr>
                    <w:t>地理坐标</w:t>
                  </w:r>
                </w:p>
              </w:tc>
              <w:tc>
                <w:tcPr>
                  <w:tcW w:w="1970" w:type="dxa"/>
                  <w:tcBorders>
                    <w:tl2br w:val="nil"/>
                    <w:tr2bl w:val="nil"/>
                  </w:tcBorders>
                  <w:vAlign w:val="center"/>
                </w:tcPr>
                <w:p w14:paraId="0AB627D5">
                  <w:pPr>
                    <w:pStyle w:val="94"/>
                    <w:bidi w:val="0"/>
                    <w:rPr>
                      <w:color w:val="auto"/>
                      <w:highlight w:val="none"/>
                    </w:rPr>
                  </w:pPr>
                  <w:r>
                    <w:rPr>
                      <w:color w:val="auto"/>
                      <w:highlight w:val="none"/>
                    </w:rPr>
                    <w:t>经度</w:t>
                  </w:r>
                </w:p>
              </w:tc>
              <w:tc>
                <w:tcPr>
                  <w:tcW w:w="1839" w:type="dxa"/>
                  <w:tcBorders>
                    <w:tl2br w:val="nil"/>
                    <w:tr2bl w:val="nil"/>
                  </w:tcBorders>
                  <w:vAlign w:val="center"/>
                </w:tcPr>
                <w:p w14:paraId="1C73EFB1">
                  <w:pPr>
                    <w:pStyle w:val="94"/>
                    <w:bidi w:val="0"/>
                    <w:rPr>
                      <w:color w:val="auto"/>
                      <w:highlight w:val="none"/>
                    </w:rPr>
                  </w:pPr>
                  <w:r>
                    <w:rPr>
                      <w:color w:val="auto"/>
                      <w:highlight w:val="none"/>
                    </w:rPr>
                    <w:t>10</w:t>
                  </w:r>
                  <w:r>
                    <w:rPr>
                      <w:rFonts w:hint="eastAsia"/>
                      <w:color w:val="auto"/>
                      <w:highlight w:val="none"/>
                      <w:lang w:val="en-US" w:eastAsia="zh-CN"/>
                    </w:rPr>
                    <w:t>4</w:t>
                  </w:r>
                  <w:r>
                    <w:rPr>
                      <w:color w:val="auto"/>
                      <w:highlight w:val="none"/>
                    </w:rPr>
                    <w:t>°</w:t>
                  </w:r>
                  <w:r>
                    <w:rPr>
                      <w:rFonts w:hint="eastAsia"/>
                      <w:color w:val="auto"/>
                      <w:highlight w:val="none"/>
                      <w:lang w:val="en-US" w:eastAsia="zh-CN"/>
                    </w:rPr>
                    <w:t>34</w:t>
                  </w:r>
                  <w:r>
                    <w:rPr>
                      <w:color w:val="auto"/>
                      <w:highlight w:val="none"/>
                    </w:rPr>
                    <w:t>′</w:t>
                  </w:r>
                  <w:r>
                    <w:rPr>
                      <w:rFonts w:hint="eastAsia"/>
                      <w:color w:val="auto"/>
                      <w:highlight w:val="none"/>
                      <w:lang w:val="en-US" w:eastAsia="zh-CN"/>
                    </w:rPr>
                    <w:t>2.366</w:t>
                  </w:r>
                  <w:r>
                    <w:rPr>
                      <w:color w:val="auto"/>
                      <w:highlight w:val="none"/>
                    </w:rPr>
                    <w:t>″</w:t>
                  </w:r>
                </w:p>
              </w:tc>
              <w:tc>
                <w:tcPr>
                  <w:tcW w:w="1485" w:type="dxa"/>
                  <w:tcBorders>
                    <w:tl2br w:val="nil"/>
                    <w:tr2bl w:val="nil"/>
                  </w:tcBorders>
                  <w:vAlign w:val="center"/>
                </w:tcPr>
                <w:p w14:paraId="6D51ABC4">
                  <w:pPr>
                    <w:pStyle w:val="94"/>
                    <w:bidi w:val="0"/>
                    <w:rPr>
                      <w:color w:val="auto"/>
                      <w:highlight w:val="none"/>
                    </w:rPr>
                  </w:pPr>
                  <w:r>
                    <w:rPr>
                      <w:color w:val="auto"/>
                      <w:highlight w:val="none"/>
                    </w:rPr>
                    <w:t>纬度</w:t>
                  </w:r>
                </w:p>
              </w:tc>
              <w:tc>
                <w:tcPr>
                  <w:tcW w:w="2223" w:type="dxa"/>
                  <w:tcBorders>
                    <w:tl2br w:val="nil"/>
                    <w:tr2bl w:val="nil"/>
                  </w:tcBorders>
                  <w:vAlign w:val="center"/>
                </w:tcPr>
                <w:p w14:paraId="39E19CE9">
                  <w:pPr>
                    <w:pStyle w:val="94"/>
                    <w:bidi w:val="0"/>
                    <w:rPr>
                      <w:color w:val="auto"/>
                      <w:highlight w:val="none"/>
                    </w:rPr>
                  </w:pPr>
                  <w:r>
                    <w:rPr>
                      <w:rFonts w:hint="eastAsia"/>
                      <w:color w:val="auto"/>
                      <w:highlight w:val="none"/>
                      <w:lang w:val="en-US" w:eastAsia="zh-CN"/>
                    </w:rPr>
                    <w:t>30</w:t>
                  </w:r>
                  <w:r>
                    <w:rPr>
                      <w:color w:val="auto"/>
                      <w:highlight w:val="none"/>
                    </w:rPr>
                    <w:t>°</w:t>
                  </w:r>
                  <w:r>
                    <w:rPr>
                      <w:rFonts w:hint="eastAsia"/>
                      <w:color w:val="auto"/>
                      <w:highlight w:val="none"/>
                      <w:lang w:val="en-US" w:eastAsia="zh-CN"/>
                    </w:rPr>
                    <w:t>21</w:t>
                  </w:r>
                  <w:r>
                    <w:rPr>
                      <w:color w:val="auto"/>
                      <w:highlight w:val="none"/>
                    </w:rPr>
                    <w:t>′</w:t>
                  </w:r>
                  <w:r>
                    <w:rPr>
                      <w:rFonts w:hint="eastAsia"/>
                      <w:color w:val="auto"/>
                      <w:highlight w:val="none"/>
                      <w:lang w:val="en-US" w:eastAsia="zh-CN"/>
                    </w:rPr>
                    <w:t>4.100</w:t>
                  </w:r>
                  <w:r>
                    <w:rPr>
                      <w:color w:val="auto"/>
                      <w:highlight w:val="none"/>
                    </w:rPr>
                    <w:t>″</w:t>
                  </w:r>
                </w:p>
              </w:tc>
            </w:tr>
            <w:tr w14:paraId="1CA5D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2" w:type="dxa"/>
                  <w:tcBorders>
                    <w:tl2br w:val="nil"/>
                    <w:tr2bl w:val="nil"/>
                  </w:tcBorders>
                  <w:vAlign w:val="center"/>
                </w:tcPr>
                <w:p w14:paraId="2EB7F22E">
                  <w:pPr>
                    <w:pStyle w:val="94"/>
                    <w:bidi w:val="0"/>
                    <w:rPr>
                      <w:b/>
                      <w:bCs w:val="0"/>
                      <w:color w:val="auto"/>
                      <w:highlight w:val="none"/>
                    </w:rPr>
                  </w:pPr>
                  <w:r>
                    <w:rPr>
                      <w:b/>
                      <w:bCs w:val="0"/>
                      <w:color w:val="auto"/>
                      <w:highlight w:val="none"/>
                    </w:rPr>
                    <w:t>主要危险物质及分布</w:t>
                  </w:r>
                </w:p>
              </w:tc>
              <w:tc>
                <w:tcPr>
                  <w:tcW w:w="7517" w:type="dxa"/>
                  <w:gridSpan w:val="4"/>
                  <w:tcBorders>
                    <w:tl2br w:val="nil"/>
                    <w:tr2bl w:val="nil"/>
                  </w:tcBorders>
                  <w:vAlign w:val="center"/>
                </w:tcPr>
                <w:p w14:paraId="49F28A4F">
                  <w:pPr>
                    <w:pStyle w:val="94"/>
                    <w:bidi w:val="0"/>
                    <w:jc w:val="both"/>
                    <w:rPr>
                      <w:color w:val="auto"/>
                      <w:highlight w:val="none"/>
                    </w:rPr>
                  </w:pPr>
                  <w:r>
                    <w:rPr>
                      <w:rFonts w:hint="eastAsia"/>
                      <w:color w:val="auto"/>
                      <w:highlight w:val="none"/>
                    </w:rPr>
                    <w:t>根据《建设项目环境风险评价技术导则》（HJ169-2018）附录B，本项目涉及的风险物质主要为</w:t>
                  </w:r>
                  <w:r>
                    <w:rPr>
                      <w:rFonts w:hint="eastAsia"/>
                      <w:color w:val="auto"/>
                      <w:highlight w:val="none"/>
                      <w:lang w:val="en-US" w:eastAsia="zh-CN"/>
                    </w:rPr>
                    <w:t>危险废物等，</w:t>
                  </w:r>
                  <w:r>
                    <w:rPr>
                      <w:rFonts w:hint="eastAsia"/>
                      <w:color w:val="auto"/>
                      <w:highlight w:val="none"/>
                    </w:rPr>
                    <w:t>远低于临界标准，主要分布在</w:t>
                  </w:r>
                  <w:r>
                    <w:rPr>
                      <w:rFonts w:hint="eastAsia"/>
                      <w:color w:val="auto"/>
                      <w:highlight w:val="none"/>
                      <w:lang w:val="en-US" w:eastAsia="zh-CN"/>
                    </w:rPr>
                    <w:t>危废暂存间</w:t>
                  </w:r>
                  <w:r>
                    <w:rPr>
                      <w:rFonts w:hint="eastAsia"/>
                      <w:color w:val="auto"/>
                      <w:highlight w:val="none"/>
                    </w:rPr>
                    <w:t>。</w:t>
                  </w:r>
                </w:p>
              </w:tc>
            </w:tr>
            <w:tr w14:paraId="787DE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2" w:type="dxa"/>
                  <w:tcBorders>
                    <w:tl2br w:val="nil"/>
                    <w:tr2bl w:val="nil"/>
                  </w:tcBorders>
                  <w:vAlign w:val="center"/>
                </w:tcPr>
                <w:p w14:paraId="67BDE364">
                  <w:pPr>
                    <w:pStyle w:val="94"/>
                    <w:bidi w:val="0"/>
                    <w:rPr>
                      <w:b/>
                      <w:bCs w:val="0"/>
                      <w:color w:val="auto"/>
                      <w:highlight w:val="none"/>
                    </w:rPr>
                  </w:pPr>
                  <w:r>
                    <w:rPr>
                      <w:rFonts w:hint="eastAsia"/>
                      <w:b/>
                      <w:bCs w:val="0"/>
                      <w:color w:val="auto"/>
                      <w:highlight w:val="none"/>
                    </w:rPr>
                    <w:t>环境影响途径及危害后果（大气、地表水、地下水等）</w:t>
                  </w:r>
                </w:p>
              </w:tc>
              <w:tc>
                <w:tcPr>
                  <w:tcW w:w="7517" w:type="dxa"/>
                  <w:gridSpan w:val="4"/>
                  <w:tcBorders>
                    <w:tl2br w:val="nil"/>
                    <w:tr2bl w:val="nil"/>
                  </w:tcBorders>
                  <w:vAlign w:val="center"/>
                </w:tcPr>
                <w:p w14:paraId="227981A2">
                  <w:pPr>
                    <w:pStyle w:val="94"/>
                    <w:bidi w:val="0"/>
                    <w:jc w:val="both"/>
                    <w:rPr>
                      <w:rFonts w:hint="eastAsia" w:eastAsia="宋体"/>
                      <w:color w:val="auto"/>
                      <w:highlight w:val="none"/>
                      <w:lang w:eastAsia="zh-CN"/>
                    </w:rPr>
                  </w:pPr>
                  <w:r>
                    <w:rPr>
                      <w:rFonts w:hint="eastAsia"/>
                      <w:color w:val="auto"/>
                      <w:highlight w:val="none"/>
                      <w:lang w:val="en-US" w:eastAsia="zh-CN"/>
                    </w:rPr>
                    <w:t>危险废物</w:t>
                  </w:r>
                  <w:r>
                    <w:rPr>
                      <w:rFonts w:hint="eastAsia"/>
                      <w:color w:val="auto"/>
                      <w:highlight w:val="none"/>
                      <w:lang w:eastAsia="zh-CN"/>
                    </w:rPr>
                    <w:t>、</w:t>
                  </w:r>
                  <w:r>
                    <w:rPr>
                      <w:rFonts w:hint="eastAsia"/>
                      <w:color w:val="auto"/>
                      <w:highlight w:val="none"/>
                      <w:lang w:val="en-US" w:eastAsia="zh-CN"/>
                    </w:rPr>
                    <w:t>机油泄漏污染土壤、地下水；</w:t>
                  </w:r>
                  <w:r>
                    <w:rPr>
                      <w:rFonts w:hint="eastAsia"/>
                      <w:color w:val="auto"/>
                      <w:highlight w:val="none"/>
                    </w:rPr>
                    <w:t>火灾</w:t>
                  </w:r>
                  <w:r>
                    <w:rPr>
                      <w:rFonts w:hint="eastAsia"/>
                      <w:color w:val="auto"/>
                      <w:highlight w:val="none"/>
                      <w:lang w:val="en-US" w:eastAsia="zh-CN"/>
                    </w:rPr>
                    <w:t>次生水环境、大气环境污染事故</w:t>
                  </w:r>
                  <w:r>
                    <w:rPr>
                      <w:rFonts w:hint="eastAsia"/>
                      <w:color w:val="auto"/>
                      <w:highlight w:val="none"/>
                    </w:rPr>
                    <w:t>等污染大气环境、地表水、地下水</w:t>
                  </w:r>
                  <w:r>
                    <w:rPr>
                      <w:rFonts w:hint="eastAsia"/>
                      <w:color w:val="auto"/>
                      <w:highlight w:val="none"/>
                      <w:lang w:eastAsia="zh-CN"/>
                    </w:rPr>
                    <w:t>；</w:t>
                  </w:r>
                  <w:r>
                    <w:rPr>
                      <w:rFonts w:hint="eastAsia"/>
                      <w:color w:val="auto"/>
                      <w:highlight w:val="none"/>
                      <w:lang w:val="en-US" w:eastAsia="zh-CN"/>
                    </w:rPr>
                    <w:t>废气事故排放污染大气环境</w:t>
                  </w:r>
                  <w:r>
                    <w:rPr>
                      <w:rFonts w:hint="eastAsia"/>
                      <w:color w:val="auto"/>
                      <w:highlight w:val="none"/>
                      <w:lang w:eastAsia="zh-CN"/>
                    </w:rPr>
                    <w:t>。</w:t>
                  </w:r>
                </w:p>
              </w:tc>
            </w:tr>
            <w:tr w14:paraId="468DE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1562" w:type="dxa"/>
                  <w:tcBorders>
                    <w:tl2br w:val="nil"/>
                    <w:tr2bl w:val="nil"/>
                  </w:tcBorders>
                  <w:vAlign w:val="center"/>
                </w:tcPr>
                <w:p w14:paraId="4B1D3044">
                  <w:pPr>
                    <w:pStyle w:val="94"/>
                    <w:bidi w:val="0"/>
                    <w:rPr>
                      <w:color w:val="auto"/>
                      <w:highlight w:val="none"/>
                    </w:rPr>
                  </w:pPr>
                  <w:r>
                    <w:rPr>
                      <w:rFonts w:hint="eastAsia"/>
                      <w:b/>
                      <w:bCs w:val="0"/>
                      <w:color w:val="auto"/>
                      <w:highlight w:val="none"/>
                    </w:rPr>
                    <w:t>风险防范措施要求</w:t>
                  </w:r>
                </w:p>
              </w:tc>
              <w:tc>
                <w:tcPr>
                  <w:tcW w:w="7517" w:type="dxa"/>
                  <w:gridSpan w:val="4"/>
                  <w:tcBorders>
                    <w:tl2br w:val="nil"/>
                    <w:tr2bl w:val="nil"/>
                  </w:tcBorders>
                  <w:vAlign w:val="center"/>
                </w:tcPr>
                <w:p w14:paraId="3310D02B">
                  <w:pPr>
                    <w:pStyle w:val="94"/>
                    <w:bidi w:val="0"/>
                    <w:jc w:val="both"/>
                    <w:rPr>
                      <w:color w:val="auto"/>
                      <w:highlight w:val="none"/>
                    </w:rPr>
                  </w:pPr>
                  <w:r>
                    <w:rPr>
                      <w:rFonts w:hint="eastAsia"/>
                      <w:color w:val="auto"/>
                      <w:highlight w:val="none"/>
                    </w:rPr>
                    <w:t>1、危险废物暂存于</w:t>
                  </w:r>
                  <w:r>
                    <w:rPr>
                      <w:rFonts w:hint="eastAsia"/>
                      <w:color w:val="auto"/>
                      <w:highlight w:val="none"/>
                      <w:lang w:eastAsia="zh-CN"/>
                    </w:rPr>
                    <w:t>危废暂存间</w:t>
                  </w:r>
                  <w:r>
                    <w:rPr>
                      <w:rFonts w:hint="eastAsia"/>
                      <w:color w:val="auto"/>
                      <w:highlight w:val="none"/>
                    </w:rPr>
                    <w:t>，</w:t>
                  </w:r>
                  <w:r>
                    <w:rPr>
                      <w:rFonts w:hint="eastAsia"/>
                      <w:color w:val="auto"/>
                      <w:highlight w:val="none"/>
                      <w:lang w:val="en-US" w:eastAsia="zh-CN"/>
                    </w:rPr>
                    <w:t>危废暂存间地面需采用防渗混凝土+玻璃纤维膜+2mm厚环氧树脂地坪漆+5cm金属托盘等重点防渗处理，危废暂存间液态危废物料存放容器下方设防渗托盘，并设空桶作为备用应急收容设施</w:t>
                  </w:r>
                  <w:r>
                    <w:rPr>
                      <w:rFonts w:hint="eastAsia"/>
                      <w:color w:val="auto"/>
                      <w:highlight w:val="none"/>
                    </w:rPr>
                    <w:t>。2、加强管理；定期检修；配置相应的灭火器类型（干粉灭火器等）与数量，并在火灾危险场所设置报警装置。</w:t>
                  </w:r>
                </w:p>
              </w:tc>
            </w:tr>
            <w:tr w14:paraId="345DE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9079" w:type="dxa"/>
                  <w:gridSpan w:val="5"/>
                  <w:tcBorders>
                    <w:tl2br w:val="nil"/>
                    <w:tr2bl w:val="nil"/>
                  </w:tcBorders>
                  <w:vAlign w:val="center"/>
                </w:tcPr>
                <w:p w14:paraId="031F202F">
                  <w:pPr>
                    <w:pStyle w:val="94"/>
                    <w:bidi w:val="0"/>
                    <w:jc w:val="both"/>
                    <w:rPr>
                      <w:b/>
                      <w:bCs w:val="0"/>
                      <w:color w:val="auto"/>
                      <w:highlight w:val="none"/>
                    </w:rPr>
                  </w:pPr>
                  <w:r>
                    <w:rPr>
                      <w:rFonts w:hint="eastAsia"/>
                      <w:b/>
                      <w:bCs w:val="0"/>
                      <w:color w:val="auto"/>
                      <w:highlight w:val="none"/>
                    </w:rPr>
                    <w:t>填表说明（列出项目相关信息及评价说明）：</w:t>
                  </w:r>
                </w:p>
                <w:p w14:paraId="3F7B4F61">
                  <w:pPr>
                    <w:pStyle w:val="94"/>
                    <w:bidi w:val="0"/>
                    <w:jc w:val="both"/>
                    <w:rPr>
                      <w:color w:val="auto"/>
                      <w:highlight w:val="none"/>
                    </w:rPr>
                  </w:pPr>
                  <w:r>
                    <w:rPr>
                      <w:rFonts w:hint="eastAsia"/>
                      <w:color w:val="auto"/>
                      <w:highlight w:val="none"/>
                    </w:rPr>
                    <w:t>本项目存在潜在环境风险，如果安全措施水平高，则事故的概率必然会降低，但不会为零。因此，建设单位必须制订风险事故应急预案。一旦发生事故，需要采取应急措施，控制和减少事故危害，并需要实施社会救援。本项目营运期可能产生一定的风险影响，采取本环评提出的环境风险防范措施后对环境影响较小。因此，本项目环境风险是可防控的。</w:t>
                  </w:r>
                </w:p>
              </w:tc>
            </w:tr>
          </w:tbl>
          <w:p w14:paraId="715D2DC7">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left"/>
              <w:textAlignment w:val="auto"/>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val="en-US" w:eastAsia="zh-CN"/>
              </w:rPr>
              <w:t>8、项目环保措施及投资清单</w:t>
            </w:r>
          </w:p>
          <w:p w14:paraId="52030B32">
            <w:pPr>
              <w:spacing w:line="360" w:lineRule="auto"/>
              <w:ind w:firstLine="480" w:firstLineChars="200"/>
              <w:rPr>
                <w:color w:val="auto"/>
                <w:sz w:val="24"/>
                <w:highlight w:val="none"/>
              </w:rPr>
            </w:pPr>
            <w:r>
              <w:rPr>
                <w:rFonts w:hint="eastAsia"/>
                <w:color w:val="auto"/>
                <w:sz w:val="24"/>
                <w:highlight w:val="none"/>
                <w:lang w:eastAsia="zh-CN"/>
              </w:rPr>
              <w:t>本项目</w:t>
            </w:r>
            <w:r>
              <w:rPr>
                <w:color w:val="auto"/>
                <w:sz w:val="24"/>
                <w:highlight w:val="none"/>
              </w:rPr>
              <w:t>总投资</w:t>
            </w:r>
            <w:r>
              <w:rPr>
                <w:rFonts w:hint="eastAsia"/>
                <w:color w:val="auto"/>
                <w:sz w:val="24"/>
                <w:highlight w:val="none"/>
                <w:lang w:val="en-US" w:eastAsia="zh-CN"/>
              </w:rPr>
              <w:t>20000万元，</w:t>
            </w:r>
            <w:r>
              <w:rPr>
                <w:color w:val="auto"/>
                <w:sz w:val="24"/>
                <w:highlight w:val="none"/>
              </w:rPr>
              <w:t>环保措施总投资为</w:t>
            </w:r>
            <w:r>
              <w:rPr>
                <w:rFonts w:hint="eastAsia"/>
                <w:color w:val="auto"/>
                <w:sz w:val="24"/>
                <w:highlight w:val="none"/>
                <w:lang w:val="en-US" w:eastAsia="zh-CN"/>
              </w:rPr>
              <w:t>66.0</w:t>
            </w:r>
            <w:r>
              <w:rPr>
                <w:color w:val="auto"/>
                <w:sz w:val="24"/>
                <w:highlight w:val="none"/>
              </w:rPr>
              <w:t>万元，占项目总投资的</w:t>
            </w:r>
            <w:r>
              <w:rPr>
                <w:rFonts w:hint="eastAsia"/>
                <w:color w:val="auto"/>
                <w:sz w:val="24"/>
                <w:highlight w:val="none"/>
                <w:lang w:val="en-US" w:eastAsia="zh-CN"/>
              </w:rPr>
              <w:t>0.33</w:t>
            </w:r>
            <w:r>
              <w:rPr>
                <w:rFonts w:hint="eastAsia"/>
                <w:color w:val="auto"/>
                <w:sz w:val="24"/>
                <w:highlight w:val="none"/>
              </w:rPr>
              <w:t>%</w:t>
            </w:r>
            <w:r>
              <w:rPr>
                <w:color w:val="auto"/>
                <w:sz w:val="24"/>
                <w:highlight w:val="none"/>
              </w:rPr>
              <w:t>。环保措施及其投资估算一览表见</w:t>
            </w:r>
            <w:r>
              <w:rPr>
                <w:rFonts w:hint="eastAsia"/>
                <w:color w:val="auto"/>
                <w:sz w:val="24"/>
                <w:highlight w:val="none"/>
                <w:lang w:val="en-US" w:eastAsia="zh-CN"/>
              </w:rPr>
              <w:t>下表</w:t>
            </w:r>
            <w:r>
              <w:rPr>
                <w:color w:val="auto"/>
                <w:sz w:val="24"/>
                <w:highlight w:val="none"/>
              </w:rPr>
              <w:t>。</w:t>
            </w:r>
          </w:p>
          <w:p w14:paraId="3B8BADE0">
            <w:pPr>
              <w:pStyle w:val="14"/>
              <w:bidi w:val="0"/>
              <w:rPr>
                <w:color w:val="auto"/>
                <w:highlight w:val="none"/>
              </w:rPr>
            </w:pPr>
          </w:p>
          <w:p w14:paraId="042EE493">
            <w:pPr>
              <w:pStyle w:val="14"/>
              <w:bidi w:val="0"/>
              <w:rPr>
                <w:color w:val="auto"/>
                <w:highlight w:val="none"/>
              </w:rPr>
            </w:pPr>
          </w:p>
          <w:p w14:paraId="42047524">
            <w:pPr>
              <w:pStyle w:val="14"/>
              <w:bidi w:val="0"/>
              <w:rPr>
                <w:color w:val="auto"/>
                <w:highlight w:val="none"/>
              </w:rPr>
            </w:pPr>
          </w:p>
          <w:p w14:paraId="78A1F690">
            <w:pPr>
              <w:pStyle w:val="14"/>
              <w:bidi w:val="0"/>
              <w:rPr>
                <w:color w:val="auto"/>
                <w:highlight w:val="none"/>
              </w:rPr>
            </w:pPr>
          </w:p>
          <w:p w14:paraId="404A1F67">
            <w:pPr>
              <w:pStyle w:val="14"/>
              <w:bidi w:val="0"/>
              <w:rPr>
                <w:color w:val="auto"/>
                <w:highlight w:val="none"/>
              </w:rPr>
            </w:pPr>
          </w:p>
          <w:p w14:paraId="1C250002">
            <w:pPr>
              <w:pStyle w:val="14"/>
              <w:bidi w:val="0"/>
              <w:rPr>
                <w:rFonts w:hint="default"/>
                <w:color w:val="auto"/>
                <w:highlight w:val="none"/>
                <w:lang w:val="en-US" w:eastAsia="zh-CN"/>
              </w:rPr>
            </w:pPr>
            <w:r>
              <w:rPr>
                <w:color w:val="auto"/>
                <w:highlight w:val="none"/>
              </w:rPr>
              <w:t>表4-</w:t>
            </w:r>
            <w:r>
              <w:rPr>
                <w:color w:val="auto"/>
                <w:highlight w:val="none"/>
              </w:rPr>
              <w:fldChar w:fldCharType="begin"/>
            </w:r>
            <w:r>
              <w:rPr>
                <w:color w:val="auto"/>
                <w:highlight w:val="none"/>
              </w:rPr>
              <w:instrText xml:space="preserve"> SEQ 表4- \* ARABIC </w:instrText>
            </w:r>
            <w:r>
              <w:rPr>
                <w:color w:val="auto"/>
                <w:highlight w:val="none"/>
              </w:rPr>
              <w:fldChar w:fldCharType="separate"/>
            </w:r>
            <w:r>
              <w:rPr>
                <w:color w:val="auto"/>
                <w:highlight w:val="none"/>
              </w:rPr>
              <w:t>28</w:t>
            </w:r>
            <w:r>
              <w:rPr>
                <w:color w:val="auto"/>
                <w:highlight w:val="none"/>
              </w:rPr>
              <w:fldChar w:fldCharType="end"/>
            </w:r>
            <w:r>
              <w:rPr>
                <w:rFonts w:hint="eastAsia"/>
                <w:color w:val="auto"/>
                <w:highlight w:val="none"/>
                <w:lang w:val="en-US" w:eastAsia="zh-CN"/>
              </w:rPr>
              <w:t xml:space="preserve">  </w:t>
            </w:r>
            <w:r>
              <w:rPr>
                <w:color w:val="auto"/>
                <w:highlight w:val="none"/>
              </w:rPr>
              <w:t>环保投资一览表</w:t>
            </w:r>
          </w:p>
          <w:tbl>
            <w:tblPr>
              <w:tblStyle w:val="28"/>
              <w:tblW w:w="90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7"/>
              <w:gridCol w:w="6080"/>
              <w:gridCol w:w="1135"/>
              <w:gridCol w:w="957"/>
            </w:tblGrid>
            <w:tr w14:paraId="340DC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tcBorders>
                    <w:tl2br w:val="nil"/>
                    <w:tr2bl w:val="nil"/>
                  </w:tcBorders>
                  <w:vAlign w:val="center"/>
                </w:tcPr>
                <w:p w14:paraId="6C045E25">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b/>
                      <w:color w:val="auto"/>
                      <w:sz w:val="21"/>
                      <w:szCs w:val="21"/>
                      <w:highlight w:val="none"/>
                    </w:rPr>
                  </w:pPr>
                  <w:r>
                    <w:rPr>
                      <w:rFonts w:hAnsi="宋体"/>
                      <w:b/>
                      <w:color w:val="auto"/>
                      <w:sz w:val="21"/>
                      <w:szCs w:val="21"/>
                      <w:highlight w:val="none"/>
                    </w:rPr>
                    <w:t>项目</w:t>
                  </w:r>
                </w:p>
              </w:tc>
              <w:tc>
                <w:tcPr>
                  <w:tcW w:w="6080" w:type="dxa"/>
                  <w:tcBorders>
                    <w:tl2br w:val="nil"/>
                    <w:tr2bl w:val="nil"/>
                  </w:tcBorders>
                  <w:vAlign w:val="center"/>
                </w:tcPr>
                <w:p w14:paraId="7FC3D328">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b/>
                      <w:color w:val="auto"/>
                      <w:sz w:val="21"/>
                      <w:szCs w:val="21"/>
                      <w:highlight w:val="none"/>
                    </w:rPr>
                  </w:pPr>
                  <w:r>
                    <w:rPr>
                      <w:rFonts w:hint="eastAsia"/>
                      <w:b/>
                      <w:color w:val="auto"/>
                      <w:sz w:val="21"/>
                      <w:szCs w:val="21"/>
                      <w:highlight w:val="none"/>
                    </w:rPr>
                    <w:t>环保措施</w:t>
                  </w:r>
                </w:p>
              </w:tc>
              <w:tc>
                <w:tcPr>
                  <w:tcW w:w="1135" w:type="dxa"/>
                  <w:tcBorders>
                    <w:tl2br w:val="nil"/>
                    <w:tr2bl w:val="nil"/>
                  </w:tcBorders>
                  <w:vAlign w:val="center"/>
                </w:tcPr>
                <w:p w14:paraId="4C92D10F">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b/>
                      <w:color w:val="auto"/>
                      <w:sz w:val="21"/>
                      <w:szCs w:val="21"/>
                      <w:highlight w:val="none"/>
                    </w:rPr>
                  </w:pPr>
                  <w:r>
                    <w:rPr>
                      <w:rFonts w:hAnsi="宋体"/>
                      <w:b/>
                      <w:color w:val="auto"/>
                      <w:sz w:val="21"/>
                      <w:szCs w:val="21"/>
                      <w:highlight w:val="none"/>
                    </w:rPr>
                    <w:t>投资</w:t>
                  </w:r>
                </w:p>
                <w:p w14:paraId="63531598">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b/>
                      <w:color w:val="auto"/>
                      <w:sz w:val="21"/>
                      <w:szCs w:val="21"/>
                      <w:highlight w:val="none"/>
                    </w:rPr>
                  </w:pPr>
                  <w:r>
                    <w:rPr>
                      <w:rFonts w:hAnsi="宋体"/>
                      <w:b/>
                      <w:color w:val="auto"/>
                      <w:sz w:val="21"/>
                      <w:szCs w:val="21"/>
                      <w:highlight w:val="none"/>
                    </w:rPr>
                    <w:t>（万元）</w:t>
                  </w:r>
                </w:p>
              </w:tc>
              <w:tc>
                <w:tcPr>
                  <w:tcW w:w="957" w:type="dxa"/>
                  <w:tcBorders>
                    <w:tl2br w:val="nil"/>
                    <w:tr2bl w:val="nil"/>
                  </w:tcBorders>
                  <w:vAlign w:val="center"/>
                </w:tcPr>
                <w:p w14:paraId="7D65E93F">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b/>
                      <w:color w:val="auto"/>
                      <w:sz w:val="21"/>
                      <w:szCs w:val="21"/>
                      <w:highlight w:val="none"/>
                    </w:rPr>
                  </w:pPr>
                  <w:r>
                    <w:rPr>
                      <w:rFonts w:hAnsi="宋体"/>
                      <w:b/>
                      <w:color w:val="auto"/>
                      <w:sz w:val="21"/>
                      <w:szCs w:val="21"/>
                      <w:highlight w:val="none"/>
                    </w:rPr>
                    <w:t>备注</w:t>
                  </w:r>
                </w:p>
              </w:tc>
            </w:tr>
            <w:tr w14:paraId="0CB75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restart"/>
                  <w:tcBorders>
                    <w:tl2br w:val="nil"/>
                    <w:tr2bl w:val="nil"/>
                  </w:tcBorders>
                  <w:vAlign w:val="center"/>
                </w:tcPr>
                <w:p w14:paraId="0532D830">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废水治理</w:t>
                  </w:r>
                </w:p>
              </w:tc>
              <w:tc>
                <w:tcPr>
                  <w:tcW w:w="6080" w:type="dxa"/>
                  <w:tcBorders>
                    <w:tl2br w:val="nil"/>
                    <w:tr2bl w:val="nil"/>
                  </w:tcBorders>
                  <w:shd w:val="clear" w:color="auto" w:fill="auto"/>
                  <w:vAlign w:val="center"/>
                </w:tcPr>
                <w:p w14:paraId="4ADD5800">
                  <w:pPr>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b/>
                      <w:bCs/>
                      <w:color w:val="auto"/>
                      <w:kern w:val="2"/>
                      <w:sz w:val="21"/>
                      <w:szCs w:val="21"/>
                      <w:highlight w:val="none"/>
                      <w:lang w:val="en-US" w:eastAsia="zh-CN" w:bidi="ar-SA"/>
                    </w:rPr>
                    <w:t>生活污水</w:t>
                  </w:r>
                  <w:r>
                    <w:rPr>
                      <w:rFonts w:hint="eastAsia" w:ascii="Times New Roman" w:hAnsi="宋体" w:eastAsia="宋体" w:cs="Times New Roman"/>
                      <w:color w:val="auto"/>
                      <w:kern w:val="2"/>
                      <w:sz w:val="21"/>
                      <w:szCs w:val="21"/>
                      <w:highlight w:val="none"/>
                      <w:lang w:val="en-US" w:eastAsia="zh-CN" w:bidi="ar-SA"/>
                    </w:rPr>
                    <w:t>：先经过本项目新建</w:t>
                  </w:r>
                  <w:r>
                    <w:rPr>
                      <w:rFonts w:hint="eastAsia" w:hAnsi="宋体" w:cs="Times New Roman"/>
                      <w:color w:val="auto"/>
                      <w:kern w:val="2"/>
                      <w:sz w:val="21"/>
                      <w:szCs w:val="21"/>
                      <w:highlight w:val="none"/>
                      <w:lang w:val="en-US" w:eastAsia="zh-CN" w:bidi="ar-SA"/>
                    </w:rPr>
                    <w:t>预处理</w:t>
                  </w:r>
                  <w:r>
                    <w:rPr>
                      <w:rFonts w:hint="eastAsia" w:ascii="Times New Roman" w:hAnsi="宋体" w:eastAsia="宋体" w:cs="Times New Roman"/>
                      <w:color w:val="auto"/>
                      <w:kern w:val="2"/>
                      <w:sz w:val="21"/>
                      <w:szCs w:val="21"/>
                      <w:highlight w:val="none"/>
                      <w:lang w:val="en-US" w:eastAsia="zh-CN" w:bidi="ar-SA"/>
                    </w:rPr>
                    <w:t>池（</w:t>
                  </w:r>
                  <w:r>
                    <w:rPr>
                      <w:rFonts w:hint="eastAsia" w:hAnsi="宋体" w:cs="Times New Roman"/>
                      <w:color w:val="auto"/>
                      <w:kern w:val="2"/>
                      <w:sz w:val="21"/>
                      <w:szCs w:val="21"/>
                      <w:highlight w:val="none"/>
                      <w:lang w:val="en-US" w:eastAsia="zh-CN" w:bidi="ar-SA"/>
                    </w:rPr>
                    <w:t>5</w:t>
                  </w:r>
                  <w:r>
                    <w:rPr>
                      <w:rFonts w:hint="eastAsia" w:ascii="Times New Roman" w:hAnsi="宋体" w:eastAsia="宋体" w:cs="Times New Roman"/>
                      <w:color w:val="auto"/>
                      <w:kern w:val="2"/>
                      <w:sz w:val="21"/>
                      <w:szCs w:val="21"/>
                      <w:highlight w:val="none"/>
                      <w:lang w:val="en-US" w:eastAsia="zh-CN" w:bidi="ar-SA"/>
                    </w:rPr>
                    <w:t>m</w:t>
                  </w:r>
                  <w:r>
                    <w:rPr>
                      <w:rFonts w:hint="eastAsia" w:ascii="Times New Roman" w:hAnsi="宋体" w:eastAsia="宋体" w:cs="Times New Roman"/>
                      <w:color w:val="auto"/>
                      <w:kern w:val="2"/>
                      <w:sz w:val="21"/>
                      <w:szCs w:val="21"/>
                      <w:highlight w:val="none"/>
                      <w:vertAlign w:val="superscript"/>
                      <w:lang w:val="en-US" w:eastAsia="zh-CN" w:bidi="ar-SA"/>
                    </w:rPr>
                    <w:t>3</w:t>
                  </w:r>
                  <w:r>
                    <w:rPr>
                      <w:rFonts w:hint="eastAsia" w:ascii="Times New Roman" w:hAnsi="宋体" w:eastAsia="宋体" w:cs="Times New Roman"/>
                      <w:color w:val="auto"/>
                      <w:kern w:val="2"/>
                      <w:sz w:val="21"/>
                      <w:szCs w:val="21"/>
                      <w:highlight w:val="none"/>
                      <w:lang w:val="en-US" w:eastAsia="zh-CN" w:bidi="ar-SA"/>
                    </w:rPr>
                    <w:t>）处理达标后排入龙眼井污水处理厂处理，达标后排入琼江。</w:t>
                  </w:r>
                </w:p>
              </w:tc>
              <w:tc>
                <w:tcPr>
                  <w:tcW w:w="1135" w:type="dxa"/>
                  <w:vMerge w:val="restart"/>
                  <w:tcBorders>
                    <w:tl2br w:val="nil"/>
                    <w:tr2bl w:val="nil"/>
                  </w:tcBorders>
                  <w:shd w:val="clear" w:color="auto" w:fill="auto"/>
                  <w:vAlign w:val="center"/>
                </w:tcPr>
                <w:p w14:paraId="25C69786">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等线"/>
                      <w:color w:val="auto"/>
                      <w:sz w:val="21"/>
                      <w:szCs w:val="21"/>
                      <w:highlight w:val="none"/>
                      <w:lang w:val="en-US" w:eastAsia="zh-CN"/>
                    </w:rPr>
                    <w:t>40.0</w:t>
                  </w:r>
                </w:p>
              </w:tc>
              <w:tc>
                <w:tcPr>
                  <w:tcW w:w="957" w:type="dxa"/>
                  <w:vMerge w:val="restart"/>
                  <w:tcBorders>
                    <w:tl2br w:val="nil"/>
                    <w:tr2bl w:val="nil"/>
                  </w:tcBorders>
                  <w:shd w:val="clear" w:color="auto" w:fill="auto"/>
                  <w:vAlign w:val="center"/>
                </w:tcPr>
                <w:p w14:paraId="7047479F">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新建</w:t>
                  </w:r>
                </w:p>
              </w:tc>
            </w:tr>
            <w:tr w14:paraId="74C10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continue"/>
                  <w:tcBorders>
                    <w:tl2br w:val="nil"/>
                    <w:tr2bl w:val="nil"/>
                  </w:tcBorders>
                  <w:vAlign w:val="center"/>
                </w:tcPr>
                <w:p w14:paraId="025A36D5">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auto"/>
                      <w:sz w:val="21"/>
                      <w:szCs w:val="21"/>
                      <w:highlight w:val="none"/>
                    </w:rPr>
                  </w:pPr>
                </w:p>
              </w:tc>
              <w:tc>
                <w:tcPr>
                  <w:tcW w:w="6080" w:type="dxa"/>
                  <w:tcBorders>
                    <w:tl2br w:val="nil"/>
                    <w:tr2bl w:val="nil"/>
                  </w:tcBorders>
                  <w:shd w:val="clear" w:color="auto" w:fill="auto"/>
                  <w:vAlign w:val="center"/>
                </w:tcPr>
                <w:p w14:paraId="05F5E83E">
                  <w:pPr>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宋体" w:eastAsia="宋体" w:cs="Times New Roman"/>
                      <w:b/>
                      <w:bCs/>
                      <w:color w:val="auto"/>
                      <w:kern w:val="2"/>
                      <w:sz w:val="21"/>
                      <w:szCs w:val="21"/>
                      <w:highlight w:val="none"/>
                      <w:lang w:val="en-US" w:eastAsia="zh-CN" w:bidi="ar-SA"/>
                    </w:rPr>
                  </w:pPr>
                  <w:r>
                    <w:rPr>
                      <w:rFonts w:hint="eastAsia" w:ascii="Times New Roman" w:hAnsi="宋体" w:eastAsia="宋体" w:cs="Times New Roman"/>
                      <w:b/>
                      <w:bCs/>
                      <w:color w:val="auto"/>
                      <w:kern w:val="2"/>
                      <w:sz w:val="21"/>
                      <w:szCs w:val="21"/>
                      <w:highlight w:val="none"/>
                      <w:lang w:val="en-US" w:eastAsia="zh-CN" w:bidi="ar-SA"/>
                    </w:rPr>
                    <w:t>原料清洗废水、设备清洗废水、漂烫废水、蒸汽发生器废水、地面清洁废水、实验器皿清洗废水</w:t>
                  </w:r>
                  <w:r>
                    <w:rPr>
                      <w:rFonts w:hint="eastAsia" w:ascii="Times New Roman" w:hAnsi="宋体" w:eastAsia="宋体" w:cs="Times New Roman"/>
                      <w:color w:val="auto"/>
                      <w:kern w:val="2"/>
                      <w:sz w:val="21"/>
                      <w:szCs w:val="21"/>
                      <w:highlight w:val="none"/>
                      <w:lang w:val="en-US" w:eastAsia="zh-CN" w:bidi="ar-SA"/>
                    </w:rPr>
                    <w:t>：先经过本项目新建污水处理池（</w:t>
                  </w:r>
                  <w:r>
                    <w:rPr>
                      <w:rFonts w:hint="eastAsia" w:hAnsi="宋体" w:cs="Times New Roman"/>
                      <w:color w:val="auto"/>
                      <w:kern w:val="2"/>
                      <w:sz w:val="21"/>
                      <w:szCs w:val="21"/>
                      <w:highlight w:val="none"/>
                      <w:lang w:val="en-US" w:eastAsia="zh-CN" w:bidi="ar-SA"/>
                    </w:rPr>
                    <w:t>6</w:t>
                  </w:r>
                  <w:r>
                    <w:rPr>
                      <w:rFonts w:hint="eastAsia" w:ascii="Times New Roman" w:hAnsi="宋体" w:eastAsia="宋体" w:cs="Times New Roman"/>
                      <w:color w:val="auto"/>
                      <w:kern w:val="2"/>
                      <w:sz w:val="21"/>
                      <w:szCs w:val="21"/>
                      <w:highlight w:val="none"/>
                      <w:lang w:val="en-US" w:eastAsia="zh-CN" w:bidi="ar-SA"/>
                    </w:rPr>
                    <w:t>0m</w:t>
                  </w:r>
                  <w:r>
                    <w:rPr>
                      <w:rFonts w:hint="eastAsia" w:ascii="Times New Roman" w:hAnsi="宋体" w:eastAsia="宋体" w:cs="Times New Roman"/>
                      <w:color w:val="auto"/>
                      <w:kern w:val="2"/>
                      <w:sz w:val="21"/>
                      <w:szCs w:val="21"/>
                      <w:highlight w:val="none"/>
                      <w:vertAlign w:val="superscript"/>
                      <w:lang w:val="en-US" w:eastAsia="zh-CN" w:bidi="ar-SA"/>
                    </w:rPr>
                    <w:t>3</w:t>
                  </w:r>
                  <w:r>
                    <w:rPr>
                      <w:rFonts w:hint="eastAsia" w:ascii="Times New Roman" w:hAnsi="宋体" w:eastAsia="宋体" w:cs="Times New Roman"/>
                      <w:color w:val="auto"/>
                      <w:kern w:val="2"/>
                      <w:sz w:val="21"/>
                      <w:szCs w:val="21"/>
                      <w:highlight w:val="none"/>
                      <w:lang w:val="en-US" w:eastAsia="zh-CN" w:bidi="ar-SA"/>
                    </w:rPr>
                    <w:t>）处理达标后排入龙眼井污水处理厂处理，达标后排入琼江。</w:t>
                  </w:r>
                </w:p>
              </w:tc>
              <w:tc>
                <w:tcPr>
                  <w:tcW w:w="1135" w:type="dxa"/>
                  <w:vMerge w:val="continue"/>
                  <w:tcBorders>
                    <w:tl2br w:val="nil"/>
                    <w:tr2bl w:val="nil"/>
                  </w:tcBorders>
                  <w:shd w:val="clear" w:color="auto" w:fill="auto"/>
                  <w:vAlign w:val="center"/>
                </w:tcPr>
                <w:p w14:paraId="6A03401E">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等线"/>
                      <w:color w:val="auto"/>
                      <w:sz w:val="21"/>
                      <w:szCs w:val="21"/>
                      <w:highlight w:val="none"/>
                      <w:lang w:val="en-US" w:eastAsia="zh-CN"/>
                    </w:rPr>
                  </w:pPr>
                </w:p>
              </w:tc>
              <w:tc>
                <w:tcPr>
                  <w:tcW w:w="957" w:type="dxa"/>
                  <w:vMerge w:val="continue"/>
                  <w:tcBorders>
                    <w:tl2br w:val="nil"/>
                    <w:tr2bl w:val="nil"/>
                  </w:tcBorders>
                  <w:shd w:val="clear" w:color="auto" w:fill="auto"/>
                  <w:vAlign w:val="center"/>
                </w:tcPr>
                <w:p w14:paraId="64C70E6F">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auto"/>
                      <w:sz w:val="21"/>
                      <w:szCs w:val="21"/>
                      <w:highlight w:val="none"/>
                      <w:lang w:val="en-US" w:eastAsia="zh-CN"/>
                    </w:rPr>
                  </w:pPr>
                </w:p>
              </w:tc>
            </w:tr>
            <w:tr w14:paraId="511EC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tcBorders>
                    <w:tl2br w:val="nil"/>
                    <w:tr2bl w:val="nil"/>
                  </w:tcBorders>
                  <w:vAlign w:val="center"/>
                </w:tcPr>
                <w:p w14:paraId="7C6BDC31">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废气治理</w:t>
                  </w:r>
                </w:p>
              </w:tc>
              <w:tc>
                <w:tcPr>
                  <w:tcW w:w="6080" w:type="dxa"/>
                  <w:tcBorders>
                    <w:tl2br w:val="nil"/>
                    <w:tr2bl w:val="nil"/>
                  </w:tcBorders>
                  <w:vAlign w:val="center"/>
                </w:tcPr>
                <w:p w14:paraId="016CCAB7">
                  <w:pPr>
                    <w:pStyle w:val="94"/>
                    <w:bidi w:val="0"/>
                    <w:ind w:firstLine="0" w:firstLineChars="0"/>
                    <w:jc w:val="both"/>
                    <w:rPr>
                      <w:rFonts w:hint="default"/>
                      <w:b/>
                      <w:bCs/>
                      <w:color w:val="auto"/>
                      <w:sz w:val="21"/>
                      <w:szCs w:val="21"/>
                      <w:highlight w:val="none"/>
                      <w:lang w:val="en-US" w:eastAsia="zh-CN"/>
                    </w:rPr>
                  </w:pPr>
                  <w:r>
                    <w:rPr>
                      <w:rFonts w:hint="eastAsia"/>
                      <w:b/>
                      <w:bCs w:val="0"/>
                      <w:color w:val="auto"/>
                      <w:highlight w:val="none"/>
                      <w:lang w:val="en-US" w:eastAsia="zh-CN"/>
                    </w:rPr>
                    <w:t>天然气燃烧废气：</w:t>
                  </w:r>
                  <w:r>
                    <w:rPr>
                      <w:rFonts w:hint="eastAsia"/>
                      <w:b w:val="0"/>
                      <w:bCs/>
                      <w:color w:val="auto"/>
                      <w:highlight w:val="none"/>
                      <w:lang w:val="en-US" w:eastAsia="zh-CN"/>
                    </w:rPr>
                    <w:t>项目蒸汽发生器拟使用天然气加热，天然气拟低氮燃烧后经1根15m排气筒（DA001）排放。</w:t>
                  </w:r>
                </w:p>
              </w:tc>
              <w:tc>
                <w:tcPr>
                  <w:tcW w:w="1135" w:type="dxa"/>
                  <w:tcBorders>
                    <w:tl2br w:val="nil"/>
                    <w:tr2bl w:val="nil"/>
                  </w:tcBorders>
                  <w:vAlign w:val="center"/>
                </w:tcPr>
                <w:p w14:paraId="0247D184">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10.0</w:t>
                  </w:r>
                </w:p>
              </w:tc>
              <w:tc>
                <w:tcPr>
                  <w:tcW w:w="957" w:type="dxa"/>
                  <w:tcBorders>
                    <w:tl2br w:val="nil"/>
                    <w:tr2bl w:val="nil"/>
                  </w:tcBorders>
                  <w:vAlign w:val="center"/>
                </w:tcPr>
                <w:p w14:paraId="15F74093">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w:t>
                  </w:r>
                </w:p>
              </w:tc>
            </w:tr>
            <w:tr w14:paraId="0F051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tcBorders>
                    <w:tl2br w:val="nil"/>
                    <w:tr2bl w:val="nil"/>
                  </w:tcBorders>
                  <w:vAlign w:val="center"/>
                </w:tcPr>
                <w:p w14:paraId="27290240">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hAnsi="宋体"/>
                      <w:color w:val="auto"/>
                      <w:sz w:val="21"/>
                      <w:szCs w:val="21"/>
                      <w:highlight w:val="none"/>
                    </w:rPr>
                    <w:t>噪声治理</w:t>
                  </w:r>
                </w:p>
              </w:tc>
              <w:tc>
                <w:tcPr>
                  <w:tcW w:w="6080" w:type="dxa"/>
                  <w:tcBorders>
                    <w:tl2br w:val="nil"/>
                    <w:tr2bl w:val="nil"/>
                  </w:tcBorders>
                  <w:vAlign w:val="center"/>
                </w:tcPr>
                <w:p w14:paraId="1246D95D">
                  <w:pPr>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int="eastAsia" w:eastAsia="宋体"/>
                      <w:b/>
                      <w:color w:val="auto"/>
                      <w:sz w:val="21"/>
                      <w:szCs w:val="21"/>
                      <w:highlight w:val="none"/>
                      <w:lang w:eastAsia="zh-CN"/>
                    </w:rPr>
                  </w:pPr>
                  <w:r>
                    <w:rPr>
                      <w:rFonts w:hAnsi="宋体"/>
                      <w:bCs/>
                      <w:color w:val="auto"/>
                      <w:sz w:val="21"/>
                      <w:szCs w:val="21"/>
                      <w:highlight w:val="none"/>
                    </w:rPr>
                    <w:t>底座设减震垫</w:t>
                  </w:r>
                  <w:r>
                    <w:rPr>
                      <w:rFonts w:hint="eastAsia" w:hAnsi="宋体"/>
                      <w:bCs/>
                      <w:color w:val="auto"/>
                      <w:sz w:val="21"/>
                      <w:szCs w:val="21"/>
                      <w:highlight w:val="none"/>
                    </w:rPr>
                    <w:t>、定</w:t>
                  </w:r>
                  <w:r>
                    <w:rPr>
                      <w:rFonts w:hAnsi="宋体"/>
                      <w:bCs/>
                      <w:color w:val="auto"/>
                      <w:sz w:val="21"/>
                      <w:szCs w:val="21"/>
                      <w:highlight w:val="none"/>
                    </w:rPr>
                    <w:t>期维护保养、距离衰减等措施加以控制。</w:t>
                  </w:r>
                  <w:r>
                    <w:rPr>
                      <w:rFonts w:hint="eastAsia" w:hAnsi="宋体"/>
                      <w:bCs/>
                      <w:color w:val="auto"/>
                      <w:sz w:val="21"/>
                      <w:szCs w:val="21"/>
                      <w:highlight w:val="none"/>
                    </w:rPr>
                    <w:t>设置独立的空压机房，除尘风机设置单独设备间</w:t>
                  </w:r>
                  <w:r>
                    <w:rPr>
                      <w:rFonts w:hint="eastAsia" w:hAnsi="宋体"/>
                      <w:bCs/>
                      <w:color w:val="auto"/>
                      <w:sz w:val="21"/>
                      <w:szCs w:val="21"/>
                      <w:highlight w:val="none"/>
                      <w:lang w:eastAsia="zh-CN"/>
                    </w:rPr>
                    <w:t>。</w:t>
                  </w:r>
                </w:p>
              </w:tc>
              <w:tc>
                <w:tcPr>
                  <w:tcW w:w="1135" w:type="dxa"/>
                  <w:tcBorders>
                    <w:tl2br w:val="nil"/>
                    <w:tr2bl w:val="nil"/>
                  </w:tcBorders>
                  <w:vAlign w:val="center"/>
                </w:tcPr>
                <w:p w14:paraId="0826A3BA">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hint="eastAsia" w:eastAsia="等线"/>
                      <w:color w:val="auto"/>
                      <w:sz w:val="21"/>
                      <w:szCs w:val="21"/>
                      <w:highlight w:val="none"/>
                    </w:rPr>
                    <w:t>2.0</w:t>
                  </w:r>
                </w:p>
              </w:tc>
              <w:tc>
                <w:tcPr>
                  <w:tcW w:w="957" w:type="dxa"/>
                  <w:tcBorders>
                    <w:tl2br w:val="nil"/>
                    <w:tr2bl w:val="nil"/>
                  </w:tcBorders>
                  <w:vAlign w:val="center"/>
                </w:tcPr>
                <w:p w14:paraId="0091ABBA">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新建</w:t>
                  </w:r>
                </w:p>
              </w:tc>
            </w:tr>
            <w:tr w14:paraId="52E07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restart"/>
                  <w:tcBorders>
                    <w:tl2br w:val="nil"/>
                    <w:tr2bl w:val="nil"/>
                  </w:tcBorders>
                  <w:vAlign w:val="center"/>
                </w:tcPr>
                <w:p w14:paraId="5BB2EDD2">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Ansi="宋体"/>
                      <w:color w:val="auto"/>
                      <w:sz w:val="21"/>
                      <w:szCs w:val="21"/>
                      <w:highlight w:val="none"/>
                    </w:rPr>
                  </w:pPr>
                  <w:r>
                    <w:rPr>
                      <w:rFonts w:hint="eastAsia" w:hAnsi="宋体"/>
                      <w:color w:val="auto"/>
                      <w:sz w:val="21"/>
                      <w:szCs w:val="21"/>
                      <w:highlight w:val="none"/>
                    </w:rPr>
                    <w:t>固废治理</w:t>
                  </w:r>
                </w:p>
              </w:tc>
              <w:tc>
                <w:tcPr>
                  <w:tcW w:w="6080" w:type="dxa"/>
                  <w:tcBorders>
                    <w:tl2br w:val="nil"/>
                    <w:tr2bl w:val="nil"/>
                  </w:tcBorders>
                  <w:vAlign w:val="center"/>
                </w:tcPr>
                <w:p w14:paraId="5EEFDD76">
                  <w:pPr>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Ansi="宋体"/>
                      <w:bCs/>
                      <w:color w:val="auto"/>
                      <w:sz w:val="21"/>
                      <w:szCs w:val="21"/>
                      <w:highlight w:val="none"/>
                    </w:rPr>
                  </w:pPr>
                  <w:r>
                    <w:rPr>
                      <w:rFonts w:hint="eastAsia" w:hAnsi="宋体"/>
                      <w:b/>
                      <w:bCs/>
                      <w:color w:val="auto"/>
                      <w:sz w:val="21"/>
                      <w:szCs w:val="21"/>
                      <w:highlight w:val="none"/>
                    </w:rPr>
                    <w:t>一般固废暂存</w:t>
                  </w:r>
                  <w:r>
                    <w:rPr>
                      <w:rFonts w:hint="eastAsia" w:hAnsi="宋体"/>
                      <w:b/>
                      <w:bCs/>
                      <w:color w:val="auto"/>
                      <w:sz w:val="21"/>
                      <w:szCs w:val="21"/>
                      <w:highlight w:val="none"/>
                      <w:lang w:val="en-US" w:eastAsia="zh-CN"/>
                    </w:rPr>
                    <w:t>间</w:t>
                  </w:r>
                  <w:r>
                    <w:rPr>
                      <w:rFonts w:hint="eastAsia" w:hAnsi="宋体"/>
                      <w:b/>
                      <w:bCs/>
                      <w:color w:val="auto"/>
                      <w:sz w:val="21"/>
                      <w:szCs w:val="21"/>
                      <w:highlight w:val="none"/>
                    </w:rPr>
                    <w:t>：</w:t>
                  </w:r>
                  <w:r>
                    <w:rPr>
                      <w:rFonts w:hint="eastAsia" w:hAnsi="宋体"/>
                      <w:b w:val="0"/>
                      <w:bCs w:val="0"/>
                      <w:color w:val="auto"/>
                      <w:sz w:val="21"/>
                      <w:szCs w:val="21"/>
                      <w:highlight w:val="none"/>
                      <w:lang w:val="en-US" w:eastAsia="zh-CN"/>
                    </w:rPr>
                    <w:t>一车间二车间拟设各设1间</w:t>
                  </w:r>
                  <w:r>
                    <w:rPr>
                      <w:rFonts w:hint="eastAsia"/>
                      <w:b w:val="0"/>
                      <w:bCs w:val="0"/>
                      <w:color w:val="auto"/>
                      <w:sz w:val="21"/>
                      <w:szCs w:val="21"/>
                      <w:highlight w:val="none"/>
                    </w:rPr>
                    <w:t>一</w:t>
                  </w:r>
                  <w:r>
                    <w:rPr>
                      <w:rFonts w:hint="eastAsia"/>
                      <w:color w:val="auto"/>
                      <w:sz w:val="21"/>
                      <w:szCs w:val="21"/>
                      <w:highlight w:val="none"/>
                    </w:rPr>
                    <w:t>般固废暂存</w:t>
                  </w:r>
                  <w:r>
                    <w:rPr>
                      <w:rFonts w:hint="eastAsia"/>
                      <w:color w:val="auto"/>
                      <w:sz w:val="21"/>
                      <w:szCs w:val="21"/>
                      <w:highlight w:val="none"/>
                      <w:lang w:val="en-US" w:eastAsia="zh-CN"/>
                    </w:rPr>
                    <w:t>区，</w:t>
                  </w:r>
                  <w:r>
                    <w:rPr>
                      <w:rFonts w:cs="Times New Roman"/>
                      <w:color w:val="auto"/>
                      <w:sz w:val="21"/>
                      <w:szCs w:val="21"/>
                      <w:highlight w:val="none"/>
                    </w:rPr>
                    <w:t>面积</w:t>
                  </w:r>
                  <w:r>
                    <w:rPr>
                      <w:rFonts w:hint="eastAsia" w:cs="Times New Roman"/>
                      <w:color w:val="auto"/>
                      <w:sz w:val="21"/>
                      <w:szCs w:val="21"/>
                      <w:highlight w:val="none"/>
                      <w:lang w:val="en-US" w:eastAsia="zh-CN"/>
                    </w:rPr>
                    <w:t>分别约25</w:t>
                  </w:r>
                  <w:r>
                    <w:rPr>
                      <w:rFonts w:cs="Times New Roman"/>
                      <w:color w:val="auto"/>
                      <w:sz w:val="21"/>
                      <w:szCs w:val="21"/>
                      <w:highlight w:val="none"/>
                    </w:rPr>
                    <w:t>m</w:t>
                  </w:r>
                  <w:r>
                    <w:rPr>
                      <w:rFonts w:cs="Times New Roman"/>
                      <w:color w:val="auto"/>
                      <w:sz w:val="21"/>
                      <w:szCs w:val="21"/>
                      <w:highlight w:val="none"/>
                      <w:vertAlign w:val="superscript"/>
                    </w:rPr>
                    <w:t>2</w:t>
                  </w:r>
                  <w:r>
                    <w:rPr>
                      <w:rFonts w:hint="eastAsia"/>
                      <w:color w:val="auto"/>
                      <w:sz w:val="21"/>
                      <w:szCs w:val="21"/>
                      <w:highlight w:val="none"/>
                    </w:rPr>
                    <w:t>，用于存放一般固废</w:t>
                  </w:r>
                </w:p>
              </w:tc>
              <w:tc>
                <w:tcPr>
                  <w:tcW w:w="1135" w:type="dxa"/>
                  <w:tcBorders>
                    <w:tl2br w:val="nil"/>
                    <w:tr2bl w:val="nil"/>
                  </w:tcBorders>
                  <w:vAlign w:val="center"/>
                </w:tcPr>
                <w:p w14:paraId="47CC532A">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957" w:type="dxa"/>
                  <w:tcBorders>
                    <w:tl2br w:val="nil"/>
                    <w:tr2bl w:val="nil"/>
                  </w:tcBorders>
                  <w:vAlign w:val="center"/>
                </w:tcPr>
                <w:p w14:paraId="6D7B8630">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14:paraId="5D256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continue"/>
                  <w:tcBorders>
                    <w:tl2br w:val="nil"/>
                    <w:tr2bl w:val="nil"/>
                  </w:tcBorders>
                  <w:vAlign w:val="center"/>
                </w:tcPr>
                <w:p w14:paraId="6C77EF2A">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Ansi="宋体"/>
                      <w:color w:val="auto"/>
                      <w:sz w:val="21"/>
                      <w:szCs w:val="21"/>
                      <w:highlight w:val="none"/>
                    </w:rPr>
                  </w:pPr>
                </w:p>
              </w:tc>
              <w:tc>
                <w:tcPr>
                  <w:tcW w:w="6080" w:type="dxa"/>
                  <w:tcBorders>
                    <w:tl2br w:val="nil"/>
                    <w:tr2bl w:val="nil"/>
                  </w:tcBorders>
                  <w:vAlign w:val="center"/>
                </w:tcPr>
                <w:p w14:paraId="36ACBCA8">
                  <w:pPr>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int="default" w:hAnsi="宋体" w:eastAsia="宋体"/>
                      <w:b/>
                      <w:bCs/>
                      <w:color w:val="auto"/>
                      <w:sz w:val="21"/>
                      <w:szCs w:val="21"/>
                      <w:highlight w:val="none"/>
                      <w:lang w:val="en-US" w:eastAsia="zh-CN"/>
                    </w:rPr>
                  </w:pPr>
                  <w:r>
                    <w:rPr>
                      <w:rFonts w:hint="eastAsia" w:hAnsi="宋体"/>
                      <w:b/>
                      <w:bCs/>
                      <w:color w:val="auto"/>
                      <w:sz w:val="21"/>
                      <w:szCs w:val="21"/>
                      <w:highlight w:val="none"/>
                      <w:lang w:eastAsia="zh-CN"/>
                    </w:rPr>
                    <w:t>危废暂存间</w:t>
                  </w:r>
                  <w:r>
                    <w:rPr>
                      <w:rFonts w:hint="eastAsia" w:hAnsi="宋体"/>
                      <w:b/>
                      <w:bCs/>
                      <w:color w:val="auto"/>
                      <w:sz w:val="21"/>
                      <w:szCs w:val="21"/>
                      <w:highlight w:val="none"/>
                    </w:rPr>
                    <w:t>：</w:t>
                  </w:r>
                  <w:r>
                    <w:rPr>
                      <w:rFonts w:hint="eastAsia" w:hAnsi="宋体"/>
                      <w:b w:val="0"/>
                      <w:bCs w:val="0"/>
                      <w:color w:val="auto"/>
                      <w:sz w:val="21"/>
                      <w:szCs w:val="21"/>
                      <w:highlight w:val="none"/>
                      <w:lang w:val="en-US" w:eastAsia="zh-CN"/>
                    </w:rPr>
                    <w:t>拟设1间</w:t>
                  </w:r>
                  <w:r>
                    <w:rPr>
                      <w:rFonts w:hint="eastAsia" w:hAnsi="宋体"/>
                      <w:b w:val="0"/>
                      <w:bCs w:val="0"/>
                      <w:color w:val="auto"/>
                      <w:sz w:val="21"/>
                      <w:szCs w:val="21"/>
                      <w:highlight w:val="none"/>
                      <w:lang w:eastAsia="zh-CN"/>
                    </w:rPr>
                    <w:t>危废暂存间，</w:t>
                  </w:r>
                  <w:r>
                    <w:rPr>
                      <w:rFonts w:cs="Times New Roman"/>
                      <w:color w:val="auto"/>
                      <w:sz w:val="21"/>
                      <w:szCs w:val="21"/>
                      <w:highlight w:val="none"/>
                    </w:rPr>
                    <w:t>面积</w:t>
                  </w:r>
                  <w:r>
                    <w:rPr>
                      <w:rFonts w:hint="eastAsia" w:cs="Times New Roman"/>
                      <w:color w:val="auto"/>
                      <w:sz w:val="21"/>
                      <w:szCs w:val="21"/>
                      <w:highlight w:val="none"/>
                      <w:lang w:val="en-US" w:eastAsia="zh-CN"/>
                    </w:rPr>
                    <w:t>约5</w:t>
                  </w:r>
                  <w:r>
                    <w:rPr>
                      <w:rFonts w:cs="Times New Roman"/>
                      <w:color w:val="auto"/>
                      <w:sz w:val="21"/>
                      <w:szCs w:val="21"/>
                      <w:highlight w:val="none"/>
                    </w:rPr>
                    <w:t>m</w:t>
                  </w:r>
                  <w:r>
                    <w:rPr>
                      <w:rFonts w:cs="Times New Roman"/>
                      <w:color w:val="auto"/>
                      <w:sz w:val="21"/>
                      <w:szCs w:val="21"/>
                      <w:highlight w:val="none"/>
                      <w:vertAlign w:val="superscript"/>
                    </w:rPr>
                    <w:t>2</w:t>
                  </w:r>
                  <w:r>
                    <w:rPr>
                      <w:rFonts w:hint="eastAsia"/>
                      <w:color w:val="auto"/>
                      <w:sz w:val="21"/>
                      <w:szCs w:val="21"/>
                      <w:highlight w:val="none"/>
                    </w:rPr>
                    <w:t>，用于存放</w:t>
                  </w:r>
                  <w:r>
                    <w:rPr>
                      <w:rFonts w:hint="eastAsia"/>
                      <w:color w:val="auto"/>
                      <w:sz w:val="21"/>
                      <w:szCs w:val="21"/>
                      <w:highlight w:val="none"/>
                      <w:lang w:val="en-US" w:eastAsia="zh-CN"/>
                    </w:rPr>
                    <w:t>危险废物</w:t>
                  </w:r>
                </w:p>
              </w:tc>
              <w:tc>
                <w:tcPr>
                  <w:tcW w:w="1135" w:type="dxa"/>
                  <w:tcBorders>
                    <w:tl2br w:val="nil"/>
                    <w:tr2bl w:val="nil"/>
                  </w:tcBorders>
                  <w:vAlign w:val="center"/>
                </w:tcPr>
                <w:p w14:paraId="60B1B360">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957" w:type="dxa"/>
                  <w:tcBorders>
                    <w:tl2br w:val="nil"/>
                    <w:tr2bl w:val="nil"/>
                  </w:tcBorders>
                  <w:vAlign w:val="center"/>
                </w:tcPr>
                <w:p w14:paraId="1E12CA85">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14:paraId="6BFB3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tcBorders>
                    <w:tl2br w:val="nil"/>
                    <w:tr2bl w:val="nil"/>
                  </w:tcBorders>
                  <w:vAlign w:val="center"/>
                </w:tcPr>
                <w:p w14:paraId="717303D2">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Ansi="宋体"/>
                      <w:color w:val="auto"/>
                      <w:sz w:val="21"/>
                      <w:szCs w:val="21"/>
                      <w:highlight w:val="none"/>
                    </w:rPr>
                  </w:pPr>
                  <w:r>
                    <w:rPr>
                      <w:rFonts w:hint="eastAsia" w:hAnsi="宋体"/>
                      <w:color w:val="auto"/>
                      <w:sz w:val="21"/>
                      <w:szCs w:val="21"/>
                      <w:highlight w:val="none"/>
                    </w:rPr>
                    <w:t>地下水</w:t>
                  </w:r>
                </w:p>
              </w:tc>
              <w:tc>
                <w:tcPr>
                  <w:tcW w:w="6080" w:type="dxa"/>
                  <w:tcBorders>
                    <w:tl2br w:val="nil"/>
                    <w:tr2bl w:val="nil"/>
                  </w:tcBorders>
                  <w:vAlign w:val="center"/>
                </w:tcPr>
                <w:p w14:paraId="5CA2F8B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Ansi="宋体"/>
                      <w:bCs/>
                      <w:color w:val="auto"/>
                      <w:sz w:val="21"/>
                      <w:szCs w:val="21"/>
                      <w:highlight w:val="none"/>
                    </w:rPr>
                  </w:pPr>
                  <w:r>
                    <w:rPr>
                      <w:rFonts w:hint="default" w:ascii="Times New Roman" w:hAnsi="Times New Roman" w:cs="Times New Roman"/>
                      <w:bCs/>
                      <w:color w:val="auto"/>
                      <w:sz w:val="21"/>
                      <w:szCs w:val="21"/>
                      <w:highlight w:val="none"/>
                    </w:rPr>
                    <w:t>分区</w:t>
                  </w:r>
                  <w:r>
                    <w:rPr>
                      <w:rFonts w:hint="eastAsia" w:cs="Times New Roman"/>
                      <w:bCs/>
                      <w:color w:val="auto"/>
                      <w:sz w:val="21"/>
                      <w:szCs w:val="21"/>
                      <w:highlight w:val="none"/>
                      <w:lang w:val="en-US" w:eastAsia="zh-CN"/>
                    </w:rPr>
                    <w:t>防渗</w:t>
                  </w:r>
                  <w:r>
                    <w:rPr>
                      <w:rFonts w:hint="default" w:ascii="Times New Roman" w:hAnsi="Times New Roman" w:cs="Times New Roman"/>
                      <w:bCs/>
                      <w:color w:val="auto"/>
                      <w:sz w:val="21"/>
                      <w:szCs w:val="21"/>
                      <w:highlight w:val="none"/>
                    </w:rPr>
                    <w:t>，</w:t>
                  </w:r>
                  <w:r>
                    <w:rPr>
                      <w:rFonts w:hint="eastAsia" w:cs="Times New Roman"/>
                      <w:bCs/>
                      <w:color w:val="auto"/>
                      <w:sz w:val="21"/>
                      <w:szCs w:val="21"/>
                      <w:highlight w:val="none"/>
                      <w:lang w:val="en-US" w:eastAsia="zh-CN"/>
                    </w:rPr>
                    <w:t>危废暂存间拟采取重点防渗措施，</w:t>
                  </w:r>
                  <w:r>
                    <w:rPr>
                      <w:rFonts w:hint="eastAsia" w:ascii="Times New Roman" w:hAnsi="Times New Roman" w:cs="Times New Roman"/>
                      <w:bCs/>
                      <w:color w:val="auto"/>
                      <w:sz w:val="21"/>
                      <w:szCs w:val="21"/>
                      <w:highlight w:val="none"/>
                      <w:lang w:val="en-US" w:eastAsia="zh-CN"/>
                    </w:rPr>
                    <w:t>需</w:t>
                  </w:r>
                  <w:r>
                    <w:rPr>
                      <w:rFonts w:hint="default" w:ascii="Times New Roman" w:hAnsi="Times New Roman" w:cs="Times New Roman"/>
                      <w:bCs/>
                      <w:color w:val="auto"/>
                      <w:sz w:val="21"/>
                      <w:szCs w:val="21"/>
                      <w:highlight w:val="none"/>
                    </w:rPr>
                    <w:t>采用防渗混凝土+玻璃纤维膜+2mm厚环氧树脂地坪漆+金属托盘等重点防渗处理，并设置围堰</w:t>
                  </w:r>
                  <w:r>
                    <w:rPr>
                      <w:rFonts w:hint="eastAsia" w:cs="Times New Roman"/>
                      <w:bCs/>
                      <w:color w:val="auto"/>
                      <w:sz w:val="21"/>
                      <w:szCs w:val="21"/>
                      <w:highlight w:val="none"/>
                      <w:lang w:val="en-US" w:eastAsia="zh-CN"/>
                    </w:rPr>
                    <w:t>；污水处理池、预处理池等重点防渗区域需采取在现有地面防渗基础上，再进行</w:t>
                  </w:r>
                  <w:r>
                    <w:rPr>
                      <w:rFonts w:hint="eastAsia" w:ascii="Times New Roman" w:hAnsi="Times New Roman" w:cs="Times New Roman"/>
                      <w:bCs/>
                      <w:color w:val="auto"/>
                      <w:sz w:val="21"/>
                      <w:szCs w:val="21"/>
                      <w:highlight w:val="none"/>
                      <w:lang w:val="en-US" w:eastAsia="zh-CN"/>
                    </w:rPr>
                    <w:t>硬化+至少2mm厚的HDPE膜或其他人工材料</w:t>
                  </w:r>
                  <w:r>
                    <w:rPr>
                      <w:rFonts w:hint="eastAsia"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rPr>
                    <w:t>除重点防渗区以外的</w:t>
                  </w:r>
                  <w:r>
                    <w:rPr>
                      <w:rFonts w:hint="eastAsia" w:ascii="Times New Roman" w:hAnsi="Times New Roman" w:cs="Times New Roman"/>
                      <w:bCs/>
                      <w:color w:val="auto"/>
                      <w:sz w:val="21"/>
                      <w:szCs w:val="21"/>
                      <w:highlight w:val="none"/>
                      <w:lang w:val="en-US" w:eastAsia="zh-CN"/>
                    </w:rPr>
                    <w:t>生产区</w:t>
                  </w:r>
                  <w:r>
                    <w:rPr>
                      <w:rFonts w:hint="eastAsia" w:cs="Times New Roman"/>
                      <w:bCs/>
                      <w:color w:val="auto"/>
                      <w:sz w:val="21"/>
                      <w:szCs w:val="21"/>
                      <w:highlight w:val="none"/>
                      <w:lang w:val="en-US" w:eastAsia="zh-CN"/>
                    </w:rPr>
                    <w:t>需进行防渗混凝土</w:t>
                  </w:r>
                  <w:r>
                    <w:rPr>
                      <w:rFonts w:hint="eastAsia" w:ascii="Times New Roman" w:hAnsi="Times New Roman" w:cs="Times New Roman"/>
                      <w:bCs/>
                      <w:color w:val="auto"/>
                      <w:sz w:val="21"/>
                      <w:szCs w:val="21"/>
                      <w:highlight w:val="none"/>
                      <w:lang w:val="en-US" w:eastAsia="zh-CN"/>
                    </w:rPr>
                    <w:t>硬化+至少2mm厚的HDPE膜或其他人工材料</w:t>
                  </w:r>
                  <w:r>
                    <w:rPr>
                      <w:rFonts w:hint="eastAsia" w:cs="Times New Roman"/>
                      <w:bCs/>
                      <w:color w:val="auto"/>
                      <w:sz w:val="21"/>
                      <w:szCs w:val="21"/>
                      <w:highlight w:val="none"/>
                      <w:lang w:val="en-US" w:eastAsia="zh-CN"/>
                    </w:rPr>
                    <w:t>等处理；办公室、厂区道路等简单防渗的区域需进行水泥硬化，满足防渗要求</w:t>
                  </w:r>
                  <w:r>
                    <w:rPr>
                      <w:rFonts w:hint="default" w:ascii="Times New Roman" w:hAnsi="Times New Roman" w:cs="Times New Roman"/>
                      <w:bCs/>
                      <w:color w:val="auto"/>
                      <w:sz w:val="21"/>
                      <w:szCs w:val="21"/>
                      <w:highlight w:val="none"/>
                    </w:rPr>
                    <w:t>。</w:t>
                  </w:r>
                </w:p>
              </w:tc>
              <w:tc>
                <w:tcPr>
                  <w:tcW w:w="1135" w:type="dxa"/>
                  <w:tcBorders>
                    <w:tl2br w:val="nil"/>
                    <w:tr2bl w:val="nil"/>
                  </w:tcBorders>
                  <w:vAlign w:val="center"/>
                </w:tcPr>
                <w:p w14:paraId="432EFED0">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计入主体工程</w:t>
                  </w:r>
                </w:p>
              </w:tc>
              <w:tc>
                <w:tcPr>
                  <w:tcW w:w="957" w:type="dxa"/>
                  <w:tcBorders>
                    <w:tl2br w:val="nil"/>
                    <w:tr2bl w:val="nil"/>
                  </w:tcBorders>
                  <w:vAlign w:val="center"/>
                </w:tcPr>
                <w:p w14:paraId="2B87D902">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bCs/>
                      <w:color w:val="auto"/>
                      <w:sz w:val="21"/>
                      <w:szCs w:val="21"/>
                      <w:highlight w:val="none"/>
                    </w:rPr>
                    <w:t>新建</w:t>
                  </w:r>
                  <w:r>
                    <w:rPr>
                      <w:rFonts w:hint="eastAsia"/>
                      <w:bCs/>
                      <w:color w:val="auto"/>
                      <w:sz w:val="21"/>
                      <w:szCs w:val="21"/>
                      <w:highlight w:val="none"/>
                      <w:lang w:val="en-US" w:eastAsia="zh-CN"/>
                    </w:rPr>
                    <w:t>+依托</w:t>
                  </w:r>
                </w:p>
              </w:tc>
            </w:tr>
            <w:tr w14:paraId="4370C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restart"/>
                  <w:tcBorders>
                    <w:tl2br w:val="nil"/>
                    <w:tr2bl w:val="nil"/>
                  </w:tcBorders>
                  <w:vAlign w:val="center"/>
                </w:tcPr>
                <w:p w14:paraId="3684805F">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Ansi="宋体"/>
                      <w:color w:val="auto"/>
                      <w:sz w:val="21"/>
                      <w:szCs w:val="21"/>
                      <w:highlight w:val="none"/>
                    </w:rPr>
                  </w:pPr>
                  <w:r>
                    <w:rPr>
                      <w:rFonts w:hint="eastAsia" w:hAnsi="宋体"/>
                      <w:color w:val="auto"/>
                      <w:sz w:val="21"/>
                      <w:szCs w:val="21"/>
                      <w:highlight w:val="none"/>
                    </w:rPr>
                    <w:t>环境风险</w:t>
                  </w:r>
                </w:p>
              </w:tc>
              <w:tc>
                <w:tcPr>
                  <w:tcW w:w="6080" w:type="dxa"/>
                  <w:tcBorders>
                    <w:tl2br w:val="nil"/>
                    <w:tr2bl w:val="nil"/>
                  </w:tcBorders>
                  <w:vAlign w:val="center"/>
                </w:tcPr>
                <w:p w14:paraId="171AE6D5">
                  <w:pPr>
                    <w:keepNext w:val="0"/>
                    <w:keepLines w:val="0"/>
                    <w:pageBreakBefore w:val="0"/>
                    <w:kinsoku/>
                    <w:wordWrap/>
                    <w:overflowPunct/>
                    <w:topLinePunct w:val="0"/>
                    <w:autoSpaceDE/>
                    <w:autoSpaceDN/>
                    <w:bidi w:val="0"/>
                    <w:spacing w:line="240" w:lineRule="auto"/>
                    <w:ind w:left="0" w:leftChars="0" w:right="0" w:rightChars="0" w:firstLine="0" w:firstLineChars="0"/>
                    <w:textAlignment w:val="auto"/>
                    <w:rPr>
                      <w:rFonts w:hAnsi="宋体"/>
                      <w:bCs/>
                      <w:color w:val="auto"/>
                      <w:sz w:val="21"/>
                      <w:szCs w:val="21"/>
                      <w:highlight w:val="none"/>
                    </w:rPr>
                  </w:pPr>
                  <w:r>
                    <w:rPr>
                      <w:rFonts w:hint="eastAsia" w:hAnsi="宋体"/>
                      <w:bCs/>
                      <w:color w:val="auto"/>
                      <w:sz w:val="21"/>
                      <w:szCs w:val="21"/>
                      <w:highlight w:val="none"/>
                    </w:rPr>
                    <w:t>对</w:t>
                  </w:r>
                  <w:r>
                    <w:rPr>
                      <w:rFonts w:hint="eastAsia" w:hAnsi="宋体"/>
                      <w:bCs/>
                      <w:color w:val="auto"/>
                      <w:sz w:val="21"/>
                      <w:szCs w:val="21"/>
                      <w:highlight w:val="none"/>
                      <w:lang w:eastAsia="zh-CN"/>
                    </w:rPr>
                    <w:t>危废暂存间</w:t>
                  </w:r>
                  <w:r>
                    <w:rPr>
                      <w:rFonts w:hint="eastAsia" w:hAnsi="宋体"/>
                      <w:bCs/>
                      <w:color w:val="auto"/>
                      <w:sz w:val="21"/>
                      <w:szCs w:val="21"/>
                      <w:highlight w:val="none"/>
                    </w:rPr>
                    <w:t>区域铺设防渗层或等效措施。</w:t>
                  </w:r>
                </w:p>
              </w:tc>
              <w:tc>
                <w:tcPr>
                  <w:tcW w:w="1135" w:type="dxa"/>
                  <w:tcBorders>
                    <w:tl2br w:val="nil"/>
                    <w:tr2bl w:val="nil"/>
                  </w:tcBorders>
                  <w:vAlign w:val="center"/>
                </w:tcPr>
                <w:p w14:paraId="79D80366">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hint="eastAsia" w:eastAsia="等线"/>
                      <w:color w:val="auto"/>
                      <w:sz w:val="21"/>
                      <w:szCs w:val="21"/>
                      <w:highlight w:val="none"/>
                    </w:rPr>
                    <w:t>/</w:t>
                  </w:r>
                </w:p>
              </w:tc>
              <w:tc>
                <w:tcPr>
                  <w:tcW w:w="957" w:type="dxa"/>
                  <w:tcBorders>
                    <w:tl2br w:val="nil"/>
                    <w:tr2bl w:val="nil"/>
                  </w:tcBorders>
                  <w:vAlign w:val="center"/>
                </w:tcPr>
                <w:p w14:paraId="7AB5DCD1">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计入主体工程</w:t>
                  </w:r>
                </w:p>
              </w:tc>
            </w:tr>
            <w:tr w14:paraId="627DC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continue"/>
                  <w:tcBorders>
                    <w:tl2br w:val="nil"/>
                    <w:tr2bl w:val="nil"/>
                  </w:tcBorders>
                  <w:vAlign w:val="center"/>
                </w:tcPr>
                <w:p w14:paraId="7F68F983">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Ansi="宋体"/>
                      <w:color w:val="auto"/>
                      <w:sz w:val="21"/>
                      <w:szCs w:val="21"/>
                      <w:highlight w:val="none"/>
                    </w:rPr>
                  </w:pPr>
                </w:p>
              </w:tc>
              <w:tc>
                <w:tcPr>
                  <w:tcW w:w="6080" w:type="dxa"/>
                  <w:tcBorders>
                    <w:tl2br w:val="nil"/>
                    <w:tr2bl w:val="nil"/>
                  </w:tcBorders>
                  <w:vAlign w:val="center"/>
                </w:tcPr>
                <w:p w14:paraId="2DB2868F">
                  <w:pPr>
                    <w:pStyle w:val="50"/>
                    <w:keepNext w:val="0"/>
                    <w:keepLines w:val="0"/>
                    <w:pageBreakBefore w:val="0"/>
                    <w:widowControl/>
                    <w:kinsoku/>
                    <w:wordWrap/>
                    <w:overflowPunct/>
                    <w:topLinePunct w:val="0"/>
                    <w:autoSpaceDE/>
                    <w:autoSpaceDN/>
                    <w:bidi w:val="0"/>
                    <w:spacing w:line="240" w:lineRule="auto"/>
                    <w:ind w:left="0" w:leftChars="0" w:right="0" w:rightChars="0" w:firstLine="0" w:firstLineChars="0"/>
                    <w:jc w:val="both"/>
                    <w:textAlignment w:val="auto"/>
                    <w:rPr>
                      <w:rFonts w:ascii="Times New Roman" w:hAnsi="Times New Roman"/>
                      <w:color w:val="auto"/>
                      <w:kern w:val="2"/>
                      <w:sz w:val="21"/>
                      <w:szCs w:val="21"/>
                      <w:highlight w:val="none"/>
                    </w:rPr>
                  </w:pPr>
                  <w:r>
                    <w:rPr>
                      <w:rFonts w:ascii="Times New Roman" w:hAnsi="Times New Roman"/>
                      <w:b w:val="0"/>
                      <w:bCs/>
                      <w:color w:val="auto"/>
                      <w:kern w:val="2"/>
                      <w:sz w:val="21"/>
                      <w:szCs w:val="21"/>
                      <w:highlight w:val="none"/>
                    </w:rPr>
                    <w:t>消防设施定期检查，维护，电器线路定期检查、维修、保养</w:t>
                  </w:r>
                  <w:r>
                    <w:rPr>
                      <w:rFonts w:hint="eastAsia"/>
                      <w:b w:val="0"/>
                      <w:bCs/>
                      <w:color w:val="auto"/>
                      <w:sz w:val="21"/>
                      <w:szCs w:val="21"/>
                      <w:highlight w:val="none"/>
                    </w:rPr>
                    <w:t>。</w:t>
                  </w:r>
                </w:p>
              </w:tc>
              <w:tc>
                <w:tcPr>
                  <w:tcW w:w="1135" w:type="dxa"/>
                  <w:tcBorders>
                    <w:tl2br w:val="nil"/>
                    <w:tr2bl w:val="nil"/>
                  </w:tcBorders>
                  <w:vAlign w:val="center"/>
                </w:tcPr>
                <w:p w14:paraId="192E4BC2">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eastAsia="等线"/>
                      <w:color w:val="auto"/>
                      <w:sz w:val="21"/>
                      <w:szCs w:val="21"/>
                      <w:highlight w:val="none"/>
                    </w:rPr>
                    <w:t>1.0</w:t>
                  </w:r>
                </w:p>
              </w:tc>
              <w:tc>
                <w:tcPr>
                  <w:tcW w:w="957" w:type="dxa"/>
                  <w:tcBorders>
                    <w:tl2br w:val="nil"/>
                    <w:tr2bl w:val="nil"/>
                  </w:tcBorders>
                  <w:vAlign w:val="center"/>
                </w:tcPr>
                <w:p w14:paraId="28FC9C25">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r>
            <w:tr w14:paraId="1325F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continue"/>
                  <w:tcBorders>
                    <w:tl2br w:val="nil"/>
                    <w:tr2bl w:val="nil"/>
                  </w:tcBorders>
                  <w:vAlign w:val="center"/>
                </w:tcPr>
                <w:p w14:paraId="67AC7906">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Ansi="宋体"/>
                      <w:color w:val="auto"/>
                      <w:sz w:val="21"/>
                      <w:szCs w:val="21"/>
                      <w:highlight w:val="none"/>
                    </w:rPr>
                  </w:pPr>
                </w:p>
              </w:tc>
              <w:tc>
                <w:tcPr>
                  <w:tcW w:w="6080" w:type="dxa"/>
                  <w:tcBorders>
                    <w:tl2br w:val="nil"/>
                    <w:tr2bl w:val="nil"/>
                  </w:tcBorders>
                  <w:vAlign w:val="center"/>
                </w:tcPr>
                <w:p w14:paraId="03BAE4E8">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rFonts w:hint="eastAsia" w:eastAsia="宋体"/>
                      <w:color w:val="auto"/>
                      <w:sz w:val="21"/>
                      <w:szCs w:val="21"/>
                      <w:highlight w:val="none"/>
                      <w:lang w:eastAsia="zh-CN"/>
                    </w:rPr>
                  </w:pPr>
                  <w:r>
                    <w:rPr>
                      <w:rFonts w:hint="eastAsia"/>
                      <w:color w:val="auto"/>
                      <w:sz w:val="21"/>
                      <w:szCs w:val="21"/>
                      <w:highlight w:val="none"/>
                    </w:rPr>
                    <w:t>制定切合企业实际情况的应急预案</w:t>
                  </w:r>
                  <w:r>
                    <w:rPr>
                      <w:rFonts w:hint="eastAsia"/>
                      <w:color w:val="auto"/>
                      <w:sz w:val="21"/>
                      <w:szCs w:val="21"/>
                      <w:highlight w:val="none"/>
                      <w:lang w:eastAsia="zh-CN"/>
                    </w:rPr>
                    <w:t>。</w:t>
                  </w:r>
                </w:p>
              </w:tc>
              <w:tc>
                <w:tcPr>
                  <w:tcW w:w="1135" w:type="dxa"/>
                  <w:tcBorders>
                    <w:tl2br w:val="nil"/>
                    <w:tr2bl w:val="nil"/>
                  </w:tcBorders>
                  <w:vAlign w:val="center"/>
                </w:tcPr>
                <w:p w14:paraId="4E39A8E5">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eastAsia="等线"/>
                      <w:color w:val="auto"/>
                      <w:sz w:val="21"/>
                      <w:szCs w:val="21"/>
                      <w:highlight w:val="none"/>
                    </w:rPr>
                    <w:t>2.0</w:t>
                  </w:r>
                </w:p>
              </w:tc>
              <w:tc>
                <w:tcPr>
                  <w:tcW w:w="957" w:type="dxa"/>
                  <w:tcBorders>
                    <w:tl2br w:val="nil"/>
                    <w:tr2bl w:val="nil"/>
                  </w:tcBorders>
                  <w:vAlign w:val="center"/>
                </w:tcPr>
                <w:p w14:paraId="7FA0D0DD">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r>
            <w:tr w14:paraId="36A38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continue"/>
                  <w:tcBorders>
                    <w:tl2br w:val="nil"/>
                    <w:tr2bl w:val="nil"/>
                  </w:tcBorders>
                  <w:vAlign w:val="center"/>
                </w:tcPr>
                <w:p w14:paraId="56AB5F41">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Ansi="宋体"/>
                      <w:color w:val="auto"/>
                      <w:sz w:val="21"/>
                      <w:szCs w:val="21"/>
                      <w:highlight w:val="none"/>
                    </w:rPr>
                  </w:pPr>
                </w:p>
              </w:tc>
              <w:tc>
                <w:tcPr>
                  <w:tcW w:w="6080" w:type="dxa"/>
                  <w:tcBorders>
                    <w:tl2br w:val="nil"/>
                    <w:tr2bl w:val="nil"/>
                  </w:tcBorders>
                  <w:vAlign w:val="center"/>
                </w:tcPr>
                <w:p w14:paraId="77B90EE8">
                  <w:pPr>
                    <w:keepNext w:val="0"/>
                    <w:keepLines w:val="0"/>
                    <w:pageBreakBefore w:val="0"/>
                    <w:widowControl/>
                    <w:kinsoku/>
                    <w:wordWrap/>
                    <w:overflowPunct/>
                    <w:topLinePunct w:val="0"/>
                    <w:autoSpaceDE/>
                    <w:autoSpaceDN/>
                    <w:bidi w:val="0"/>
                    <w:spacing w:line="240" w:lineRule="auto"/>
                    <w:ind w:left="0" w:leftChars="0" w:right="0" w:rightChars="0" w:firstLine="0" w:firstLineChars="0"/>
                    <w:jc w:val="left"/>
                    <w:textAlignment w:val="auto"/>
                    <w:rPr>
                      <w:color w:val="auto"/>
                      <w:sz w:val="21"/>
                      <w:szCs w:val="21"/>
                      <w:highlight w:val="none"/>
                    </w:rPr>
                  </w:pPr>
                  <w:r>
                    <w:rPr>
                      <w:color w:val="auto"/>
                      <w:sz w:val="21"/>
                      <w:szCs w:val="21"/>
                      <w:highlight w:val="none"/>
                    </w:rPr>
                    <w:t>设置消防栓、灭火器</w:t>
                  </w:r>
                  <w:r>
                    <w:rPr>
                      <w:rFonts w:hint="eastAsia"/>
                      <w:color w:val="auto"/>
                      <w:sz w:val="21"/>
                      <w:szCs w:val="21"/>
                      <w:highlight w:val="none"/>
                    </w:rPr>
                    <w:t>、防火标牌。</w:t>
                  </w:r>
                </w:p>
              </w:tc>
              <w:tc>
                <w:tcPr>
                  <w:tcW w:w="1135" w:type="dxa"/>
                  <w:tcBorders>
                    <w:tl2br w:val="nil"/>
                    <w:tr2bl w:val="nil"/>
                  </w:tcBorders>
                  <w:vAlign w:val="center"/>
                </w:tcPr>
                <w:p w14:paraId="7F1FBA30">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eastAsia="等线"/>
                      <w:color w:val="auto"/>
                      <w:sz w:val="21"/>
                      <w:szCs w:val="21"/>
                      <w:highlight w:val="none"/>
                    </w:rPr>
                    <w:t>1.0</w:t>
                  </w:r>
                </w:p>
              </w:tc>
              <w:tc>
                <w:tcPr>
                  <w:tcW w:w="957" w:type="dxa"/>
                  <w:tcBorders>
                    <w:tl2br w:val="nil"/>
                    <w:tr2bl w:val="nil"/>
                  </w:tcBorders>
                  <w:vAlign w:val="center"/>
                </w:tcPr>
                <w:p w14:paraId="63B6392F">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r>
            <w:tr w14:paraId="1CDA4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7" w:type="dxa"/>
                  <w:gridSpan w:val="2"/>
                  <w:tcBorders>
                    <w:tl2br w:val="nil"/>
                    <w:tr2bl w:val="nil"/>
                  </w:tcBorders>
                  <w:vAlign w:val="center"/>
                </w:tcPr>
                <w:p w14:paraId="7ECB844C">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Ansi="宋体"/>
                      <w:bCs/>
                      <w:color w:val="auto"/>
                      <w:sz w:val="21"/>
                      <w:szCs w:val="21"/>
                      <w:highlight w:val="none"/>
                    </w:rPr>
                  </w:pPr>
                  <w:r>
                    <w:rPr>
                      <w:rFonts w:hint="eastAsia" w:hAnsi="宋体"/>
                      <w:bCs/>
                      <w:color w:val="auto"/>
                      <w:sz w:val="21"/>
                      <w:szCs w:val="21"/>
                      <w:highlight w:val="none"/>
                    </w:rPr>
                    <w:t>合计</w:t>
                  </w:r>
                </w:p>
              </w:tc>
              <w:tc>
                <w:tcPr>
                  <w:tcW w:w="1135" w:type="dxa"/>
                  <w:tcBorders>
                    <w:tl2br w:val="nil"/>
                    <w:tr2bl w:val="nil"/>
                  </w:tcBorders>
                  <w:vAlign w:val="center"/>
                </w:tcPr>
                <w:p w14:paraId="45CF2C15">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66.0</w:t>
                  </w:r>
                </w:p>
              </w:tc>
              <w:tc>
                <w:tcPr>
                  <w:tcW w:w="957" w:type="dxa"/>
                  <w:tcBorders>
                    <w:tl2br w:val="nil"/>
                    <w:tr2bl w:val="nil"/>
                  </w:tcBorders>
                  <w:vAlign w:val="center"/>
                </w:tcPr>
                <w:p w14:paraId="5FCCD23D">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w:t>
                  </w:r>
                </w:p>
              </w:tc>
            </w:tr>
          </w:tbl>
          <w:p w14:paraId="51E7DA68">
            <w:pPr>
              <w:rPr>
                <w:color w:val="auto"/>
                <w:highlight w:val="none"/>
              </w:rPr>
            </w:pPr>
          </w:p>
          <w:p w14:paraId="27269469">
            <w:pPr>
              <w:rPr>
                <w:color w:val="auto"/>
                <w:highlight w:val="none"/>
              </w:rPr>
            </w:pPr>
          </w:p>
          <w:p w14:paraId="2C80A2F4">
            <w:pPr>
              <w:rPr>
                <w:color w:val="auto"/>
                <w:highlight w:val="none"/>
              </w:rPr>
            </w:pPr>
          </w:p>
        </w:tc>
      </w:tr>
    </w:tbl>
    <w:p w14:paraId="30130342">
      <w:pPr>
        <w:ind w:firstLine="420"/>
        <w:rPr>
          <w:color w:val="auto"/>
          <w:highlight w:val="none"/>
        </w:rPr>
        <w:sectPr>
          <w:pgSz w:w="11905" w:h="16838"/>
          <w:pgMar w:top="1440" w:right="1080" w:bottom="1440" w:left="1080" w:header="851" w:footer="1077" w:gutter="0"/>
          <w:pgBorders>
            <w:top w:val="none" w:sz="0" w:space="0"/>
            <w:left w:val="none" w:sz="0" w:space="0"/>
            <w:bottom w:val="none" w:sz="0" w:space="0"/>
            <w:right w:val="none" w:sz="0" w:space="0"/>
          </w:pgBorders>
          <w:pgNumType w:fmt="decimal"/>
          <w:cols w:space="720" w:num="1"/>
          <w:docGrid w:linePitch="312" w:charSpace="0"/>
        </w:sectPr>
      </w:pPr>
    </w:p>
    <w:p w14:paraId="5BB6D90F">
      <w:pPr>
        <w:pStyle w:val="25"/>
        <w:spacing w:beforeAutospacing="0" w:after="0" w:afterAutospacing="0"/>
        <w:ind w:firstLine="600"/>
        <w:jc w:val="center"/>
        <w:outlineLvl w:val="0"/>
        <w:rPr>
          <w:rFonts w:ascii="Times New Roman" w:hAnsi="Times New Roman" w:eastAsia="黑体"/>
          <w:snapToGrid w:val="0"/>
          <w:color w:val="auto"/>
          <w:sz w:val="28"/>
          <w:szCs w:val="28"/>
          <w:highlight w:val="none"/>
        </w:rPr>
      </w:pPr>
      <w:bookmarkStart w:id="28" w:name="_Toc14176"/>
      <w:bookmarkStart w:id="29" w:name="_Toc30930"/>
      <w:bookmarkStart w:id="30" w:name="_Toc4706"/>
      <w:r>
        <w:rPr>
          <w:rFonts w:ascii="Times New Roman" w:hAnsi="Times New Roman" w:eastAsia="黑体"/>
          <w:snapToGrid w:val="0"/>
          <w:color w:val="auto"/>
          <w:sz w:val="28"/>
          <w:szCs w:val="28"/>
          <w:highlight w:val="none"/>
        </w:rPr>
        <w:t>五、</w:t>
      </w:r>
      <w:bookmarkStart w:id="31" w:name="_Hlk54167917"/>
      <w:r>
        <w:rPr>
          <w:rFonts w:ascii="Times New Roman" w:hAnsi="Times New Roman" w:eastAsia="黑体"/>
          <w:snapToGrid w:val="0"/>
          <w:color w:val="auto"/>
          <w:sz w:val="28"/>
          <w:szCs w:val="28"/>
          <w:highlight w:val="none"/>
        </w:rPr>
        <w:t>环境保护措施监督检查清单</w:t>
      </w:r>
      <w:bookmarkEnd w:id="28"/>
      <w:bookmarkEnd w:id="29"/>
      <w:bookmarkEnd w:id="30"/>
      <w:bookmarkEnd w:id="31"/>
    </w:p>
    <w:tbl>
      <w:tblPr>
        <w:tblStyle w:val="2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580"/>
        <w:gridCol w:w="1073"/>
        <w:gridCol w:w="2560"/>
        <w:gridCol w:w="3817"/>
      </w:tblGrid>
      <w:tr w14:paraId="1AF58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3" w:type="dxa"/>
            <w:tcBorders>
              <w:tl2br w:val="single" w:color="auto" w:sz="4" w:space="0"/>
            </w:tcBorders>
            <w:vAlign w:val="center"/>
          </w:tcPr>
          <w:p w14:paraId="42E6BFC8">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内容</w:t>
            </w:r>
          </w:p>
          <w:p w14:paraId="28A87DBB">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要素</w:t>
            </w:r>
          </w:p>
        </w:tc>
        <w:tc>
          <w:tcPr>
            <w:tcW w:w="1580" w:type="dxa"/>
            <w:vAlign w:val="center"/>
          </w:tcPr>
          <w:p w14:paraId="7DB07E34">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排放口(编号、名称)/污染源</w:t>
            </w:r>
          </w:p>
        </w:tc>
        <w:tc>
          <w:tcPr>
            <w:tcW w:w="1073" w:type="dxa"/>
            <w:vAlign w:val="center"/>
          </w:tcPr>
          <w:p w14:paraId="6DEBBCAC">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污染物项目</w:t>
            </w:r>
          </w:p>
        </w:tc>
        <w:tc>
          <w:tcPr>
            <w:tcW w:w="2560" w:type="dxa"/>
            <w:vAlign w:val="center"/>
          </w:tcPr>
          <w:p w14:paraId="2BEEF043">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环境保护措施</w:t>
            </w:r>
          </w:p>
        </w:tc>
        <w:tc>
          <w:tcPr>
            <w:tcW w:w="3817" w:type="dxa"/>
            <w:vAlign w:val="center"/>
          </w:tcPr>
          <w:p w14:paraId="2040A7ED">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b/>
                <w:bCs/>
                <w:color w:val="auto"/>
                <w:sz w:val="24"/>
                <w:szCs w:val="24"/>
                <w:highlight w:val="none"/>
              </w:rPr>
            </w:pPr>
            <w:r>
              <w:rPr>
                <w:rFonts w:ascii="Times New Roman" w:hAnsi="Times New Roman"/>
                <w:b/>
                <w:bCs/>
                <w:color w:val="auto"/>
                <w:sz w:val="24"/>
                <w:szCs w:val="24"/>
                <w:highlight w:val="none"/>
              </w:rPr>
              <w:t>执行标准</w:t>
            </w:r>
          </w:p>
        </w:tc>
      </w:tr>
      <w:tr w14:paraId="37A71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2" w:hRule="atLeast"/>
        </w:trPr>
        <w:tc>
          <w:tcPr>
            <w:tcW w:w="823" w:type="dxa"/>
            <w:vMerge w:val="restart"/>
            <w:vAlign w:val="center"/>
          </w:tcPr>
          <w:p w14:paraId="7FE11612">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大气环境</w:t>
            </w:r>
          </w:p>
        </w:tc>
        <w:tc>
          <w:tcPr>
            <w:tcW w:w="1580" w:type="dxa"/>
            <w:vAlign w:val="center"/>
          </w:tcPr>
          <w:p w14:paraId="1726B59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天然气燃烧废气排口/</w:t>
            </w:r>
            <w:r>
              <w:rPr>
                <w:rFonts w:hint="eastAsia" w:ascii="Times New Roman" w:hAnsi="Times New Roman" w:eastAsia="宋体" w:cs="Times New Roman"/>
                <w:color w:val="auto"/>
                <w:kern w:val="0"/>
                <w:sz w:val="24"/>
                <w:szCs w:val="24"/>
                <w:highlight w:val="none"/>
                <w:lang w:val="en-US" w:eastAsia="zh-CN" w:bidi="ar-SA"/>
              </w:rPr>
              <w:t>DA001</w:t>
            </w:r>
          </w:p>
        </w:tc>
        <w:tc>
          <w:tcPr>
            <w:tcW w:w="1073" w:type="dxa"/>
            <w:vAlign w:val="center"/>
          </w:tcPr>
          <w:p w14:paraId="611B08E7">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NOx、SO</w:t>
            </w:r>
            <w:r>
              <w:rPr>
                <w:rFonts w:hint="eastAsia" w:ascii="Times New Roman" w:hAnsi="Times New Roman" w:eastAsia="宋体" w:cs="Times New Roman"/>
                <w:color w:val="auto"/>
                <w:kern w:val="0"/>
                <w:sz w:val="24"/>
                <w:szCs w:val="24"/>
                <w:highlight w:val="none"/>
                <w:vertAlign w:val="sub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、颗粒物</w:t>
            </w:r>
          </w:p>
        </w:tc>
        <w:tc>
          <w:tcPr>
            <w:tcW w:w="2560" w:type="dxa"/>
            <w:vAlign w:val="center"/>
          </w:tcPr>
          <w:p w14:paraId="7261B461">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rPr>
              <w:t>低氮燃烧处理，烟气引至楼顶后经1根15m排气筒（DA001）达标排放。</w:t>
            </w:r>
          </w:p>
        </w:tc>
        <w:tc>
          <w:tcPr>
            <w:tcW w:w="3817" w:type="dxa"/>
            <w:vAlign w:val="center"/>
          </w:tcPr>
          <w:p w14:paraId="285F08DE">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《锅炉大气污染物综合排放标准》（GB13271-2014）</w:t>
            </w:r>
            <w:r>
              <w:rPr>
                <w:rFonts w:hint="default" w:ascii="Times New Roman" w:hAnsi="Times New Roman" w:eastAsia="宋体"/>
                <w:color w:val="auto"/>
                <w:sz w:val="24"/>
                <w:szCs w:val="24"/>
                <w:highlight w:val="none"/>
                <w:lang w:val="en-US" w:eastAsia="zh-CN"/>
              </w:rPr>
              <w:t>表</w:t>
            </w:r>
            <w:r>
              <w:rPr>
                <w:rFonts w:hint="eastAsia" w:ascii="Times New Roman" w:hAnsi="Times New Roman"/>
                <w:color w:val="auto"/>
                <w:sz w:val="24"/>
                <w:szCs w:val="24"/>
                <w:highlight w:val="none"/>
                <w:lang w:val="en-US" w:eastAsia="zh-CN"/>
              </w:rPr>
              <w:t>3</w:t>
            </w:r>
            <w:r>
              <w:rPr>
                <w:rFonts w:hint="default" w:ascii="Times New Roman" w:hAnsi="Times New Roman" w:eastAsia="宋体"/>
                <w:color w:val="auto"/>
                <w:sz w:val="24"/>
                <w:szCs w:val="24"/>
                <w:highlight w:val="none"/>
                <w:lang w:val="en-US" w:eastAsia="zh-CN"/>
              </w:rPr>
              <w:t>中燃气锅炉排放限值要求</w:t>
            </w:r>
          </w:p>
        </w:tc>
      </w:tr>
      <w:tr w14:paraId="2B695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823" w:type="dxa"/>
            <w:vMerge w:val="continue"/>
            <w:vAlign w:val="center"/>
          </w:tcPr>
          <w:p w14:paraId="60B9472E">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p>
        </w:tc>
        <w:tc>
          <w:tcPr>
            <w:tcW w:w="1580" w:type="dxa"/>
            <w:vAlign w:val="center"/>
          </w:tcPr>
          <w:p w14:paraId="2B6D4FD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无组织/粉尘</w:t>
            </w:r>
          </w:p>
        </w:tc>
        <w:tc>
          <w:tcPr>
            <w:tcW w:w="1073" w:type="dxa"/>
            <w:vAlign w:val="center"/>
          </w:tcPr>
          <w:p w14:paraId="726DFAFD">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颗粒物</w:t>
            </w:r>
          </w:p>
        </w:tc>
        <w:tc>
          <w:tcPr>
            <w:tcW w:w="2560" w:type="dxa"/>
            <w:vAlign w:val="center"/>
          </w:tcPr>
          <w:p w14:paraId="7F7A00B3">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直接无组织排放</w:t>
            </w:r>
          </w:p>
        </w:tc>
        <w:tc>
          <w:tcPr>
            <w:tcW w:w="3817" w:type="dxa"/>
            <w:vAlign w:val="center"/>
          </w:tcPr>
          <w:p w14:paraId="559CBFEB">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《大气污染物综合排放标准》（GB16297-1996）表2标准</w:t>
            </w:r>
          </w:p>
        </w:tc>
      </w:tr>
      <w:tr w14:paraId="3011F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823" w:type="dxa"/>
            <w:vMerge w:val="restart"/>
            <w:vAlign w:val="center"/>
          </w:tcPr>
          <w:p w14:paraId="4D9C1058">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地表水环境</w:t>
            </w:r>
          </w:p>
        </w:tc>
        <w:tc>
          <w:tcPr>
            <w:tcW w:w="1580" w:type="dxa"/>
            <w:vAlign w:val="center"/>
          </w:tcPr>
          <w:p w14:paraId="62D6DE5F">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rPr>
              <w:t>生活污水</w:t>
            </w:r>
          </w:p>
        </w:tc>
        <w:tc>
          <w:tcPr>
            <w:tcW w:w="1073" w:type="dxa"/>
            <w:vAlign w:val="center"/>
          </w:tcPr>
          <w:p w14:paraId="57546280">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olor w:val="auto"/>
                <w:sz w:val="24"/>
                <w:szCs w:val="24"/>
                <w:highlight w:val="none"/>
                <w:lang w:val="en-US" w:eastAsia="zh-CN"/>
              </w:rPr>
            </w:pPr>
            <w:r>
              <w:rPr>
                <w:rFonts w:ascii="Times New Roman" w:hAnsi="Times New Roman"/>
                <w:color w:val="auto"/>
                <w:sz w:val="24"/>
                <w:szCs w:val="24"/>
                <w:highlight w:val="none"/>
              </w:rPr>
              <w:t>COD</w:t>
            </w:r>
            <w:r>
              <w:rPr>
                <w:rFonts w:ascii="Times New Roman" w:hAnsi="Times New Roman"/>
                <w:color w:val="auto"/>
                <w:sz w:val="24"/>
                <w:szCs w:val="24"/>
                <w:highlight w:val="none"/>
                <w:vertAlign w:val="subscript"/>
              </w:rPr>
              <w:t>Cr</w:t>
            </w:r>
            <w:r>
              <w:rPr>
                <w:rFonts w:ascii="Times New Roman" w:hAnsi="Times New Roman"/>
                <w:color w:val="auto"/>
                <w:sz w:val="24"/>
                <w:szCs w:val="24"/>
                <w:highlight w:val="none"/>
              </w:rPr>
              <w:t>、BOD</w:t>
            </w:r>
            <w:r>
              <w:rPr>
                <w:rFonts w:ascii="Times New Roman" w:hAnsi="Times New Roman"/>
                <w:color w:val="auto"/>
                <w:sz w:val="24"/>
                <w:szCs w:val="24"/>
                <w:highlight w:val="none"/>
                <w:vertAlign w:val="subscript"/>
              </w:rPr>
              <w:t>5</w:t>
            </w:r>
            <w:r>
              <w:rPr>
                <w:rFonts w:ascii="Times New Roman" w:hAnsi="Times New Roman"/>
                <w:color w:val="auto"/>
                <w:sz w:val="24"/>
                <w:szCs w:val="24"/>
                <w:highlight w:val="none"/>
              </w:rPr>
              <w:t>、SS、NH</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-N</w:t>
            </w:r>
          </w:p>
        </w:tc>
        <w:tc>
          <w:tcPr>
            <w:tcW w:w="2560" w:type="dxa"/>
            <w:vAlign w:val="center"/>
          </w:tcPr>
          <w:p w14:paraId="63AD34C1">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拟经过本项目新建预处理池（</w:t>
            </w:r>
            <w:r>
              <w:rPr>
                <w:rFonts w:hint="eastAsia" w:ascii="Times New Roman" w:hAnsi="Times New Roman"/>
                <w:color w:val="auto"/>
                <w:sz w:val="24"/>
                <w:szCs w:val="24"/>
                <w:highlight w:val="none"/>
                <w:lang w:val="en-US" w:eastAsia="zh-CN"/>
              </w:rPr>
              <w:t>5</w:t>
            </w:r>
            <w:r>
              <w:rPr>
                <w:rFonts w:hint="eastAsia" w:ascii="Times New Roman" w:hAnsi="Times New Roman" w:eastAsia="宋体"/>
                <w:color w:val="auto"/>
                <w:sz w:val="24"/>
                <w:szCs w:val="24"/>
                <w:highlight w:val="none"/>
                <w:lang w:eastAsia="zh-CN"/>
              </w:rPr>
              <w:t>m</w:t>
            </w:r>
            <w:r>
              <w:rPr>
                <w:rFonts w:hint="eastAsia" w:ascii="Times New Roman" w:hAnsi="Times New Roman" w:eastAsia="宋体"/>
                <w:color w:val="auto"/>
                <w:sz w:val="24"/>
                <w:szCs w:val="24"/>
                <w:highlight w:val="none"/>
                <w:vertAlign w:val="superscript"/>
                <w:lang w:eastAsia="zh-CN"/>
              </w:rPr>
              <w:t>3</w:t>
            </w:r>
            <w:r>
              <w:rPr>
                <w:rFonts w:hint="eastAsia" w:ascii="Times New Roman" w:hAnsi="Times New Roman" w:eastAsia="宋体"/>
                <w:color w:val="auto"/>
                <w:sz w:val="24"/>
                <w:szCs w:val="24"/>
                <w:highlight w:val="none"/>
                <w:lang w:eastAsia="zh-CN"/>
              </w:rPr>
              <w:t>）处理达到《污水综合排放标准》（GB8978-1996）三级标准后经污水管网排至龙眼井污水处理厂处理，</w:t>
            </w:r>
            <w:r>
              <w:rPr>
                <w:rFonts w:hint="eastAsia" w:ascii="Times New Roman" w:hAnsi="Times New Roman"/>
                <w:color w:val="auto"/>
                <w:sz w:val="24"/>
                <w:szCs w:val="24"/>
                <w:highlight w:val="none"/>
                <w:lang w:val="en-US" w:eastAsia="zh-CN"/>
              </w:rPr>
              <w:t>处理达标</w:t>
            </w:r>
            <w:r>
              <w:rPr>
                <w:rFonts w:hint="eastAsia" w:ascii="Times New Roman" w:hAnsi="Times New Roman" w:eastAsia="宋体"/>
                <w:color w:val="auto"/>
                <w:sz w:val="24"/>
                <w:szCs w:val="24"/>
                <w:highlight w:val="none"/>
                <w:lang w:eastAsia="zh-CN"/>
              </w:rPr>
              <w:t>后排入琼江</w:t>
            </w:r>
          </w:p>
        </w:tc>
        <w:tc>
          <w:tcPr>
            <w:tcW w:w="3817" w:type="dxa"/>
            <w:vMerge w:val="restart"/>
            <w:vAlign w:val="center"/>
          </w:tcPr>
          <w:p w14:paraId="00B6BCC6">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出水</w:t>
            </w:r>
            <w:r>
              <w:rPr>
                <w:rFonts w:hint="eastAsia" w:ascii="Times New Roman" w:hAnsi="Times New Roman" w:cs="Times New Roman"/>
                <w:color w:val="auto"/>
                <w:sz w:val="24"/>
                <w:szCs w:val="24"/>
                <w:highlight w:val="none"/>
                <w:lang w:val="en-US" w:eastAsia="zh-CN"/>
              </w:rPr>
              <w:t>执行《城镇污水处理厂污染物排放标准》（GB18918-2002）中一级A标准</w:t>
            </w:r>
          </w:p>
        </w:tc>
      </w:tr>
      <w:tr w14:paraId="3F973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823" w:type="dxa"/>
            <w:vMerge w:val="continue"/>
            <w:vAlign w:val="center"/>
          </w:tcPr>
          <w:p w14:paraId="48DB98CA">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p>
        </w:tc>
        <w:tc>
          <w:tcPr>
            <w:tcW w:w="1580" w:type="dxa"/>
            <w:vAlign w:val="center"/>
          </w:tcPr>
          <w:p w14:paraId="79DE5A12">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原料清洗废水、设备清洗废水、漂烫废水、蒸汽发生器废水、地面清洁废水、实验器皿清洗废水</w:t>
            </w:r>
          </w:p>
        </w:tc>
        <w:tc>
          <w:tcPr>
            <w:tcW w:w="1073" w:type="dxa"/>
            <w:vAlign w:val="center"/>
          </w:tcPr>
          <w:p w14:paraId="15EA5170">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COD</w:t>
            </w:r>
            <w:r>
              <w:rPr>
                <w:rFonts w:ascii="Times New Roman" w:hAnsi="Times New Roman"/>
                <w:color w:val="auto"/>
                <w:sz w:val="24"/>
                <w:szCs w:val="24"/>
                <w:highlight w:val="none"/>
                <w:vertAlign w:val="subscript"/>
              </w:rPr>
              <w:t>Cr</w:t>
            </w:r>
            <w:r>
              <w:rPr>
                <w:rFonts w:ascii="Times New Roman" w:hAnsi="Times New Roman"/>
                <w:color w:val="auto"/>
                <w:sz w:val="24"/>
                <w:szCs w:val="24"/>
                <w:highlight w:val="none"/>
              </w:rPr>
              <w:t>、BOD</w:t>
            </w:r>
            <w:r>
              <w:rPr>
                <w:rFonts w:ascii="Times New Roman" w:hAnsi="Times New Roman"/>
                <w:color w:val="auto"/>
                <w:sz w:val="24"/>
                <w:szCs w:val="24"/>
                <w:highlight w:val="none"/>
                <w:vertAlign w:val="subscript"/>
              </w:rPr>
              <w:t>5</w:t>
            </w:r>
            <w:r>
              <w:rPr>
                <w:rFonts w:ascii="Times New Roman" w:hAnsi="Times New Roman"/>
                <w:color w:val="auto"/>
                <w:sz w:val="24"/>
                <w:szCs w:val="24"/>
                <w:highlight w:val="none"/>
              </w:rPr>
              <w:t>、SS、NH</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-N</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总磷、动植物油</w:t>
            </w:r>
          </w:p>
        </w:tc>
        <w:tc>
          <w:tcPr>
            <w:tcW w:w="2560" w:type="dxa"/>
            <w:vAlign w:val="center"/>
          </w:tcPr>
          <w:p w14:paraId="73121DF4">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拟经过本项目新建</w:t>
            </w:r>
            <w:r>
              <w:rPr>
                <w:rFonts w:hint="eastAsia" w:ascii="Times New Roman" w:hAnsi="Times New Roman"/>
                <w:color w:val="auto"/>
                <w:sz w:val="24"/>
                <w:szCs w:val="24"/>
                <w:highlight w:val="none"/>
                <w:lang w:val="en-US" w:eastAsia="zh-CN"/>
              </w:rPr>
              <w:t>污水</w:t>
            </w:r>
            <w:r>
              <w:rPr>
                <w:rFonts w:hint="eastAsia" w:ascii="Times New Roman" w:hAnsi="Times New Roman" w:eastAsia="宋体"/>
                <w:color w:val="auto"/>
                <w:sz w:val="24"/>
                <w:szCs w:val="24"/>
                <w:highlight w:val="none"/>
                <w:lang w:eastAsia="zh-CN"/>
              </w:rPr>
              <w:t>处理池（</w:t>
            </w:r>
            <w:r>
              <w:rPr>
                <w:rFonts w:hint="eastAsia" w:ascii="Times New Roman" w:hAnsi="Times New Roman"/>
                <w:color w:val="auto"/>
                <w:sz w:val="24"/>
                <w:szCs w:val="24"/>
                <w:highlight w:val="none"/>
                <w:lang w:val="en-US" w:eastAsia="zh-CN"/>
              </w:rPr>
              <w:t>6</w:t>
            </w:r>
            <w:r>
              <w:rPr>
                <w:rFonts w:hint="eastAsia" w:ascii="Times New Roman" w:hAnsi="Times New Roman" w:eastAsia="宋体"/>
                <w:color w:val="auto"/>
                <w:sz w:val="24"/>
                <w:szCs w:val="24"/>
                <w:highlight w:val="none"/>
                <w:lang w:eastAsia="zh-CN"/>
              </w:rPr>
              <w:t>0m</w:t>
            </w:r>
            <w:r>
              <w:rPr>
                <w:rFonts w:hint="eastAsia" w:ascii="Times New Roman" w:hAnsi="Times New Roman" w:eastAsia="宋体"/>
                <w:color w:val="auto"/>
                <w:sz w:val="24"/>
                <w:szCs w:val="24"/>
                <w:highlight w:val="none"/>
                <w:vertAlign w:val="superscript"/>
                <w:lang w:eastAsia="zh-CN"/>
              </w:rPr>
              <w:t>3</w:t>
            </w:r>
            <w:r>
              <w:rPr>
                <w:rFonts w:hint="eastAsia" w:ascii="Times New Roman" w:hAnsi="Times New Roman" w:eastAsia="宋体"/>
                <w:color w:val="auto"/>
                <w:sz w:val="24"/>
                <w:szCs w:val="24"/>
                <w:highlight w:val="none"/>
                <w:lang w:eastAsia="zh-CN"/>
              </w:rPr>
              <w:t>）处理达到《污水综合排放标准》（GB8978-1996）三级标准后经污水管网排至龙眼井污水处理厂处理，</w:t>
            </w:r>
            <w:r>
              <w:rPr>
                <w:rFonts w:hint="eastAsia" w:ascii="Times New Roman" w:hAnsi="Times New Roman"/>
                <w:color w:val="auto"/>
                <w:sz w:val="24"/>
                <w:szCs w:val="24"/>
                <w:highlight w:val="none"/>
                <w:lang w:val="en-US" w:eastAsia="zh-CN"/>
              </w:rPr>
              <w:t>处理达标</w:t>
            </w:r>
            <w:r>
              <w:rPr>
                <w:rFonts w:hint="eastAsia" w:ascii="Times New Roman" w:hAnsi="Times New Roman" w:eastAsia="宋体"/>
                <w:color w:val="auto"/>
                <w:sz w:val="24"/>
                <w:szCs w:val="24"/>
                <w:highlight w:val="none"/>
                <w:lang w:eastAsia="zh-CN"/>
              </w:rPr>
              <w:t>后排入琼江</w:t>
            </w:r>
          </w:p>
        </w:tc>
        <w:tc>
          <w:tcPr>
            <w:tcW w:w="3817" w:type="dxa"/>
            <w:vMerge w:val="continue"/>
            <w:vAlign w:val="center"/>
          </w:tcPr>
          <w:p w14:paraId="7F5BDBDD">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szCs w:val="24"/>
                <w:highlight w:val="none"/>
              </w:rPr>
            </w:pPr>
          </w:p>
        </w:tc>
      </w:tr>
      <w:tr w14:paraId="50ECF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23" w:type="dxa"/>
            <w:vAlign w:val="center"/>
          </w:tcPr>
          <w:p w14:paraId="533BDB4C">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声环境</w:t>
            </w:r>
          </w:p>
        </w:tc>
        <w:tc>
          <w:tcPr>
            <w:tcW w:w="1580" w:type="dxa"/>
            <w:vAlign w:val="center"/>
          </w:tcPr>
          <w:p w14:paraId="1F9A39E7">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厂界</w:t>
            </w:r>
          </w:p>
        </w:tc>
        <w:tc>
          <w:tcPr>
            <w:tcW w:w="1073" w:type="dxa"/>
            <w:vAlign w:val="center"/>
          </w:tcPr>
          <w:p w14:paraId="5065829B">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昼间、夜间等效连续A声级</w:t>
            </w:r>
          </w:p>
        </w:tc>
        <w:tc>
          <w:tcPr>
            <w:tcW w:w="2560" w:type="dxa"/>
            <w:vAlign w:val="center"/>
          </w:tcPr>
          <w:p w14:paraId="67B623FA">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隔声减振、距离衰减、墙体吸声等</w:t>
            </w:r>
          </w:p>
        </w:tc>
        <w:tc>
          <w:tcPr>
            <w:tcW w:w="3817" w:type="dxa"/>
            <w:vAlign w:val="center"/>
          </w:tcPr>
          <w:p w14:paraId="1F43271F">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《工业企业厂界噪声排放标准》（GB12348</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2008）</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类</w:t>
            </w:r>
          </w:p>
        </w:tc>
      </w:tr>
      <w:tr w14:paraId="0FFCE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3" w:type="dxa"/>
            <w:vAlign w:val="center"/>
          </w:tcPr>
          <w:p w14:paraId="34D50750">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电磁辐射</w:t>
            </w:r>
          </w:p>
        </w:tc>
        <w:tc>
          <w:tcPr>
            <w:tcW w:w="1580" w:type="dxa"/>
            <w:vAlign w:val="center"/>
          </w:tcPr>
          <w:p w14:paraId="16100E1F">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w:t>
            </w:r>
          </w:p>
        </w:tc>
        <w:tc>
          <w:tcPr>
            <w:tcW w:w="1073" w:type="dxa"/>
            <w:vAlign w:val="center"/>
          </w:tcPr>
          <w:p w14:paraId="0DBA4148">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w:t>
            </w:r>
          </w:p>
        </w:tc>
        <w:tc>
          <w:tcPr>
            <w:tcW w:w="2560" w:type="dxa"/>
            <w:vAlign w:val="center"/>
          </w:tcPr>
          <w:p w14:paraId="27BB1729">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w:t>
            </w:r>
          </w:p>
        </w:tc>
        <w:tc>
          <w:tcPr>
            <w:tcW w:w="3817" w:type="dxa"/>
            <w:vAlign w:val="center"/>
          </w:tcPr>
          <w:p w14:paraId="29F5FB98">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w:t>
            </w:r>
          </w:p>
        </w:tc>
      </w:tr>
      <w:tr w14:paraId="29A7D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23" w:type="dxa"/>
            <w:vAlign w:val="center"/>
          </w:tcPr>
          <w:p w14:paraId="55C4222F">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固体废物</w:t>
            </w:r>
          </w:p>
        </w:tc>
        <w:tc>
          <w:tcPr>
            <w:tcW w:w="9030" w:type="dxa"/>
            <w:gridSpan w:val="4"/>
            <w:vAlign w:val="center"/>
          </w:tcPr>
          <w:p w14:paraId="5D107A79">
            <w:pPr>
              <w:pStyle w:val="5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cs="Times New Roman"/>
                <w:color w:val="auto"/>
                <w:kern w:val="0"/>
                <w:sz w:val="24"/>
                <w:szCs w:val="24"/>
                <w:highlight w:val="none"/>
              </w:rPr>
            </w:pPr>
            <w:r>
              <w:rPr>
                <w:rFonts w:hint="eastAsia" w:cs="Times New Roman"/>
                <w:color w:val="auto"/>
                <w:kern w:val="0"/>
                <w:sz w:val="24"/>
                <w:szCs w:val="24"/>
                <w:highlight w:val="none"/>
                <w:lang w:val="en-US" w:eastAsia="zh-CN"/>
              </w:rPr>
              <w:t>一般固废：</w:t>
            </w:r>
            <w:r>
              <w:rPr>
                <w:rFonts w:hint="eastAsia"/>
              </w:rPr>
              <w:t>不合格原料</w:t>
            </w:r>
            <w:r>
              <w:rPr>
                <w:rFonts w:hint="eastAsia"/>
                <w:lang w:eastAsia="zh-CN"/>
              </w:rPr>
              <w:t>、</w:t>
            </w:r>
            <w:r>
              <w:rPr>
                <w:rFonts w:hint="eastAsia"/>
              </w:rPr>
              <w:t>原料皮核</w:t>
            </w:r>
            <w:r>
              <w:rPr>
                <w:rFonts w:hint="eastAsia"/>
                <w:lang w:eastAsia="zh-CN"/>
              </w:rPr>
              <w:t>、</w:t>
            </w:r>
            <w:r>
              <w:rPr>
                <w:rFonts w:hint="eastAsia"/>
              </w:rPr>
              <w:t>不合格品</w:t>
            </w:r>
            <w:r>
              <w:rPr>
                <w:rFonts w:hint="eastAsia"/>
                <w:lang w:eastAsia="zh-CN"/>
              </w:rPr>
              <w:t>、</w:t>
            </w:r>
            <w:r>
              <w:rPr>
                <w:rFonts w:hint="eastAsia"/>
              </w:rPr>
              <w:t>杂质</w:t>
            </w:r>
            <w:r>
              <w:rPr>
                <w:rFonts w:hint="eastAsia"/>
                <w:lang w:eastAsia="zh-CN"/>
              </w:rPr>
              <w:t>、</w:t>
            </w:r>
            <w:r>
              <w:rPr>
                <w:rFonts w:hint="eastAsia"/>
              </w:rPr>
              <w:t>废包装材料</w:t>
            </w:r>
            <w:r>
              <w:rPr>
                <w:rFonts w:hint="eastAsia"/>
                <w:lang w:eastAsia="zh-CN"/>
              </w:rPr>
              <w:t>、</w:t>
            </w:r>
            <w:r>
              <w:rPr>
                <w:rFonts w:hint="eastAsia"/>
                <w:lang w:val="en-US" w:eastAsia="zh-CN"/>
              </w:rPr>
              <w:t>肉类废边角料</w:t>
            </w:r>
            <w:r>
              <w:rPr>
                <w:rFonts w:hint="eastAsia" w:cs="Times New Roman"/>
                <w:bCs/>
                <w:color w:val="auto"/>
                <w:sz w:val="24"/>
                <w:szCs w:val="24"/>
                <w:highlight w:val="none"/>
                <w:lang w:val="en-US" w:eastAsia="zh-CN"/>
              </w:rPr>
              <w:t>一般工业固废暂存间暂存后</w:t>
            </w:r>
            <w:r>
              <w:rPr>
                <w:rFonts w:hint="eastAsia"/>
                <w:color w:val="auto"/>
                <w:sz w:val="24"/>
                <w:szCs w:val="24"/>
                <w:highlight w:val="none"/>
              </w:rPr>
              <w:t>定期</w:t>
            </w:r>
            <w:r>
              <w:rPr>
                <w:rFonts w:hint="eastAsia"/>
                <w:color w:val="auto"/>
                <w:sz w:val="24"/>
                <w:szCs w:val="24"/>
                <w:highlight w:val="none"/>
                <w:lang w:val="en-US" w:eastAsia="zh-CN"/>
              </w:rPr>
              <w:t>交由有处理资质的清运处置</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生活垃圾收集后交由环卫部门清运处理。</w:t>
            </w:r>
          </w:p>
          <w:p w14:paraId="23D99A9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contextualSpacing/>
              <w:jc w:val="both"/>
              <w:textAlignment w:val="auto"/>
              <w:rPr>
                <w:color w:val="auto"/>
                <w:sz w:val="24"/>
                <w:highlight w:val="none"/>
              </w:rPr>
            </w:pPr>
            <w:r>
              <w:rPr>
                <w:rFonts w:hint="eastAsia"/>
                <w:color w:val="auto"/>
                <w:sz w:val="24"/>
                <w:highlight w:val="none"/>
                <w:lang w:val="en-US" w:eastAsia="zh-CN"/>
              </w:rPr>
              <w:t>危险废物：</w:t>
            </w:r>
            <w:r>
              <w:rPr>
                <w:rFonts w:hint="eastAsia"/>
                <w:color w:val="auto"/>
                <w:highlight w:val="none"/>
                <w:lang w:val="en-US" w:eastAsia="zh-CN"/>
              </w:rPr>
              <w:t>废机油、废机油桶、废沾油手套等由</w:t>
            </w:r>
            <w:r>
              <w:rPr>
                <w:rFonts w:hint="eastAsia"/>
                <w:color w:val="auto"/>
                <w:kern w:val="0"/>
                <w:sz w:val="24"/>
                <w:highlight w:val="none"/>
                <w:lang w:val="en-US" w:eastAsia="zh-CN"/>
              </w:rPr>
              <w:t>危废暂存间暂存</w:t>
            </w:r>
            <w:r>
              <w:rPr>
                <w:color w:val="auto"/>
                <w:kern w:val="0"/>
                <w:sz w:val="24"/>
                <w:highlight w:val="none"/>
              </w:rPr>
              <w:t>，</w:t>
            </w:r>
            <w:r>
              <w:rPr>
                <w:rFonts w:hint="eastAsia"/>
                <w:color w:val="auto"/>
                <w:kern w:val="0"/>
                <w:sz w:val="24"/>
                <w:highlight w:val="none"/>
                <w:lang w:val="en-US" w:eastAsia="zh-CN"/>
              </w:rPr>
              <w:t>后</w:t>
            </w:r>
            <w:r>
              <w:rPr>
                <w:color w:val="auto"/>
                <w:kern w:val="0"/>
                <w:sz w:val="24"/>
                <w:highlight w:val="none"/>
              </w:rPr>
              <w:t>定期交有资质单位</w:t>
            </w:r>
            <w:r>
              <w:rPr>
                <w:rFonts w:hint="eastAsia"/>
                <w:color w:val="auto"/>
                <w:kern w:val="0"/>
                <w:sz w:val="24"/>
                <w:highlight w:val="none"/>
                <w:lang w:val="en-US" w:eastAsia="zh-CN"/>
              </w:rPr>
              <w:t>处置</w:t>
            </w:r>
            <w:r>
              <w:rPr>
                <w:color w:val="auto"/>
                <w:kern w:val="0"/>
                <w:sz w:val="24"/>
                <w:highlight w:val="none"/>
              </w:rPr>
              <w:t>。</w:t>
            </w:r>
          </w:p>
        </w:tc>
      </w:tr>
      <w:tr w14:paraId="6609A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vAlign w:val="center"/>
          </w:tcPr>
          <w:p w14:paraId="7BDF8E40">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土壤及地下水污染防治措施</w:t>
            </w:r>
          </w:p>
        </w:tc>
        <w:tc>
          <w:tcPr>
            <w:tcW w:w="9030" w:type="dxa"/>
            <w:gridSpan w:val="4"/>
            <w:vAlign w:val="center"/>
          </w:tcPr>
          <w:p w14:paraId="7E9A770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color w:val="auto"/>
                <w:sz w:val="24"/>
                <w:szCs w:val="24"/>
                <w:highlight w:val="none"/>
                <w:lang w:eastAsia="zh-CN"/>
              </w:rPr>
            </w:pPr>
            <w:r>
              <w:rPr>
                <w:rFonts w:hint="default" w:ascii="Times New Roman" w:hAnsi="Times New Roman" w:cs="Times New Roman"/>
                <w:color w:val="auto"/>
                <w:sz w:val="24"/>
                <w:highlight w:val="none"/>
              </w:rPr>
              <w:t>重点防渗区：</w:t>
            </w:r>
            <w:r>
              <w:rPr>
                <w:rFonts w:hint="eastAsia" w:cs="Times New Roman"/>
                <w:color w:val="auto"/>
                <w:sz w:val="24"/>
                <w:highlight w:val="none"/>
                <w:lang w:eastAsia="zh-CN"/>
              </w:rPr>
              <w:t>危废暂存间</w:t>
            </w:r>
            <w:r>
              <w:rPr>
                <w:rFonts w:hint="default" w:ascii="Times New Roman" w:hAnsi="Times New Roman" w:cs="Times New Roman"/>
                <w:color w:val="auto"/>
                <w:sz w:val="24"/>
                <w:highlight w:val="none"/>
              </w:rPr>
              <w:t>，防渗技术要求</w:t>
            </w:r>
            <w:r>
              <w:rPr>
                <w:rFonts w:hint="eastAsia" w:cs="Times New Roman"/>
                <w:color w:val="auto"/>
                <w:sz w:val="24"/>
                <w:highlight w:val="none"/>
                <w:lang w:val="en-US" w:eastAsia="zh-CN"/>
              </w:rPr>
              <w:t>为</w:t>
            </w:r>
            <w:r>
              <w:rPr>
                <w:rFonts w:hint="default" w:ascii="Times New Roman" w:hAnsi="Times New Roman" w:cs="Times New Roman"/>
                <w:color w:val="auto"/>
                <w:sz w:val="24"/>
                <w:highlight w:val="none"/>
              </w:rPr>
              <w:t>基础必须防渗，防渗层为至少1米厚粘土层（渗透系数≤10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厘米/秒），或2毫米厚高密度聚乙烯，或至少2毫米厚的其它人工材料，渗透系数≤10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厘米/秒</w:t>
            </w:r>
            <w:r>
              <w:rPr>
                <w:rFonts w:hint="eastAsia" w:cs="Times New Roman"/>
                <w:color w:val="auto"/>
                <w:sz w:val="24"/>
                <w:highlight w:val="none"/>
                <w:lang w:eastAsia="zh-CN"/>
              </w:rPr>
              <w:t>；</w:t>
            </w:r>
            <w:r>
              <w:rPr>
                <w:rFonts w:hint="eastAsia" w:cs="Times New Roman"/>
                <w:color w:val="auto"/>
                <w:sz w:val="24"/>
                <w:highlight w:val="none"/>
                <w:lang w:val="en-US" w:eastAsia="zh-CN"/>
              </w:rPr>
              <w:t>污水处理池</w:t>
            </w:r>
            <w:r>
              <w:rPr>
                <w:rFonts w:hint="eastAsia" w:cs="Times New Roman"/>
                <w:color w:val="auto"/>
                <w:sz w:val="24"/>
                <w:highlight w:val="none"/>
                <w:lang w:eastAsia="zh-CN"/>
              </w:rPr>
              <w:t>、预处理池</w:t>
            </w:r>
            <w:r>
              <w:rPr>
                <w:rFonts w:hint="eastAsia" w:ascii="Times New Roman" w:hAnsi="Times New Roman"/>
                <w:color w:val="auto"/>
                <w:sz w:val="24"/>
                <w:szCs w:val="24"/>
                <w:highlight w:val="none"/>
              </w:rPr>
              <w:t>等重点防渗区域需采取在现有地面防渗基础上，再进行硬化+至少2mm厚的HDPE膜或其他人工材料</w:t>
            </w:r>
            <w:r>
              <w:rPr>
                <w:rFonts w:hint="eastAsia"/>
                <w:color w:val="auto"/>
                <w:sz w:val="24"/>
                <w:szCs w:val="24"/>
                <w:highlight w:val="none"/>
                <w:lang w:eastAsia="zh-CN"/>
              </w:rPr>
              <w:t>；除重点防渗区以外的生产区需进行防渗混凝土硬化+至少2mm厚的HDPE膜或其他人工材料等处理。</w:t>
            </w:r>
          </w:p>
          <w:p w14:paraId="1349AC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hint="eastAsia"/>
                <w:color w:val="auto"/>
                <w:sz w:val="24"/>
                <w:szCs w:val="24"/>
                <w:highlight w:val="none"/>
                <w:lang w:val="en-US" w:eastAsia="zh-CN"/>
              </w:rPr>
              <w:t>简单防渗：办公室、厂区道路等需</w:t>
            </w:r>
            <w:r>
              <w:rPr>
                <w:rFonts w:hint="eastAsia" w:ascii="Times New Roman" w:hAnsi="Times New Roman"/>
                <w:color w:val="auto"/>
                <w:sz w:val="24"/>
                <w:szCs w:val="24"/>
                <w:highlight w:val="none"/>
              </w:rPr>
              <w:t>进行水泥硬化，满足防渗要求。</w:t>
            </w:r>
          </w:p>
        </w:tc>
      </w:tr>
      <w:tr w14:paraId="4CD38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23" w:type="dxa"/>
            <w:vAlign w:val="center"/>
          </w:tcPr>
          <w:p w14:paraId="26A96625">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生态保护措施</w:t>
            </w:r>
          </w:p>
        </w:tc>
        <w:tc>
          <w:tcPr>
            <w:tcW w:w="9030" w:type="dxa"/>
            <w:gridSpan w:val="4"/>
            <w:vAlign w:val="center"/>
          </w:tcPr>
          <w:p w14:paraId="097A9A9B">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无</w:t>
            </w:r>
          </w:p>
        </w:tc>
      </w:tr>
      <w:tr w14:paraId="1A6BA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823" w:type="dxa"/>
            <w:vAlign w:val="center"/>
          </w:tcPr>
          <w:p w14:paraId="062B04F0">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环境风险防范措施</w:t>
            </w:r>
          </w:p>
        </w:tc>
        <w:tc>
          <w:tcPr>
            <w:tcW w:w="9030" w:type="dxa"/>
            <w:gridSpan w:val="4"/>
            <w:vAlign w:val="center"/>
          </w:tcPr>
          <w:p w14:paraId="665622E9">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eastAsia="宋体"/>
                <w:color w:val="auto"/>
                <w:sz w:val="24"/>
                <w:szCs w:val="24"/>
                <w:highlight w:val="none"/>
                <w:lang w:val="en-US" w:eastAsia="zh-CN"/>
              </w:rPr>
            </w:pPr>
            <w:r>
              <w:rPr>
                <w:rFonts w:hint="default" w:ascii="Times New Roman" w:hAnsi="Times New Roman" w:cs="Times New Roman"/>
                <w:color w:val="auto"/>
                <w:kern w:val="0"/>
                <w:sz w:val="24"/>
                <w:highlight w:val="none"/>
              </w:rPr>
              <w:t>在总平面图布置上，各建筑单体之间要按有关设计规范要求，留有足够的防火间距。必须有符合国家标准的生产工艺、设备或者储存方式、设施，虽然</w:t>
            </w:r>
            <w:r>
              <w:rPr>
                <w:rFonts w:hint="eastAsia" w:ascii="Times New Roman" w:hAnsi="Times New Roman" w:cs="Times New Roman"/>
                <w:color w:val="auto"/>
                <w:kern w:val="0"/>
                <w:sz w:val="24"/>
                <w:highlight w:val="none"/>
                <w:lang w:eastAsia="zh-CN"/>
              </w:rPr>
              <w:t>本项目</w:t>
            </w:r>
            <w:r>
              <w:rPr>
                <w:rFonts w:hint="default" w:ascii="Times New Roman" w:hAnsi="Times New Roman" w:cs="Times New Roman"/>
                <w:color w:val="auto"/>
                <w:kern w:val="0"/>
                <w:sz w:val="24"/>
                <w:highlight w:val="none"/>
              </w:rPr>
              <w:t>生产中使用和储存的危险物不构成重大危险源，其储存地仍尽量应远离水源、居住区等。必须在使用和储存易燃液体的场所采取防火、防爆措施，远离火种。建设方应配备符合生产或者储存需要的管理人员和技术人员，有健全的安全管理制度。建立完善的安全生产规章制度和操作规程，严格按操作规程生产。</w:t>
            </w:r>
            <w:r>
              <w:rPr>
                <w:rFonts w:hint="eastAsia" w:ascii="Times New Roman" w:hAnsi="Times New Roman" w:cs="Times New Roman"/>
                <w:color w:val="auto"/>
                <w:kern w:val="0"/>
                <w:sz w:val="24"/>
                <w:highlight w:val="none"/>
                <w:lang w:val="en-US" w:eastAsia="zh-CN"/>
              </w:rPr>
              <w:t>事故废水</w:t>
            </w:r>
            <w:r>
              <w:rPr>
                <w:rFonts w:hint="eastAsia" w:ascii="Times New Roman" w:hAnsi="Times New Roman" w:cs="Times New Roman"/>
                <w:color w:val="auto"/>
                <w:kern w:val="0"/>
                <w:sz w:val="24"/>
                <w:highlight w:val="none"/>
              </w:rPr>
              <w:t>经厂区内排水沟进入</w:t>
            </w:r>
            <w:r>
              <w:rPr>
                <w:rFonts w:hint="eastAsia" w:ascii="Times New Roman" w:hAnsi="Times New Roman" w:cs="Times New Roman"/>
                <w:color w:val="auto"/>
                <w:kern w:val="0"/>
                <w:sz w:val="24"/>
                <w:highlight w:val="none"/>
                <w:lang w:val="en-US" w:eastAsia="zh-CN"/>
              </w:rPr>
              <w:t>海特公司</w:t>
            </w:r>
            <w:r>
              <w:rPr>
                <w:rFonts w:hint="eastAsia" w:ascii="Times New Roman" w:hAnsi="Times New Roman" w:cs="Times New Roman"/>
                <w:color w:val="auto"/>
                <w:kern w:val="0"/>
                <w:sz w:val="24"/>
                <w:highlight w:val="none"/>
              </w:rPr>
              <w:t>事故应急池，</w:t>
            </w:r>
            <w:r>
              <w:rPr>
                <w:rFonts w:hint="eastAsia" w:ascii="Times New Roman" w:hAnsi="Times New Roman" w:cs="Times New Roman"/>
                <w:color w:val="auto"/>
                <w:kern w:val="0"/>
                <w:sz w:val="24"/>
                <w:highlight w:val="none"/>
                <w:lang w:val="en-US" w:eastAsia="zh-CN"/>
              </w:rPr>
              <w:t>收集后经过处理达到污水处理厂纳管标准后排入</w:t>
            </w:r>
            <w:r>
              <w:rPr>
                <w:rFonts w:hint="eastAsia" w:ascii="Times New Roman" w:hAnsi="Times New Roman" w:cs="Times New Roman"/>
                <w:color w:val="auto"/>
                <w:kern w:val="0"/>
                <w:sz w:val="24"/>
                <w:highlight w:val="none"/>
              </w:rPr>
              <w:t>污水处理</w:t>
            </w:r>
            <w:r>
              <w:rPr>
                <w:rFonts w:hint="eastAsia" w:ascii="Times New Roman" w:hAnsi="Times New Roman" w:cs="Times New Roman"/>
                <w:color w:val="auto"/>
                <w:kern w:val="0"/>
                <w:sz w:val="24"/>
                <w:highlight w:val="none"/>
                <w:lang w:val="en-US" w:eastAsia="zh-CN"/>
              </w:rPr>
              <w:t>厂</w:t>
            </w:r>
            <w:r>
              <w:rPr>
                <w:rFonts w:hint="eastAsia" w:ascii="Times New Roman" w:hAnsi="Times New Roman" w:cs="Times New Roman"/>
                <w:color w:val="auto"/>
                <w:kern w:val="0"/>
                <w:sz w:val="24"/>
                <w:highlight w:val="none"/>
              </w:rPr>
              <w:t>处理</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处理达标</w:t>
            </w:r>
            <w:r>
              <w:rPr>
                <w:rFonts w:hint="eastAsia" w:ascii="Times New Roman" w:hAnsi="Times New Roman" w:cs="Times New Roman"/>
                <w:color w:val="auto"/>
                <w:kern w:val="0"/>
                <w:sz w:val="24"/>
                <w:highlight w:val="none"/>
              </w:rPr>
              <w:t>后排放</w:t>
            </w:r>
            <w:r>
              <w:rPr>
                <w:rFonts w:hint="eastAsia" w:ascii="Times New Roman" w:hAnsi="Times New Roman" w:cs="Times New Roman"/>
                <w:color w:val="auto"/>
                <w:kern w:val="0"/>
                <w:sz w:val="24"/>
                <w:highlight w:val="none"/>
                <w:lang w:eastAsia="zh-CN"/>
              </w:rPr>
              <w:t>。</w:t>
            </w:r>
          </w:p>
        </w:tc>
      </w:tr>
      <w:tr w14:paraId="40CCF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823" w:type="dxa"/>
            <w:vAlign w:val="center"/>
          </w:tcPr>
          <w:p w14:paraId="3257B216">
            <w:pPr>
              <w:pStyle w:val="4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其他环境管理要求</w:t>
            </w:r>
          </w:p>
        </w:tc>
        <w:tc>
          <w:tcPr>
            <w:tcW w:w="9030" w:type="dxa"/>
            <w:gridSpan w:val="4"/>
            <w:vAlign w:val="center"/>
          </w:tcPr>
          <w:p w14:paraId="7E30F2D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有效地控制项目运营期对环境的不良影响，项目应做好环境管理工作。项目由专人负责环境保护，建立环境管理制度；经常进行环境意识宣传教育，培养全体职工的环保意识，保护周围生态环境，使其对周围环境造成的污染影响降至最低。</w:t>
            </w:r>
          </w:p>
          <w:p w14:paraId="419D69F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项目环境保护责任人应认真履行相应职责，关心并积极听取可能受项目影响的附近单位、居民的反映，定期向当地环保部门汇报项目环境保护工作的情况，同时接受当地环境保护部门的监督和管理。</w:t>
            </w:r>
          </w:p>
          <w:p w14:paraId="14F75E7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highlight w:val="none"/>
              </w:rPr>
            </w:pPr>
            <w:r>
              <w:rPr>
                <w:rFonts w:hint="eastAsia" w:cs="Times New Roman"/>
                <w:color w:val="auto"/>
                <w:sz w:val="24"/>
                <w:highlight w:val="none"/>
                <w:lang w:eastAsia="zh-CN"/>
              </w:rPr>
              <w:t>本项目</w:t>
            </w:r>
            <w:r>
              <w:rPr>
                <w:rFonts w:hint="default" w:ascii="Times New Roman" w:hAnsi="Times New Roman" w:cs="Times New Roman"/>
                <w:color w:val="auto"/>
                <w:sz w:val="24"/>
                <w:highlight w:val="none"/>
              </w:rPr>
              <w:t>具体环境管理如下：</w:t>
            </w:r>
          </w:p>
          <w:p w14:paraId="1B735E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（1）根据国家环保政策、标准及环境监测要求，制定该项目运行期环境管理规章制度、各种污染物排放指标。</w:t>
            </w:r>
          </w:p>
          <w:p w14:paraId="6A4181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（2）对项目区内的公建设施和环保设施进行定期维护和检修，确保公建设施的正常运行及管网畅通。</w:t>
            </w:r>
          </w:p>
          <w:p w14:paraId="44CE68D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（3）危险废物必须严格按照本环评要求分类收集，存放于密闭收集桶内，放置于</w:t>
            </w:r>
            <w:r>
              <w:rPr>
                <w:rFonts w:hint="eastAsia" w:cs="Times New Roman"/>
                <w:color w:val="auto"/>
                <w:sz w:val="24"/>
                <w:highlight w:val="none"/>
                <w:lang w:eastAsia="zh-CN"/>
              </w:rPr>
              <w:t>危废暂存间</w:t>
            </w:r>
            <w:r>
              <w:rPr>
                <w:rFonts w:hint="default" w:ascii="Times New Roman" w:hAnsi="Times New Roman" w:cs="Times New Roman"/>
                <w:color w:val="auto"/>
                <w:sz w:val="24"/>
                <w:highlight w:val="none"/>
              </w:rPr>
              <w:t>，交由危废处置单位处理。</w:t>
            </w:r>
          </w:p>
          <w:p w14:paraId="48660C1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（4）定期组织职工进行技能培训和安全教育，做到防患于未然。</w:t>
            </w:r>
          </w:p>
          <w:p w14:paraId="7DAE6DC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p w14:paraId="6D074EE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p w14:paraId="6CB84B9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p w14:paraId="6B6906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p w14:paraId="3D8EFE1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p w14:paraId="694FBAD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p w14:paraId="55208B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p w14:paraId="52BF26A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p w14:paraId="151D505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p w14:paraId="6491F1F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p w14:paraId="2E48854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color w:val="auto"/>
                <w:sz w:val="24"/>
                <w:highlight w:val="none"/>
              </w:rPr>
            </w:pPr>
          </w:p>
        </w:tc>
      </w:tr>
    </w:tbl>
    <w:p w14:paraId="5FF2CB44">
      <w:pPr>
        <w:pStyle w:val="25"/>
        <w:spacing w:beforeAutospacing="0" w:after="0" w:afterAutospacing="0"/>
        <w:ind w:firstLine="480"/>
        <w:jc w:val="center"/>
        <w:outlineLvl w:val="0"/>
        <w:rPr>
          <w:rFonts w:ascii="Times New Roman" w:hAnsi="Times New Roman" w:eastAsia="黑体"/>
          <w:snapToGrid w:val="0"/>
          <w:color w:val="auto"/>
          <w:sz w:val="30"/>
          <w:szCs w:val="30"/>
          <w:highlight w:val="none"/>
        </w:rPr>
      </w:pPr>
      <w:r>
        <w:rPr>
          <w:rFonts w:ascii="Times New Roman" w:hAnsi="Times New Roman"/>
          <w:snapToGrid w:val="0"/>
          <w:color w:val="auto"/>
          <w:highlight w:val="none"/>
        </w:rPr>
        <w:br w:type="page"/>
      </w:r>
      <w:bookmarkStart w:id="32" w:name="_Toc26324"/>
      <w:bookmarkStart w:id="33" w:name="_Toc30620"/>
      <w:bookmarkStart w:id="34" w:name="_Toc29483"/>
      <w:r>
        <w:rPr>
          <w:rFonts w:ascii="Times New Roman" w:hAnsi="Times New Roman" w:eastAsia="黑体"/>
          <w:snapToGrid w:val="0"/>
          <w:color w:val="auto"/>
          <w:sz w:val="28"/>
          <w:szCs w:val="28"/>
          <w:highlight w:val="none"/>
        </w:rPr>
        <w:t>六、结论</w:t>
      </w:r>
      <w:bookmarkEnd w:id="32"/>
      <w:bookmarkEnd w:id="33"/>
      <w:bookmarkEnd w:id="34"/>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14:paraId="1D13C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1" w:hRule="atLeast"/>
          <w:jc w:val="center"/>
        </w:trPr>
        <w:tc>
          <w:tcPr>
            <w:tcW w:w="9638" w:type="dxa"/>
          </w:tcPr>
          <w:p w14:paraId="127B358E">
            <w:pPr>
              <w:ind w:firstLine="480"/>
              <w:jc w:val="both"/>
              <w:rPr>
                <w:color w:val="auto"/>
                <w:sz w:val="24"/>
                <w:highlight w:val="none"/>
              </w:rPr>
            </w:pPr>
            <w:r>
              <w:rPr>
                <w:rFonts w:hint="eastAsia"/>
                <w:color w:val="auto"/>
                <w:sz w:val="24"/>
                <w:szCs w:val="24"/>
                <w:highlight w:val="none"/>
                <w:lang w:eastAsia="zh-CN"/>
              </w:rPr>
              <w:t>遂宁市安居区果蔬和冻干副食品建设项目</w:t>
            </w:r>
            <w:r>
              <w:rPr>
                <w:rFonts w:hint="eastAsia"/>
                <w:color w:val="auto"/>
                <w:sz w:val="24"/>
                <w:szCs w:val="24"/>
                <w:highlight w:val="none"/>
              </w:rPr>
              <w:t>符合国家、地方产业政策，项目产生的废水、废气、噪声和固体废物采取本报告中提出的防治措施治理后，能够达标排放，不会对项目周围的水、大气、声及生态环境造成明显不良影响。建设单位应严格执行环保“三同时”制度，落实本报告中的各项环保措施，且相应的环保措施必须经自主验收合格后方可</w:t>
            </w:r>
            <w:r>
              <w:rPr>
                <w:rFonts w:hint="eastAsia"/>
                <w:color w:val="auto"/>
                <w:sz w:val="24"/>
                <w:szCs w:val="24"/>
                <w:highlight w:val="none"/>
                <w:lang w:val="en-US" w:eastAsia="zh-CN"/>
              </w:rPr>
              <w:t>正式</w:t>
            </w:r>
            <w:r>
              <w:rPr>
                <w:rFonts w:hint="eastAsia"/>
                <w:color w:val="auto"/>
                <w:sz w:val="24"/>
                <w:szCs w:val="24"/>
                <w:highlight w:val="none"/>
              </w:rPr>
              <w:t>投入使用，并确保有关环保治理设施能够正常运行，则从环境保护角度分析，</w:t>
            </w:r>
            <w:r>
              <w:rPr>
                <w:rFonts w:hint="eastAsia"/>
                <w:color w:val="auto"/>
                <w:sz w:val="24"/>
                <w:szCs w:val="24"/>
                <w:highlight w:val="none"/>
                <w:lang w:eastAsia="zh-CN"/>
              </w:rPr>
              <w:t>本项目</w:t>
            </w:r>
            <w:r>
              <w:rPr>
                <w:rFonts w:hint="eastAsia"/>
                <w:color w:val="auto"/>
                <w:sz w:val="24"/>
                <w:szCs w:val="24"/>
                <w:highlight w:val="none"/>
              </w:rPr>
              <w:t>建设是可行的。</w:t>
            </w:r>
          </w:p>
        </w:tc>
      </w:tr>
    </w:tbl>
    <w:p w14:paraId="439FDFA8">
      <w:pPr>
        <w:ind w:firstLine="420"/>
        <w:rPr>
          <w:color w:val="auto"/>
          <w:highlight w:val="none"/>
        </w:rPr>
        <w:sectPr>
          <w:pgSz w:w="11905" w:h="16838"/>
          <w:pgMar w:top="1701" w:right="1134" w:bottom="1701" w:left="1134" w:header="851" w:footer="1077" w:gutter="0"/>
          <w:pgBorders>
            <w:top w:val="none" w:sz="0" w:space="0"/>
            <w:left w:val="none" w:sz="0" w:space="0"/>
            <w:bottom w:val="none" w:sz="0" w:space="0"/>
            <w:right w:val="none" w:sz="0" w:space="0"/>
          </w:pgBorders>
          <w:pgNumType w:fmt="decimal"/>
          <w:cols w:space="720" w:num="1"/>
          <w:docGrid w:linePitch="312" w:charSpace="0"/>
        </w:sectPr>
      </w:pPr>
    </w:p>
    <w:p w14:paraId="42DB8E97">
      <w:pPr>
        <w:ind w:firstLine="420"/>
        <w:rPr>
          <w:color w:val="auto"/>
          <w:highlight w:val="none"/>
        </w:rPr>
        <w:sectPr>
          <w:type w:val="continuous"/>
          <w:pgSz w:w="11905" w:h="16838"/>
          <w:pgMar w:top="1701" w:right="1134" w:bottom="1701" w:left="1134" w:header="851" w:footer="1077" w:gutter="0"/>
          <w:pgBorders>
            <w:top w:val="none" w:sz="0" w:space="0"/>
            <w:left w:val="none" w:sz="0" w:space="0"/>
            <w:bottom w:val="none" w:sz="0" w:space="0"/>
            <w:right w:val="none" w:sz="0" w:space="0"/>
          </w:pgBorders>
          <w:pgNumType w:fmt="decimal"/>
          <w:cols w:space="720" w:num="1"/>
          <w:docGrid w:linePitch="312" w:charSpace="0"/>
        </w:sectPr>
      </w:pPr>
    </w:p>
    <w:p w14:paraId="6022357F">
      <w:pPr>
        <w:bidi w:val="0"/>
        <w:rPr>
          <w:rFonts w:hint="eastAsia" w:ascii="黑体" w:hAnsi="黑体" w:eastAsia="黑体" w:cs="黑体"/>
          <w:color w:val="auto"/>
          <w:sz w:val="32"/>
          <w:szCs w:val="32"/>
          <w:highlight w:val="none"/>
        </w:rPr>
      </w:pPr>
      <w:bookmarkStart w:id="35" w:name="_Toc10716"/>
      <w:bookmarkStart w:id="36" w:name="_Toc2232"/>
      <w:r>
        <w:rPr>
          <w:rFonts w:hint="eastAsia" w:ascii="黑体" w:hAnsi="黑体" w:eastAsia="黑体" w:cs="黑体"/>
          <w:color w:val="auto"/>
          <w:sz w:val="32"/>
          <w:szCs w:val="32"/>
          <w:highlight w:val="none"/>
        </w:rPr>
        <w:t>附表</w:t>
      </w:r>
      <w:bookmarkEnd w:id="35"/>
      <w:bookmarkEnd w:id="36"/>
    </w:p>
    <w:p w14:paraId="50424634">
      <w:pPr>
        <w:pStyle w:val="25"/>
        <w:adjustRightInd w:val="0"/>
        <w:snapToGrid w:val="0"/>
        <w:spacing w:beforeAutospacing="0" w:after="0" w:afterAutospacing="0" w:line="240" w:lineRule="auto"/>
        <w:ind w:firstLine="760"/>
        <w:jc w:val="center"/>
        <w:outlineLvl w:val="0"/>
        <w:rPr>
          <w:rFonts w:ascii="Times New Roman" w:hAnsi="Times New Roman" w:eastAsia="方正小标宋_GBK"/>
          <w:snapToGrid w:val="0"/>
          <w:color w:val="auto"/>
          <w:sz w:val="38"/>
          <w:szCs w:val="38"/>
          <w:highlight w:val="none"/>
        </w:rPr>
      </w:pPr>
      <w:bookmarkStart w:id="37" w:name="建设项目污染排放量汇总表"/>
      <w:bookmarkEnd w:id="37"/>
      <w:bookmarkStart w:id="38" w:name="_Toc21212"/>
      <w:r>
        <w:rPr>
          <w:rFonts w:ascii="Times New Roman" w:hAnsi="Times New Roman" w:eastAsia="方正小标宋_GBK"/>
          <w:snapToGrid w:val="0"/>
          <w:color w:val="auto"/>
          <w:sz w:val="38"/>
          <w:szCs w:val="38"/>
          <w:highlight w:val="none"/>
        </w:rPr>
        <w:t>建设项目污染物排放量汇总表</w:t>
      </w:r>
      <w:bookmarkEnd w:id="38"/>
    </w:p>
    <w:tbl>
      <w:tblPr>
        <w:tblStyle w:val="28"/>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3417"/>
        <w:gridCol w:w="1406"/>
        <w:gridCol w:w="982"/>
        <w:gridCol w:w="1368"/>
        <w:gridCol w:w="1337"/>
        <w:gridCol w:w="1309"/>
        <w:gridCol w:w="1636"/>
        <w:gridCol w:w="1265"/>
      </w:tblGrid>
      <w:tr w14:paraId="08E2F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tcBorders>
              <w:tl2br w:val="single" w:color="auto" w:sz="4" w:space="0"/>
            </w:tcBorders>
            <w:tcMar>
              <w:left w:w="28" w:type="dxa"/>
              <w:right w:w="28" w:type="dxa"/>
            </w:tcMar>
            <w:vAlign w:val="center"/>
          </w:tcPr>
          <w:p w14:paraId="0E47C6D0">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项目</w:t>
            </w:r>
          </w:p>
          <w:p w14:paraId="77187513">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分类</w:t>
            </w:r>
          </w:p>
        </w:tc>
        <w:tc>
          <w:tcPr>
            <w:tcW w:w="3417" w:type="dxa"/>
            <w:tcMar>
              <w:left w:w="28" w:type="dxa"/>
              <w:right w:w="28" w:type="dxa"/>
            </w:tcMar>
            <w:vAlign w:val="center"/>
          </w:tcPr>
          <w:p w14:paraId="1FC41C4D">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污染物名称</w:t>
            </w:r>
          </w:p>
        </w:tc>
        <w:tc>
          <w:tcPr>
            <w:tcW w:w="1406" w:type="dxa"/>
            <w:tcMar>
              <w:left w:w="28" w:type="dxa"/>
              <w:right w:w="28" w:type="dxa"/>
            </w:tcMar>
            <w:vAlign w:val="center"/>
          </w:tcPr>
          <w:p w14:paraId="703FBE69">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现有工程</w:t>
            </w:r>
          </w:p>
          <w:p w14:paraId="3F427014">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排放量（固体废物产生量）</w:t>
            </w: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1 \* GB3 \* MERGEFORMAT </w:instrText>
            </w:r>
            <w:r>
              <w:rPr>
                <w:rFonts w:ascii="Times New Roman" w:hAnsi="Times New Roman" w:eastAsia="宋体"/>
                <w:b/>
                <w:bCs/>
                <w:snapToGrid w:val="0"/>
                <w:color w:val="auto"/>
                <w:spacing w:val="-6"/>
                <w:kern w:val="21"/>
                <w:sz w:val="21"/>
                <w:szCs w:val="21"/>
                <w:highlight w:val="none"/>
              </w:rPr>
              <w:fldChar w:fldCharType="separate"/>
            </w:r>
            <w:r>
              <w:rPr>
                <w:rFonts w:ascii="Times New Roman" w:hAnsi="Times New Roman" w:eastAsia="宋体"/>
                <w:b/>
                <w:bCs/>
                <w:snapToGrid w:val="0"/>
                <w:color w:val="auto"/>
                <w:spacing w:val="-6"/>
                <w:kern w:val="21"/>
                <w:sz w:val="21"/>
                <w:szCs w:val="21"/>
                <w:highlight w:val="none"/>
              </w:rPr>
              <w:t>①</w:t>
            </w:r>
            <w:r>
              <w:rPr>
                <w:rFonts w:ascii="Times New Roman" w:hAnsi="Times New Roman" w:eastAsia="宋体"/>
                <w:b/>
                <w:bCs/>
                <w:snapToGrid w:val="0"/>
                <w:color w:val="auto"/>
                <w:spacing w:val="-6"/>
                <w:kern w:val="21"/>
                <w:sz w:val="21"/>
                <w:szCs w:val="21"/>
                <w:highlight w:val="none"/>
              </w:rPr>
              <w:fldChar w:fldCharType="end"/>
            </w:r>
          </w:p>
        </w:tc>
        <w:tc>
          <w:tcPr>
            <w:tcW w:w="982" w:type="dxa"/>
            <w:tcMar>
              <w:left w:w="28" w:type="dxa"/>
              <w:right w:w="28" w:type="dxa"/>
            </w:tcMar>
            <w:vAlign w:val="center"/>
          </w:tcPr>
          <w:p w14:paraId="453E626D">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现有工程许可排放量</w:t>
            </w: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2 \* GB3 \* MERGEFORMAT </w:instrText>
            </w:r>
            <w:r>
              <w:rPr>
                <w:rFonts w:ascii="Times New Roman" w:hAnsi="Times New Roman" w:eastAsia="宋体"/>
                <w:b/>
                <w:bCs/>
                <w:snapToGrid w:val="0"/>
                <w:color w:val="auto"/>
                <w:spacing w:val="-6"/>
                <w:kern w:val="21"/>
                <w:sz w:val="21"/>
                <w:szCs w:val="21"/>
                <w:highlight w:val="none"/>
              </w:rPr>
              <w:fldChar w:fldCharType="separate"/>
            </w:r>
            <w:r>
              <w:rPr>
                <w:rFonts w:ascii="Times New Roman" w:hAnsi="Times New Roman" w:eastAsia="宋体"/>
                <w:b/>
                <w:bCs/>
                <w:snapToGrid w:val="0"/>
                <w:color w:val="auto"/>
                <w:spacing w:val="-6"/>
                <w:kern w:val="21"/>
                <w:sz w:val="21"/>
                <w:szCs w:val="21"/>
                <w:highlight w:val="none"/>
              </w:rPr>
              <w:t>②</w:t>
            </w:r>
            <w:r>
              <w:rPr>
                <w:rFonts w:ascii="Times New Roman" w:hAnsi="Times New Roman" w:eastAsia="宋体"/>
                <w:b/>
                <w:bCs/>
                <w:snapToGrid w:val="0"/>
                <w:color w:val="auto"/>
                <w:spacing w:val="-6"/>
                <w:kern w:val="21"/>
                <w:sz w:val="21"/>
                <w:szCs w:val="21"/>
                <w:highlight w:val="none"/>
              </w:rPr>
              <w:fldChar w:fldCharType="end"/>
            </w:r>
          </w:p>
        </w:tc>
        <w:tc>
          <w:tcPr>
            <w:tcW w:w="1368" w:type="dxa"/>
            <w:tcMar>
              <w:left w:w="28" w:type="dxa"/>
              <w:right w:w="28" w:type="dxa"/>
            </w:tcMar>
            <w:vAlign w:val="center"/>
          </w:tcPr>
          <w:p w14:paraId="50B7BF4D">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在建工程</w:t>
            </w:r>
          </w:p>
          <w:p w14:paraId="486C2181">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排放量（固体废物产生量）</w:t>
            </w: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3 \* GB3 \* MERGEFORMAT </w:instrText>
            </w:r>
            <w:r>
              <w:rPr>
                <w:rFonts w:ascii="Times New Roman" w:hAnsi="Times New Roman" w:eastAsia="宋体"/>
                <w:b/>
                <w:bCs/>
                <w:snapToGrid w:val="0"/>
                <w:color w:val="auto"/>
                <w:spacing w:val="-6"/>
                <w:kern w:val="21"/>
                <w:sz w:val="21"/>
                <w:szCs w:val="21"/>
                <w:highlight w:val="none"/>
              </w:rPr>
              <w:fldChar w:fldCharType="separate"/>
            </w:r>
            <w:r>
              <w:rPr>
                <w:rFonts w:ascii="Times New Roman" w:hAnsi="Times New Roman" w:eastAsia="宋体"/>
                <w:b/>
                <w:bCs/>
                <w:snapToGrid w:val="0"/>
                <w:color w:val="auto"/>
                <w:spacing w:val="-6"/>
                <w:kern w:val="21"/>
                <w:sz w:val="21"/>
                <w:szCs w:val="21"/>
                <w:highlight w:val="none"/>
              </w:rPr>
              <w:t>③</w:t>
            </w:r>
            <w:r>
              <w:rPr>
                <w:rFonts w:ascii="Times New Roman" w:hAnsi="Times New Roman" w:eastAsia="宋体"/>
                <w:b/>
                <w:bCs/>
                <w:snapToGrid w:val="0"/>
                <w:color w:val="auto"/>
                <w:spacing w:val="-6"/>
                <w:kern w:val="21"/>
                <w:sz w:val="21"/>
                <w:szCs w:val="21"/>
                <w:highlight w:val="none"/>
              </w:rPr>
              <w:fldChar w:fldCharType="end"/>
            </w:r>
          </w:p>
        </w:tc>
        <w:tc>
          <w:tcPr>
            <w:tcW w:w="1337" w:type="dxa"/>
            <w:tcMar>
              <w:left w:w="28" w:type="dxa"/>
              <w:right w:w="28" w:type="dxa"/>
            </w:tcMar>
            <w:vAlign w:val="center"/>
          </w:tcPr>
          <w:p w14:paraId="2DE69387">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hint="eastAsia" w:ascii="Times New Roman" w:hAnsi="Times New Roman"/>
                <w:b/>
                <w:bCs/>
                <w:snapToGrid w:val="0"/>
                <w:color w:val="auto"/>
                <w:spacing w:val="-6"/>
                <w:kern w:val="21"/>
                <w:sz w:val="21"/>
                <w:szCs w:val="21"/>
                <w:highlight w:val="none"/>
                <w:lang w:eastAsia="zh-CN"/>
              </w:rPr>
              <w:t>本项目</w:t>
            </w:r>
            <w:r>
              <w:rPr>
                <w:rFonts w:ascii="Times New Roman" w:hAnsi="Times New Roman" w:eastAsia="宋体"/>
                <w:b/>
                <w:bCs/>
                <w:snapToGrid w:val="0"/>
                <w:color w:val="auto"/>
                <w:spacing w:val="-6"/>
                <w:kern w:val="21"/>
                <w:sz w:val="21"/>
                <w:szCs w:val="21"/>
                <w:highlight w:val="none"/>
              </w:rPr>
              <w:t>排放量（固体废物产生量）</w:t>
            </w: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4 \* GB3 \* MERGEFORMAT </w:instrText>
            </w:r>
            <w:r>
              <w:rPr>
                <w:rFonts w:ascii="Times New Roman" w:hAnsi="Times New Roman" w:eastAsia="宋体"/>
                <w:b/>
                <w:bCs/>
                <w:snapToGrid w:val="0"/>
                <w:color w:val="auto"/>
                <w:spacing w:val="-6"/>
                <w:kern w:val="21"/>
                <w:sz w:val="21"/>
                <w:szCs w:val="21"/>
                <w:highlight w:val="none"/>
              </w:rPr>
              <w:fldChar w:fldCharType="separate"/>
            </w:r>
            <w:r>
              <w:rPr>
                <w:rFonts w:ascii="Times New Roman" w:hAnsi="Times New Roman" w:eastAsia="宋体"/>
                <w:b/>
                <w:bCs/>
                <w:snapToGrid w:val="0"/>
                <w:color w:val="auto"/>
                <w:spacing w:val="-6"/>
                <w:kern w:val="21"/>
                <w:sz w:val="21"/>
                <w:szCs w:val="21"/>
                <w:highlight w:val="none"/>
              </w:rPr>
              <w:t>④</w:t>
            </w:r>
            <w:r>
              <w:rPr>
                <w:rFonts w:ascii="Times New Roman" w:hAnsi="Times New Roman" w:eastAsia="宋体"/>
                <w:b/>
                <w:bCs/>
                <w:snapToGrid w:val="0"/>
                <w:color w:val="auto"/>
                <w:spacing w:val="-6"/>
                <w:kern w:val="21"/>
                <w:sz w:val="21"/>
                <w:szCs w:val="21"/>
                <w:highlight w:val="none"/>
              </w:rPr>
              <w:fldChar w:fldCharType="end"/>
            </w:r>
          </w:p>
        </w:tc>
        <w:tc>
          <w:tcPr>
            <w:tcW w:w="1309" w:type="dxa"/>
            <w:tcMar>
              <w:left w:w="28" w:type="dxa"/>
              <w:right w:w="28" w:type="dxa"/>
            </w:tcMar>
            <w:vAlign w:val="center"/>
          </w:tcPr>
          <w:p w14:paraId="03434CA7">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以新带老削减量（新建项目不填）</w:t>
            </w: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5 \* GB3 \* MERGEFORMAT </w:instrText>
            </w:r>
            <w:r>
              <w:rPr>
                <w:rFonts w:ascii="Times New Roman" w:hAnsi="Times New Roman" w:eastAsia="宋体"/>
                <w:b/>
                <w:bCs/>
                <w:snapToGrid w:val="0"/>
                <w:color w:val="auto"/>
                <w:spacing w:val="-6"/>
                <w:kern w:val="21"/>
                <w:sz w:val="21"/>
                <w:szCs w:val="21"/>
                <w:highlight w:val="none"/>
              </w:rPr>
              <w:fldChar w:fldCharType="separate"/>
            </w:r>
            <w:r>
              <w:rPr>
                <w:rFonts w:ascii="Times New Roman" w:hAnsi="Times New Roman" w:eastAsia="宋体"/>
                <w:b/>
                <w:bCs/>
                <w:snapToGrid w:val="0"/>
                <w:color w:val="auto"/>
                <w:spacing w:val="-6"/>
                <w:kern w:val="21"/>
                <w:sz w:val="21"/>
                <w:szCs w:val="21"/>
                <w:highlight w:val="none"/>
              </w:rPr>
              <w:t>⑤</w:t>
            </w:r>
            <w:r>
              <w:rPr>
                <w:rFonts w:ascii="Times New Roman" w:hAnsi="Times New Roman" w:eastAsia="宋体"/>
                <w:b/>
                <w:bCs/>
                <w:snapToGrid w:val="0"/>
                <w:color w:val="auto"/>
                <w:spacing w:val="-6"/>
                <w:kern w:val="21"/>
                <w:sz w:val="21"/>
                <w:szCs w:val="21"/>
                <w:highlight w:val="none"/>
              </w:rPr>
              <w:fldChar w:fldCharType="end"/>
            </w:r>
          </w:p>
        </w:tc>
        <w:tc>
          <w:tcPr>
            <w:tcW w:w="1636" w:type="dxa"/>
            <w:tcMar>
              <w:left w:w="28" w:type="dxa"/>
              <w:right w:w="28" w:type="dxa"/>
            </w:tcMar>
            <w:vAlign w:val="center"/>
          </w:tcPr>
          <w:p w14:paraId="6566053A">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hint="eastAsia" w:ascii="Times New Roman" w:hAnsi="Times New Roman"/>
                <w:b/>
                <w:bCs/>
                <w:snapToGrid w:val="0"/>
                <w:color w:val="auto"/>
                <w:spacing w:val="-6"/>
                <w:kern w:val="21"/>
                <w:sz w:val="21"/>
                <w:szCs w:val="21"/>
                <w:highlight w:val="none"/>
                <w:lang w:eastAsia="zh-CN"/>
              </w:rPr>
              <w:t>本项目</w:t>
            </w:r>
            <w:r>
              <w:rPr>
                <w:rFonts w:ascii="Times New Roman" w:hAnsi="Times New Roman" w:eastAsia="宋体"/>
                <w:b/>
                <w:bCs/>
                <w:snapToGrid w:val="0"/>
                <w:color w:val="auto"/>
                <w:spacing w:val="-6"/>
                <w:kern w:val="21"/>
                <w:sz w:val="21"/>
                <w:szCs w:val="21"/>
                <w:highlight w:val="none"/>
              </w:rPr>
              <w:t>建成后全厂排放量（固体废物产生量）</w:t>
            </w: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6 \* GB3 \* MERGEFORMAT </w:instrText>
            </w:r>
            <w:r>
              <w:rPr>
                <w:rFonts w:ascii="Times New Roman" w:hAnsi="Times New Roman" w:eastAsia="宋体"/>
                <w:b/>
                <w:bCs/>
                <w:snapToGrid w:val="0"/>
                <w:color w:val="auto"/>
                <w:spacing w:val="-6"/>
                <w:kern w:val="21"/>
                <w:sz w:val="21"/>
                <w:szCs w:val="21"/>
                <w:highlight w:val="none"/>
              </w:rPr>
              <w:fldChar w:fldCharType="separate"/>
            </w:r>
            <w:r>
              <w:rPr>
                <w:rFonts w:ascii="Times New Roman" w:hAnsi="Times New Roman" w:eastAsia="宋体"/>
                <w:b/>
                <w:bCs/>
                <w:snapToGrid w:val="0"/>
                <w:color w:val="auto"/>
                <w:spacing w:val="-6"/>
                <w:kern w:val="21"/>
                <w:sz w:val="21"/>
                <w:szCs w:val="21"/>
                <w:highlight w:val="none"/>
              </w:rPr>
              <w:t>⑥</w:t>
            </w:r>
            <w:r>
              <w:rPr>
                <w:rFonts w:ascii="Times New Roman" w:hAnsi="Times New Roman" w:eastAsia="宋体"/>
                <w:b/>
                <w:bCs/>
                <w:snapToGrid w:val="0"/>
                <w:color w:val="auto"/>
                <w:spacing w:val="-6"/>
                <w:kern w:val="21"/>
                <w:sz w:val="21"/>
                <w:szCs w:val="21"/>
                <w:highlight w:val="none"/>
              </w:rPr>
              <w:fldChar w:fldCharType="end"/>
            </w:r>
          </w:p>
        </w:tc>
        <w:tc>
          <w:tcPr>
            <w:tcW w:w="1265" w:type="dxa"/>
            <w:tcMar>
              <w:left w:w="28" w:type="dxa"/>
              <w:right w:w="28" w:type="dxa"/>
            </w:tcMar>
            <w:vAlign w:val="center"/>
          </w:tcPr>
          <w:p w14:paraId="095A2EF3">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t>变化量</w:t>
            </w:r>
          </w:p>
          <w:p w14:paraId="21456D2A">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b/>
                <w:bCs/>
                <w:snapToGrid w:val="0"/>
                <w:color w:val="auto"/>
                <w:spacing w:val="-6"/>
                <w:kern w:val="21"/>
                <w:sz w:val="21"/>
                <w:szCs w:val="21"/>
                <w:highlight w:val="none"/>
              </w:rPr>
            </w:pPr>
            <w:r>
              <w:rPr>
                <w:rFonts w:ascii="Times New Roman" w:hAnsi="Times New Roman" w:eastAsia="宋体"/>
                <w:b/>
                <w:bCs/>
                <w:snapToGrid w:val="0"/>
                <w:color w:val="auto"/>
                <w:spacing w:val="-6"/>
                <w:kern w:val="21"/>
                <w:sz w:val="21"/>
                <w:szCs w:val="21"/>
                <w:highlight w:val="none"/>
              </w:rPr>
              <w:fldChar w:fldCharType="begin"/>
            </w:r>
            <w:r>
              <w:rPr>
                <w:rFonts w:ascii="Times New Roman" w:hAnsi="Times New Roman" w:eastAsia="宋体"/>
                <w:b/>
                <w:bCs/>
                <w:snapToGrid w:val="0"/>
                <w:color w:val="auto"/>
                <w:spacing w:val="-6"/>
                <w:kern w:val="21"/>
                <w:sz w:val="21"/>
                <w:szCs w:val="21"/>
                <w:highlight w:val="none"/>
              </w:rPr>
              <w:instrText xml:space="preserve"> = 7 \* GB3 \* MERGEFORMAT </w:instrText>
            </w:r>
            <w:r>
              <w:rPr>
                <w:rFonts w:ascii="Times New Roman" w:hAnsi="Times New Roman" w:eastAsia="宋体"/>
                <w:b/>
                <w:bCs/>
                <w:snapToGrid w:val="0"/>
                <w:color w:val="auto"/>
                <w:spacing w:val="-6"/>
                <w:kern w:val="21"/>
                <w:sz w:val="21"/>
                <w:szCs w:val="21"/>
                <w:highlight w:val="none"/>
              </w:rPr>
              <w:fldChar w:fldCharType="separate"/>
            </w:r>
            <w:r>
              <w:rPr>
                <w:rFonts w:ascii="Times New Roman" w:hAnsi="Times New Roman" w:eastAsia="宋体"/>
                <w:b/>
                <w:bCs/>
                <w:snapToGrid w:val="0"/>
                <w:color w:val="auto"/>
                <w:spacing w:val="-6"/>
                <w:kern w:val="21"/>
                <w:sz w:val="21"/>
                <w:szCs w:val="21"/>
                <w:highlight w:val="none"/>
              </w:rPr>
              <w:t>⑦</w:t>
            </w:r>
            <w:r>
              <w:rPr>
                <w:rFonts w:ascii="Times New Roman" w:hAnsi="Times New Roman" w:eastAsia="宋体"/>
                <w:b/>
                <w:bCs/>
                <w:snapToGrid w:val="0"/>
                <w:color w:val="auto"/>
                <w:spacing w:val="-6"/>
                <w:kern w:val="21"/>
                <w:sz w:val="21"/>
                <w:szCs w:val="21"/>
                <w:highlight w:val="none"/>
              </w:rPr>
              <w:fldChar w:fldCharType="end"/>
            </w:r>
          </w:p>
        </w:tc>
      </w:tr>
      <w:tr w14:paraId="06C3F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8" w:type="dxa"/>
            <w:vMerge w:val="restart"/>
            <w:vAlign w:val="center"/>
          </w:tcPr>
          <w:p w14:paraId="19AA38D7">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废气</w:t>
            </w:r>
          </w:p>
        </w:tc>
        <w:tc>
          <w:tcPr>
            <w:tcW w:w="3417" w:type="dxa"/>
            <w:tcBorders>
              <w:bottom w:val="single" w:color="000000" w:sz="4" w:space="0"/>
            </w:tcBorders>
            <w:shd w:val="clear" w:color="auto" w:fill="auto"/>
            <w:vAlign w:val="center"/>
          </w:tcPr>
          <w:p w14:paraId="67C4C9AB">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ascii="Times New Roman" w:hAnsi="Times New Roman" w:eastAsia="宋体" w:cs="Times New Roman"/>
                <w:snapToGrid w:val="0"/>
                <w:color w:val="auto"/>
                <w:spacing w:val="-6"/>
                <w:kern w:val="21"/>
                <w:sz w:val="21"/>
                <w:szCs w:val="21"/>
                <w:highlight w:val="none"/>
                <w:lang w:val="en-US" w:eastAsia="zh-CN" w:bidi="ar-SA"/>
              </w:rPr>
            </w:pPr>
            <w:r>
              <w:rPr>
                <w:rFonts w:hint="eastAsia" w:cs="Times New Roman"/>
                <w:color w:val="auto"/>
                <w:kern w:val="0"/>
                <w:sz w:val="21"/>
                <w:szCs w:val="21"/>
                <w:highlight w:val="none"/>
                <w:lang w:val="en-US" w:eastAsia="zh-CN" w:bidi="ar-SA"/>
              </w:rPr>
              <w:t>SO</w:t>
            </w:r>
            <w:r>
              <w:rPr>
                <w:rFonts w:hint="eastAsia" w:cs="Times New Roman"/>
                <w:color w:val="auto"/>
                <w:kern w:val="0"/>
                <w:sz w:val="21"/>
                <w:szCs w:val="21"/>
                <w:highlight w:val="none"/>
                <w:vertAlign w:val="subscript"/>
                <w:lang w:val="en-US" w:eastAsia="zh-CN" w:bidi="ar-SA"/>
              </w:rPr>
              <w:t>2</w:t>
            </w:r>
            <w:r>
              <w:rPr>
                <w:rFonts w:ascii="Times New Roman" w:hAnsi="Times New Roman" w:eastAsia="宋体"/>
                <w:color w:val="auto"/>
                <w:sz w:val="21"/>
                <w:szCs w:val="21"/>
                <w:highlight w:val="none"/>
              </w:rPr>
              <w:t>t/a</w:t>
            </w:r>
          </w:p>
        </w:tc>
        <w:tc>
          <w:tcPr>
            <w:tcW w:w="1406" w:type="dxa"/>
            <w:tcBorders>
              <w:bottom w:val="single" w:color="000000" w:sz="4" w:space="0"/>
            </w:tcBorders>
            <w:shd w:val="clear" w:color="auto" w:fill="auto"/>
            <w:vAlign w:val="center"/>
          </w:tcPr>
          <w:p w14:paraId="2DBAE1A0">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hAnsi="Times New Roman"/>
                <w:snapToGrid w:val="0"/>
                <w:color w:val="auto"/>
                <w:spacing w:val="-6"/>
                <w:kern w:val="21"/>
                <w:sz w:val="21"/>
                <w:szCs w:val="21"/>
                <w:highlight w:val="none"/>
                <w:lang w:val="en-US" w:eastAsia="zh-CN"/>
              </w:rPr>
              <w:t>/</w:t>
            </w:r>
          </w:p>
        </w:tc>
        <w:tc>
          <w:tcPr>
            <w:tcW w:w="982" w:type="dxa"/>
            <w:tcBorders>
              <w:bottom w:val="single" w:color="000000" w:sz="4" w:space="0"/>
            </w:tcBorders>
            <w:vAlign w:val="center"/>
          </w:tcPr>
          <w:p w14:paraId="49F1C3CE">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snapToGrid w:val="0"/>
                <w:color w:val="auto"/>
                <w:spacing w:val="-6"/>
                <w:kern w:val="21"/>
                <w:sz w:val="21"/>
                <w:szCs w:val="21"/>
                <w:highlight w:val="none"/>
                <w:lang w:val="en-US" w:eastAsia="zh-CN"/>
              </w:rPr>
            </w:pPr>
            <w:r>
              <w:rPr>
                <w:rFonts w:hint="eastAsia" w:ascii="Times New Roman" w:hAnsi="Times New Roman"/>
                <w:snapToGrid w:val="0"/>
                <w:color w:val="auto"/>
                <w:spacing w:val="-6"/>
                <w:kern w:val="21"/>
                <w:sz w:val="21"/>
                <w:szCs w:val="21"/>
                <w:highlight w:val="none"/>
                <w:lang w:val="en-US" w:eastAsia="zh-CN"/>
              </w:rPr>
              <w:t>/</w:t>
            </w:r>
          </w:p>
        </w:tc>
        <w:tc>
          <w:tcPr>
            <w:tcW w:w="1368" w:type="dxa"/>
            <w:tcBorders>
              <w:bottom w:val="single" w:color="000000" w:sz="4" w:space="0"/>
            </w:tcBorders>
            <w:vAlign w:val="center"/>
          </w:tcPr>
          <w:p w14:paraId="13253941">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hAnsi="Times New Roman"/>
                <w:snapToGrid w:val="0"/>
                <w:color w:val="auto"/>
                <w:spacing w:val="-6"/>
                <w:kern w:val="21"/>
                <w:sz w:val="21"/>
                <w:szCs w:val="21"/>
                <w:highlight w:val="none"/>
                <w:lang w:val="en-US" w:eastAsia="zh-CN"/>
              </w:rPr>
              <w:t>/</w:t>
            </w:r>
          </w:p>
        </w:tc>
        <w:tc>
          <w:tcPr>
            <w:tcW w:w="1337" w:type="dxa"/>
            <w:tcBorders>
              <w:bottom w:val="single" w:color="000000" w:sz="4" w:space="0"/>
            </w:tcBorders>
            <w:shd w:val="clear" w:color="auto" w:fill="auto"/>
            <w:vAlign w:val="center"/>
          </w:tcPr>
          <w:p w14:paraId="6AE98B2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1.6200</w:t>
            </w:r>
          </w:p>
        </w:tc>
        <w:tc>
          <w:tcPr>
            <w:tcW w:w="1309" w:type="dxa"/>
            <w:tcBorders>
              <w:bottom w:val="single" w:color="000000" w:sz="4" w:space="0"/>
            </w:tcBorders>
            <w:shd w:val="clear" w:color="auto" w:fill="auto"/>
            <w:vAlign w:val="center"/>
          </w:tcPr>
          <w:p w14:paraId="33A961BB">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hAnsi="Times New Roman"/>
                <w:snapToGrid w:val="0"/>
                <w:color w:val="auto"/>
                <w:spacing w:val="-6"/>
                <w:kern w:val="21"/>
                <w:sz w:val="21"/>
                <w:szCs w:val="21"/>
                <w:highlight w:val="none"/>
                <w:lang w:val="en-US" w:eastAsia="zh-CN"/>
              </w:rPr>
              <w:t>/</w:t>
            </w:r>
          </w:p>
        </w:tc>
        <w:tc>
          <w:tcPr>
            <w:tcW w:w="1636" w:type="dxa"/>
            <w:tcBorders>
              <w:bottom w:val="single" w:color="000000" w:sz="4" w:space="0"/>
            </w:tcBorders>
            <w:shd w:val="clear" w:color="auto" w:fill="auto"/>
            <w:vAlign w:val="center"/>
          </w:tcPr>
          <w:p w14:paraId="5C5FE94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1.6200</w:t>
            </w:r>
          </w:p>
        </w:tc>
        <w:tc>
          <w:tcPr>
            <w:tcW w:w="1265" w:type="dxa"/>
            <w:tcBorders>
              <w:bottom w:val="single" w:color="000000" w:sz="4" w:space="0"/>
            </w:tcBorders>
            <w:shd w:val="clear" w:color="auto" w:fill="auto"/>
            <w:vAlign w:val="center"/>
          </w:tcPr>
          <w:p w14:paraId="6611C138">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+1.6200</w:t>
            </w:r>
          </w:p>
        </w:tc>
      </w:tr>
      <w:tr w14:paraId="5BA411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3E70EA12">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p>
        </w:tc>
        <w:tc>
          <w:tcPr>
            <w:tcW w:w="3417" w:type="dxa"/>
            <w:tcBorders>
              <w:top w:val="single" w:color="000000" w:sz="4" w:space="0"/>
              <w:bottom w:val="single" w:color="000000" w:sz="4" w:space="0"/>
            </w:tcBorders>
            <w:shd w:val="clear" w:color="auto" w:fill="auto"/>
            <w:vAlign w:val="center"/>
          </w:tcPr>
          <w:p w14:paraId="0937240A">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kern w:val="0"/>
                <w:sz w:val="21"/>
                <w:szCs w:val="21"/>
                <w:highlight w:val="none"/>
                <w:lang w:val="en-US" w:eastAsia="zh-CN"/>
              </w:rPr>
              <w:t>NOx</w:t>
            </w:r>
            <w:r>
              <w:rPr>
                <w:rFonts w:ascii="Times New Roman" w:hAnsi="Times New Roman" w:eastAsia="宋体"/>
                <w:color w:val="auto"/>
                <w:sz w:val="21"/>
                <w:szCs w:val="21"/>
                <w:highlight w:val="none"/>
              </w:rPr>
              <w:t>t/a</w:t>
            </w:r>
          </w:p>
        </w:tc>
        <w:tc>
          <w:tcPr>
            <w:tcW w:w="1406" w:type="dxa"/>
            <w:tcBorders>
              <w:top w:val="single" w:color="000000" w:sz="4" w:space="0"/>
              <w:bottom w:val="single" w:color="000000" w:sz="4" w:space="0"/>
            </w:tcBorders>
            <w:shd w:val="clear" w:color="auto" w:fill="auto"/>
            <w:vAlign w:val="center"/>
          </w:tcPr>
          <w:p w14:paraId="6BB0289E">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tcBorders>
              <w:top w:val="single" w:color="000000" w:sz="4" w:space="0"/>
              <w:bottom w:val="single" w:color="000000" w:sz="4" w:space="0"/>
            </w:tcBorders>
            <w:vAlign w:val="center"/>
          </w:tcPr>
          <w:p w14:paraId="4073A282">
            <w:pPr>
              <w:pStyle w:val="94"/>
              <w:bidi w:val="0"/>
              <w:jc w:val="center"/>
              <w:rPr>
                <w:color w:val="auto"/>
                <w:sz w:val="21"/>
                <w:szCs w:val="21"/>
                <w:highlight w:val="none"/>
              </w:rPr>
            </w:pPr>
            <w:r>
              <w:rPr>
                <w:rFonts w:hint="eastAsia"/>
                <w:color w:val="auto"/>
                <w:sz w:val="21"/>
                <w:szCs w:val="21"/>
                <w:highlight w:val="none"/>
                <w:lang w:val="en-US" w:eastAsia="zh-CN"/>
              </w:rPr>
              <w:t>/</w:t>
            </w:r>
          </w:p>
        </w:tc>
        <w:tc>
          <w:tcPr>
            <w:tcW w:w="1368" w:type="dxa"/>
            <w:tcBorders>
              <w:top w:val="single" w:color="000000" w:sz="4" w:space="0"/>
              <w:bottom w:val="single" w:color="000000" w:sz="4" w:space="0"/>
            </w:tcBorders>
            <w:vAlign w:val="center"/>
          </w:tcPr>
          <w:p w14:paraId="7E2B74E4">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tcBorders>
              <w:top w:val="single" w:color="000000" w:sz="4" w:space="0"/>
              <w:bottom w:val="single" w:color="000000" w:sz="4" w:space="0"/>
            </w:tcBorders>
            <w:shd w:val="clear" w:color="auto" w:fill="auto"/>
            <w:vAlign w:val="center"/>
          </w:tcPr>
          <w:p w14:paraId="4613DF7D">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1.2272</w:t>
            </w:r>
          </w:p>
        </w:tc>
        <w:tc>
          <w:tcPr>
            <w:tcW w:w="1309" w:type="dxa"/>
            <w:tcBorders>
              <w:top w:val="single" w:color="000000" w:sz="4" w:space="0"/>
              <w:bottom w:val="single" w:color="000000" w:sz="4" w:space="0"/>
            </w:tcBorders>
            <w:shd w:val="clear" w:color="auto" w:fill="auto"/>
            <w:vAlign w:val="center"/>
          </w:tcPr>
          <w:p w14:paraId="4255C985">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636" w:type="dxa"/>
            <w:tcBorders>
              <w:top w:val="single" w:color="000000" w:sz="4" w:space="0"/>
              <w:bottom w:val="single" w:color="000000" w:sz="4" w:space="0"/>
            </w:tcBorders>
            <w:shd w:val="clear" w:color="auto" w:fill="auto"/>
            <w:vAlign w:val="center"/>
          </w:tcPr>
          <w:p w14:paraId="44E816D0">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1.2272</w:t>
            </w:r>
          </w:p>
        </w:tc>
        <w:tc>
          <w:tcPr>
            <w:tcW w:w="1265" w:type="dxa"/>
            <w:tcBorders>
              <w:top w:val="single" w:color="000000" w:sz="4" w:space="0"/>
              <w:bottom w:val="single" w:color="000000" w:sz="4" w:space="0"/>
            </w:tcBorders>
            <w:shd w:val="clear" w:color="auto" w:fill="auto"/>
            <w:vAlign w:val="center"/>
          </w:tcPr>
          <w:p w14:paraId="72E4ED11">
            <w:pPr>
              <w:pStyle w:val="106"/>
              <w:keepNext w:val="0"/>
              <w:keepLines w:val="0"/>
              <w:pageBreakBefore w:val="0"/>
              <w:widowControl w:val="0"/>
              <w:kinsoku/>
              <w:wordWrap/>
              <w:overflowPunct/>
              <w:topLinePunct w:val="0"/>
              <w:autoSpaceDE w:val="0"/>
              <w:autoSpaceDN w:val="0"/>
              <w:bidi w:val="0"/>
              <w:adjustRightInd w:val="0"/>
              <w:snapToGrid w:val="0"/>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+1.2272</w:t>
            </w:r>
          </w:p>
        </w:tc>
      </w:tr>
      <w:tr w14:paraId="64869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4C1263D7">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p>
        </w:tc>
        <w:tc>
          <w:tcPr>
            <w:tcW w:w="3417" w:type="dxa"/>
            <w:tcBorders>
              <w:top w:val="single" w:color="000000" w:sz="4" w:space="0"/>
              <w:bottom w:val="single" w:color="000000" w:sz="4" w:space="0"/>
            </w:tcBorders>
            <w:shd w:val="clear" w:color="auto" w:fill="auto"/>
            <w:vAlign w:val="center"/>
          </w:tcPr>
          <w:p w14:paraId="295C0A06">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kern w:val="0"/>
                <w:sz w:val="21"/>
                <w:szCs w:val="21"/>
                <w:highlight w:val="none"/>
                <w:lang w:val="en-US" w:eastAsia="zh-CN"/>
              </w:rPr>
              <w:t>颗粒物</w:t>
            </w:r>
            <w:r>
              <w:rPr>
                <w:rFonts w:ascii="Times New Roman" w:hAnsi="Times New Roman" w:eastAsia="宋体"/>
                <w:color w:val="auto"/>
                <w:sz w:val="21"/>
                <w:szCs w:val="21"/>
                <w:highlight w:val="none"/>
              </w:rPr>
              <w:t>t/a</w:t>
            </w:r>
          </w:p>
        </w:tc>
        <w:tc>
          <w:tcPr>
            <w:tcW w:w="1406" w:type="dxa"/>
            <w:tcBorders>
              <w:top w:val="single" w:color="000000" w:sz="4" w:space="0"/>
              <w:bottom w:val="single" w:color="000000" w:sz="4" w:space="0"/>
            </w:tcBorders>
            <w:shd w:val="clear" w:color="auto" w:fill="auto"/>
            <w:vAlign w:val="center"/>
          </w:tcPr>
          <w:p w14:paraId="194DD2F8">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tcBorders>
              <w:top w:val="single" w:color="000000" w:sz="4" w:space="0"/>
              <w:bottom w:val="single" w:color="000000" w:sz="4" w:space="0"/>
            </w:tcBorders>
            <w:vAlign w:val="center"/>
          </w:tcPr>
          <w:p w14:paraId="246F2253">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368" w:type="dxa"/>
            <w:tcBorders>
              <w:top w:val="single" w:color="000000" w:sz="4" w:space="0"/>
              <w:bottom w:val="single" w:color="000000" w:sz="4" w:space="0"/>
            </w:tcBorders>
            <w:vAlign w:val="center"/>
          </w:tcPr>
          <w:p w14:paraId="3C821593">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337" w:type="dxa"/>
            <w:tcBorders>
              <w:top w:val="single" w:color="000000" w:sz="4" w:space="0"/>
              <w:bottom w:val="single" w:color="000000" w:sz="4" w:space="0"/>
            </w:tcBorders>
            <w:shd w:val="clear" w:color="auto" w:fill="auto"/>
            <w:vAlign w:val="center"/>
          </w:tcPr>
          <w:p w14:paraId="5171EC09">
            <w:pPr>
              <w:pStyle w:val="106"/>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1.1583</w:t>
            </w:r>
          </w:p>
        </w:tc>
        <w:tc>
          <w:tcPr>
            <w:tcW w:w="1309" w:type="dxa"/>
            <w:tcBorders>
              <w:top w:val="single" w:color="000000" w:sz="4" w:space="0"/>
              <w:bottom w:val="single" w:color="000000" w:sz="4" w:space="0"/>
            </w:tcBorders>
            <w:shd w:val="clear" w:color="auto" w:fill="auto"/>
            <w:vAlign w:val="center"/>
          </w:tcPr>
          <w:p w14:paraId="266E5DDD">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636" w:type="dxa"/>
            <w:tcBorders>
              <w:top w:val="single" w:color="000000" w:sz="4" w:space="0"/>
              <w:bottom w:val="single" w:color="000000" w:sz="4" w:space="0"/>
            </w:tcBorders>
            <w:shd w:val="clear" w:color="auto" w:fill="auto"/>
            <w:vAlign w:val="center"/>
          </w:tcPr>
          <w:p w14:paraId="2527EDE3">
            <w:pPr>
              <w:pStyle w:val="106"/>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1.1583</w:t>
            </w:r>
          </w:p>
        </w:tc>
        <w:tc>
          <w:tcPr>
            <w:tcW w:w="1265" w:type="dxa"/>
            <w:tcBorders>
              <w:top w:val="single" w:color="000000" w:sz="4" w:space="0"/>
              <w:bottom w:val="single" w:color="000000" w:sz="4" w:space="0"/>
            </w:tcBorders>
            <w:shd w:val="clear" w:color="auto" w:fill="auto"/>
            <w:vAlign w:val="center"/>
          </w:tcPr>
          <w:p w14:paraId="2E2B020D">
            <w:pPr>
              <w:pStyle w:val="106"/>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+1.1583</w:t>
            </w:r>
          </w:p>
        </w:tc>
      </w:tr>
      <w:tr w14:paraId="574FF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restart"/>
            <w:vAlign w:val="center"/>
          </w:tcPr>
          <w:p w14:paraId="4225B1D3">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废水</w:t>
            </w:r>
          </w:p>
        </w:tc>
        <w:tc>
          <w:tcPr>
            <w:tcW w:w="3417" w:type="dxa"/>
            <w:tcBorders>
              <w:top w:val="single" w:color="000000" w:sz="4" w:space="0"/>
            </w:tcBorders>
            <w:vAlign w:val="center"/>
          </w:tcPr>
          <w:p w14:paraId="015C7A7A">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kern w:val="21"/>
                <w:sz w:val="21"/>
                <w:szCs w:val="21"/>
                <w:highlight w:val="none"/>
              </w:rPr>
              <w:t>废水量</w:t>
            </w:r>
            <w:r>
              <w:rPr>
                <w:rFonts w:hint="eastAsia" w:ascii="Times New Roman" w:hAnsi="Times New Roman"/>
                <w:color w:val="auto"/>
                <w:sz w:val="21"/>
                <w:szCs w:val="21"/>
                <w:highlight w:val="none"/>
                <w:lang w:val="en-US" w:eastAsia="zh-CN"/>
              </w:rPr>
              <w:t>m</w:t>
            </w:r>
            <w:r>
              <w:rPr>
                <w:rFonts w:hint="eastAsia" w:ascii="Times New Roman" w:hAnsi="Times New Roman"/>
                <w:color w:val="auto"/>
                <w:sz w:val="21"/>
                <w:szCs w:val="21"/>
                <w:highlight w:val="none"/>
                <w:vertAlign w:val="superscript"/>
                <w:lang w:val="en-US" w:eastAsia="zh-CN"/>
              </w:rPr>
              <w:t>3</w:t>
            </w:r>
            <w:r>
              <w:rPr>
                <w:rFonts w:hint="eastAsia" w:ascii="Times New Roman" w:hAnsi="Times New Roman" w:eastAsia="宋体"/>
                <w:color w:val="auto"/>
                <w:sz w:val="21"/>
                <w:szCs w:val="21"/>
                <w:highlight w:val="none"/>
              </w:rPr>
              <w:t>/a</w:t>
            </w:r>
          </w:p>
        </w:tc>
        <w:tc>
          <w:tcPr>
            <w:tcW w:w="1406" w:type="dxa"/>
            <w:tcBorders>
              <w:top w:val="single" w:color="000000" w:sz="4" w:space="0"/>
            </w:tcBorders>
            <w:shd w:val="clear" w:color="auto" w:fill="auto"/>
            <w:vAlign w:val="center"/>
          </w:tcPr>
          <w:p w14:paraId="1142D3B2">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tcBorders>
              <w:top w:val="single" w:color="000000" w:sz="4" w:space="0"/>
            </w:tcBorders>
            <w:vAlign w:val="center"/>
          </w:tcPr>
          <w:p w14:paraId="7F8BE61E">
            <w:pPr>
              <w:pStyle w:val="94"/>
              <w:bidi w:val="0"/>
              <w:jc w:val="center"/>
              <w:rPr>
                <w:color w:val="auto"/>
                <w:sz w:val="21"/>
                <w:szCs w:val="21"/>
                <w:highlight w:val="none"/>
              </w:rPr>
            </w:pPr>
            <w:r>
              <w:rPr>
                <w:rFonts w:hint="eastAsia"/>
                <w:color w:val="auto"/>
                <w:sz w:val="21"/>
                <w:szCs w:val="21"/>
                <w:highlight w:val="none"/>
                <w:lang w:val="en-US" w:eastAsia="zh-CN"/>
              </w:rPr>
              <w:t>/</w:t>
            </w:r>
          </w:p>
        </w:tc>
        <w:tc>
          <w:tcPr>
            <w:tcW w:w="1368" w:type="dxa"/>
            <w:tcBorders>
              <w:top w:val="single" w:color="000000" w:sz="4" w:space="0"/>
            </w:tcBorders>
            <w:vAlign w:val="center"/>
          </w:tcPr>
          <w:p w14:paraId="54B07449">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tcBorders>
              <w:top w:val="single" w:color="000000" w:sz="4" w:space="0"/>
            </w:tcBorders>
            <w:vAlign w:val="center"/>
          </w:tcPr>
          <w:p w14:paraId="1A65F002">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14271.0</w:t>
            </w:r>
          </w:p>
        </w:tc>
        <w:tc>
          <w:tcPr>
            <w:tcW w:w="1309" w:type="dxa"/>
            <w:tcBorders>
              <w:top w:val="single" w:color="000000" w:sz="4" w:space="0"/>
            </w:tcBorders>
            <w:shd w:val="clear" w:color="auto" w:fill="auto"/>
            <w:vAlign w:val="center"/>
          </w:tcPr>
          <w:p w14:paraId="1A23D6FA">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636" w:type="dxa"/>
            <w:tcBorders>
              <w:top w:val="single" w:color="000000" w:sz="4" w:space="0"/>
            </w:tcBorders>
            <w:vAlign w:val="center"/>
          </w:tcPr>
          <w:p w14:paraId="3CCF951A">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14271.0</w:t>
            </w:r>
          </w:p>
        </w:tc>
        <w:tc>
          <w:tcPr>
            <w:tcW w:w="1265" w:type="dxa"/>
            <w:tcBorders>
              <w:top w:val="single" w:color="000000" w:sz="4" w:space="0"/>
            </w:tcBorders>
            <w:shd w:val="clear" w:color="auto" w:fill="auto"/>
            <w:vAlign w:val="center"/>
          </w:tcPr>
          <w:p w14:paraId="4A16F309">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+14271.0</w:t>
            </w:r>
          </w:p>
        </w:tc>
      </w:tr>
      <w:tr w14:paraId="47ADD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5B0D895B">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FF0000"/>
                <w:spacing w:val="-6"/>
                <w:kern w:val="21"/>
                <w:sz w:val="21"/>
                <w:szCs w:val="21"/>
                <w:highlight w:val="none"/>
              </w:rPr>
            </w:pPr>
          </w:p>
        </w:tc>
        <w:tc>
          <w:tcPr>
            <w:tcW w:w="3417" w:type="dxa"/>
            <w:vAlign w:val="center"/>
          </w:tcPr>
          <w:p w14:paraId="5B310FAB">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kern w:val="21"/>
                <w:sz w:val="21"/>
                <w:szCs w:val="21"/>
                <w:highlight w:val="none"/>
              </w:rPr>
              <w:t>COD</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1A1A8090">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vAlign w:val="center"/>
          </w:tcPr>
          <w:p w14:paraId="2127FCBF">
            <w:pPr>
              <w:pStyle w:val="94"/>
              <w:bidi w:val="0"/>
              <w:jc w:val="center"/>
              <w:rPr>
                <w:color w:val="auto"/>
                <w:sz w:val="21"/>
                <w:szCs w:val="21"/>
                <w:highlight w:val="none"/>
              </w:rPr>
            </w:pPr>
            <w:r>
              <w:rPr>
                <w:rFonts w:hint="eastAsia"/>
                <w:color w:val="auto"/>
                <w:sz w:val="21"/>
                <w:szCs w:val="21"/>
                <w:highlight w:val="none"/>
                <w:lang w:val="en-US" w:eastAsia="zh-CN"/>
              </w:rPr>
              <w:t>/</w:t>
            </w:r>
          </w:p>
        </w:tc>
        <w:tc>
          <w:tcPr>
            <w:tcW w:w="1368" w:type="dxa"/>
            <w:vAlign w:val="center"/>
          </w:tcPr>
          <w:p w14:paraId="1BE94855">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vAlign w:val="center"/>
          </w:tcPr>
          <w:p w14:paraId="13B25D62">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0.3346</w:t>
            </w:r>
          </w:p>
        </w:tc>
        <w:tc>
          <w:tcPr>
            <w:tcW w:w="1309" w:type="dxa"/>
            <w:shd w:val="clear" w:color="auto" w:fill="auto"/>
            <w:vAlign w:val="center"/>
          </w:tcPr>
          <w:p w14:paraId="6B6C616D">
            <w:pPr>
              <w:pStyle w:val="94"/>
              <w:bidi w:val="0"/>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636" w:type="dxa"/>
            <w:shd w:val="clear" w:color="auto" w:fill="auto"/>
            <w:vAlign w:val="center"/>
          </w:tcPr>
          <w:p w14:paraId="64408D5B">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0.3346</w:t>
            </w:r>
          </w:p>
        </w:tc>
        <w:tc>
          <w:tcPr>
            <w:tcW w:w="1265" w:type="dxa"/>
            <w:shd w:val="clear" w:color="auto" w:fill="auto"/>
            <w:vAlign w:val="center"/>
          </w:tcPr>
          <w:p w14:paraId="6985B91D">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+0.3346</w:t>
            </w:r>
          </w:p>
        </w:tc>
      </w:tr>
      <w:tr w14:paraId="1E6A4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05C91262">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FF0000"/>
                <w:spacing w:val="-6"/>
                <w:kern w:val="21"/>
                <w:sz w:val="21"/>
                <w:szCs w:val="21"/>
                <w:highlight w:val="none"/>
              </w:rPr>
            </w:pPr>
          </w:p>
        </w:tc>
        <w:tc>
          <w:tcPr>
            <w:tcW w:w="3417" w:type="dxa"/>
            <w:vAlign w:val="center"/>
          </w:tcPr>
          <w:p w14:paraId="591FE4A0">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kern w:val="21"/>
                <w:sz w:val="21"/>
                <w:szCs w:val="21"/>
                <w:highlight w:val="none"/>
              </w:rPr>
              <w:t>NH</w:t>
            </w:r>
            <w:r>
              <w:rPr>
                <w:rFonts w:ascii="Times New Roman" w:hAnsi="Times New Roman" w:eastAsia="宋体"/>
                <w:snapToGrid w:val="0"/>
                <w:color w:val="auto"/>
                <w:kern w:val="21"/>
                <w:sz w:val="21"/>
                <w:szCs w:val="21"/>
                <w:highlight w:val="none"/>
                <w:vertAlign w:val="subscript"/>
              </w:rPr>
              <w:t>3</w:t>
            </w:r>
            <w:r>
              <w:rPr>
                <w:rFonts w:ascii="Times New Roman" w:hAnsi="Times New Roman" w:eastAsia="宋体"/>
                <w:snapToGrid w:val="0"/>
                <w:color w:val="auto"/>
                <w:kern w:val="21"/>
                <w:sz w:val="21"/>
                <w:szCs w:val="21"/>
                <w:highlight w:val="none"/>
              </w:rPr>
              <w:t>-N</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65DF722E">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vAlign w:val="center"/>
          </w:tcPr>
          <w:p w14:paraId="0C4AA9A7">
            <w:pPr>
              <w:pStyle w:val="94"/>
              <w:bidi w:val="0"/>
              <w:jc w:val="center"/>
              <w:rPr>
                <w:color w:val="auto"/>
                <w:sz w:val="21"/>
                <w:szCs w:val="21"/>
                <w:highlight w:val="none"/>
              </w:rPr>
            </w:pPr>
            <w:r>
              <w:rPr>
                <w:rFonts w:hint="eastAsia"/>
                <w:color w:val="auto"/>
                <w:sz w:val="21"/>
                <w:szCs w:val="21"/>
                <w:highlight w:val="none"/>
                <w:lang w:val="en-US" w:eastAsia="zh-CN"/>
              </w:rPr>
              <w:t>/</w:t>
            </w:r>
          </w:p>
        </w:tc>
        <w:tc>
          <w:tcPr>
            <w:tcW w:w="1368" w:type="dxa"/>
            <w:vAlign w:val="center"/>
          </w:tcPr>
          <w:p w14:paraId="254E7A93">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vAlign w:val="center"/>
          </w:tcPr>
          <w:p w14:paraId="418D2037">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0.0151</w:t>
            </w:r>
          </w:p>
        </w:tc>
        <w:tc>
          <w:tcPr>
            <w:tcW w:w="1309" w:type="dxa"/>
            <w:shd w:val="clear" w:color="auto" w:fill="auto"/>
            <w:vAlign w:val="center"/>
          </w:tcPr>
          <w:p w14:paraId="77B6E1FB">
            <w:pPr>
              <w:pStyle w:val="94"/>
              <w:bidi w:val="0"/>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636" w:type="dxa"/>
            <w:shd w:val="clear" w:color="auto" w:fill="auto"/>
            <w:vAlign w:val="center"/>
          </w:tcPr>
          <w:p w14:paraId="6BE79F7C">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0.0151</w:t>
            </w:r>
          </w:p>
        </w:tc>
        <w:tc>
          <w:tcPr>
            <w:tcW w:w="1265" w:type="dxa"/>
            <w:shd w:val="clear" w:color="auto" w:fill="auto"/>
            <w:vAlign w:val="center"/>
          </w:tcPr>
          <w:p w14:paraId="48347B73">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+0.0151</w:t>
            </w:r>
          </w:p>
        </w:tc>
      </w:tr>
      <w:tr w14:paraId="441B7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restart"/>
            <w:vAlign w:val="center"/>
          </w:tcPr>
          <w:p w14:paraId="0B3C51FD">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r>
              <w:rPr>
                <w:rFonts w:hint="eastAsia" w:ascii="Times New Roman" w:hAnsi="Times New Roman"/>
                <w:snapToGrid w:val="0"/>
                <w:color w:val="auto"/>
                <w:spacing w:val="-6"/>
                <w:kern w:val="21"/>
                <w:sz w:val="21"/>
                <w:szCs w:val="21"/>
                <w:highlight w:val="none"/>
                <w:lang w:val="en-US" w:eastAsia="zh-CN"/>
              </w:rPr>
              <w:t>一般</w:t>
            </w:r>
            <w:r>
              <w:rPr>
                <w:rFonts w:ascii="Times New Roman" w:hAnsi="Times New Roman" w:eastAsia="宋体"/>
                <w:snapToGrid w:val="0"/>
                <w:color w:val="auto"/>
                <w:spacing w:val="-6"/>
                <w:kern w:val="21"/>
                <w:sz w:val="21"/>
                <w:szCs w:val="21"/>
                <w:highlight w:val="none"/>
              </w:rPr>
              <w:t>固体废物</w:t>
            </w:r>
          </w:p>
        </w:tc>
        <w:tc>
          <w:tcPr>
            <w:tcW w:w="3417" w:type="dxa"/>
            <w:shd w:val="clear" w:color="auto" w:fill="auto"/>
            <w:vAlign w:val="center"/>
          </w:tcPr>
          <w:p w14:paraId="55B2FF50">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不合格原料</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3C68D817">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hAnsi="Times New Roman"/>
                <w:snapToGrid w:val="0"/>
                <w:color w:val="auto"/>
                <w:spacing w:val="-6"/>
                <w:kern w:val="21"/>
                <w:sz w:val="21"/>
                <w:szCs w:val="21"/>
                <w:highlight w:val="none"/>
                <w:lang w:val="en-US" w:eastAsia="zh-CN"/>
              </w:rPr>
              <w:t>/</w:t>
            </w:r>
          </w:p>
        </w:tc>
        <w:tc>
          <w:tcPr>
            <w:tcW w:w="982" w:type="dxa"/>
            <w:vAlign w:val="center"/>
          </w:tcPr>
          <w:p w14:paraId="0415FE5E">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hAnsi="Times New Roman"/>
                <w:snapToGrid w:val="0"/>
                <w:color w:val="auto"/>
                <w:spacing w:val="-6"/>
                <w:kern w:val="21"/>
                <w:sz w:val="21"/>
                <w:szCs w:val="21"/>
                <w:highlight w:val="none"/>
                <w:lang w:val="en-US" w:eastAsia="zh-CN"/>
              </w:rPr>
              <w:t>/</w:t>
            </w:r>
          </w:p>
        </w:tc>
        <w:tc>
          <w:tcPr>
            <w:tcW w:w="1368" w:type="dxa"/>
            <w:vAlign w:val="center"/>
          </w:tcPr>
          <w:p w14:paraId="07275612">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hAnsi="Times New Roman"/>
                <w:snapToGrid w:val="0"/>
                <w:color w:val="auto"/>
                <w:spacing w:val="-6"/>
                <w:kern w:val="21"/>
                <w:sz w:val="21"/>
                <w:szCs w:val="21"/>
                <w:highlight w:val="none"/>
                <w:lang w:val="en-US" w:eastAsia="zh-CN"/>
              </w:rPr>
              <w:t>/</w:t>
            </w:r>
          </w:p>
        </w:tc>
        <w:tc>
          <w:tcPr>
            <w:tcW w:w="1337" w:type="dxa"/>
            <w:shd w:val="clear" w:color="auto" w:fill="auto"/>
            <w:vAlign w:val="center"/>
          </w:tcPr>
          <w:p w14:paraId="5A1E67BA">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83.0</w:t>
            </w:r>
          </w:p>
        </w:tc>
        <w:tc>
          <w:tcPr>
            <w:tcW w:w="1309" w:type="dxa"/>
            <w:shd w:val="clear" w:color="auto" w:fill="auto"/>
            <w:vAlign w:val="center"/>
          </w:tcPr>
          <w:p w14:paraId="36A37859">
            <w:pPr>
              <w:pStyle w:val="44"/>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hAnsi="Times New Roman"/>
                <w:snapToGrid w:val="0"/>
                <w:color w:val="auto"/>
                <w:spacing w:val="-6"/>
                <w:kern w:val="21"/>
                <w:sz w:val="21"/>
                <w:szCs w:val="21"/>
                <w:highlight w:val="none"/>
                <w:lang w:val="en-US" w:eastAsia="zh-CN"/>
              </w:rPr>
              <w:t>/</w:t>
            </w:r>
          </w:p>
        </w:tc>
        <w:tc>
          <w:tcPr>
            <w:tcW w:w="1636" w:type="dxa"/>
            <w:shd w:val="clear" w:color="auto" w:fill="auto"/>
            <w:vAlign w:val="center"/>
          </w:tcPr>
          <w:p w14:paraId="318069D9">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83.0</w:t>
            </w:r>
          </w:p>
        </w:tc>
        <w:tc>
          <w:tcPr>
            <w:tcW w:w="1265" w:type="dxa"/>
            <w:shd w:val="clear" w:color="auto" w:fill="auto"/>
            <w:vAlign w:val="center"/>
          </w:tcPr>
          <w:p w14:paraId="7D76F023">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+83.0</w:t>
            </w:r>
          </w:p>
        </w:tc>
      </w:tr>
      <w:tr w14:paraId="3ED31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4AB49764">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p>
        </w:tc>
        <w:tc>
          <w:tcPr>
            <w:tcW w:w="3417" w:type="dxa"/>
            <w:shd w:val="clear" w:color="auto" w:fill="auto"/>
            <w:vAlign w:val="center"/>
          </w:tcPr>
          <w:p w14:paraId="68082C8B">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原料皮核</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319EA5D1">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vAlign w:val="center"/>
          </w:tcPr>
          <w:p w14:paraId="30CF5367">
            <w:pPr>
              <w:pStyle w:val="94"/>
              <w:bidi w:val="0"/>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68" w:type="dxa"/>
            <w:vAlign w:val="center"/>
          </w:tcPr>
          <w:p w14:paraId="34C4893C">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shd w:val="clear" w:color="auto" w:fill="auto"/>
            <w:vAlign w:val="center"/>
          </w:tcPr>
          <w:p w14:paraId="2777460C">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2900</w:t>
            </w:r>
          </w:p>
        </w:tc>
        <w:tc>
          <w:tcPr>
            <w:tcW w:w="1309" w:type="dxa"/>
            <w:shd w:val="clear" w:color="auto" w:fill="auto"/>
            <w:vAlign w:val="center"/>
          </w:tcPr>
          <w:p w14:paraId="7F173130">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636" w:type="dxa"/>
            <w:shd w:val="clear" w:color="auto" w:fill="auto"/>
            <w:vAlign w:val="center"/>
          </w:tcPr>
          <w:p w14:paraId="68D7E39B">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2900</w:t>
            </w:r>
          </w:p>
        </w:tc>
        <w:tc>
          <w:tcPr>
            <w:tcW w:w="1265" w:type="dxa"/>
            <w:shd w:val="clear" w:color="auto" w:fill="auto"/>
            <w:vAlign w:val="center"/>
          </w:tcPr>
          <w:p w14:paraId="7D4ED93C">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+2900</w:t>
            </w:r>
          </w:p>
        </w:tc>
      </w:tr>
      <w:tr w14:paraId="262FF2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11631CD7">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p>
        </w:tc>
        <w:tc>
          <w:tcPr>
            <w:tcW w:w="3417" w:type="dxa"/>
            <w:shd w:val="clear" w:color="auto" w:fill="auto"/>
            <w:vAlign w:val="center"/>
          </w:tcPr>
          <w:p w14:paraId="39E232B8">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不合格品</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21777938">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vAlign w:val="center"/>
          </w:tcPr>
          <w:p w14:paraId="5D36BC11">
            <w:pPr>
              <w:pStyle w:val="94"/>
              <w:bidi w:val="0"/>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68" w:type="dxa"/>
            <w:vAlign w:val="center"/>
          </w:tcPr>
          <w:p w14:paraId="09339977">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shd w:val="clear" w:color="auto" w:fill="auto"/>
            <w:vAlign w:val="center"/>
          </w:tcPr>
          <w:p w14:paraId="21F70ADC">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88.9</w:t>
            </w:r>
          </w:p>
        </w:tc>
        <w:tc>
          <w:tcPr>
            <w:tcW w:w="1309" w:type="dxa"/>
            <w:shd w:val="clear" w:color="auto" w:fill="auto"/>
            <w:vAlign w:val="center"/>
          </w:tcPr>
          <w:p w14:paraId="4D6BB465">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636" w:type="dxa"/>
            <w:shd w:val="clear" w:color="auto" w:fill="auto"/>
            <w:vAlign w:val="center"/>
          </w:tcPr>
          <w:p w14:paraId="74425A73">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88.9</w:t>
            </w:r>
          </w:p>
        </w:tc>
        <w:tc>
          <w:tcPr>
            <w:tcW w:w="1265" w:type="dxa"/>
            <w:shd w:val="clear" w:color="auto" w:fill="auto"/>
            <w:vAlign w:val="center"/>
          </w:tcPr>
          <w:p w14:paraId="1311CD57">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+88.9</w:t>
            </w:r>
          </w:p>
        </w:tc>
      </w:tr>
      <w:tr w14:paraId="48205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282FC36D">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snapToGrid w:val="0"/>
                <w:color w:val="auto"/>
                <w:spacing w:val="-6"/>
                <w:kern w:val="21"/>
                <w:sz w:val="21"/>
                <w:szCs w:val="21"/>
                <w:highlight w:val="none"/>
              </w:rPr>
            </w:pPr>
          </w:p>
        </w:tc>
        <w:tc>
          <w:tcPr>
            <w:tcW w:w="3417" w:type="dxa"/>
            <w:shd w:val="clear" w:color="auto" w:fill="auto"/>
            <w:vAlign w:val="center"/>
          </w:tcPr>
          <w:p w14:paraId="141472AB">
            <w:pPr>
              <w:pStyle w:val="106"/>
              <w:bidi w:val="0"/>
              <w:ind w:firstLine="0" w:firstLineChars="0"/>
              <w:rPr>
                <w:rFonts w:hint="default" w:ascii="Times New Roman" w:hAnsi="Times New Roman" w:eastAsia="宋体" w:cs="Times New Roman"/>
                <w:color w:val="auto"/>
                <w:kern w:val="2"/>
                <w:sz w:val="21"/>
                <w:szCs w:val="21"/>
                <w:highlight w:val="none"/>
                <w:lang w:val="en-US" w:eastAsia="en-US" w:bidi="ar-SA"/>
              </w:rPr>
            </w:pPr>
            <w:r>
              <w:rPr>
                <w:rFonts w:hint="eastAsia"/>
                <w:color w:val="auto"/>
                <w:highlight w:val="none"/>
                <w:lang w:val="en-US" w:eastAsia="zh-CN"/>
              </w:rPr>
              <w:t>杂质</w:t>
            </w:r>
            <w:r>
              <w:rPr>
                <w:rFonts w:hint="eastAsia" w:ascii="Times New Roman" w:hAnsi="Times New Roman" w:eastAsia="宋体"/>
                <w:color w:val="auto"/>
                <w:sz w:val="21"/>
                <w:szCs w:val="21"/>
                <w:highlight w:val="none"/>
              </w:rPr>
              <w:t>t/a</w:t>
            </w:r>
          </w:p>
        </w:tc>
        <w:tc>
          <w:tcPr>
            <w:tcW w:w="1406" w:type="dxa"/>
            <w:vAlign w:val="center"/>
          </w:tcPr>
          <w:p w14:paraId="427AAF85">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982" w:type="dxa"/>
            <w:vAlign w:val="center"/>
          </w:tcPr>
          <w:p w14:paraId="1AE76D30">
            <w:pPr>
              <w:pStyle w:val="94"/>
              <w:bidi w:val="0"/>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68" w:type="dxa"/>
            <w:vAlign w:val="center"/>
          </w:tcPr>
          <w:p w14:paraId="1BC78201">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shd w:val="clear" w:color="auto" w:fill="auto"/>
            <w:vAlign w:val="center"/>
          </w:tcPr>
          <w:p w14:paraId="2DA0671F">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13.9</w:t>
            </w:r>
          </w:p>
        </w:tc>
        <w:tc>
          <w:tcPr>
            <w:tcW w:w="1309" w:type="dxa"/>
            <w:vAlign w:val="center"/>
          </w:tcPr>
          <w:p w14:paraId="5CA55E41">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636" w:type="dxa"/>
            <w:shd w:val="clear" w:color="auto" w:fill="auto"/>
            <w:vAlign w:val="center"/>
          </w:tcPr>
          <w:p w14:paraId="38481F96">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13.9</w:t>
            </w:r>
          </w:p>
        </w:tc>
        <w:tc>
          <w:tcPr>
            <w:tcW w:w="1265" w:type="dxa"/>
            <w:shd w:val="clear" w:color="auto" w:fill="auto"/>
            <w:vAlign w:val="center"/>
          </w:tcPr>
          <w:p w14:paraId="6D40EF8A">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+13.9</w:t>
            </w:r>
          </w:p>
        </w:tc>
      </w:tr>
      <w:tr w14:paraId="5CA1F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70CCBE76">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snapToGrid w:val="0"/>
                <w:color w:val="auto"/>
                <w:spacing w:val="-6"/>
                <w:kern w:val="21"/>
                <w:sz w:val="21"/>
                <w:szCs w:val="21"/>
                <w:highlight w:val="none"/>
                <w:lang w:val="en-US" w:eastAsia="zh-CN"/>
              </w:rPr>
            </w:pPr>
          </w:p>
        </w:tc>
        <w:tc>
          <w:tcPr>
            <w:tcW w:w="3417" w:type="dxa"/>
            <w:shd w:val="clear" w:color="auto" w:fill="auto"/>
            <w:vAlign w:val="center"/>
          </w:tcPr>
          <w:p w14:paraId="33951B14">
            <w:pPr>
              <w:pStyle w:val="106"/>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废包装材料</w:t>
            </w:r>
            <w:r>
              <w:rPr>
                <w:rFonts w:hint="eastAsia" w:ascii="Times New Roman" w:hAnsi="Times New Roman" w:eastAsia="宋体"/>
                <w:color w:val="auto"/>
                <w:sz w:val="21"/>
                <w:szCs w:val="21"/>
                <w:highlight w:val="none"/>
              </w:rPr>
              <w:t>t/a</w:t>
            </w:r>
          </w:p>
        </w:tc>
        <w:tc>
          <w:tcPr>
            <w:tcW w:w="1406" w:type="dxa"/>
            <w:vAlign w:val="center"/>
          </w:tcPr>
          <w:p w14:paraId="30344184">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vAlign w:val="center"/>
          </w:tcPr>
          <w:p w14:paraId="268C66C3">
            <w:pPr>
              <w:pStyle w:val="94"/>
              <w:bidi w:val="0"/>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68" w:type="dxa"/>
            <w:vAlign w:val="center"/>
          </w:tcPr>
          <w:p w14:paraId="1078D27B">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shd w:val="clear" w:color="auto" w:fill="auto"/>
            <w:vAlign w:val="center"/>
          </w:tcPr>
          <w:p w14:paraId="3EFF9B87">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5.0</w:t>
            </w:r>
          </w:p>
        </w:tc>
        <w:tc>
          <w:tcPr>
            <w:tcW w:w="1309" w:type="dxa"/>
            <w:vAlign w:val="center"/>
          </w:tcPr>
          <w:p w14:paraId="27974875">
            <w:pPr>
              <w:pStyle w:val="94"/>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636" w:type="dxa"/>
            <w:shd w:val="clear" w:color="auto" w:fill="auto"/>
            <w:vAlign w:val="center"/>
          </w:tcPr>
          <w:p w14:paraId="776CCE29">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5.0</w:t>
            </w:r>
          </w:p>
        </w:tc>
        <w:tc>
          <w:tcPr>
            <w:tcW w:w="1265" w:type="dxa"/>
            <w:shd w:val="clear" w:color="auto" w:fill="auto"/>
            <w:vAlign w:val="center"/>
          </w:tcPr>
          <w:p w14:paraId="2E446385">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+5.0</w:t>
            </w:r>
          </w:p>
        </w:tc>
      </w:tr>
      <w:tr w14:paraId="1B0324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60CE63DE">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snapToGrid w:val="0"/>
                <w:color w:val="auto"/>
                <w:spacing w:val="-6"/>
                <w:kern w:val="21"/>
                <w:sz w:val="21"/>
                <w:szCs w:val="21"/>
                <w:highlight w:val="none"/>
                <w:lang w:val="en-US" w:eastAsia="zh-CN"/>
              </w:rPr>
            </w:pPr>
          </w:p>
        </w:tc>
        <w:tc>
          <w:tcPr>
            <w:tcW w:w="3417" w:type="dxa"/>
            <w:shd w:val="clear" w:color="auto" w:fill="auto"/>
            <w:vAlign w:val="center"/>
          </w:tcPr>
          <w:p w14:paraId="65857BF9">
            <w:pPr>
              <w:pStyle w:val="106"/>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肉类废边角料</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37510111">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shd w:val="clear" w:color="auto" w:fill="auto"/>
            <w:vAlign w:val="center"/>
          </w:tcPr>
          <w:p w14:paraId="5CA7D511">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68" w:type="dxa"/>
            <w:shd w:val="clear" w:color="auto" w:fill="auto"/>
            <w:vAlign w:val="center"/>
          </w:tcPr>
          <w:p w14:paraId="23348B1C">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shd w:val="clear" w:color="auto" w:fill="auto"/>
            <w:vAlign w:val="center"/>
          </w:tcPr>
          <w:p w14:paraId="35602095">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25.0</w:t>
            </w:r>
          </w:p>
        </w:tc>
        <w:tc>
          <w:tcPr>
            <w:tcW w:w="1309" w:type="dxa"/>
            <w:vAlign w:val="center"/>
          </w:tcPr>
          <w:p w14:paraId="47BF52DD">
            <w:pPr>
              <w:pStyle w:val="94"/>
              <w:bidi w:val="0"/>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636" w:type="dxa"/>
            <w:shd w:val="clear" w:color="auto" w:fill="auto"/>
            <w:vAlign w:val="center"/>
          </w:tcPr>
          <w:p w14:paraId="12D26CBB">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highlight w:val="none"/>
                <w:lang w:val="en-US" w:eastAsia="zh-CN"/>
              </w:rPr>
              <w:t>25.0</w:t>
            </w:r>
          </w:p>
        </w:tc>
        <w:tc>
          <w:tcPr>
            <w:tcW w:w="1265" w:type="dxa"/>
            <w:shd w:val="clear" w:color="auto" w:fill="auto"/>
            <w:vAlign w:val="center"/>
          </w:tcPr>
          <w:p w14:paraId="08602CD6">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+25.0</w:t>
            </w:r>
          </w:p>
        </w:tc>
      </w:tr>
      <w:tr w14:paraId="482EF7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3593DF5B">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snapToGrid w:val="0"/>
                <w:color w:val="auto"/>
                <w:spacing w:val="-6"/>
                <w:kern w:val="21"/>
                <w:sz w:val="21"/>
                <w:szCs w:val="21"/>
                <w:highlight w:val="none"/>
                <w:lang w:val="en-US" w:eastAsia="zh-CN"/>
              </w:rPr>
            </w:pPr>
          </w:p>
        </w:tc>
        <w:tc>
          <w:tcPr>
            <w:tcW w:w="3417" w:type="dxa"/>
            <w:shd w:val="clear" w:color="auto" w:fill="auto"/>
            <w:vAlign w:val="center"/>
          </w:tcPr>
          <w:p w14:paraId="253D0BFA">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生活垃圾</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7ABA260C">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shd w:val="clear" w:color="auto" w:fill="auto"/>
            <w:vAlign w:val="center"/>
          </w:tcPr>
          <w:p w14:paraId="2EDA0E8F">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68" w:type="dxa"/>
            <w:shd w:val="clear" w:color="auto" w:fill="auto"/>
            <w:vAlign w:val="center"/>
          </w:tcPr>
          <w:p w14:paraId="169A12A5">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shd w:val="clear" w:color="auto" w:fill="auto"/>
            <w:vAlign w:val="center"/>
          </w:tcPr>
          <w:p w14:paraId="757E6D27">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sz w:val="21"/>
                <w:szCs w:val="21"/>
                <w:highlight w:val="none"/>
                <w:lang w:val="en-US" w:eastAsia="zh-CN"/>
              </w:rPr>
              <w:t>9.0</w:t>
            </w:r>
          </w:p>
        </w:tc>
        <w:tc>
          <w:tcPr>
            <w:tcW w:w="1309" w:type="dxa"/>
            <w:shd w:val="clear" w:color="auto" w:fill="auto"/>
            <w:vAlign w:val="center"/>
          </w:tcPr>
          <w:p w14:paraId="57AF15E8">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636" w:type="dxa"/>
            <w:shd w:val="clear" w:color="auto" w:fill="auto"/>
            <w:vAlign w:val="center"/>
          </w:tcPr>
          <w:p w14:paraId="50812BC3">
            <w:pPr>
              <w:pStyle w:val="56"/>
              <w:spacing w:before="0"/>
              <w:ind w:right="0" w:rightChars="0" w:firstLine="0" w:firstLineChars="0"/>
              <w:rPr>
                <w:rFonts w:hint="default" w:ascii="Times New Roman" w:hAnsi="Times New Roman" w:eastAsia="宋体" w:cs="Times New Roman"/>
                <w:color w:val="FF0000"/>
                <w:kern w:val="0"/>
                <w:sz w:val="21"/>
                <w:szCs w:val="21"/>
                <w:highlight w:val="none"/>
                <w:lang w:val="en-US" w:eastAsia="zh-CN" w:bidi="ar-SA"/>
              </w:rPr>
            </w:pPr>
            <w:r>
              <w:rPr>
                <w:rFonts w:hint="eastAsia"/>
                <w:color w:val="auto"/>
                <w:sz w:val="21"/>
                <w:szCs w:val="21"/>
                <w:highlight w:val="none"/>
                <w:lang w:val="en-US" w:eastAsia="zh-CN"/>
              </w:rPr>
              <w:t>9.0</w:t>
            </w:r>
          </w:p>
        </w:tc>
        <w:tc>
          <w:tcPr>
            <w:tcW w:w="1265" w:type="dxa"/>
            <w:shd w:val="clear" w:color="auto" w:fill="auto"/>
            <w:vAlign w:val="center"/>
          </w:tcPr>
          <w:p w14:paraId="6E92D615">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r>
              <w:rPr>
                <w:rFonts w:hint="eastAsia"/>
                <w:color w:val="auto"/>
                <w:sz w:val="21"/>
                <w:szCs w:val="21"/>
                <w:highlight w:val="none"/>
                <w:lang w:val="en-US" w:eastAsia="zh-CN"/>
              </w:rPr>
              <w:t>9.0</w:t>
            </w:r>
          </w:p>
        </w:tc>
      </w:tr>
      <w:tr w14:paraId="04BD2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193BCA28">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snapToGrid w:val="0"/>
                <w:color w:val="auto"/>
                <w:spacing w:val="-6"/>
                <w:kern w:val="21"/>
                <w:sz w:val="21"/>
                <w:szCs w:val="21"/>
                <w:highlight w:val="none"/>
                <w:lang w:val="en-US" w:eastAsia="zh-CN"/>
              </w:rPr>
            </w:pPr>
          </w:p>
        </w:tc>
        <w:tc>
          <w:tcPr>
            <w:tcW w:w="3417" w:type="dxa"/>
            <w:shd w:val="clear" w:color="auto" w:fill="auto"/>
            <w:vAlign w:val="center"/>
          </w:tcPr>
          <w:p w14:paraId="170F021D">
            <w:pPr>
              <w:pStyle w:val="56"/>
              <w:spacing w:before="0"/>
              <w:ind w:right="0" w:rightChars="0" w:firstLine="0" w:firstLineChars="0"/>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污水处理设施污泥</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0AAAA541">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982" w:type="dxa"/>
            <w:shd w:val="clear" w:color="auto" w:fill="auto"/>
            <w:vAlign w:val="center"/>
          </w:tcPr>
          <w:p w14:paraId="300BC70F">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68" w:type="dxa"/>
            <w:shd w:val="clear" w:color="auto" w:fill="auto"/>
            <w:vAlign w:val="center"/>
          </w:tcPr>
          <w:p w14:paraId="1BF397F9">
            <w:pPr>
              <w:pStyle w:val="94"/>
              <w:bidi w:val="0"/>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37" w:type="dxa"/>
            <w:shd w:val="clear" w:color="auto" w:fill="auto"/>
            <w:vAlign w:val="center"/>
          </w:tcPr>
          <w:p w14:paraId="7312FFA1">
            <w:pPr>
              <w:pStyle w:val="56"/>
              <w:spacing w:before="0"/>
              <w:ind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1309" w:type="dxa"/>
            <w:shd w:val="clear" w:color="auto" w:fill="auto"/>
            <w:vAlign w:val="center"/>
          </w:tcPr>
          <w:p w14:paraId="3815AA97">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636" w:type="dxa"/>
            <w:shd w:val="clear" w:color="auto" w:fill="auto"/>
            <w:vAlign w:val="center"/>
          </w:tcPr>
          <w:p w14:paraId="4B34D428">
            <w:pPr>
              <w:pStyle w:val="56"/>
              <w:spacing w:before="0"/>
              <w:ind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1265" w:type="dxa"/>
            <w:shd w:val="clear" w:color="auto" w:fill="auto"/>
            <w:vAlign w:val="center"/>
          </w:tcPr>
          <w:p w14:paraId="2A1E7CFA">
            <w:pPr>
              <w:pStyle w:val="56"/>
              <w:spacing w:before="0"/>
              <w:ind w:right="0" w:rightChars="0" w:firstLine="0" w:firstLineChars="0"/>
              <w:rPr>
                <w:rFonts w:hint="default"/>
                <w:color w:val="auto"/>
                <w:highlight w:val="none"/>
                <w:lang w:val="en-US" w:eastAsia="zh-CN"/>
              </w:rPr>
            </w:pPr>
            <w:r>
              <w:rPr>
                <w:rFonts w:hint="eastAsia"/>
                <w:color w:val="auto"/>
                <w:highlight w:val="none"/>
                <w:lang w:val="en-US" w:eastAsia="zh-CN"/>
              </w:rPr>
              <w:t>+1.0</w:t>
            </w:r>
          </w:p>
        </w:tc>
      </w:tr>
      <w:tr w14:paraId="1BC7B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restart"/>
            <w:vAlign w:val="center"/>
          </w:tcPr>
          <w:p w14:paraId="4E5EC055">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snapToGrid w:val="0"/>
                <w:color w:val="auto"/>
                <w:spacing w:val="-6"/>
                <w:kern w:val="21"/>
                <w:sz w:val="21"/>
                <w:szCs w:val="21"/>
                <w:highlight w:val="none"/>
                <w:lang w:val="en-US" w:eastAsia="zh-CN"/>
              </w:rPr>
            </w:pPr>
            <w:r>
              <w:rPr>
                <w:rFonts w:hint="eastAsia" w:ascii="Times New Roman" w:hAnsi="Times New Roman"/>
                <w:snapToGrid w:val="0"/>
                <w:color w:val="auto"/>
                <w:spacing w:val="-6"/>
                <w:kern w:val="21"/>
                <w:sz w:val="21"/>
                <w:szCs w:val="21"/>
                <w:highlight w:val="none"/>
                <w:lang w:val="en-US" w:eastAsia="zh-CN"/>
              </w:rPr>
              <w:t>危险废物</w:t>
            </w:r>
          </w:p>
        </w:tc>
        <w:tc>
          <w:tcPr>
            <w:tcW w:w="3417" w:type="dxa"/>
            <w:shd w:val="clear" w:color="auto" w:fill="auto"/>
            <w:vAlign w:val="center"/>
          </w:tcPr>
          <w:p w14:paraId="41457E3A">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废机油</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384132EC">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82" w:type="dxa"/>
            <w:shd w:val="clear" w:color="auto" w:fill="auto"/>
            <w:vAlign w:val="center"/>
          </w:tcPr>
          <w:p w14:paraId="405EB359">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368" w:type="dxa"/>
            <w:shd w:val="clear" w:color="auto" w:fill="auto"/>
            <w:vAlign w:val="center"/>
          </w:tcPr>
          <w:p w14:paraId="72E57395">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337" w:type="dxa"/>
            <w:shd w:val="clear" w:color="auto" w:fill="auto"/>
            <w:vAlign w:val="center"/>
          </w:tcPr>
          <w:p w14:paraId="2D4BD1E2">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0.05</w:t>
            </w:r>
          </w:p>
        </w:tc>
        <w:tc>
          <w:tcPr>
            <w:tcW w:w="1309" w:type="dxa"/>
            <w:shd w:val="clear" w:color="auto" w:fill="auto"/>
            <w:vAlign w:val="center"/>
          </w:tcPr>
          <w:p w14:paraId="58B5C32F">
            <w:pPr>
              <w:pStyle w:val="106"/>
              <w:bidi w:val="0"/>
              <w:rPr>
                <w:rFonts w:hint="eastAsia"/>
                <w:color w:val="auto"/>
                <w:highlight w:val="none"/>
                <w:lang w:val="en-US" w:eastAsia="zh-CN"/>
              </w:rPr>
            </w:pPr>
            <w:r>
              <w:rPr>
                <w:rFonts w:hint="eastAsia"/>
                <w:color w:val="auto"/>
                <w:highlight w:val="none"/>
                <w:lang w:val="en-US" w:eastAsia="zh-CN"/>
              </w:rPr>
              <w:t>/</w:t>
            </w:r>
          </w:p>
        </w:tc>
        <w:tc>
          <w:tcPr>
            <w:tcW w:w="1636" w:type="dxa"/>
            <w:shd w:val="clear" w:color="auto" w:fill="auto"/>
            <w:vAlign w:val="center"/>
          </w:tcPr>
          <w:p w14:paraId="1FE9135D">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0.05</w:t>
            </w:r>
          </w:p>
        </w:tc>
        <w:tc>
          <w:tcPr>
            <w:tcW w:w="1265" w:type="dxa"/>
            <w:shd w:val="clear" w:color="auto" w:fill="auto"/>
            <w:vAlign w:val="center"/>
          </w:tcPr>
          <w:p w14:paraId="714F59C8">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+0.05</w:t>
            </w:r>
          </w:p>
        </w:tc>
      </w:tr>
      <w:tr w14:paraId="78AE2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2813D276">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snapToGrid w:val="0"/>
                <w:color w:val="auto"/>
                <w:spacing w:val="-6"/>
                <w:kern w:val="21"/>
                <w:sz w:val="21"/>
                <w:szCs w:val="21"/>
                <w:highlight w:val="none"/>
                <w:lang w:val="en-US" w:eastAsia="zh-CN"/>
              </w:rPr>
            </w:pPr>
          </w:p>
        </w:tc>
        <w:tc>
          <w:tcPr>
            <w:tcW w:w="3417" w:type="dxa"/>
            <w:shd w:val="clear" w:color="auto" w:fill="auto"/>
            <w:vAlign w:val="center"/>
          </w:tcPr>
          <w:p w14:paraId="7DC42877">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废机油桶</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553AB5F7">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82" w:type="dxa"/>
            <w:shd w:val="clear" w:color="auto" w:fill="auto"/>
            <w:vAlign w:val="center"/>
          </w:tcPr>
          <w:p w14:paraId="20BE51F9">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368" w:type="dxa"/>
            <w:shd w:val="clear" w:color="auto" w:fill="auto"/>
            <w:vAlign w:val="center"/>
          </w:tcPr>
          <w:p w14:paraId="307AC1BE">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337" w:type="dxa"/>
            <w:shd w:val="clear" w:color="auto" w:fill="auto"/>
            <w:vAlign w:val="center"/>
          </w:tcPr>
          <w:p w14:paraId="1016F863">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0.005</w:t>
            </w:r>
          </w:p>
        </w:tc>
        <w:tc>
          <w:tcPr>
            <w:tcW w:w="1309" w:type="dxa"/>
            <w:shd w:val="clear" w:color="auto" w:fill="auto"/>
            <w:vAlign w:val="center"/>
          </w:tcPr>
          <w:p w14:paraId="7453DC2B">
            <w:pPr>
              <w:pStyle w:val="106"/>
              <w:bidi w:val="0"/>
              <w:rPr>
                <w:rFonts w:hint="eastAsia"/>
                <w:color w:val="auto"/>
                <w:highlight w:val="none"/>
                <w:lang w:val="en-US" w:eastAsia="zh-CN"/>
              </w:rPr>
            </w:pPr>
            <w:r>
              <w:rPr>
                <w:rFonts w:hint="eastAsia"/>
                <w:color w:val="auto"/>
                <w:highlight w:val="none"/>
                <w:lang w:val="en-US" w:eastAsia="zh-CN"/>
              </w:rPr>
              <w:t>/</w:t>
            </w:r>
          </w:p>
        </w:tc>
        <w:tc>
          <w:tcPr>
            <w:tcW w:w="1636" w:type="dxa"/>
            <w:shd w:val="clear" w:color="auto" w:fill="auto"/>
            <w:vAlign w:val="center"/>
          </w:tcPr>
          <w:p w14:paraId="32E8EC20">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0.005</w:t>
            </w:r>
          </w:p>
        </w:tc>
        <w:tc>
          <w:tcPr>
            <w:tcW w:w="1265" w:type="dxa"/>
            <w:shd w:val="clear" w:color="auto" w:fill="auto"/>
            <w:vAlign w:val="center"/>
          </w:tcPr>
          <w:p w14:paraId="6EBB4D81">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+0.005</w:t>
            </w:r>
          </w:p>
        </w:tc>
      </w:tr>
      <w:tr w14:paraId="20FA5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 w:type="dxa"/>
            <w:vMerge w:val="continue"/>
            <w:vAlign w:val="center"/>
          </w:tcPr>
          <w:p w14:paraId="52D16088">
            <w:pPr>
              <w:pStyle w:val="44"/>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snapToGrid w:val="0"/>
                <w:color w:val="auto"/>
                <w:spacing w:val="-6"/>
                <w:kern w:val="21"/>
                <w:sz w:val="21"/>
                <w:szCs w:val="21"/>
                <w:highlight w:val="none"/>
                <w:lang w:val="en-US" w:eastAsia="zh-CN"/>
              </w:rPr>
            </w:pPr>
          </w:p>
        </w:tc>
        <w:tc>
          <w:tcPr>
            <w:tcW w:w="3417" w:type="dxa"/>
            <w:shd w:val="clear" w:color="auto" w:fill="auto"/>
            <w:vAlign w:val="center"/>
          </w:tcPr>
          <w:p w14:paraId="2F6E1336">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废沾油手套</w:t>
            </w:r>
            <w:r>
              <w:rPr>
                <w:rFonts w:hint="eastAsia" w:ascii="Times New Roman" w:hAnsi="Times New Roman" w:eastAsia="宋体"/>
                <w:color w:val="auto"/>
                <w:sz w:val="21"/>
                <w:szCs w:val="21"/>
                <w:highlight w:val="none"/>
              </w:rPr>
              <w:t>t/a</w:t>
            </w:r>
          </w:p>
        </w:tc>
        <w:tc>
          <w:tcPr>
            <w:tcW w:w="1406" w:type="dxa"/>
            <w:shd w:val="clear" w:color="auto" w:fill="auto"/>
            <w:vAlign w:val="center"/>
          </w:tcPr>
          <w:p w14:paraId="59DD7A32">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982" w:type="dxa"/>
            <w:shd w:val="clear" w:color="auto" w:fill="auto"/>
            <w:vAlign w:val="center"/>
          </w:tcPr>
          <w:p w14:paraId="02E5AC7D">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368" w:type="dxa"/>
            <w:shd w:val="clear" w:color="auto" w:fill="auto"/>
            <w:vAlign w:val="center"/>
          </w:tcPr>
          <w:p w14:paraId="5BA88233">
            <w:pPr>
              <w:pStyle w:val="94"/>
              <w:bidi w:val="0"/>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337" w:type="dxa"/>
            <w:shd w:val="clear" w:color="auto" w:fill="auto"/>
            <w:vAlign w:val="center"/>
          </w:tcPr>
          <w:p w14:paraId="206258B6">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1309" w:type="dxa"/>
            <w:shd w:val="clear" w:color="auto" w:fill="auto"/>
            <w:vAlign w:val="center"/>
          </w:tcPr>
          <w:p w14:paraId="72C68A91">
            <w:pPr>
              <w:pStyle w:val="106"/>
              <w:bidi w:val="0"/>
              <w:rPr>
                <w:rFonts w:hint="eastAsia"/>
                <w:color w:val="auto"/>
                <w:highlight w:val="none"/>
                <w:lang w:val="en-US" w:eastAsia="zh-CN"/>
              </w:rPr>
            </w:pPr>
            <w:r>
              <w:rPr>
                <w:rFonts w:hint="eastAsia"/>
                <w:color w:val="auto"/>
                <w:highlight w:val="none"/>
                <w:lang w:val="en-US" w:eastAsia="zh-CN"/>
              </w:rPr>
              <w:t>/</w:t>
            </w:r>
          </w:p>
        </w:tc>
        <w:tc>
          <w:tcPr>
            <w:tcW w:w="1636" w:type="dxa"/>
            <w:shd w:val="clear" w:color="auto" w:fill="auto"/>
            <w:vAlign w:val="center"/>
          </w:tcPr>
          <w:p w14:paraId="2E2F2F2D">
            <w:pPr>
              <w:pStyle w:val="56"/>
              <w:spacing w:before="0"/>
              <w:ind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c>
          <w:tcPr>
            <w:tcW w:w="1265" w:type="dxa"/>
            <w:shd w:val="clear" w:color="auto" w:fill="auto"/>
            <w:vAlign w:val="center"/>
          </w:tcPr>
          <w:p w14:paraId="61A4A3B3">
            <w:pPr>
              <w:pStyle w:val="56"/>
              <w:spacing w:before="0"/>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+0.2</w:t>
            </w:r>
          </w:p>
        </w:tc>
      </w:tr>
    </w:tbl>
    <w:p w14:paraId="5B5AA8B6">
      <w:pPr>
        <w:pStyle w:val="42"/>
        <w:ind w:firstLine="0" w:firstLineChars="0"/>
        <w:rPr>
          <w:rFonts w:ascii="Times New Roman" w:cs="Times New Roman"/>
          <w:color w:val="auto"/>
          <w:sz w:val="21"/>
          <w:szCs w:val="21"/>
          <w:highlight w:val="none"/>
        </w:rPr>
      </w:pPr>
      <w:r>
        <w:rPr>
          <w:rFonts w:ascii="Times New Roman" w:cs="Times New Roman"/>
          <w:color w:val="auto"/>
          <w:sz w:val="21"/>
          <w:szCs w:val="21"/>
          <w:highlight w:val="none"/>
        </w:rPr>
        <w:t>注：⑥=①＋③＋④-⑤；⑦=⑥-①</w:t>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6A6D478-5300-4CC7-8909-078EF0263BD9}"/>
  </w:font>
  <w:font w:name="Arial">
    <w:panose1 w:val="020B0604020202020204"/>
    <w:charset w:val="01"/>
    <w:family w:val="swiss"/>
    <w:pitch w:val="default"/>
    <w:sig w:usb0="E0002AFF" w:usb1="C0007843" w:usb2="00000009" w:usb3="00000000" w:csb0="400001FF" w:csb1="FFFF0000"/>
    <w:embedRegular r:id="rId2" w:fontKey="{D3BB7DFD-0466-4662-BDF1-ECB4CCB1DAFA}"/>
  </w:font>
  <w:font w:name="黑体">
    <w:panose1 w:val="02010609060101010101"/>
    <w:charset w:val="86"/>
    <w:family w:val="auto"/>
    <w:pitch w:val="default"/>
    <w:sig w:usb0="800002BF" w:usb1="38CF7CFA" w:usb2="00000016" w:usb3="00000000" w:csb0="00040001" w:csb1="00000000"/>
    <w:embedRegular r:id="rId3" w:fontKey="{02C182D3-DCC1-4896-A46F-97392D23459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4" w:fontKey="{87DDF2F4-058A-4CC3-BC3E-EA16A0CD0F1D}"/>
  </w:font>
  <w:font w:name="Calibri">
    <w:panose1 w:val="020F0502020204030204"/>
    <w:charset w:val="00"/>
    <w:family w:val="swiss"/>
    <w:pitch w:val="default"/>
    <w:sig w:usb0="E10002FF" w:usb1="4000ACFF" w:usb2="00000009" w:usb3="00000000" w:csb0="2000019F" w:csb1="00000000"/>
    <w:embedRegular r:id="rId5" w:fontKey="{4AF24E0C-444B-4661-AFFD-9CB57F8F219B}"/>
  </w:font>
  <w:font w:name="仿宋_GB2312">
    <w:panose1 w:val="02010609030101010101"/>
    <w:charset w:val="86"/>
    <w:family w:val="auto"/>
    <w:pitch w:val="default"/>
    <w:sig w:usb0="00000001" w:usb1="080E0000" w:usb2="00000000" w:usb3="00000000" w:csb0="00040000" w:csb1="00000000"/>
    <w:embedRegular r:id="rId6" w:fontKey="{D21648A9-CC28-48DD-8073-7CF870C3042B}"/>
  </w:font>
  <w:font w:name="楷体">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9" w:usb3="00000000" w:csb0="200001FF" w:csb1="00000000"/>
  </w:font>
  <w:font w:name="Cambria">
    <w:panose1 w:val="02040503050406030204"/>
    <w:charset w:val="00"/>
    <w:family w:val="roman"/>
    <w:pitch w:val="default"/>
    <w:sig w:usb0="E00002FF" w:usb1="400004FF" w:usb2="00000000" w:usb3="00000000" w:csb0="2000019F" w:csb1="00000000"/>
  </w:font>
  <w:font w:name="TimesNewRomanPSMT">
    <w:altName w:val="Times New Roman"/>
    <w:panose1 w:val="00000000000000000000"/>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7" w:fontKey="{CCDF8AF1-7D03-45FE-B68F-725FD879041B}"/>
  </w:font>
  <w:font w:name="微软雅黑">
    <w:panose1 w:val="020B0503020204020204"/>
    <w:charset w:val="86"/>
    <w:family w:val="swiss"/>
    <w:pitch w:val="default"/>
    <w:sig w:usb0="80000287" w:usb1="280F3C52" w:usb2="00000016" w:usb3="00000000" w:csb0="0004001F" w:csb1="00000000"/>
  </w:font>
  <w:font w:name="TimesNewRoman">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8" w:fontKey="{2A88CFE8-665A-4285-890F-8545225C0886}"/>
  </w:font>
  <w:font w:name="方正小标宋_GBK">
    <w:panose1 w:val="02000000000000000000"/>
    <w:charset w:val="86"/>
    <w:family w:val="auto"/>
    <w:pitch w:val="default"/>
    <w:sig w:usb0="A00002BF" w:usb1="38CF7CFA" w:usb2="00082016" w:usb3="00000000" w:csb0="00040001" w:csb1="00000000"/>
    <w:embedRegular r:id="rId9" w:fontKey="{C3D11AB2-B45F-4CE6-BAA3-63BDD741A3D0}"/>
  </w:font>
  <w:font w:name="楷体_GB2312">
    <w:panose1 w:val="02010609030101010101"/>
    <w:charset w:val="86"/>
    <w:family w:val="modern"/>
    <w:pitch w:val="default"/>
    <w:sig w:usb0="00000001" w:usb1="080E0000" w:usb2="00000000" w:usb3="00000000" w:csb0="00040000" w:csb1="00000000"/>
    <w:embedRegular r:id="rId10" w:fontKey="{63E544CA-93E5-4D21-921F-6D9116288AF2}"/>
  </w:font>
  <w:font w:name="Wingdings 2">
    <w:panose1 w:val="05020102010507070707"/>
    <w:charset w:val="02"/>
    <w:family w:val="roman"/>
    <w:pitch w:val="default"/>
    <w:sig w:usb0="00000000" w:usb1="00000000" w:usb2="00000000" w:usb3="00000000" w:csb0="80000000" w:csb1="00000000"/>
    <w:embedRegular r:id="rId11" w:fontKey="{E0C6FD83-F219-4A18-B48D-7C5FBBC78002}"/>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D19D8">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00A52">
    <w:pPr>
      <w:widowControl w:val="0"/>
      <w:tabs>
        <w:tab w:val="center" w:pos="4153"/>
        <w:tab w:val="right" w:pos="8306"/>
      </w:tabs>
      <w:snapToGrid w:val="0"/>
      <w:ind w:right="360" w:firstLine="360"/>
      <w:jc w:val="center"/>
      <w:rPr>
        <w:rFonts w:ascii="Times New Roman" w:hAnsi="Times New Roman" w:eastAsia="宋体" w:cs="Times New Roman"/>
        <w:kern w:val="0"/>
        <w:sz w:val="18"/>
        <w:szCs w:val="20"/>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2B496">
    <w:pPr>
      <w:framePr w:wrap="around" w:vAnchor="text" w:hAnchor="margin" w:xAlign="center" w:y="1"/>
      <w:widowControl w:val="0"/>
      <w:tabs>
        <w:tab w:val="center" w:pos="4153"/>
        <w:tab w:val="right" w:pos="8306"/>
      </w:tabs>
      <w:snapToGrid w:val="0"/>
      <w:jc w:val="left"/>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0"/>
        <w:sz w:val="18"/>
        <w:szCs w:val="20"/>
        <w:lang w:val="en-US" w:eastAsia="zh-CN" w:bidi="ar-SA"/>
      </w:rPr>
      <w:fldChar w:fldCharType="begin"/>
    </w:r>
    <w:r>
      <w:rPr>
        <w:rFonts w:ascii="Times New Roman" w:hAnsi="Times New Roman" w:eastAsia="宋体" w:cs="Times New Roman"/>
        <w:kern w:val="2"/>
        <w:sz w:val="21"/>
        <w:szCs w:val="24"/>
        <w:lang w:val="en-US" w:eastAsia="zh-CN" w:bidi="ar-SA"/>
      </w:rPr>
      <w:instrText xml:space="preserve">PAGE  </w:instrText>
    </w:r>
    <w:r>
      <w:rPr>
        <w:rFonts w:ascii="Times New Roman" w:hAnsi="Times New Roman" w:eastAsia="宋体" w:cs="Times New Roman"/>
        <w:kern w:val="0"/>
        <w:sz w:val="18"/>
        <w:szCs w:val="20"/>
        <w:lang w:val="en-US" w:eastAsia="zh-CN" w:bidi="ar-SA"/>
      </w:rPr>
      <w:fldChar w:fldCharType="end"/>
    </w:r>
  </w:p>
  <w:p w14:paraId="258C3FAE">
    <w:pPr>
      <w:widowControl w:val="0"/>
      <w:tabs>
        <w:tab w:val="center" w:pos="4153"/>
        <w:tab w:val="right" w:pos="8306"/>
      </w:tabs>
      <w:snapToGrid w:val="0"/>
      <w:ind w:right="360" w:firstLine="360"/>
      <w:jc w:val="left"/>
      <w:rPr>
        <w:rFonts w:ascii="Times New Roman" w:hAnsi="Times New Roman" w:eastAsia="宋体" w:cs="Times New Roman"/>
        <w:kern w:val="0"/>
        <w:sz w:val="18"/>
        <w:szCs w:val="20"/>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BF7D2">
    <w:pPr>
      <w:pStyle w:val="22"/>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626457">
                          <w:pPr>
                            <w:pStyle w:val="22"/>
                            <w:ind w:firstLine="360"/>
                          </w:pPr>
                          <w:r>
                            <w:rPr>
                              <w:rFonts w:hint="eastAsia"/>
                            </w:rPr>
                            <w:fldChar w:fldCharType="begin"/>
                          </w:r>
                          <w:r>
                            <w:rPr>
                              <w:rFonts w:hint="eastAsia"/>
                            </w:rPr>
                            <w:instrText xml:space="preserve"> PAGE  \* MERGEFORMAT </w:instrText>
                          </w:r>
                          <w:r>
                            <w:rPr>
                              <w:rFonts w:hint="eastAsia"/>
                            </w:rPr>
                            <w:fldChar w:fldCharType="separate"/>
                          </w:r>
                          <w:r>
                            <w:t>- 103 -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50626457">
                    <w:pPr>
                      <w:pStyle w:val="22"/>
                      <w:ind w:firstLine="360"/>
                    </w:pPr>
                    <w:r>
                      <w:rPr>
                        <w:rFonts w:hint="eastAsia"/>
                      </w:rPr>
                      <w:fldChar w:fldCharType="begin"/>
                    </w:r>
                    <w:r>
                      <w:rPr>
                        <w:rFonts w:hint="eastAsia"/>
                      </w:rPr>
                      <w:instrText xml:space="preserve"> PAGE  \* MERGEFORMAT </w:instrText>
                    </w:r>
                    <w:r>
                      <w:rPr>
                        <w:rFonts w:hint="eastAsia"/>
                      </w:rPr>
                      <w:fldChar w:fldCharType="separate"/>
                    </w:r>
                    <w:r>
                      <w:t>- 103 -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9AC21">
    <w:pPr>
      <w:pStyle w:val="22"/>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EE904C">
                          <w:pPr>
                            <w:pStyle w:val="22"/>
                            <w:ind w:firstLine="360"/>
                          </w:pPr>
                          <w:r>
                            <w:rPr>
                              <w:rFonts w:hint="eastAsia"/>
                            </w:rPr>
                            <w:fldChar w:fldCharType="begin"/>
                          </w:r>
                          <w:r>
                            <w:rPr>
                              <w:rFonts w:hint="eastAsia"/>
                            </w:rPr>
                            <w:instrText xml:space="preserve"> PAGE  \* MERGEFORMAT </w:instrText>
                          </w:r>
                          <w:r>
                            <w:rPr>
                              <w:rFonts w:hint="eastAsia"/>
                            </w:rPr>
                            <w:fldChar w:fldCharType="separate"/>
                          </w:r>
                          <w:r>
                            <w:t>- 103 -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08EE904C">
                    <w:pPr>
                      <w:pStyle w:val="22"/>
                      <w:ind w:firstLine="360"/>
                    </w:pPr>
                    <w:r>
                      <w:rPr>
                        <w:rFonts w:hint="eastAsia"/>
                      </w:rPr>
                      <w:fldChar w:fldCharType="begin"/>
                    </w:r>
                    <w:r>
                      <w:rPr>
                        <w:rFonts w:hint="eastAsia"/>
                      </w:rPr>
                      <w:instrText xml:space="preserve"> PAGE  \* MERGEFORMAT </w:instrText>
                    </w:r>
                    <w:r>
                      <w:rPr>
                        <w:rFonts w:hint="eastAsia"/>
                      </w:rPr>
                      <w:fldChar w:fldCharType="separate"/>
                    </w:r>
                    <w:r>
                      <w:t>- 103 -</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6F02A">
    <w:pPr>
      <w:pStyle w:val="2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78912">
    <w:pPr>
      <w:widowControl w:val="0"/>
      <w:pBdr>
        <w:bottom w:val="none" w:color="auto" w:sz="0" w:space="0"/>
      </w:pBdr>
      <w:tabs>
        <w:tab w:val="center" w:pos="4153"/>
        <w:tab w:val="right" w:pos="8306"/>
      </w:tabs>
      <w:snapToGrid w:val="0"/>
      <w:jc w:val="center"/>
      <w:rPr>
        <w:rFonts w:ascii="Times New Roman" w:hAnsi="Times New Roman" w:eastAsia="宋体" w:cs="Times New Roman"/>
        <w:kern w:val="0"/>
        <w:sz w:val="18"/>
        <w:szCs w:val="20"/>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F7DA2">
    <w:pPr>
      <w:pStyle w:val="23"/>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C338E">
    <w:pPr>
      <w:pStyle w:val="23"/>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8E2AC"/>
    <w:multiLevelType w:val="singleLevel"/>
    <w:tmpl w:val="8618E2AC"/>
    <w:lvl w:ilvl="0" w:tentative="0">
      <w:start w:val="1"/>
      <w:numFmt w:val="decimal"/>
      <w:suff w:val="nothing"/>
      <w:lvlText w:val="%1、"/>
      <w:lvlJc w:val="left"/>
    </w:lvl>
  </w:abstractNum>
  <w:abstractNum w:abstractNumId="1">
    <w:nsid w:val="90AB64AB"/>
    <w:multiLevelType w:val="singleLevel"/>
    <w:tmpl w:val="90AB64AB"/>
    <w:lvl w:ilvl="0" w:tentative="0">
      <w:start w:val="1"/>
      <w:numFmt w:val="lowerLetter"/>
      <w:lvlText w:val="%1."/>
      <w:lvlJc w:val="left"/>
      <w:pPr>
        <w:tabs>
          <w:tab w:val="left" w:pos="312"/>
        </w:tabs>
      </w:pPr>
    </w:lvl>
  </w:abstractNum>
  <w:abstractNum w:abstractNumId="2">
    <w:nsid w:val="BF4334B3"/>
    <w:multiLevelType w:val="singleLevel"/>
    <w:tmpl w:val="BF4334B3"/>
    <w:lvl w:ilvl="0" w:tentative="0">
      <w:start w:val="1"/>
      <w:numFmt w:val="decimal"/>
      <w:suff w:val="nothing"/>
      <w:lvlText w:val="%1、"/>
      <w:lvlJc w:val="left"/>
    </w:lvl>
  </w:abstractNum>
  <w:abstractNum w:abstractNumId="3">
    <w:nsid w:val="CEE91D0B"/>
    <w:multiLevelType w:val="singleLevel"/>
    <w:tmpl w:val="CEE91D0B"/>
    <w:lvl w:ilvl="0" w:tentative="0">
      <w:start w:val="1"/>
      <w:numFmt w:val="decimal"/>
      <w:suff w:val="nothing"/>
      <w:lvlText w:val="（%1）"/>
      <w:lvlJc w:val="left"/>
    </w:lvl>
  </w:abstractNum>
  <w:abstractNum w:abstractNumId="4">
    <w:nsid w:val="DA203033"/>
    <w:multiLevelType w:val="singleLevel"/>
    <w:tmpl w:val="DA203033"/>
    <w:lvl w:ilvl="0" w:tentative="0">
      <w:start w:val="1"/>
      <w:numFmt w:val="decimal"/>
      <w:suff w:val="nothing"/>
      <w:lvlText w:val="%1、"/>
      <w:lvlJc w:val="left"/>
    </w:lvl>
  </w:abstractNum>
  <w:abstractNum w:abstractNumId="5">
    <w:nsid w:val="FAC31F8E"/>
    <w:multiLevelType w:val="singleLevel"/>
    <w:tmpl w:val="FAC31F8E"/>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6">
    <w:nsid w:val="29945CC8"/>
    <w:multiLevelType w:val="multilevel"/>
    <w:tmpl w:val="29945CC8"/>
    <w:lvl w:ilvl="0" w:tentative="0">
      <w:start w:val="1"/>
      <w:numFmt w:val="decimal"/>
      <w:lvlText w:val="附件%1"/>
      <w:lvlJc w:val="left"/>
      <w:pPr>
        <w:ind w:left="440" w:hanging="440"/>
      </w:pPr>
      <w:rPr>
        <w:rFonts w:hint="default"/>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36354E80"/>
    <w:multiLevelType w:val="singleLevel"/>
    <w:tmpl w:val="36354E80"/>
    <w:lvl w:ilvl="0" w:tentative="0">
      <w:start w:val="1"/>
      <w:numFmt w:val="decimal"/>
      <w:suff w:val="nothing"/>
      <w:lvlText w:val="%1、"/>
      <w:lvlJc w:val="left"/>
    </w:lvl>
  </w:abstractNum>
  <w:abstractNum w:abstractNumId="8">
    <w:nsid w:val="39D2DF4F"/>
    <w:multiLevelType w:val="singleLevel"/>
    <w:tmpl w:val="39D2DF4F"/>
    <w:lvl w:ilvl="0" w:tentative="0">
      <w:start w:val="1"/>
      <w:numFmt w:val="decimal"/>
      <w:suff w:val="nothing"/>
      <w:lvlText w:val="%1、"/>
      <w:lvlJc w:val="left"/>
    </w:lvl>
  </w:abstractNum>
  <w:abstractNum w:abstractNumId="9">
    <w:nsid w:val="480CEC4D"/>
    <w:multiLevelType w:val="singleLevel"/>
    <w:tmpl w:val="480CEC4D"/>
    <w:lvl w:ilvl="0" w:tentative="0">
      <w:start w:val="1"/>
      <w:numFmt w:val="decimal"/>
      <w:suff w:val="nothing"/>
      <w:lvlText w:val="%1、"/>
      <w:lvlJc w:val="left"/>
    </w:lvl>
  </w:abstractNum>
  <w:abstractNum w:abstractNumId="10">
    <w:nsid w:val="511A248E"/>
    <w:multiLevelType w:val="multilevel"/>
    <w:tmpl w:val="511A248E"/>
    <w:lvl w:ilvl="0" w:tentative="0">
      <w:start w:val="1"/>
      <w:numFmt w:val="decimal"/>
      <w:isLgl/>
      <w:lvlText w:val="%1."/>
      <w:lvlJc w:val="left"/>
      <w:pPr>
        <w:tabs>
          <w:tab w:val="left" w:pos="0"/>
        </w:tabs>
        <w:ind w:left="0" w:firstLine="0"/>
      </w:pPr>
      <w:rPr>
        <w:rFonts w:hint="default" w:ascii="宋体" w:hAnsi="宋体" w:eastAsia="宋体" w:cs="宋体"/>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1">
    <w:nsid w:val="5C8DEF78"/>
    <w:multiLevelType w:val="singleLevel"/>
    <w:tmpl w:val="5C8DEF78"/>
    <w:lvl w:ilvl="0" w:tentative="0">
      <w:start w:val="1"/>
      <w:numFmt w:val="decimal"/>
      <w:suff w:val="nothing"/>
      <w:lvlText w:val="%1"/>
      <w:lvlJc w:val="left"/>
      <w:pPr>
        <w:tabs>
          <w:tab w:val="left" w:pos="0"/>
        </w:tabs>
        <w:ind w:left="0" w:firstLine="0"/>
      </w:pPr>
      <w:rPr>
        <w:rFonts w:hint="default" w:ascii="Times New Roman" w:hAnsi="Times New Roman" w:eastAsia="宋体" w:cs="Times New Roman"/>
        <w:sz w:val="21"/>
        <w:szCs w:val="21"/>
      </w:rPr>
    </w:lvl>
  </w:abstractNum>
  <w:abstractNum w:abstractNumId="12">
    <w:nsid w:val="69DB4C95"/>
    <w:multiLevelType w:val="multilevel"/>
    <w:tmpl w:val="69DB4C95"/>
    <w:lvl w:ilvl="0" w:tentative="0">
      <w:start w:val="1"/>
      <w:numFmt w:val="decimal"/>
      <w:lvlText w:val="附图%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0"/>
  </w:num>
  <w:num w:numId="2">
    <w:abstractNumId w:val="5"/>
  </w:num>
  <w:num w:numId="3">
    <w:abstractNumId w:val="12"/>
  </w:num>
  <w:num w:numId="4">
    <w:abstractNumId w:val="6"/>
  </w:num>
  <w:num w:numId="5">
    <w:abstractNumId w:val="4"/>
  </w:num>
  <w:num w:numId="6">
    <w:abstractNumId w:val="0"/>
  </w:num>
  <w:num w:numId="7">
    <w:abstractNumId w:val="8"/>
  </w:num>
  <w:num w:numId="8">
    <w:abstractNumId w:val="2"/>
  </w:num>
  <w:num w:numId="9">
    <w:abstractNumId w:val="7"/>
  </w:num>
  <w:num w:numId="10">
    <w:abstractNumId w:val="9"/>
  </w:num>
  <w:num w:numId="11">
    <w:abstractNumId w:val="3"/>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xMDNhNThkYThiOTRjZjkyOWZlNDUyZTNmN2M5NWQifQ=="/>
  </w:docVars>
  <w:rsids>
    <w:rsidRoot w:val="00172A27"/>
    <w:rsid w:val="00032A5A"/>
    <w:rsid w:val="00041E78"/>
    <w:rsid w:val="00056BBF"/>
    <w:rsid w:val="000B44D3"/>
    <w:rsid w:val="000D01FE"/>
    <w:rsid w:val="00124640"/>
    <w:rsid w:val="00132CF9"/>
    <w:rsid w:val="00150EAD"/>
    <w:rsid w:val="00151087"/>
    <w:rsid w:val="00164C26"/>
    <w:rsid w:val="00172A27"/>
    <w:rsid w:val="00183198"/>
    <w:rsid w:val="001A2968"/>
    <w:rsid w:val="001A5739"/>
    <w:rsid w:val="001C19D9"/>
    <w:rsid w:val="001D1BBF"/>
    <w:rsid w:val="001D4A11"/>
    <w:rsid w:val="001D513C"/>
    <w:rsid w:val="001D7D62"/>
    <w:rsid w:val="001F3ADA"/>
    <w:rsid w:val="001F7F7E"/>
    <w:rsid w:val="00201ECF"/>
    <w:rsid w:val="002044CB"/>
    <w:rsid w:val="00207852"/>
    <w:rsid w:val="00215AA4"/>
    <w:rsid w:val="00215C08"/>
    <w:rsid w:val="00226070"/>
    <w:rsid w:val="0024287B"/>
    <w:rsid w:val="0028264D"/>
    <w:rsid w:val="00296707"/>
    <w:rsid w:val="002A47EC"/>
    <w:rsid w:val="002B06D1"/>
    <w:rsid w:val="002E203B"/>
    <w:rsid w:val="002E364F"/>
    <w:rsid w:val="002E782C"/>
    <w:rsid w:val="00305C8F"/>
    <w:rsid w:val="00320A6C"/>
    <w:rsid w:val="00323379"/>
    <w:rsid w:val="00350671"/>
    <w:rsid w:val="00355707"/>
    <w:rsid w:val="003577A2"/>
    <w:rsid w:val="003577D6"/>
    <w:rsid w:val="003677D5"/>
    <w:rsid w:val="003C468C"/>
    <w:rsid w:val="003D0404"/>
    <w:rsid w:val="003D1991"/>
    <w:rsid w:val="003D252F"/>
    <w:rsid w:val="003F5F2A"/>
    <w:rsid w:val="00411CA3"/>
    <w:rsid w:val="00417B77"/>
    <w:rsid w:val="0043477B"/>
    <w:rsid w:val="0046550B"/>
    <w:rsid w:val="004874D5"/>
    <w:rsid w:val="004953A6"/>
    <w:rsid w:val="004A3F06"/>
    <w:rsid w:val="004C482C"/>
    <w:rsid w:val="004E2611"/>
    <w:rsid w:val="004E43BF"/>
    <w:rsid w:val="004F5D9C"/>
    <w:rsid w:val="004F69A5"/>
    <w:rsid w:val="00500138"/>
    <w:rsid w:val="0050638A"/>
    <w:rsid w:val="00522102"/>
    <w:rsid w:val="00524E22"/>
    <w:rsid w:val="005516E7"/>
    <w:rsid w:val="005539A0"/>
    <w:rsid w:val="0055574E"/>
    <w:rsid w:val="0055651A"/>
    <w:rsid w:val="00571E41"/>
    <w:rsid w:val="00583A0B"/>
    <w:rsid w:val="0058523E"/>
    <w:rsid w:val="00596C92"/>
    <w:rsid w:val="005A10FC"/>
    <w:rsid w:val="005A592D"/>
    <w:rsid w:val="005A7208"/>
    <w:rsid w:val="005A7830"/>
    <w:rsid w:val="005D36FC"/>
    <w:rsid w:val="005E0AA6"/>
    <w:rsid w:val="005E24E7"/>
    <w:rsid w:val="00612345"/>
    <w:rsid w:val="006140F3"/>
    <w:rsid w:val="00627C89"/>
    <w:rsid w:val="00661709"/>
    <w:rsid w:val="00665BAD"/>
    <w:rsid w:val="0067722F"/>
    <w:rsid w:val="006836D3"/>
    <w:rsid w:val="00685A71"/>
    <w:rsid w:val="006911F9"/>
    <w:rsid w:val="006B1E81"/>
    <w:rsid w:val="006D2A98"/>
    <w:rsid w:val="006E05BE"/>
    <w:rsid w:val="006E4A62"/>
    <w:rsid w:val="006E6810"/>
    <w:rsid w:val="00704336"/>
    <w:rsid w:val="00727183"/>
    <w:rsid w:val="007352C7"/>
    <w:rsid w:val="007402CA"/>
    <w:rsid w:val="00773916"/>
    <w:rsid w:val="007937B0"/>
    <w:rsid w:val="0079791B"/>
    <w:rsid w:val="007B2A97"/>
    <w:rsid w:val="007C0F2D"/>
    <w:rsid w:val="007C58FB"/>
    <w:rsid w:val="007E4667"/>
    <w:rsid w:val="00816543"/>
    <w:rsid w:val="00841FC1"/>
    <w:rsid w:val="00850373"/>
    <w:rsid w:val="00867FFD"/>
    <w:rsid w:val="0087167F"/>
    <w:rsid w:val="008933D7"/>
    <w:rsid w:val="00894880"/>
    <w:rsid w:val="008953F8"/>
    <w:rsid w:val="008A4A2B"/>
    <w:rsid w:val="008B7D2A"/>
    <w:rsid w:val="008D138C"/>
    <w:rsid w:val="00910BFB"/>
    <w:rsid w:val="00920750"/>
    <w:rsid w:val="00920C43"/>
    <w:rsid w:val="00921B59"/>
    <w:rsid w:val="009224FE"/>
    <w:rsid w:val="0093463D"/>
    <w:rsid w:val="009421BC"/>
    <w:rsid w:val="009511AC"/>
    <w:rsid w:val="0096076A"/>
    <w:rsid w:val="00973FB8"/>
    <w:rsid w:val="00977B14"/>
    <w:rsid w:val="00983ED0"/>
    <w:rsid w:val="009A1AF4"/>
    <w:rsid w:val="009C512B"/>
    <w:rsid w:val="009E0D18"/>
    <w:rsid w:val="009E35CF"/>
    <w:rsid w:val="00A07254"/>
    <w:rsid w:val="00A13B93"/>
    <w:rsid w:val="00A3470B"/>
    <w:rsid w:val="00A65FA9"/>
    <w:rsid w:val="00A67D58"/>
    <w:rsid w:val="00AA28B0"/>
    <w:rsid w:val="00AA4201"/>
    <w:rsid w:val="00AB55C9"/>
    <w:rsid w:val="00AC6038"/>
    <w:rsid w:val="00AE2E42"/>
    <w:rsid w:val="00AE4E5E"/>
    <w:rsid w:val="00B0507A"/>
    <w:rsid w:val="00B2494E"/>
    <w:rsid w:val="00B25FB0"/>
    <w:rsid w:val="00B52690"/>
    <w:rsid w:val="00B655B7"/>
    <w:rsid w:val="00B701B7"/>
    <w:rsid w:val="00B735C6"/>
    <w:rsid w:val="00BA3803"/>
    <w:rsid w:val="00BB13BC"/>
    <w:rsid w:val="00BB6F41"/>
    <w:rsid w:val="00BC57CD"/>
    <w:rsid w:val="00BE01D8"/>
    <w:rsid w:val="00BE7797"/>
    <w:rsid w:val="00BF0E19"/>
    <w:rsid w:val="00BF1A33"/>
    <w:rsid w:val="00BF52BD"/>
    <w:rsid w:val="00C30909"/>
    <w:rsid w:val="00C33E5A"/>
    <w:rsid w:val="00C37EA3"/>
    <w:rsid w:val="00C57606"/>
    <w:rsid w:val="00C80D55"/>
    <w:rsid w:val="00C9112E"/>
    <w:rsid w:val="00C9289D"/>
    <w:rsid w:val="00CA7EEA"/>
    <w:rsid w:val="00CB16F0"/>
    <w:rsid w:val="00CB1EEA"/>
    <w:rsid w:val="00CC425C"/>
    <w:rsid w:val="00CD3DE4"/>
    <w:rsid w:val="00CE39AC"/>
    <w:rsid w:val="00CF2894"/>
    <w:rsid w:val="00CF2BFF"/>
    <w:rsid w:val="00CF5374"/>
    <w:rsid w:val="00CF5500"/>
    <w:rsid w:val="00D021BE"/>
    <w:rsid w:val="00D02ADA"/>
    <w:rsid w:val="00D23CBF"/>
    <w:rsid w:val="00D26D9F"/>
    <w:rsid w:val="00D2753D"/>
    <w:rsid w:val="00D40A5E"/>
    <w:rsid w:val="00D42B17"/>
    <w:rsid w:val="00D64AE1"/>
    <w:rsid w:val="00D7136F"/>
    <w:rsid w:val="00DA5C53"/>
    <w:rsid w:val="00DC01DF"/>
    <w:rsid w:val="00DC5E6F"/>
    <w:rsid w:val="00DC7845"/>
    <w:rsid w:val="00DD5FD4"/>
    <w:rsid w:val="00DD7885"/>
    <w:rsid w:val="00DF270A"/>
    <w:rsid w:val="00DF3269"/>
    <w:rsid w:val="00DF530E"/>
    <w:rsid w:val="00E344DC"/>
    <w:rsid w:val="00E60A9C"/>
    <w:rsid w:val="00E6284A"/>
    <w:rsid w:val="00E645F8"/>
    <w:rsid w:val="00E665F3"/>
    <w:rsid w:val="00E66BB9"/>
    <w:rsid w:val="00EA233A"/>
    <w:rsid w:val="00EB7E60"/>
    <w:rsid w:val="00EC7BBA"/>
    <w:rsid w:val="00ED1E2A"/>
    <w:rsid w:val="00ED31FD"/>
    <w:rsid w:val="00ED5754"/>
    <w:rsid w:val="00ED732E"/>
    <w:rsid w:val="00F00481"/>
    <w:rsid w:val="00F17A8E"/>
    <w:rsid w:val="00F211EF"/>
    <w:rsid w:val="00F27441"/>
    <w:rsid w:val="00F52A8D"/>
    <w:rsid w:val="00F6099C"/>
    <w:rsid w:val="00F8365B"/>
    <w:rsid w:val="00F96F51"/>
    <w:rsid w:val="00FA00A3"/>
    <w:rsid w:val="00FA33EA"/>
    <w:rsid w:val="00FB09D5"/>
    <w:rsid w:val="00FD15AF"/>
    <w:rsid w:val="01001B5E"/>
    <w:rsid w:val="0100390C"/>
    <w:rsid w:val="01050F22"/>
    <w:rsid w:val="010569BB"/>
    <w:rsid w:val="01057450"/>
    <w:rsid w:val="0106663B"/>
    <w:rsid w:val="010827C0"/>
    <w:rsid w:val="010A0887"/>
    <w:rsid w:val="010D427B"/>
    <w:rsid w:val="010D7DD7"/>
    <w:rsid w:val="01105E7E"/>
    <w:rsid w:val="01113D6B"/>
    <w:rsid w:val="01145609"/>
    <w:rsid w:val="01146DE4"/>
    <w:rsid w:val="01170BF2"/>
    <w:rsid w:val="01170C55"/>
    <w:rsid w:val="011754F6"/>
    <w:rsid w:val="011A24F4"/>
    <w:rsid w:val="011C626C"/>
    <w:rsid w:val="011E0236"/>
    <w:rsid w:val="011E5EF4"/>
    <w:rsid w:val="011F1764"/>
    <w:rsid w:val="01207B0A"/>
    <w:rsid w:val="01211B1D"/>
    <w:rsid w:val="01253372"/>
    <w:rsid w:val="012670EA"/>
    <w:rsid w:val="01277377"/>
    <w:rsid w:val="012958F6"/>
    <w:rsid w:val="01297D10"/>
    <w:rsid w:val="012A4E2C"/>
    <w:rsid w:val="012F17FD"/>
    <w:rsid w:val="01300309"/>
    <w:rsid w:val="01311D17"/>
    <w:rsid w:val="0131747F"/>
    <w:rsid w:val="013558BC"/>
    <w:rsid w:val="01374E54"/>
    <w:rsid w:val="01381441"/>
    <w:rsid w:val="013D4B56"/>
    <w:rsid w:val="01406C4C"/>
    <w:rsid w:val="014315A8"/>
    <w:rsid w:val="01431A4A"/>
    <w:rsid w:val="01435EF1"/>
    <w:rsid w:val="0145402C"/>
    <w:rsid w:val="014A102B"/>
    <w:rsid w:val="014A7E1C"/>
    <w:rsid w:val="014B08FF"/>
    <w:rsid w:val="014C21BA"/>
    <w:rsid w:val="014D02B1"/>
    <w:rsid w:val="014D28C9"/>
    <w:rsid w:val="014F6641"/>
    <w:rsid w:val="01521C8D"/>
    <w:rsid w:val="01536B3C"/>
    <w:rsid w:val="01563E61"/>
    <w:rsid w:val="01583748"/>
    <w:rsid w:val="0159301C"/>
    <w:rsid w:val="015B3238"/>
    <w:rsid w:val="015C1CB6"/>
    <w:rsid w:val="015C2B0C"/>
    <w:rsid w:val="016025FC"/>
    <w:rsid w:val="01612E32"/>
    <w:rsid w:val="016245C6"/>
    <w:rsid w:val="01626374"/>
    <w:rsid w:val="016320EC"/>
    <w:rsid w:val="01666B4A"/>
    <w:rsid w:val="01671BDD"/>
    <w:rsid w:val="0167398B"/>
    <w:rsid w:val="01675739"/>
    <w:rsid w:val="01695955"/>
    <w:rsid w:val="016C2D4F"/>
    <w:rsid w:val="016C6D5F"/>
    <w:rsid w:val="016C71F3"/>
    <w:rsid w:val="016D1D26"/>
    <w:rsid w:val="016D6AC7"/>
    <w:rsid w:val="016E4D66"/>
    <w:rsid w:val="01703CE4"/>
    <w:rsid w:val="01707809"/>
    <w:rsid w:val="0170784A"/>
    <w:rsid w:val="0172376C"/>
    <w:rsid w:val="017240DE"/>
    <w:rsid w:val="0177091F"/>
    <w:rsid w:val="017930F7"/>
    <w:rsid w:val="017936BE"/>
    <w:rsid w:val="017C6D0A"/>
    <w:rsid w:val="017E69E2"/>
    <w:rsid w:val="017F3A31"/>
    <w:rsid w:val="01806516"/>
    <w:rsid w:val="0182106A"/>
    <w:rsid w:val="018234D6"/>
    <w:rsid w:val="01831A44"/>
    <w:rsid w:val="01844BDB"/>
    <w:rsid w:val="0184600B"/>
    <w:rsid w:val="01852FBD"/>
    <w:rsid w:val="01853181"/>
    <w:rsid w:val="01853E11"/>
    <w:rsid w:val="01887FDB"/>
    <w:rsid w:val="018A0E13"/>
    <w:rsid w:val="018A6C3C"/>
    <w:rsid w:val="018B1DB6"/>
    <w:rsid w:val="019127B6"/>
    <w:rsid w:val="0192652E"/>
    <w:rsid w:val="01944054"/>
    <w:rsid w:val="0194674A"/>
    <w:rsid w:val="01951290"/>
    <w:rsid w:val="01980114"/>
    <w:rsid w:val="019D115B"/>
    <w:rsid w:val="019E4ED3"/>
    <w:rsid w:val="01A00C4B"/>
    <w:rsid w:val="01A35BE7"/>
    <w:rsid w:val="01A71FD9"/>
    <w:rsid w:val="01A7589D"/>
    <w:rsid w:val="01AA1AC9"/>
    <w:rsid w:val="01AA3877"/>
    <w:rsid w:val="01AA4EAC"/>
    <w:rsid w:val="01AB4620"/>
    <w:rsid w:val="01AC3A93"/>
    <w:rsid w:val="01AD42AE"/>
    <w:rsid w:val="01AE15BA"/>
    <w:rsid w:val="01B34E22"/>
    <w:rsid w:val="01B36BD0"/>
    <w:rsid w:val="01B464A4"/>
    <w:rsid w:val="01B554DA"/>
    <w:rsid w:val="01B6046E"/>
    <w:rsid w:val="01B6221C"/>
    <w:rsid w:val="01B666C0"/>
    <w:rsid w:val="01B711E2"/>
    <w:rsid w:val="01B96DFD"/>
    <w:rsid w:val="01BF3E2F"/>
    <w:rsid w:val="01C17A5F"/>
    <w:rsid w:val="01C40DDD"/>
    <w:rsid w:val="01C55A0C"/>
    <w:rsid w:val="01C62A5D"/>
    <w:rsid w:val="01C761D7"/>
    <w:rsid w:val="01C866F9"/>
    <w:rsid w:val="01C963F3"/>
    <w:rsid w:val="01CC5EE4"/>
    <w:rsid w:val="01CE57B8"/>
    <w:rsid w:val="01CF3F68"/>
    <w:rsid w:val="01D05C2B"/>
    <w:rsid w:val="01D152A8"/>
    <w:rsid w:val="01D32DCE"/>
    <w:rsid w:val="01D37272"/>
    <w:rsid w:val="01D54B64"/>
    <w:rsid w:val="01D54D98"/>
    <w:rsid w:val="01D60B10"/>
    <w:rsid w:val="01D8357C"/>
    <w:rsid w:val="01D84F6B"/>
    <w:rsid w:val="01D86DDC"/>
    <w:rsid w:val="01D9791A"/>
    <w:rsid w:val="01DB1D0B"/>
    <w:rsid w:val="01DC477B"/>
    <w:rsid w:val="01DF79C5"/>
    <w:rsid w:val="01E01D0E"/>
    <w:rsid w:val="01E10136"/>
    <w:rsid w:val="01E274B5"/>
    <w:rsid w:val="01E37862"/>
    <w:rsid w:val="01E46229"/>
    <w:rsid w:val="01E46D89"/>
    <w:rsid w:val="01E647F9"/>
    <w:rsid w:val="01E824FA"/>
    <w:rsid w:val="01E96062"/>
    <w:rsid w:val="01E96201"/>
    <w:rsid w:val="01EA5991"/>
    <w:rsid w:val="01EC3E90"/>
    <w:rsid w:val="01EE084F"/>
    <w:rsid w:val="01F40F97"/>
    <w:rsid w:val="01F42A41"/>
    <w:rsid w:val="01F52AA4"/>
    <w:rsid w:val="01F561BC"/>
    <w:rsid w:val="01F64D0F"/>
    <w:rsid w:val="01F758EA"/>
    <w:rsid w:val="01F96EA3"/>
    <w:rsid w:val="01FA47FF"/>
    <w:rsid w:val="01FB0577"/>
    <w:rsid w:val="01FF0067"/>
    <w:rsid w:val="01FF4EDD"/>
    <w:rsid w:val="020227A1"/>
    <w:rsid w:val="02025BF2"/>
    <w:rsid w:val="020411DA"/>
    <w:rsid w:val="02051AE6"/>
    <w:rsid w:val="02056D00"/>
    <w:rsid w:val="020972B7"/>
    <w:rsid w:val="020A2568"/>
    <w:rsid w:val="020C396B"/>
    <w:rsid w:val="020C40F2"/>
    <w:rsid w:val="020C7DE0"/>
    <w:rsid w:val="02100081"/>
    <w:rsid w:val="02101591"/>
    <w:rsid w:val="021019E8"/>
    <w:rsid w:val="0213766F"/>
    <w:rsid w:val="021653B1"/>
    <w:rsid w:val="02186A33"/>
    <w:rsid w:val="021A09FD"/>
    <w:rsid w:val="021C17D6"/>
    <w:rsid w:val="021E7FE8"/>
    <w:rsid w:val="021F7CD8"/>
    <w:rsid w:val="02203B3A"/>
    <w:rsid w:val="0222008D"/>
    <w:rsid w:val="022573A2"/>
    <w:rsid w:val="02271F96"/>
    <w:rsid w:val="022821CC"/>
    <w:rsid w:val="022B2C0A"/>
    <w:rsid w:val="022C2E9B"/>
    <w:rsid w:val="022C648C"/>
    <w:rsid w:val="022D66A7"/>
    <w:rsid w:val="022E6257"/>
    <w:rsid w:val="022E7E09"/>
    <w:rsid w:val="02301FCF"/>
    <w:rsid w:val="023037D1"/>
    <w:rsid w:val="0230743B"/>
    <w:rsid w:val="02331ABF"/>
    <w:rsid w:val="02367A76"/>
    <w:rsid w:val="02383CE7"/>
    <w:rsid w:val="023870D5"/>
    <w:rsid w:val="023A1A46"/>
    <w:rsid w:val="023A4BFB"/>
    <w:rsid w:val="023A59E3"/>
    <w:rsid w:val="023B0C37"/>
    <w:rsid w:val="023C3CD4"/>
    <w:rsid w:val="023E12D4"/>
    <w:rsid w:val="023E370E"/>
    <w:rsid w:val="023F3BBA"/>
    <w:rsid w:val="02421D02"/>
    <w:rsid w:val="02424B0A"/>
    <w:rsid w:val="024261A6"/>
    <w:rsid w:val="02433E45"/>
    <w:rsid w:val="02443CCC"/>
    <w:rsid w:val="02461F5B"/>
    <w:rsid w:val="02466FC8"/>
    <w:rsid w:val="02467A44"/>
    <w:rsid w:val="02480918"/>
    <w:rsid w:val="02497F4C"/>
    <w:rsid w:val="024A27EA"/>
    <w:rsid w:val="024B52AA"/>
    <w:rsid w:val="024C0DD3"/>
    <w:rsid w:val="02500B6C"/>
    <w:rsid w:val="02502671"/>
    <w:rsid w:val="02511314"/>
    <w:rsid w:val="02532161"/>
    <w:rsid w:val="02560E5D"/>
    <w:rsid w:val="0256327B"/>
    <w:rsid w:val="02572632"/>
    <w:rsid w:val="025927AF"/>
    <w:rsid w:val="025A704C"/>
    <w:rsid w:val="025B0D98"/>
    <w:rsid w:val="025B7E44"/>
    <w:rsid w:val="025D3C6A"/>
    <w:rsid w:val="025E2CEB"/>
    <w:rsid w:val="025E2EB0"/>
    <w:rsid w:val="025F0F7C"/>
    <w:rsid w:val="025F28B4"/>
    <w:rsid w:val="025F4662"/>
    <w:rsid w:val="02644444"/>
    <w:rsid w:val="02647AB9"/>
    <w:rsid w:val="02661E94"/>
    <w:rsid w:val="026779BA"/>
    <w:rsid w:val="0268276F"/>
    <w:rsid w:val="02685C0C"/>
    <w:rsid w:val="026954E1"/>
    <w:rsid w:val="026B1786"/>
    <w:rsid w:val="026B52F7"/>
    <w:rsid w:val="026C7116"/>
    <w:rsid w:val="026E0D49"/>
    <w:rsid w:val="026E6F9B"/>
    <w:rsid w:val="02707FB0"/>
    <w:rsid w:val="027125E7"/>
    <w:rsid w:val="02720839"/>
    <w:rsid w:val="02755FB4"/>
    <w:rsid w:val="027619AC"/>
    <w:rsid w:val="027C16B8"/>
    <w:rsid w:val="027C5214"/>
    <w:rsid w:val="027F69D4"/>
    <w:rsid w:val="027F6B1B"/>
    <w:rsid w:val="02816CCE"/>
    <w:rsid w:val="02830FB3"/>
    <w:rsid w:val="0284056C"/>
    <w:rsid w:val="028547BB"/>
    <w:rsid w:val="028642E4"/>
    <w:rsid w:val="02866093"/>
    <w:rsid w:val="028673CC"/>
    <w:rsid w:val="02867E41"/>
    <w:rsid w:val="02880C6E"/>
    <w:rsid w:val="02892562"/>
    <w:rsid w:val="028C5D3E"/>
    <w:rsid w:val="028E182F"/>
    <w:rsid w:val="028E22BD"/>
    <w:rsid w:val="028E4F47"/>
    <w:rsid w:val="02906F11"/>
    <w:rsid w:val="02907D0A"/>
    <w:rsid w:val="02936A01"/>
    <w:rsid w:val="02955E4D"/>
    <w:rsid w:val="02981BF3"/>
    <w:rsid w:val="02994018"/>
    <w:rsid w:val="029C3B08"/>
    <w:rsid w:val="029E162E"/>
    <w:rsid w:val="02A1111E"/>
    <w:rsid w:val="02A229BC"/>
    <w:rsid w:val="02A23DA7"/>
    <w:rsid w:val="02A429BD"/>
    <w:rsid w:val="02A4476B"/>
    <w:rsid w:val="02A76009"/>
    <w:rsid w:val="02A824AD"/>
    <w:rsid w:val="02A8425B"/>
    <w:rsid w:val="02AA6CEC"/>
    <w:rsid w:val="02AC4631"/>
    <w:rsid w:val="02AD361F"/>
    <w:rsid w:val="02AE00DE"/>
    <w:rsid w:val="02AE0293"/>
    <w:rsid w:val="02AE0449"/>
    <w:rsid w:val="02AE2ED7"/>
    <w:rsid w:val="02AF0A87"/>
    <w:rsid w:val="02AF383B"/>
    <w:rsid w:val="02B0310F"/>
    <w:rsid w:val="02B077F3"/>
    <w:rsid w:val="02B41DD9"/>
    <w:rsid w:val="02B52B3C"/>
    <w:rsid w:val="02B726F0"/>
    <w:rsid w:val="02B81FC4"/>
    <w:rsid w:val="02B8660C"/>
    <w:rsid w:val="02BC4A08"/>
    <w:rsid w:val="02BF77F6"/>
    <w:rsid w:val="02C10E79"/>
    <w:rsid w:val="02C1356F"/>
    <w:rsid w:val="02C13975"/>
    <w:rsid w:val="02C1531D"/>
    <w:rsid w:val="02C32E43"/>
    <w:rsid w:val="02C848FD"/>
    <w:rsid w:val="02C874AC"/>
    <w:rsid w:val="02CB619B"/>
    <w:rsid w:val="02CC4CA2"/>
    <w:rsid w:val="02CD301E"/>
    <w:rsid w:val="02CE3596"/>
    <w:rsid w:val="02CF4893"/>
    <w:rsid w:val="02D037B2"/>
    <w:rsid w:val="02D17E3E"/>
    <w:rsid w:val="02D20818"/>
    <w:rsid w:val="02D23086"/>
    <w:rsid w:val="02D432A2"/>
    <w:rsid w:val="02D74B40"/>
    <w:rsid w:val="02D84023"/>
    <w:rsid w:val="02DB465B"/>
    <w:rsid w:val="02DC59B0"/>
    <w:rsid w:val="02DF7218"/>
    <w:rsid w:val="02E5641E"/>
    <w:rsid w:val="02E66B31"/>
    <w:rsid w:val="02E81B31"/>
    <w:rsid w:val="02E84657"/>
    <w:rsid w:val="02E96621"/>
    <w:rsid w:val="02EA4873"/>
    <w:rsid w:val="02EE7420"/>
    <w:rsid w:val="02F0175E"/>
    <w:rsid w:val="02F11B26"/>
    <w:rsid w:val="02F2197A"/>
    <w:rsid w:val="02F31C94"/>
    <w:rsid w:val="02F33C8E"/>
    <w:rsid w:val="02F474A0"/>
    <w:rsid w:val="02F66B53"/>
    <w:rsid w:val="02F70D3E"/>
    <w:rsid w:val="02F7260F"/>
    <w:rsid w:val="02F72AEC"/>
    <w:rsid w:val="02F96864"/>
    <w:rsid w:val="02FA25DD"/>
    <w:rsid w:val="03025470"/>
    <w:rsid w:val="03033783"/>
    <w:rsid w:val="0305345B"/>
    <w:rsid w:val="03056193"/>
    <w:rsid w:val="030671D3"/>
    <w:rsid w:val="030B000A"/>
    <w:rsid w:val="030B2FE8"/>
    <w:rsid w:val="030D0562"/>
    <w:rsid w:val="03107E03"/>
    <w:rsid w:val="03132E98"/>
    <w:rsid w:val="03134FA3"/>
    <w:rsid w:val="031533B0"/>
    <w:rsid w:val="031F3DF1"/>
    <w:rsid w:val="03200295"/>
    <w:rsid w:val="0321400D"/>
    <w:rsid w:val="03217B69"/>
    <w:rsid w:val="03247659"/>
    <w:rsid w:val="0325508A"/>
    <w:rsid w:val="032558AB"/>
    <w:rsid w:val="03255B77"/>
    <w:rsid w:val="03261624"/>
    <w:rsid w:val="03270E48"/>
    <w:rsid w:val="032B09E8"/>
    <w:rsid w:val="0331105F"/>
    <w:rsid w:val="03314FB5"/>
    <w:rsid w:val="03330844"/>
    <w:rsid w:val="03333CE8"/>
    <w:rsid w:val="03346C50"/>
    <w:rsid w:val="03370E57"/>
    <w:rsid w:val="03391E1F"/>
    <w:rsid w:val="033C49A3"/>
    <w:rsid w:val="033C60AA"/>
    <w:rsid w:val="033E34F5"/>
    <w:rsid w:val="033F6241"/>
    <w:rsid w:val="03413725"/>
    <w:rsid w:val="0341645D"/>
    <w:rsid w:val="03455F4E"/>
    <w:rsid w:val="034872E6"/>
    <w:rsid w:val="034A3564"/>
    <w:rsid w:val="034D095E"/>
    <w:rsid w:val="034D1CC8"/>
    <w:rsid w:val="034D6BB0"/>
    <w:rsid w:val="034E4DF6"/>
    <w:rsid w:val="03500260"/>
    <w:rsid w:val="0353518A"/>
    <w:rsid w:val="03555A65"/>
    <w:rsid w:val="03563CB7"/>
    <w:rsid w:val="035807A9"/>
    <w:rsid w:val="035B5688"/>
    <w:rsid w:val="035C6BEC"/>
    <w:rsid w:val="035E4919"/>
    <w:rsid w:val="03604B36"/>
    <w:rsid w:val="036050B1"/>
    <w:rsid w:val="0361265C"/>
    <w:rsid w:val="0364481C"/>
    <w:rsid w:val="0364747B"/>
    <w:rsid w:val="03672922"/>
    <w:rsid w:val="03676DD4"/>
    <w:rsid w:val="036A079C"/>
    <w:rsid w:val="036B7036"/>
    <w:rsid w:val="036C1B50"/>
    <w:rsid w:val="036C58F1"/>
    <w:rsid w:val="03713232"/>
    <w:rsid w:val="03713C38"/>
    <w:rsid w:val="037203C5"/>
    <w:rsid w:val="0376109D"/>
    <w:rsid w:val="03767EB5"/>
    <w:rsid w:val="037A614B"/>
    <w:rsid w:val="037B4D46"/>
    <w:rsid w:val="037D56E7"/>
    <w:rsid w:val="037D7666"/>
    <w:rsid w:val="03806F86"/>
    <w:rsid w:val="03830824"/>
    <w:rsid w:val="0383779E"/>
    <w:rsid w:val="0384103D"/>
    <w:rsid w:val="038575BD"/>
    <w:rsid w:val="03860A50"/>
    <w:rsid w:val="0388408C"/>
    <w:rsid w:val="03886AB7"/>
    <w:rsid w:val="038871FB"/>
    <w:rsid w:val="03890387"/>
    <w:rsid w:val="038A1AFE"/>
    <w:rsid w:val="038A3960"/>
    <w:rsid w:val="038A570F"/>
    <w:rsid w:val="038E15BE"/>
    <w:rsid w:val="038E57E9"/>
    <w:rsid w:val="038E7BD6"/>
    <w:rsid w:val="03920A67"/>
    <w:rsid w:val="039634F5"/>
    <w:rsid w:val="03977C43"/>
    <w:rsid w:val="03990B73"/>
    <w:rsid w:val="03991446"/>
    <w:rsid w:val="039A1E78"/>
    <w:rsid w:val="039B175F"/>
    <w:rsid w:val="039B3DC0"/>
    <w:rsid w:val="039C16F3"/>
    <w:rsid w:val="039C3694"/>
    <w:rsid w:val="039C4034"/>
    <w:rsid w:val="039C5442"/>
    <w:rsid w:val="039D2DB9"/>
    <w:rsid w:val="039D7B38"/>
    <w:rsid w:val="039E11BA"/>
    <w:rsid w:val="039E33DD"/>
    <w:rsid w:val="039E740C"/>
    <w:rsid w:val="03A10CAA"/>
    <w:rsid w:val="03A21632"/>
    <w:rsid w:val="03A26EFC"/>
    <w:rsid w:val="03A42787"/>
    <w:rsid w:val="03A54969"/>
    <w:rsid w:val="03A57D86"/>
    <w:rsid w:val="03A85635"/>
    <w:rsid w:val="03AC070B"/>
    <w:rsid w:val="03AC7CC6"/>
    <w:rsid w:val="03AD58A1"/>
    <w:rsid w:val="03AF31FD"/>
    <w:rsid w:val="03B16556"/>
    <w:rsid w:val="03B42718"/>
    <w:rsid w:val="03B46C2F"/>
    <w:rsid w:val="03B510E0"/>
    <w:rsid w:val="03B70C87"/>
    <w:rsid w:val="03B712E2"/>
    <w:rsid w:val="03B86720"/>
    <w:rsid w:val="03BA02AF"/>
    <w:rsid w:val="03BB7608"/>
    <w:rsid w:val="03BE614D"/>
    <w:rsid w:val="03C06649"/>
    <w:rsid w:val="03C36E72"/>
    <w:rsid w:val="03C41C5F"/>
    <w:rsid w:val="03C43552"/>
    <w:rsid w:val="03C70711"/>
    <w:rsid w:val="03C76963"/>
    <w:rsid w:val="03CC67A9"/>
    <w:rsid w:val="03CD394B"/>
    <w:rsid w:val="03CD5F1B"/>
    <w:rsid w:val="03CE1C61"/>
    <w:rsid w:val="03CE348B"/>
    <w:rsid w:val="03D12961"/>
    <w:rsid w:val="03D2624F"/>
    <w:rsid w:val="03D56A09"/>
    <w:rsid w:val="03D60954"/>
    <w:rsid w:val="03D7095C"/>
    <w:rsid w:val="03D91BDE"/>
    <w:rsid w:val="03D96696"/>
    <w:rsid w:val="03DB240E"/>
    <w:rsid w:val="03DB4E5F"/>
    <w:rsid w:val="03DD0BF2"/>
    <w:rsid w:val="03DE3CAC"/>
    <w:rsid w:val="03E1775F"/>
    <w:rsid w:val="03E312C3"/>
    <w:rsid w:val="03E5328D"/>
    <w:rsid w:val="03E5503B"/>
    <w:rsid w:val="03E63A70"/>
    <w:rsid w:val="03EF7C67"/>
    <w:rsid w:val="03F139E0"/>
    <w:rsid w:val="03F4527E"/>
    <w:rsid w:val="03F6697B"/>
    <w:rsid w:val="03F67248"/>
    <w:rsid w:val="03F72466"/>
    <w:rsid w:val="03F80913"/>
    <w:rsid w:val="03F90AE6"/>
    <w:rsid w:val="03FA6D38"/>
    <w:rsid w:val="03FB3196"/>
    <w:rsid w:val="03FC0AFB"/>
    <w:rsid w:val="03FC70A1"/>
    <w:rsid w:val="03FD2384"/>
    <w:rsid w:val="0402379C"/>
    <w:rsid w:val="04025BED"/>
    <w:rsid w:val="04041965"/>
    <w:rsid w:val="04046F4F"/>
    <w:rsid w:val="04051239"/>
    <w:rsid w:val="040556DD"/>
    <w:rsid w:val="0406676F"/>
    <w:rsid w:val="04071455"/>
    <w:rsid w:val="04080E64"/>
    <w:rsid w:val="0409052E"/>
    <w:rsid w:val="04096F7B"/>
    <w:rsid w:val="040E4592"/>
    <w:rsid w:val="0414147C"/>
    <w:rsid w:val="04142EB6"/>
    <w:rsid w:val="041965BD"/>
    <w:rsid w:val="041D2A27"/>
    <w:rsid w:val="041D6583"/>
    <w:rsid w:val="041D7E34"/>
    <w:rsid w:val="0421531A"/>
    <w:rsid w:val="0422003D"/>
    <w:rsid w:val="04284FC8"/>
    <w:rsid w:val="042913CB"/>
    <w:rsid w:val="04293179"/>
    <w:rsid w:val="042A32B9"/>
    <w:rsid w:val="042A6EF2"/>
    <w:rsid w:val="042B7F03"/>
    <w:rsid w:val="042C18CE"/>
    <w:rsid w:val="042C2C6A"/>
    <w:rsid w:val="042D4231"/>
    <w:rsid w:val="0432773A"/>
    <w:rsid w:val="04333C79"/>
    <w:rsid w:val="043560BB"/>
    <w:rsid w:val="04367644"/>
    <w:rsid w:val="043833BC"/>
    <w:rsid w:val="043A35D9"/>
    <w:rsid w:val="043B10FF"/>
    <w:rsid w:val="043C33BD"/>
    <w:rsid w:val="043D484D"/>
    <w:rsid w:val="043E1D9D"/>
    <w:rsid w:val="043E7DDF"/>
    <w:rsid w:val="043F474B"/>
    <w:rsid w:val="04404E04"/>
    <w:rsid w:val="0446138B"/>
    <w:rsid w:val="0446450F"/>
    <w:rsid w:val="04470429"/>
    <w:rsid w:val="044724FE"/>
    <w:rsid w:val="04477AA3"/>
    <w:rsid w:val="044E0E40"/>
    <w:rsid w:val="04506123"/>
    <w:rsid w:val="0451447E"/>
    <w:rsid w:val="04531FA4"/>
    <w:rsid w:val="0455001D"/>
    <w:rsid w:val="04552530"/>
    <w:rsid w:val="04561A95"/>
    <w:rsid w:val="0456237A"/>
    <w:rsid w:val="04575F38"/>
    <w:rsid w:val="04592275"/>
    <w:rsid w:val="045A156F"/>
    <w:rsid w:val="045A77D7"/>
    <w:rsid w:val="045C7FB1"/>
    <w:rsid w:val="045D2E23"/>
    <w:rsid w:val="045D72C7"/>
    <w:rsid w:val="045E15F9"/>
    <w:rsid w:val="045F4DED"/>
    <w:rsid w:val="045F50B9"/>
    <w:rsid w:val="045F7637"/>
    <w:rsid w:val="04605389"/>
    <w:rsid w:val="04642403"/>
    <w:rsid w:val="046441B2"/>
    <w:rsid w:val="04652569"/>
    <w:rsid w:val="046643CE"/>
    <w:rsid w:val="04684391"/>
    <w:rsid w:val="04695C6C"/>
    <w:rsid w:val="046A5BD3"/>
    <w:rsid w:val="046F76DC"/>
    <w:rsid w:val="04700DA8"/>
    <w:rsid w:val="04713C0F"/>
    <w:rsid w:val="04714B20"/>
    <w:rsid w:val="04722833"/>
    <w:rsid w:val="04722D72"/>
    <w:rsid w:val="0475016D"/>
    <w:rsid w:val="04754611"/>
    <w:rsid w:val="04763EE5"/>
    <w:rsid w:val="04770945"/>
    <w:rsid w:val="047A7FDB"/>
    <w:rsid w:val="047C10E8"/>
    <w:rsid w:val="047C774D"/>
    <w:rsid w:val="047D1CE0"/>
    <w:rsid w:val="04820ADC"/>
    <w:rsid w:val="04826D2E"/>
    <w:rsid w:val="04891E6A"/>
    <w:rsid w:val="048C1751"/>
    <w:rsid w:val="04900156"/>
    <w:rsid w:val="04926F71"/>
    <w:rsid w:val="04932CE9"/>
    <w:rsid w:val="04954AC7"/>
    <w:rsid w:val="049849A4"/>
    <w:rsid w:val="04986517"/>
    <w:rsid w:val="049A5E25"/>
    <w:rsid w:val="049A7BD3"/>
    <w:rsid w:val="049A7F93"/>
    <w:rsid w:val="049C1B9D"/>
    <w:rsid w:val="049D76C3"/>
    <w:rsid w:val="049F4DBC"/>
    <w:rsid w:val="04A03AA5"/>
    <w:rsid w:val="04A343EA"/>
    <w:rsid w:val="04A3732E"/>
    <w:rsid w:val="04A4119D"/>
    <w:rsid w:val="04A50D75"/>
    <w:rsid w:val="04A62A1C"/>
    <w:rsid w:val="04A71780"/>
    <w:rsid w:val="04A7196A"/>
    <w:rsid w:val="04A863DD"/>
    <w:rsid w:val="04A86794"/>
    <w:rsid w:val="04A9250C"/>
    <w:rsid w:val="04A967B2"/>
    <w:rsid w:val="04AA3058"/>
    <w:rsid w:val="04AA3A81"/>
    <w:rsid w:val="04AC4FFA"/>
    <w:rsid w:val="04AD0A3B"/>
    <w:rsid w:val="04AE6738"/>
    <w:rsid w:val="04B17E6C"/>
    <w:rsid w:val="04B270C1"/>
    <w:rsid w:val="04B36EE7"/>
    <w:rsid w:val="04B4117E"/>
    <w:rsid w:val="04B45E70"/>
    <w:rsid w:val="04B66570"/>
    <w:rsid w:val="04B73549"/>
    <w:rsid w:val="04B769D7"/>
    <w:rsid w:val="04B84EF0"/>
    <w:rsid w:val="04BA0D70"/>
    <w:rsid w:val="04BA2023"/>
    <w:rsid w:val="04BA3DF1"/>
    <w:rsid w:val="04BB33F2"/>
    <w:rsid w:val="04BC223F"/>
    <w:rsid w:val="04BF3ADE"/>
    <w:rsid w:val="04BF5DB3"/>
    <w:rsid w:val="04C12C9C"/>
    <w:rsid w:val="04C14B1F"/>
    <w:rsid w:val="04C904B8"/>
    <w:rsid w:val="04C9670A"/>
    <w:rsid w:val="04CA4C2A"/>
    <w:rsid w:val="04CD61FB"/>
    <w:rsid w:val="04CE79D5"/>
    <w:rsid w:val="04D53301"/>
    <w:rsid w:val="04D82E1F"/>
    <w:rsid w:val="04DB7527"/>
    <w:rsid w:val="04DC422B"/>
    <w:rsid w:val="04DC52CD"/>
    <w:rsid w:val="04DF5F2E"/>
    <w:rsid w:val="04E27C10"/>
    <w:rsid w:val="04E672BC"/>
    <w:rsid w:val="04E716C3"/>
    <w:rsid w:val="04E71879"/>
    <w:rsid w:val="04E73D54"/>
    <w:rsid w:val="04E80761"/>
    <w:rsid w:val="04E84DE3"/>
    <w:rsid w:val="04E90B5B"/>
    <w:rsid w:val="04EC4753"/>
    <w:rsid w:val="04F03C97"/>
    <w:rsid w:val="04F419D9"/>
    <w:rsid w:val="04F528A0"/>
    <w:rsid w:val="04F574FF"/>
    <w:rsid w:val="04F853C7"/>
    <w:rsid w:val="04FA52B7"/>
    <w:rsid w:val="04FB0AD5"/>
    <w:rsid w:val="04FE4606"/>
    <w:rsid w:val="04FF04AA"/>
    <w:rsid w:val="05012FAD"/>
    <w:rsid w:val="05025778"/>
    <w:rsid w:val="05027E6C"/>
    <w:rsid w:val="05031C1C"/>
    <w:rsid w:val="05031EDC"/>
    <w:rsid w:val="05036F0A"/>
    <w:rsid w:val="05037275"/>
    <w:rsid w:val="05046833"/>
    <w:rsid w:val="0506793D"/>
    <w:rsid w:val="05094EE6"/>
    <w:rsid w:val="05111C07"/>
    <w:rsid w:val="05126ADD"/>
    <w:rsid w:val="05166BE7"/>
    <w:rsid w:val="05167356"/>
    <w:rsid w:val="05171224"/>
    <w:rsid w:val="05184F9C"/>
    <w:rsid w:val="05191440"/>
    <w:rsid w:val="051B106F"/>
    <w:rsid w:val="051C0CEF"/>
    <w:rsid w:val="051C6491"/>
    <w:rsid w:val="051C683A"/>
    <w:rsid w:val="052129A1"/>
    <w:rsid w:val="05220EC2"/>
    <w:rsid w:val="0526590B"/>
    <w:rsid w:val="052A3888"/>
    <w:rsid w:val="052B1309"/>
    <w:rsid w:val="05300538"/>
    <w:rsid w:val="053022E6"/>
    <w:rsid w:val="05324903"/>
    <w:rsid w:val="05341DD6"/>
    <w:rsid w:val="0534627A"/>
    <w:rsid w:val="0539495C"/>
    <w:rsid w:val="053B67DE"/>
    <w:rsid w:val="053C512E"/>
    <w:rsid w:val="053C6A73"/>
    <w:rsid w:val="053D07A7"/>
    <w:rsid w:val="054364BD"/>
    <w:rsid w:val="05452235"/>
    <w:rsid w:val="054B2EBB"/>
    <w:rsid w:val="054D2E98"/>
    <w:rsid w:val="054F4E62"/>
    <w:rsid w:val="05507F0F"/>
    <w:rsid w:val="05544226"/>
    <w:rsid w:val="05561024"/>
    <w:rsid w:val="055661F0"/>
    <w:rsid w:val="055A4D20"/>
    <w:rsid w:val="055A7363"/>
    <w:rsid w:val="055C30DB"/>
    <w:rsid w:val="055E50A5"/>
    <w:rsid w:val="056106F1"/>
    <w:rsid w:val="056221BD"/>
    <w:rsid w:val="056621AB"/>
    <w:rsid w:val="05677AA3"/>
    <w:rsid w:val="05685F23"/>
    <w:rsid w:val="05687CEB"/>
    <w:rsid w:val="056B0CB0"/>
    <w:rsid w:val="056B77C2"/>
    <w:rsid w:val="056D4F0A"/>
    <w:rsid w:val="056D7096"/>
    <w:rsid w:val="0571302A"/>
    <w:rsid w:val="05723C7C"/>
    <w:rsid w:val="05746676"/>
    <w:rsid w:val="05776166"/>
    <w:rsid w:val="05791EDF"/>
    <w:rsid w:val="05793C8D"/>
    <w:rsid w:val="057B176B"/>
    <w:rsid w:val="057B2ECA"/>
    <w:rsid w:val="05810D93"/>
    <w:rsid w:val="05816FE5"/>
    <w:rsid w:val="05854EED"/>
    <w:rsid w:val="05863F97"/>
    <w:rsid w:val="0587339F"/>
    <w:rsid w:val="05882122"/>
    <w:rsid w:val="05883ED0"/>
    <w:rsid w:val="05886E41"/>
    <w:rsid w:val="058D14E6"/>
    <w:rsid w:val="059211F2"/>
    <w:rsid w:val="0592672F"/>
    <w:rsid w:val="0595389B"/>
    <w:rsid w:val="05975A9E"/>
    <w:rsid w:val="059837EB"/>
    <w:rsid w:val="05995851"/>
    <w:rsid w:val="059B4F76"/>
    <w:rsid w:val="059C1BC7"/>
    <w:rsid w:val="059C5BCD"/>
    <w:rsid w:val="059C5FC0"/>
    <w:rsid w:val="059E1945"/>
    <w:rsid w:val="059F368D"/>
    <w:rsid w:val="05A00C76"/>
    <w:rsid w:val="05A01219"/>
    <w:rsid w:val="05A02329"/>
    <w:rsid w:val="05A0746B"/>
    <w:rsid w:val="05A131E3"/>
    <w:rsid w:val="05A14F91"/>
    <w:rsid w:val="05A56D21"/>
    <w:rsid w:val="05A5708C"/>
    <w:rsid w:val="05A625A8"/>
    <w:rsid w:val="05A65E1E"/>
    <w:rsid w:val="05A76A4C"/>
    <w:rsid w:val="05A827C4"/>
    <w:rsid w:val="05A957CD"/>
    <w:rsid w:val="05A97484"/>
    <w:rsid w:val="05AA0371"/>
    <w:rsid w:val="05AB5774"/>
    <w:rsid w:val="05AF3B52"/>
    <w:rsid w:val="05B13426"/>
    <w:rsid w:val="05B22460"/>
    <w:rsid w:val="05B324E7"/>
    <w:rsid w:val="05B5373C"/>
    <w:rsid w:val="05B60A3D"/>
    <w:rsid w:val="05B64EE1"/>
    <w:rsid w:val="05B670BC"/>
    <w:rsid w:val="05B9052D"/>
    <w:rsid w:val="05B943F0"/>
    <w:rsid w:val="05BA0F25"/>
    <w:rsid w:val="05BC559D"/>
    <w:rsid w:val="05BE1FE7"/>
    <w:rsid w:val="05C054C9"/>
    <w:rsid w:val="05C07074"/>
    <w:rsid w:val="05C130DB"/>
    <w:rsid w:val="05C148D2"/>
    <w:rsid w:val="05C173E2"/>
    <w:rsid w:val="05C212B8"/>
    <w:rsid w:val="05C313AC"/>
    <w:rsid w:val="05C321A6"/>
    <w:rsid w:val="05C40CCB"/>
    <w:rsid w:val="05C5371F"/>
    <w:rsid w:val="05C55721"/>
    <w:rsid w:val="05C56ED2"/>
    <w:rsid w:val="05C649F8"/>
    <w:rsid w:val="05C80770"/>
    <w:rsid w:val="05C863D5"/>
    <w:rsid w:val="05CA098C"/>
    <w:rsid w:val="05CB745D"/>
    <w:rsid w:val="05CE01C7"/>
    <w:rsid w:val="05CE0B13"/>
    <w:rsid w:val="05CF2EE0"/>
    <w:rsid w:val="05CF793B"/>
    <w:rsid w:val="05D06823"/>
    <w:rsid w:val="05D2339D"/>
    <w:rsid w:val="05D42645"/>
    <w:rsid w:val="05D46061"/>
    <w:rsid w:val="05D57F8C"/>
    <w:rsid w:val="05D709B3"/>
    <w:rsid w:val="05D830A9"/>
    <w:rsid w:val="05D90BCF"/>
    <w:rsid w:val="05D94925"/>
    <w:rsid w:val="05DB66F5"/>
    <w:rsid w:val="05DC7651"/>
    <w:rsid w:val="05DE0E4B"/>
    <w:rsid w:val="05DE1000"/>
    <w:rsid w:val="05DF181A"/>
    <w:rsid w:val="05E34486"/>
    <w:rsid w:val="05E420C1"/>
    <w:rsid w:val="05E63004"/>
    <w:rsid w:val="05E71852"/>
    <w:rsid w:val="05E96551"/>
    <w:rsid w:val="05E97064"/>
    <w:rsid w:val="05EA6938"/>
    <w:rsid w:val="05EB4740"/>
    <w:rsid w:val="05ED287B"/>
    <w:rsid w:val="05EF0258"/>
    <w:rsid w:val="05EF48CA"/>
    <w:rsid w:val="05EF5DBD"/>
    <w:rsid w:val="05F17CC7"/>
    <w:rsid w:val="05F22A47"/>
    <w:rsid w:val="05F35C4C"/>
    <w:rsid w:val="05F467EB"/>
    <w:rsid w:val="05F6454F"/>
    <w:rsid w:val="05F72E03"/>
    <w:rsid w:val="05FB6D97"/>
    <w:rsid w:val="05FC3975"/>
    <w:rsid w:val="06055520"/>
    <w:rsid w:val="060818B0"/>
    <w:rsid w:val="06093262"/>
    <w:rsid w:val="060A0D89"/>
    <w:rsid w:val="060A2B37"/>
    <w:rsid w:val="060B66CA"/>
    <w:rsid w:val="060C2D53"/>
    <w:rsid w:val="060C68AF"/>
    <w:rsid w:val="060D1576"/>
    <w:rsid w:val="060F45F1"/>
    <w:rsid w:val="060F639F"/>
    <w:rsid w:val="06113CB0"/>
    <w:rsid w:val="06137507"/>
    <w:rsid w:val="061623F8"/>
    <w:rsid w:val="0616772D"/>
    <w:rsid w:val="061A5F76"/>
    <w:rsid w:val="061D5695"/>
    <w:rsid w:val="061E65E2"/>
    <w:rsid w:val="061F2581"/>
    <w:rsid w:val="062318A1"/>
    <w:rsid w:val="06245C59"/>
    <w:rsid w:val="06255E8C"/>
    <w:rsid w:val="06257970"/>
    <w:rsid w:val="06271BF8"/>
    <w:rsid w:val="062736E9"/>
    <w:rsid w:val="06287F27"/>
    <w:rsid w:val="062A64C0"/>
    <w:rsid w:val="062B6E9A"/>
    <w:rsid w:val="062C1654"/>
    <w:rsid w:val="062C1C6A"/>
    <w:rsid w:val="062D7F7A"/>
    <w:rsid w:val="062E0F1B"/>
    <w:rsid w:val="063127B9"/>
    <w:rsid w:val="0633208D"/>
    <w:rsid w:val="06336531"/>
    <w:rsid w:val="06355981"/>
    <w:rsid w:val="06361B7E"/>
    <w:rsid w:val="063672F8"/>
    <w:rsid w:val="06382740"/>
    <w:rsid w:val="06383B48"/>
    <w:rsid w:val="063858F6"/>
    <w:rsid w:val="06385A43"/>
    <w:rsid w:val="06397B6C"/>
    <w:rsid w:val="063B53E6"/>
    <w:rsid w:val="063B7194"/>
    <w:rsid w:val="063D2E88"/>
    <w:rsid w:val="063E0174"/>
    <w:rsid w:val="063E0A32"/>
    <w:rsid w:val="063E6BFC"/>
    <w:rsid w:val="0640149C"/>
    <w:rsid w:val="06410E51"/>
    <w:rsid w:val="06425D09"/>
    <w:rsid w:val="06426774"/>
    <w:rsid w:val="06436049"/>
    <w:rsid w:val="06450013"/>
    <w:rsid w:val="064674D8"/>
    <w:rsid w:val="06471FDD"/>
    <w:rsid w:val="064859AA"/>
    <w:rsid w:val="064916A0"/>
    <w:rsid w:val="064A12E8"/>
    <w:rsid w:val="064B33D0"/>
    <w:rsid w:val="064C52F5"/>
    <w:rsid w:val="064E336B"/>
    <w:rsid w:val="06505622"/>
    <w:rsid w:val="06527A7A"/>
    <w:rsid w:val="06530F0A"/>
    <w:rsid w:val="06532730"/>
    <w:rsid w:val="065564A8"/>
    <w:rsid w:val="06562220"/>
    <w:rsid w:val="06563FCE"/>
    <w:rsid w:val="06565D7C"/>
    <w:rsid w:val="0659586C"/>
    <w:rsid w:val="065A7238"/>
    <w:rsid w:val="065B3392"/>
    <w:rsid w:val="065D535C"/>
    <w:rsid w:val="0660207E"/>
    <w:rsid w:val="066071A5"/>
    <w:rsid w:val="0661309E"/>
    <w:rsid w:val="06622973"/>
    <w:rsid w:val="06622C7D"/>
    <w:rsid w:val="06624DC0"/>
    <w:rsid w:val="0664493D"/>
    <w:rsid w:val="066466EB"/>
    <w:rsid w:val="06667CE7"/>
    <w:rsid w:val="06671F51"/>
    <w:rsid w:val="06693D01"/>
    <w:rsid w:val="0669642C"/>
    <w:rsid w:val="066D5199"/>
    <w:rsid w:val="066E30C6"/>
    <w:rsid w:val="066E7569"/>
    <w:rsid w:val="066F10F6"/>
    <w:rsid w:val="0670759D"/>
    <w:rsid w:val="06707908"/>
    <w:rsid w:val="06710E08"/>
    <w:rsid w:val="0671705A"/>
    <w:rsid w:val="06727064"/>
    <w:rsid w:val="06733D9B"/>
    <w:rsid w:val="06740B7E"/>
    <w:rsid w:val="06744454"/>
    <w:rsid w:val="06764670"/>
    <w:rsid w:val="06765EB3"/>
    <w:rsid w:val="067A40B5"/>
    <w:rsid w:val="067A4160"/>
    <w:rsid w:val="067B3A34"/>
    <w:rsid w:val="067B57E2"/>
    <w:rsid w:val="067D155B"/>
    <w:rsid w:val="067D4177"/>
    <w:rsid w:val="067D59FE"/>
    <w:rsid w:val="067E2E92"/>
    <w:rsid w:val="067F3525"/>
    <w:rsid w:val="067F52D3"/>
    <w:rsid w:val="068113B7"/>
    <w:rsid w:val="068154EF"/>
    <w:rsid w:val="06841479"/>
    <w:rsid w:val="06862B05"/>
    <w:rsid w:val="068A01DD"/>
    <w:rsid w:val="068B60B1"/>
    <w:rsid w:val="068C3E93"/>
    <w:rsid w:val="068C566F"/>
    <w:rsid w:val="068C5A4E"/>
    <w:rsid w:val="068C79F0"/>
    <w:rsid w:val="06913258"/>
    <w:rsid w:val="06976AC0"/>
    <w:rsid w:val="0698153B"/>
    <w:rsid w:val="06982838"/>
    <w:rsid w:val="069845E6"/>
    <w:rsid w:val="069A035E"/>
    <w:rsid w:val="069C69C9"/>
    <w:rsid w:val="069D7E4F"/>
    <w:rsid w:val="069F4940"/>
    <w:rsid w:val="06A030C2"/>
    <w:rsid w:val="06A116ED"/>
    <w:rsid w:val="06A20D46"/>
    <w:rsid w:val="06A411DD"/>
    <w:rsid w:val="06A42F8B"/>
    <w:rsid w:val="06A73077"/>
    <w:rsid w:val="06A82D0D"/>
    <w:rsid w:val="06A905C3"/>
    <w:rsid w:val="06AB431A"/>
    <w:rsid w:val="06AB60C8"/>
    <w:rsid w:val="06AC0092"/>
    <w:rsid w:val="06AD62E4"/>
    <w:rsid w:val="06AE35DF"/>
    <w:rsid w:val="06AF2A8E"/>
    <w:rsid w:val="06B238FA"/>
    <w:rsid w:val="06B37672"/>
    <w:rsid w:val="06B62CBE"/>
    <w:rsid w:val="06B74C51"/>
    <w:rsid w:val="06B9073F"/>
    <w:rsid w:val="06BA630B"/>
    <w:rsid w:val="06BE35C9"/>
    <w:rsid w:val="06BF1720"/>
    <w:rsid w:val="06BF6BED"/>
    <w:rsid w:val="06C1551D"/>
    <w:rsid w:val="06C260BB"/>
    <w:rsid w:val="06C366FB"/>
    <w:rsid w:val="06C57B04"/>
    <w:rsid w:val="06C76681"/>
    <w:rsid w:val="06D000DC"/>
    <w:rsid w:val="06D07A7F"/>
    <w:rsid w:val="06D2552A"/>
    <w:rsid w:val="06D422A5"/>
    <w:rsid w:val="06D56C36"/>
    <w:rsid w:val="06D579A3"/>
    <w:rsid w:val="06D8515D"/>
    <w:rsid w:val="06DA69AD"/>
    <w:rsid w:val="06DB44D3"/>
    <w:rsid w:val="06DD649D"/>
    <w:rsid w:val="06DF3581"/>
    <w:rsid w:val="06E17D3B"/>
    <w:rsid w:val="06E45A7E"/>
    <w:rsid w:val="06E60815"/>
    <w:rsid w:val="06E635A4"/>
    <w:rsid w:val="06E85D06"/>
    <w:rsid w:val="06EB2968"/>
    <w:rsid w:val="06EC66E0"/>
    <w:rsid w:val="06EE6695"/>
    <w:rsid w:val="06EF2183"/>
    <w:rsid w:val="06F04422"/>
    <w:rsid w:val="06F15AA5"/>
    <w:rsid w:val="06F2019A"/>
    <w:rsid w:val="06F32BFB"/>
    <w:rsid w:val="06F402A1"/>
    <w:rsid w:val="06F55595"/>
    <w:rsid w:val="06F814E9"/>
    <w:rsid w:val="06F844EE"/>
    <w:rsid w:val="06F85085"/>
    <w:rsid w:val="06FB7E6A"/>
    <w:rsid w:val="06FB7EA8"/>
    <w:rsid w:val="06FE086C"/>
    <w:rsid w:val="06FE1A48"/>
    <w:rsid w:val="06FF01C2"/>
    <w:rsid w:val="07013F3A"/>
    <w:rsid w:val="07034156"/>
    <w:rsid w:val="070659F4"/>
    <w:rsid w:val="07095EA5"/>
    <w:rsid w:val="070A01EB"/>
    <w:rsid w:val="070F49F6"/>
    <w:rsid w:val="070F4F44"/>
    <w:rsid w:val="07131E9F"/>
    <w:rsid w:val="07140111"/>
    <w:rsid w:val="07153256"/>
    <w:rsid w:val="07155C37"/>
    <w:rsid w:val="071874D5"/>
    <w:rsid w:val="071B23FE"/>
    <w:rsid w:val="071C0D73"/>
    <w:rsid w:val="071D3A52"/>
    <w:rsid w:val="071D591B"/>
    <w:rsid w:val="071D689A"/>
    <w:rsid w:val="072021EF"/>
    <w:rsid w:val="072036B4"/>
    <w:rsid w:val="07230354"/>
    <w:rsid w:val="07235607"/>
    <w:rsid w:val="072365A6"/>
    <w:rsid w:val="072639A0"/>
    <w:rsid w:val="07267E44"/>
    <w:rsid w:val="0727638C"/>
    <w:rsid w:val="07283BBC"/>
    <w:rsid w:val="072A6E0F"/>
    <w:rsid w:val="072D11D3"/>
    <w:rsid w:val="072D1869"/>
    <w:rsid w:val="072D4D2F"/>
    <w:rsid w:val="072E6CFA"/>
    <w:rsid w:val="07300CC3"/>
    <w:rsid w:val="07305CF3"/>
    <w:rsid w:val="0732501F"/>
    <w:rsid w:val="073267E9"/>
    <w:rsid w:val="07352833"/>
    <w:rsid w:val="07360D91"/>
    <w:rsid w:val="0736320D"/>
    <w:rsid w:val="07394B34"/>
    <w:rsid w:val="073A38EF"/>
    <w:rsid w:val="073C033A"/>
    <w:rsid w:val="073F4A62"/>
    <w:rsid w:val="07414C7E"/>
    <w:rsid w:val="074225FF"/>
    <w:rsid w:val="07430158"/>
    <w:rsid w:val="074309F6"/>
    <w:rsid w:val="07444509"/>
    <w:rsid w:val="07456322"/>
    <w:rsid w:val="07481B68"/>
    <w:rsid w:val="0748606E"/>
    <w:rsid w:val="0749768F"/>
    <w:rsid w:val="074A10D6"/>
    <w:rsid w:val="074A33A3"/>
    <w:rsid w:val="074B228B"/>
    <w:rsid w:val="074B78AB"/>
    <w:rsid w:val="074C47F5"/>
    <w:rsid w:val="074D3623"/>
    <w:rsid w:val="07506C6F"/>
    <w:rsid w:val="075113BC"/>
    <w:rsid w:val="075229E7"/>
    <w:rsid w:val="07532688"/>
    <w:rsid w:val="0753340C"/>
    <w:rsid w:val="0754675F"/>
    <w:rsid w:val="07550729"/>
    <w:rsid w:val="07550DCD"/>
    <w:rsid w:val="075524D7"/>
    <w:rsid w:val="0757624F"/>
    <w:rsid w:val="07585EEB"/>
    <w:rsid w:val="075D3C03"/>
    <w:rsid w:val="075D4A8D"/>
    <w:rsid w:val="075E29A4"/>
    <w:rsid w:val="07610E7C"/>
    <w:rsid w:val="076170CE"/>
    <w:rsid w:val="07634D60"/>
    <w:rsid w:val="076369A2"/>
    <w:rsid w:val="076444C8"/>
    <w:rsid w:val="076512BF"/>
    <w:rsid w:val="07651475"/>
    <w:rsid w:val="076646E5"/>
    <w:rsid w:val="07677921"/>
    <w:rsid w:val="076A5F83"/>
    <w:rsid w:val="076A70D6"/>
    <w:rsid w:val="076D143A"/>
    <w:rsid w:val="07716457"/>
    <w:rsid w:val="07716B0D"/>
    <w:rsid w:val="07746BCF"/>
    <w:rsid w:val="0777317C"/>
    <w:rsid w:val="07776194"/>
    <w:rsid w:val="0777731F"/>
    <w:rsid w:val="07787F0D"/>
    <w:rsid w:val="077947FF"/>
    <w:rsid w:val="07797F74"/>
    <w:rsid w:val="077D7D70"/>
    <w:rsid w:val="077E2A57"/>
    <w:rsid w:val="078827B8"/>
    <w:rsid w:val="078A2181"/>
    <w:rsid w:val="078B414B"/>
    <w:rsid w:val="078B5EF9"/>
    <w:rsid w:val="078D3A39"/>
    <w:rsid w:val="078F60ED"/>
    <w:rsid w:val="0790350F"/>
    <w:rsid w:val="0797489E"/>
    <w:rsid w:val="07983134"/>
    <w:rsid w:val="079923C4"/>
    <w:rsid w:val="079B0069"/>
    <w:rsid w:val="079C0106"/>
    <w:rsid w:val="079F4812"/>
    <w:rsid w:val="07A0147A"/>
    <w:rsid w:val="07A115E8"/>
    <w:rsid w:val="07A33243"/>
    <w:rsid w:val="07A42D16"/>
    <w:rsid w:val="07A44131"/>
    <w:rsid w:val="07A5520D"/>
    <w:rsid w:val="07A64AE1"/>
    <w:rsid w:val="07A6619A"/>
    <w:rsid w:val="07A85C55"/>
    <w:rsid w:val="07AA0212"/>
    <w:rsid w:val="07AB0349"/>
    <w:rsid w:val="07AB5FF7"/>
    <w:rsid w:val="07AC659B"/>
    <w:rsid w:val="07AC7DFC"/>
    <w:rsid w:val="07AE39F0"/>
    <w:rsid w:val="07AE4AAE"/>
    <w:rsid w:val="07AF3996"/>
    <w:rsid w:val="07B13BB2"/>
    <w:rsid w:val="07B62F76"/>
    <w:rsid w:val="07BA6793"/>
    <w:rsid w:val="07BB058C"/>
    <w:rsid w:val="07BB1364"/>
    <w:rsid w:val="07BB314F"/>
    <w:rsid w:val="07BD69FF"/>
    <w:rsid w:val="07BD6BB5"/>
    <w:rsid w:val="07BE0561"/>
    <w:rsid w:val="07BE1E2B"/>
    <w:rsid w:val="07BE2E89"/>
    <w:rsid w:val="07BE5E08"/>
    <w:rsid w:val="07BE62CF"/>
    <w:rsid w:val="07BF4CF0"/>
    <w:rsid w:val="07C338E5"/>
    <w:rsid w:val="07C5140B"/>
    <w:rsid w:val="07C733D5"/>
    <w:rsid w:val="07C82CA9"/>
    <w:rsid w:val="07CA07CF"/>
    <w:rsid w:val="07CA36B7"/>
    <w:rsid w:val="07CA4C73"/>
    <w:rsid w:val="07CB4548"/>
    <w:rsid w:val="07CB50F3"/>
    <w:rsid w:val="07CC56E3"/>
    <w:rsid w:val="07CD4764"/>
    <w:rsid w:val="07CD7839"/>
    <w:rsid w:val="07D14996"/>
    <w:rsid w:val="07D478A0"/>
    <w:rsid w:val="07D72EEC"/>
    <w:rsid w:val="07DB29DD"/>
    <w:rsid w:val="07DB478B"/>
    <w:rsid w:val="07DC0503"/>
    <w:rsid w:val="07DC537F"/>
    <w:rsid w:val="07DD49A7"/>
    <w:rsid w:val="07DE24CD"/>
    <w:rsid w:val="07DF5017"/>
    <w:rsid w:val="07E01DA1"/>
    <w:rsid w:val="07E47968"/>
    <w:rsid w:val="07E54264"/>
    <w:rsid w:val="07E55609"/>
    <w:rsid w:val="07E61381"/>
    <w:rsid w:val="07E6312F"/>
    <w:rsid w:val="07E72487"/>
    <w:rsid w:val="07E9545C"/>
    <w:rsid w:val="07E9590B"/>
    <w:rsid w:val="07EA2C20"/>
    <w:rsid w:val="07EF0236"/>
    <w:rsid w:val="07EF6488"/>
    <w:rsid w:val="07F0783F"/>
    <w:rsid w:val="07F14ED8"/>
    <w:rsid w:val="07F25F78"/>
    <w:rsid w:val="07F47B64"/>
    <w:rsid w:val="07F56972"/>
    <w:rsid w:val="07F77D7D"/>
    <w:rsid w:val="07F81671"/>
    <w:rsid w:val="07F86E1A"/>
    <w:rsid w:val="07F8733B"/>
    <w:rsid w:val="07F910B5"/>
    <w:rsid w:val="07FB307F"/>
    <w:rsid w:val="07FB6BDB"/>
    <w:rsid w:val="07FD1C3E"/>
    <w:rsid w:val="07FE66CB"/>
    <w:rsid w:val="07FE6A73"/>
    <w:rsid w:val="07FF37CD"/>
    <w:rsid w:val="07FF390C"/>
    <w:rsid w:val="08024FA9"/>
    <w:rsid w:val="08031F33"/>
    <w:rsid w:val="08032417"/>
    <w:rsid w:val="08043FB5"/>
    <w:rsid w:val="0806270F"/>
    <w:rsid w:val="08065C4D"/>
    <w:rsid w:val="080717AD"/>
    <w:rsid w:val="080737D2"/>
    <w:rsid w:val="080C603B"/>
    <w:rsid w:val="080C703A"/>
    <w:rsid w:val="080F2686"/>
    <w:rsid w:val="080F2F3C"/>
    <w:rsid w:val="080F49BC"/>
    <w:rsid w:val="08123F24"/>
    <w:rsid w:val="08161C67"/>
    <w:rsid w:val="08163A15"/>
    <w:rsid w:val="08167EB9"/>
    <w:rsid w:val="081751D4"/>
    <w:rsid w:val="081A1ACF"/>
    <w:rsid w:val="081D2FF5"/>
    <w:rsid w:val="082038E6"/>
    <w:rsid w:val="08215F45"/>
    <w:rsid w:val="08232E32"/>
    <w:rsid w:val="082442C2"/>
    <w:rsid w:val="08251EAA"/>
    <w:rsid w:val="08273E74"/>
    <w:rsid w:val="082779D0"/>
    <w:rsid w:val="082A0972"/>
    <w:rsid w:val="082A41F5"/>
    <w:rsid w:val="082B1286"/>
    <w:rsid w:val="082C54D3"/>
    <w:rsid w:val="082D0D5E"/>
    <w:rsid w:val="082F2D28"/>
    <w:rsid w:val="082F4AD6"/>
    <w:rsid w:val="0831084F"/>
    <w:rsid w:val="0832034D"/>
    <w:rsid w:val="08320C6E"/>
    <w:rsid w:val="083245C7"/>
    <w:rsid w:val="08346591"/>
    <w:rsid w:val="0837398B"/>
    <w:rsid w:val="0837534A"/>
    <w:rsid w:val="083A1889"/>
    <w:rsid w:val="083B2549"/>
    <w:rsid w:val="083C4A8F"/>
    <w:rsid w:val="083C7992"/>
    <w:rsid w:val="083E5E44"/>
    <w:rsid w:val="084033B6"/>
    <w:rsid w:val="08405664"/>
    <w:rsid w:val="08406CE4"/>
    <w:rsid w:val="08420CAE"/>
    <w:rsid w:val="08425F97"/>
    <w:rsid w:val="08442237"/>
    <w:rsid w:val="08444D9F"/>
    <w:rsid w:val="08465B44"/>
    <w:rsid w:val="084762C4"/>
    <w:rsid w:val="08485B98"/>
    <w:rsid w:val="0849600D"/>
    <w:rsid w:val="084A1910"/>
    <w:rsid w:val="084A5DB4"/>
    <w:rsid w:val="084A7B62"/>
    <w:rsid w:val="084C38DA"/>
    <w:rsid w:val="084F54BD"/>
    <w:rsid w:val="084F5B93"/>
    <w:rsid w:val="08504710"/>
    <w:rsid w:val="085048C6"/>
    <w:rsid w:val="0851476E"/>
    <w:rsid w:val="08516931"/>
    <w:rsid w:val="08517143"/>
    <w:rsid w:val="085408AF"/>
    <w:rsid w:val="08564759"/>
    <w:rsid w:val="0858227F"/>
    <w:rsid w:val="085B1D6F"/>
    <w:rsid w:val="085B58CB"/>
    <w:rsid w:val="085D7896"/>
    <w:rsid w:val="085F10A3"/>
    <w:rsid w:val="085F46D4"/>
    <w:rsid w:val="085F70C6"/>
    <w:rsid w:val="08626E34"/>
    <w:rsid w:val="08634780"/>
    <w:rsid w:val="08646E76"/>
    <w:rsid w:val="086504F8"/>
    <w:rsid w:val="0865499C"/>
    <w:rsid w:val="08664074"/>
    <w:rsid w:val="086724C2"/>
    <w:rsid w:val="08686AAA"/>
    <w:rsid w:val="08687FE8"/>
    <w:rsid w:val="086C1A35"/>
    <w:rsid w:val="086E091D"/>
    <w:rsid w:val="086E0F0F"/>
    <w:rsid w:val="086E3851"/>
    <w:rsid w:val="086F75C9"/>
    <w:rsid w:val="08716E9D"/>
    <w:rsid w:val="08744F7A"/>
    <w:rsid w:val="08745CDD"/>
    <w:rsid w:val="08763A7E"/>
    <w:rsid w:val="08764FF9"/>
    <w:rsid w:val="087B37D1"/>
    <w:rsid w:val="087B4F29"/>
    <w:rsid w:val="0881384D"/>
    <w:rsid w:val="08836BD0"/>
    <w:rsid w:val="0884014E"/>
    <w:rsid w:val="0886108C"/>
    <w:rsid w:val="08874F1F"/>
    <w:rsid w:val="088776BF"/>
    <w:rsid w:val="08887CBD"/>
    <w:rsid w:val="088B6211"/>
    <w:rsid w:val="088E5CA1"/>
    <w:rsid w:val="088F5575"/>
    <w:rsid w:val="08914E9E"/>
    <w:rsid w:val="0894611C"/>
    <w:rsid w:val="0895403D"/>
    <w:rsid w:val="08964B56"/>
    <w:rsid w:val="08971DC4"/>
    <w:rsid w:val="08997EFF"/>
    <w:rsid w:val="089E5946"/>
    <w:rsid w:val="089E5EF0"/>
    <w:rsid w:val="089F1C5C"/>
    <w:rsid w:val="089F7EAE"/>
    <w:rsid w:val="08A01C35"/>
    <w:rsid w:val="08A27D6C"/>
    <w:rsid w:val="08A454C4"/>
    <w:rsid w:val="08A52486"/>
    <w:rsid w:val="08A63B5F"/>
    <w:rsid w:val="08A705FC"/>
    <w:rsid w:val="08A72CFC"/>
    <w:rsid w:val="08A76D63"/>
    <w:rsid w:val="08A96637"/>
    <w:rsid w:val="08AA0601"/>
    <w:rsid w:val="08AB638C"/>
    <w:rsid w:val="08AE1E9F"/>
    <w:rsid w:val="08AE3149"/>
    <w:rsid w:val="08B2474A"/>
    <w:rsid w:val="08B35707"/>
    <w:rsid w:val="08B37E08"/>
    <w:rsid w:val="08B44F9B"/>
    <w:rsid w:val="08B56271"/>
    <w:rsid w:val="08B67622"/>
    <w:rsid w:val="08B80F70"/>
    <w:rsid w:val="08BA6A96"/>
    <w:rsid w:val="08BB1CB7"/>
    <w:rsid w:val="08BD778E"/>
    <w:rsid w:val="08BE235F"/>
    <w:rsid w:val="08BE3F93"/>
    <w:rsid w:val="08BF40AC"/>
    <w:rsid w:val="08BF5CC2"/>
    <w:rsid w:val="08C20E85"/>
    <w:rsid w:val="08C37F22"/>
    <w:rsid w:val="08C43471"/>
    <w:rsid w:val="08C47661"/>
    <w:rsid w:val="08C4784C"/>
    <w:rsid w:val="08C86F74"/>
    <w:rsid w:val="08C90A87"/>
    <w:rsid w:val="08C94F2B"/>
    <w:rsid w:val="08C96E06"/>
    <w:rsid w:val="08CA6C45"/>
    <w:rsid w:val="08CB04FB"/>
    <w:rsid w:val="08CE0793"/>
    <w:rsid w:val="08CE712D"/>
    <w:rsid w:val="08D70C0F"/>
    <w:rsid w:val="08D7332A"/>
    <w:rsid w:val="08D77648"/>
    <w:rsid w:val="08D84504"/>
    <w:rsid w:val="08D864BC"/>
    <w:rsid w:val="08D86F1C"/>
    <w:rsid w:val="08DA08BA"/>
    <w:rsid w:val="08DB6A0C"/>
    <w:rsid w:val="08DC174E"/>
    <w:rsid w:val="08DF02AB"/>
    <w:rsid w:val="08DF3F4A"/>
    <w:rsid w:val="08DF4269"/>
    <w:rsid w:val="08DF5AD4"/>
    <w:rsid w:val="08E053FD"/>
    <w:rsid w:val="08E37A2F"/>
    <w:rsid w:val="08E41D65"/>
    <w:rsid w:val="08E60B09"/>
    <w:rsid w:val="08E6699A"/>
    <w:rsid w:val="08E77E2A"/>
    <w:rsid w:val="08E86347"/>
    <w:rsid w:val="08E94B44"/>
    <w:rsid w:val="08E9737B"/>
    <w:rsid w:val="08EA137C"/>
    <w:rsid w:val="08EB280C"/>
    <w:rsid w:val="08EB3C5C"/>
    <w:rsid w:val="08EB4EA1"/>
    <w:rsid w:val="08EC4710"/>
    <w:rsid w:val="08F024B8"/>
    <w:rsid w:val="08F16ED1"/>
    <w:rsid w:val="08F17FDE"/>
    <w:rsid w:val="08F37C5D"/>
    <w:rsid w:val="08F506ED"/>
    <w:rsid w:val="08F57ACE"/>
    <w:rsid w:val="08F642C1"/>
    <w:rsid w:val="08F655F4"/>
    <w:rsid w:val="08F71A98"/>
    <w:rsid w:val="08F81302"/>
    <w:rsid w:val="08F8136C"/>
    <w:rsid w:val="08F875BE"/>
    <w:rsid w:val="08FA3336"/>
    <w:rsid w:val="08FA6E92"/>
    <w:rsid w:val="08FC0E5C"/>
    <w:rsid w:val="08FD2E53"/>
    <w:rsid w:val="08FD4054"/>
    <w:rsid w:val="08FD6983"/>
    <w:rsid w:val="08FE04F3"/>
    <w:rsid w:val="08FF6B9F"/>
    <w:rsid w:val="09034F91"/>
    <w:rsid w:val="09044FD6"/>
    <w:rsid w:val="09047D11"/>
    <w:rsid w:val="090556D8"/>
    <w:rsid w:val="09061CDB"/>
    <w:rsid w:val="09076DA9"/>
    <w:rsid w:val="09077801"/>
    <w:rsid w:val="090917CB"/>
    <w:rsid w:val="09095327"/>
    <w:rsid w:val="090D2081"/>
    <w:rsid w:val="09120680"/>
    <w:rsid w:val="091306E3"/>
    <w:rsid w:val="091343F8"/>
    <w:rsid w:val="09137F54"/>
    <w:rsid w:val="09150170"/>
    <w:rsid w:val="09163BDF"/>
    <w:rsid w:val="09173C97"/>
    <w:rsid w:val="09173D69"/>
    <w:rsid w:val="091972B0"/>
    <w:rsid w:val="091A588A"/>
    <w:rsid w:val="091A7535"/>
    <w:rsid w:val="091E5277"/>
    <w:rsid w:val="091F2D9D"/>
    <w:rsid w:val="09214152"/>
    <w:rsid w:val="09241E73"/>
    <w:rsid w:val="09261A44"/>
    <w:rsid w:val="0926412B"/>
    <w:rsid w:val="092669FE"/>
    <w:rsid w:val="09297778"/>
    <w:rsid w:val="092A393D"/>
    <w:rsid w:val="092B2505"/>
    <w:rsid w:val="092B7994"/>
    <w:rsid w:val="092D370C"/>
    <w:rsid w:val="092D54BA"/>
    <w:rsid w:val="09306D58"/>
    <w:rsid w:val="093323A4"/>
    <w:rsid w:val="09350D51"/>
    <w:rsid w:val="093525C0"/>
    <w:rsid w:val="09355BE0"/>
    <w:rsid w:val="0935700F"/>
    <w:rsid w:val="093820FC"/>
    <w:rsid w:val="09391199"/>
    <w:rsid w:val="093916BA"/>
    <w:rsid w:val="093C56FD"/>
    <w:rsid w:val="093D1475"/>
    <w:rsid w:val="093F6F9B"/>
    <w:rsid w:val="09440A55"/>
    <w:rsid w:val="09463520"/>
    <w:rsid w:val="094822F4"/>
    <w:rsid w:val="094B1DE4"/>
    <w:rsid w:val="094B3B92"/>
    <w:rsid w:val="094B4C7B"/>
    <w:rsid w:val="094C3466"/>
    <w:rsid w:val="094D6FD8"/>
    <w:rsid w:val="094E3682"/>
    <w:rsid w:val="094E5251"/>
    <w:rsid w:val="094F363F"/>
    <w:rsid w:val="09510A7C"/>
    <w:rsid w:val="09540C99"/>
    <w:rsid w:val="09554A11"/>
    <w:rsid w:val="09555E2F"/>
    <w:rsid w:val="0955726C"/>
    <w:rsid w:val="095C7B4D"/>
    <w:rsid w:val="095F07C0"/>
    <w:rsid w:val="096178A3"/>
    <w:rsid w:val="096609CC"/>
    <w:rsid w:val="0966617B"/>
    <w:rsid w:val="09684C23"/>
    <w:rsid w:val="096C48BE"/>
    <w:rsid w:val="09714770"/>
    <w:rsid w:val="09722ECD"/>
    <w:rsid w:val="097430E9"/>
    <w:rsid w:val="09750994"/>
    <w:rsid w:val="097576AE"/>
    <w:rsid w:val="09772BD9"/>
    <w:rsid w:val="097862A6"/>
    <w:rsid w:val="097906FF"/>
    <w:rsid w:val="097924AD"/>
    <w:rsid w:val="097E27B5"/>
    <w:rsid w:val="0980019C"/>
    <w:rsid w:val="09815806"/>
    <w:rsid w:val="09817AB6"/>
    <w:rsid w:val="0983157E"/>
    <w:rsid w:val="09831EA8"/>
    <w:rsid w:val="09834B42"/>
    <w:rsid w:val="098403D3"/>
    <w:rsid w:val="098466E2"/>
    <w:rsid w:val="098470A4"/>
    <w:rsid w:val="09854A56"/>
    <w:rsid w:val="09862E1C"/>
    <w:rsid w:val="09866978"/>
    <w:rsid w:val="09885D9B"/>
    <w:rsid w:val="09886330"/>
    <w:rsid w:val="0989722B"/>
    <w:rsid w:val="098976B2"/>
    <w:rsid w:val="098A7CA9"/>
    <w:rsid w:val="098D5F59"/>
    <w:rsid w:val="098F1CD1"/>
    <w:rsid w:val="099111BE"/>
    <w:rsid w:val="09932EAE"/>
    <w:rsid w:val="0995305F"/>
    <w:rsid w:val="09966C5E"/>
    <w:rsid w:val="09975029"/>
    <w:rsid w:val="09976DD7"/>
    <w:rsid w:val="099A5DD9"/>
    <w:rsid w:val="099B41F2"/>
    <w:rsid w:val="099B67B3"/>
    <w:rsid w:val="099C263F"/>
    <w:rsid w:val="099C4AB2"/>
    <w:rsid w:val="099E1F14"/>
    <w:rsid w:val="099E28A5"/>
    <w:rsid w:val="09A0246D"/>
    <w:rsid w:val="09A26D8F"/>
    <w:rsid w:val="09A66753"/>
    <w:rsid w:val="09AA6B0A"/>
    <w:rsid w:val="09AD3DB5"/>
    <w:rsid w:val="09AD4E6C"/>
    <w:rsid w:val="09AE6375"/>
    <w:rsid w:val="09B13866"/>
    <w:rsid w:val="09B23C11"/>
    <w:rsid w:val="09B434E5"/>
    <w:rsid w:val="09B671FF"/>
    <w:rsid w:val="09B74D83"/>
    <w:rsid w:val="09B90AFC"/>
    <w:rsid w:val="09BA4874"/>
    <w:rsid w:val="09BA6059"/>
    <w:rsid w:val="09BA785F"/>
    <w:rsid w:val="09BB0D18"/>
    <w:rsid w:val="09BB7E03"/>
    <w:rsid w:val="09BC05EC"/>
    <w:rsid w:val="09BD7EA8"/>
    <w:rsid w:val="09BF208D"/>
    <w:rsid w:val="09C15C02"/>
    <w:rsid w:val="09C20D97"/>
    <w:rsid w:val="09C556F2"/>
    <w:rsid w:val="09C9404D"/>
    <w:rsid w:val="09C9596E"/>
    <w:rsid w:val="09CB1E78"/>
    <w:rsid w:val="09CF7D58"/>
    <w:rsid w:val="09D07158"/>
    <w:rsid w:val="09D27E0F"/>
    <w:rsid w:val="09D37BC5"/>
    <w:rsid w:val="09D420A7"/>
    <w:rsid w:val="09D46DA9"/>
    <w:rsid w:val="09D47F9E"/>
    <w:rsid w:val="09D74664"/>
    <w:rsid w:val="09D93C30"/>
    <w:rsid w:val="09D96119"/>
    <w:rsid w:val="09DB0A2A"/>
    <w:rsid w:val="09DB613A"/>
    <w:rsid w:val="09E0077E"/>
    <w:rsid w:val="09E33DCA"/>
    <w:rsid w:val="09E35B78"/>
    <w:rsid w:val="09E55D95"/>
    <w:rsid w:val="09E638BB"/>
    <w:rsid w:val="09E820B9"/>
    <w:rsid w:val="09E84F7C"/>
    <w:rsid w:val="09EA5159"/>
    <w:rsid w:val="09EB0ED1"/>
    <w:rsid w:val="09EB2C7F"/>
    <w:rsid w:val="09EB6079"/>
    <w:rsid w:val="09ED0EE7"/>
    <w:rsid w:val="09EF09C1"/>
    <w:rsid w:val="09EF451D"/>
    <w:rsid w:val="09EF6C13"/>
    <w:rsid w:val="09F00295"/>
    <w:rsid w:val="09F151D3"/>
    <w:rsid w:val="09F45FD8"/>
    <w:rsid w:val="09F558AC"/>
    <w:rsid w:val="09FC09DC"/>
    <w:rsid w:val="09FC50B7"/>
    <w:rsid w:val="09FD2E64"/>
    <w:rsid w:val="0A0106F5"/>
    <w:rsid w:val="0A014251"/>
    <w:rsid w:val="0A0334A7"/>
    <w:rsid w:val="0A037FC9"/>
    <w:rsid w:val="0A0501E5"/>
    <w:rsid w:val="0A051F93"/>
    <w:rsid w:val="0A0631CF"/>
    <w:rsid w:val="0A083831"/>
    <w:rsid w:val="0A0926E3"/>
    <w:rsid w:val="0A0F2E11"/>
    <w:rsid w:val="0A0F3B2F"/>
    <w:rsid w:val="0A11678E"/>
    <w:rsid w:val="0A13455E"/>
    <w:rsid w:val="0A145522"/>
    <w:rsid w:val="0A16323C"/>
    <w:rsid w:val="0A165F4E"/>
    <w:rsid w:val="0A19163F"/>
    <w:rsid w:val="0A1A250B"/>
    <w:rsid w:val="0A1A4BC4"/>
    <w:rsid w:val="0A1C5118"/>
    <w:rsid w:val="0A1F33AB"/>
    <w:rsid w:val="0A224330"/>
    <w:rsid w:val="0A23066B"/>
    <w:rsid w:val="0A296CB3"/>
    <w:rsid w:val="0A2A37A7"/>
    <w:rsid w:val="0A2C5771"/>
    <w:rsid w:val="0A2D70BA"/>
    <w:rsid w:val="0A2E0C9A"/>
    <w:rsid w:val="0A2F1E5D"/>
    <w:rsid w:val="0A2F22C5"/>
    <w:rsid w:val="0A3221EC"/>
    <w:rsid w:val="0A3405DD"/>
    <w:rsid w:val="0A352564"/>
    <w:rsid w:val="0A365246"/>
    <w:rsid w:val="0A3665F0"/>
    <w:rsid w:val="0A36774D"/>
    <w:rsid w:val="0A3A08F1"/>
    <w:rsid w:val="0A3A33E2"/>
    <w:rsid w:val="0A3C244D"/>
    <w:rsid w:val="0A3C329E"/>
    <w:rsid w:val="0A3C34DB"/>
    <w:rsid w:val="0A3D797F"/>
    <w:rsid w:val="0A3F2D93"/>
    <w:rsid w:val="0A40746F"/>
    <w:rsid w:val="0A407F4A"/>
    <w:rsid w:val="0A410AF1"/>
    <w:rsid w:val="0A436A63"/>
    <w:rsid w:val="0A45040D"/>
    <w:rsid w:val="0A474359"/>
    <w:rsid w:val="0A474B53"/>
    <w:rsid w:val="0A4A1C71"/>
    <w:rsid w:val="0A4A3E4A"/>
    <w:rsid w:val="0A4D7496"/>
    <w:rsid w:val="0A522CFE"/>
    <w:rsid w:val="0A544CC8"/>
    <w:rsid w:val="0A555D21"/>
    <w:rsid w:val="0A590531"/>
    <w:rsid w:val="0A594F1C"/>
    <w:rsid w:val="0A5D1DCF"/>
    <w:rsid w:val="0A5D760D"/>
    <w:rsid w:val="0A5E16A3"/>
    <w:rsid w:val="0A623A94"/>
    <w:rsid w:val="0A6273E5"/>
    <w:rsid w:val="0A65393A"/>
    <w:rsid w:val="0A664130"/>
    <w:rsid w:val="0A675E3A"/>
    <w:rsid w:val="0A682522"/>
    <w:rsid w:val="0A6842D0"/>
    <w:rsid w:val="0A6932D7"/>
    <w:rsid w:val="0A6A374B"/>
    <w:rsid w:val="0A6C2012"/>
    <w:rsid w:val="0A702640"/>
    <w:rsid w:val="0A7113D6"/>
    <w:rsid w:val="0A7315F2"/>
    <w:rsid w:val="0A734677"/>
    <w:rsid w:val="0A757080"/>
    <w:rsid w:val="0A79028B"/>
    <w:rsid w:val="0A7964DD"/>
    <w:rsid w:val="0A7B4636"/>
    <w:rsid w:val="0A7E1D45"/>
    <w:rsid w:val="0A8455AD"/>
    <w:rsid w:val="0A854E82"/>
    <w:rsid w:val="0A856C30"/>
    <w:rsid w:val="0A8578E7"/>
    <w:rsid w:val="0A8729A8"/>
    <w:rsid w:val="0A875844"/>
    <w:rsid w:val="0A877179"/>
    <w:rsid w:val="0A884B66"/>
    <w:rsid w:val="0A8A2498"/>
    <w:rsid w:val="0A8C0226"/>
    <w:rsid w:val="0A8C6210"/>
    <w:rsid w:val="0A8C7FBE"/>
    <w:rsid w:val="0A911A78"/>
    <w:rsid w:val="0A924098"/>
    <w:rsid w:val="0A9428B8"/>
    <w:rsid w:val="0A952703"/>
    <w:rsid w:val="0A965185"/>
    <w:rsid w:val="0A982E07"/>
    <w:rsid w:val="0A9B30A2"/>
    <w:rsid w:val="0A9D041D"/>
    <w:rsid w:val="0A9F5D9D"/>
    <w:rsid w:val="0AA01CBB"/>
    <w:rsid w:val="0AA172D2"/>
    <w:rsid w:val="0AA364AD"/>
    <w:rsid w:val="0AA50841"/>
    <w:rsid w:val="0AA55803"/>
    <w:rsid w:val="0AA7304A"/>
    <w:rsid w:val="0AA9774E"/>
    <w:rsid w:val="0AAA48E8"/>
    <w:rsid w:val="0AAC240E"/>
    <w:rsid w:val="0AAE0E6D"/>
    <w:rsid w:val="0AAE6186"/>
    <w:rsid w:val="0AB063A2"/>
    <w:rsid w:val="0AB15C77"/>
    <w:rsid w:val="0AB26E31"/>
    <w:rsid w:val="0AB3379D"/>
    <w:rsid w:val="0AB36084"/>
    <w:rsid w:val="0ABA1A7A"/>
    <w:rsid w:val="0ABC1B74"/>
    <w:rsid w:val="0ABD286D"/>
    <w:rsid w:val="0ABD7054"/>
    <w:rsid w:val="0ABE0ED6"/>
    <w:rsid w:val="0ABE3850"/>
    <w:rsid w:val="0ABE63AC"/>
    <w:rsid w:val="0ABF0394"/>
    <w:rsid w:val="0ABF262B"/>
    <w:rsid w:val="0AC57974"/>
    <w:rsid w:val="0AC81DC3"/>
    <w:rsid w:val="0AC86CBC"/>
    <w:rsid w:val="0ACA6D38"/>
    <w:rsid w:val="0ACB4F8A"/>
    <w:rsid w:val="0AD025A1"/>
    <w:rsid w:val="0AD37F74"/>
    <w:rsid w:val="0AD5056D"/>
    <w:rsid w:val="0AD6392F"/>
    <w:rsid w:val="0AD83203"/>
    <w:rsid w:val="0AD8682D"/>
    <w:rsid w:val="0AD927DA"/>
    <w:rsid w:val="0ADA17AB"/>
    <w:rsid w:val="0ADA28D4"/>
    <w:rsid w:val="0ADA341F"/>
    <w:rsid w:val="0ADB7197"/>
    <w:rsid w:val="0ADE54B0"/>
    <w:rsid w:val="0ADF0BB9"/>
    <w:rsid w:val="0ADF7AF0"/>
    <w:rsid w:val="0AE00732"/>
    <w:rsid w:val="0AE2616B"/>
    <w:rsid w:val="0AE44DD0"/>
    <w:rsid w:val="0AE4604C"/>
    <w:rsid w:val="0AE51E6F"/>
    <w:rsid w:val="0AE54E90"/>
    <w:rsid w:val="0AE8097E"/>
    <w:rsid w:val="0AE859E7"/>
    <w:rsid w:val="0AE92D14"/>
    <w:rsid w:val="0AEB17FA"/>
    <w:rsid w:val="0AED7922"/>
    <w:rsid w:val="0AEE2A27"/>
    <w:rsid w:val="0AF011C2"/>
    <w:rsid w:val="0AF049F1"/>
    <w:rsid w:val="0AF33A92"/>
    <w:rsid w:val="0AF53DB5"/>
    <w:rsid w:val="0AF8308E"/>
    <w:rsid w:val="0AFD0EBC"/>
    <w:rsid w:val="0AFD2C6A"/>
    <w:rsid w:val="0AFE5977"/>
    <w:rsid w:val="0B022976"/>
    <w:rsid w:val="0B04224A"/>
    <w:rsid w:val="0B071D3B"/>
    <w:rsid w:val="0B077F8D"/>
    <w:rsid w:val="0B0835EB"/>
    <w:rsid w:val="0B09160F"/>
    <w:rsid w:val="0B0B5703"/>
    <w:rsid w:val="0B0D5DF0"/>
    <w:rsid w:val="0B0E131B"/>
    <w:rsid w:val="0B0E30C9"/>
    <w:rsid w:val="0B100D93"/>
    <w:rsid w:val="0B1306DF"/>
    <w:rsid w:val="0B1338B8"/>
    <w:rsid w:val="0B14713B"/>
    <w:rsid w:val="0B1775DA"/>
    <w:rsid w:val="0B1832F7"/>
    <w:rsid w:val="0B186F16"/>
    <w:rsid w:val="0B196DD2"/>
    <w:rsid w:val="0B1A7CC0"/>
    <w:rsid w:val="0B1B1342"/>
    <w:rsid w:val="0B1C1BCC"/>
    <w:rsid w:val="0B1F443B"/>
    <w:rsid w:val="0B212DFC"/>
    <w:rsid w:val="0B243CD1"/>
    <w:rsid w:val="0B262122"/>
    <w:rsid w:val="0B264B83"/>
    <w:rsid w:val="0B270413"/>
    <w:rsid w:val="0B270E55"/>
    <w:rsid w:val="0B28025E"/>
    <w:rsid w:val="0B2874A3"/>
    <w:rsid w:val="0B291CB1"/>
    <w:rsid w:val="0B297F03"/>
    <w:rsid w:val="0B2A34DD"/>
    <w:rsid w:val="0B2C55E6"/>
    <w:rsid w:val="0B2D1E58"/>
    <w:rsid w:val="0B2D79F3"/>
    <w:rsid w:val="0B2E1EE3"/>
    <w:rsid w:val="0B304DED"/>
    <w:rsid w:val="0B322488"/>
    <w:rsid w:val="0B323126"/>
    <w:rsid w:val="0B330D82"/>
    <w:rsid w:val="0B332B30"/>
    <w:rsid w:val="0B343278"/>
    <w:rsid w:val="0B3463DC"/>
    <w:rsid w:val="0B352404"/>
    <w:rsid w:val="0B3643CE"/>
    <w:rsid w:val="0B372773"/>
    <w:rsid w:val="0B374D82"/>
    <w:rsid w:val="0B381EF4"/>
    <w:rsid w:val="0B3864F3"/>
    <w:rsid w:val="0B3C19E4"/>
    <w:rsid w:val="0B3C3711"/>
    <w:rsid w:val="0B3F14D4"/>
    <w:rsid w:val="0B41054B"/>
    <w:rsid w:val="0B415214"/>
    <w:rsid w:val="0B422D73"/>
    <w:rsid w:val="0B424B21"/>
    <w:rsid w:val="0B436D0A"/>
    <w:rsid w:val="0B481FE1"/>
    <w:rsid w:val="0B495EAF"/>
    <w:rsid w:val="0B4B1C27"/>
    <w:rsid w:val="0B4B60CB"/>
    <w:rsid w:val="0B4B7E79"/>
    <w:rsid w:val="0B4D1E43"/>
    <w:rsid w:val="0B4D3BF1"/>
    <w:rsid w:val="0B4D5672"/>
    <w:rsid w:val="0B4E28FE"/>
    <w:rsid w:val="0B512FB6"/>
    <w:rsid w:val="0B520957"/>
    <w:rsid w:val="0B521208"/>
    <w:rsid w:val="0B523A0D"/>
    <w:rsid w:val="0B52745A"/>
    <w:rsid w:val="0B5331D2"/>
    <w:rsid w:val="0B5A12B8"/>
    <w:rsid w:val="0B5A614F"/>
    <w:rsid w:val="0B5A630E"/>
    <w:rsid w:val="0B5D7822"/>
    <w:rsid w:val="0B5F1B77"/>
    <w:rsid w:val="0B5F3925"/>
    <w:rsid w:val="0B5F56D3"/>
    <w:rsid w:val="0B61769D"/>
    <w:rsid w:val="0B623F32"/>
    <w:rsid w:val="0B626F71"/>
    <w:rsid w:val="0B6401BF"/>
    <w:rsid w:val="0B646265"/>
    <w:rsid w:val="0B64718D"/>
    <w:rsid w:val="0B656F79"/>
    <w:rsid w:val="0B660A46"/>
    <w:rsid w:val="0B662F05"/>
    <w:rsid w:val="0B6A3567"/>
    <w:rsid w:val="0B6B22C9"/>
    <w:rsid w:val="0B6E6509"/>
    <w:rsid w:val="0B6F290B"/>
    <w:rsid w:val="0B70168E"/>
    <w:rsid w:val="0B703F6E"/>
    <w:rsid w:val="0B704123"/>
    <w:rsid w:val="0B705B32"/>
    <w:rsid w:val="0B7078E0"/>
    <w:rsid w:val="0B744BD6"/>
    <w:rsid w:val="0B763970"/>
    <w:rsid w:val="0B79368E"/>
    <w:rsid w:val="0B7A6F40"/>
    <w:rsid w:val="0B7C0579"/>
    <w:rsid w:val="0B7C5866"/>
    <w:rsid w:val="0B7D3DAB"/>
    <w:rsid w:val="0B7E024F"/>
    <w:rsid w:val="0B7E029C"/>
    <w:rsid w:val="0B7E1CB6"/>
    <w:rsid w:val="0B84338B"/>
    <w:rsid w:val="0B85745E"/>
    <w:rsid w:val="0B865355"/>
    <w:rsid w:val="0B884C29"/>
    <w:rsid w:val="0B8B2DEC"/>
    <w:rsid w:val="0B8B64C8"/>
    <w:rsid w:val="0B8E1704"/>
    <w:rsid w:val="0B8E7D66"/>
    <w:rsid w:val="0B936ECB"/>
    <w:rsid w:val="0B9510F4"/>
    <w:rsid w:val="0B95195A"/>
    <w:rsid w:val="0B952B8D"/>
    <w:rsid w:val="0B957346"/>
    <w:rsid w:val="0B963273"/>
    <w:rsid w:val="0B972584"/>
    <w:rsid w:val="0B977501"/>
    <w:rsid w:val="0B980BE5"/>
    <w:rsid w:val="0B9869F5"/>
    <w:rsid w:val="0B9A44B2"/>
    <w:rsid w:val="0B9C1DF2"/>
    <w:rsid w:val="0B9C2CC3"/>
    <w:rsid w:val="0B9D63F6"/>
    <w:rsid w:val="0B9E444D"/>
    <w:rsid w:val="0B9F099D"/>
    <w:rsid w:val="0BA24924"/>
    <w:rsid w:val="0BA63302"/>
    <w:rsid w:val="0BA9676E"/>
    <w:rsid w:val="0BAB0918"/>
    <w:rsid w:val="0BAB72B9"/>
    <w:rsid w:val="0BAD25B1"/>
    <w:rsid w:val="0BAD401F"/>
    <w:rsid w:val="0BAD4690"/>
    <w:rsid w:val="0BAD643E"/>
    <w:rsid w:val="0BAF6137"/>
    <w:rsid w:val="0BB04180"/>
    <w:rsid w:val="0BB05F2E"/>
    <w:rsid w:val="0BB06CD5"/>
    <w:rsid w:val="0BB21CA6"/>
    <w:rsid w:val="0BB27EF8"/>
    <w:rsid w:val="0BB93035"/>
    <w:rsid w:val="0BBA6DAD"/>
    <w:rsid w:val="0BBC0D77"/>
    <w:rsid w:val="0BBD06AC"/>
    <w:rsid w:val="0BBD58A5"/>
    <w:rsid w:val="0BBE064B"/>
    <w:rsid w:val="0BBE689D"/>
    <w:rsid w:val="0BBF090C"/>
    <w:rsid w:val="0BBF2615"/>
    <w:rsid w:val="0BC140B0"/>
    <w:rsid w:val="0BC32105"/>
    <w:rsid w:val="0BC3421A"/>
    <w:rsid w:val="0BC55E7E"/>
    <w:rsid w:val="0BC727C6"/>
    <w:rsid w:val="0BC820E2"/>
    <w:rsid w:val="0BC8278A"/>
    <w:rsid w:val="0BC9387D"/>
    <w:rsid w:val="0BCA3494"/>
    <w:rsid w:val="0BCB0FBA"/>
    <w:rsid w:val="0BCB4B16"/>
    <w:rsid w:val="0BCC35FC"/>
    <w:rsid w:val="0BCC785C"/>
    <w:rsid w:val="0BCD6A8D"/>
    <w:rsid w:val="0BCD6AE0"/>
    <w:rsid w:val="0BCF0AAA"/>
    <w:rsid w:val="0BD13D6E"/>
    <w:rsid w:val="0BD25EA5"/>
    <w:rsid w:val="0BD303CA"/>
    <w:rsid w:val="0BDA5B72"/>
    <w:rsid w:val="0BE07789"/>
    <w:rsid w:val="0BE107DE"/>
    <w:rsid w:val="0BE1258C"/>
    <w:rsid w:val="0BE206E2"/>
    <w:rsid w:val="0BE37E56"/>
    <w:rsid w:val="0BE4681D"/>
    <w:rsid w:val="0BE46D3E"/>
    <w:rsid w:val="0BE635A6"/>
    <w:rsid w:val="0BE65DF4"/>
    <w:rsid w:val="0BEB16EE"/>
    <w:rsid w:val="0BEF774B"/>
    <w:rsid w:val="0BF00A21"/>
    <w:rsid w:val="0BF24799"/>
    <w:rsid w:val="0BF35AAF"/>
    <w:rsid w:val="0BF525F2"/>
    <w:rsid w:val="0BF57DE5"/>
    <w:rsid w:val="0BF71DAF"/>
    <w:rsid w:val="0BF82C31"/>
    <w:rsid w:val="0BF91683"/>
    <w:rsid w:val="0BF958B8"/>
    <w:rsid w:val="0BFC73C5"/>
    <w:rsid w:val="0BFD24B0"/>
    <w:rsid w:val="0BFE1133"/>
    <w:rsid w:val="0BFE313E"/>
    <w:rsid w:val="0BFE4EEC"/>
    <w:rsid w:val="0C001C4A"/>
    <w:rsid w:val="0C012C2E"/>
    <w:rsid w:val="0C013541"/>
    <w:rsid w:val="0C013CF8"/>
    <w:rsid w:val="0C0149DC"/>
    <w:rsid w:val="0C02332B"/>
    <w:rsid w:val="0C05627A"/>
    <w:rsid w:val="0C0C1FF2"/>
    <w:rsid w:val="0C0D15D3"/>
    <w:rsid w:val="0C0F4CA9"/>
    <w:rsid w:val="0C0F534B"/>
    <w:rsid w:val="0C1069CD"/>
    <w:rsid w:val="0C1E4E08"/>
    <w:rsid w:val="0C1F7B9B"/>
    <w:rsid w:val="0C213F83"/>
    <w:rsid w:val="0C216E2C"/>
    <w:rsid w:val="0C2212C0"/>
    <w:rsid w:val="0C25691C"/>
    <w:rsid w:val="0C272694"/>
    <w:rsid w:val="0C2A3F33"/>
    <w:rsid w:val="0C2A4541"/>
    <w:rsid w:val="0C2D57D1"/>
    <w:rsid w:val="0C3045C1"/>
    <w:rsid w:val="0C313EC2"/>
    <w:rsid w:val="0C321039"/>
    <w:rsid w:val="0C344DB1"/>
    <w:rsid w:val="0C3618C3"/>
    <w:rsid w:val="0C364685"/>
    <w:rsid w:val="0C3703FE"/>
    <w:rsid w:val="0C373FBA"/>
    <w:rsid w:val="0C386FDE"/>
    <w:rsid w:val="0C3923C8"/>
    <w:rsid w:val="0C395F24"/>
    <w:rsid w:val="0C3C2B64"/>
    <w:rsid w:val="0C3C3C66"/>
    <w:rsid w:val="0C3C5A14"/>
    <w:rsid w:val="0C3F61AD"/>
    <w:rsid w:val="0C405504"/>
    <w:rsid w:val="0C4415B9"/>
    <w:rsid w:val="0C450B0D"/>
    <w:rsid w:val="0C452D30"/>
    <w:rsid w:val="0C476893"/>
    <w:rsid w:val="0C492597"/>
    <w:rsid w:val="0C4B5C57"/>
    <w:rsid w:val="0C4B6E38"/>
    <w:rsid w:val="0C4B7A67"/>
    <w:rsid w:val="0C523489"/>
    <w:rsid w:val="0C526FE5"/>
    <w:rsid w:val="0C542D5E"/>
    <w:rsid w:val="0C5502A8"/>
    <w:rsid w:val="0C55046C"/>
    <w:rsid w:val="0C566AD6"/>
    <w:rsid w:val="0C572F92"/>
    <w:rsid w:val="0C580AA0"/>
    <w:rsid w:val="0C587DD6"/>
    <w:rsid w:val="0C594E3C"/>
    <w:rsid w:val="0C5C273B"/>
    <w:rsid w:val="0C5E025D"/>
    <w:rsid w:val="0C63136B"/>
    <w:rsid w:val="0C654F6B"/>
    <w:rsid w:val="0C67353F"/>
    <w:rsid w:val="0C681B81"/>
    <w:rsid w:val="0C686809"/>
    <w:rsid w:val="0C691C6B"/>
    <w:rsid w:val="0C6A44A1"/>
    <w:rsid w:val="0C6A75EB"/>
    <w:rsid w:val="0C6B516E"/>
    <w:rsid w:val="0C7117A3"/>
    <w:rsid w:val="0C711B61"/>
    <w:rsid w:val="0C723CA1"/>
    <w:rsid w:val="0C7273E9"/>
    <w:rsid w:val="0C727688"/>
    <w:rsid w:val="0C741652"/>
    <w:rsid w:val="0C762CD4"/>
    <w:rsid w:val="0C76575C"/>
    <w:rsid w:val="0C772F6E"/>
    <w:rsid w:val="0C775961"/>
    <w:rsid w:val="0C790A16"/>
    <w:rsid w:val="0C79253B"/>
    <w:rsid w:val="0C7A3F96"/>
    <w:rsid w:val="0C7B29E0"/>
    <w:rsid w:val="0C7B653C"/>
    <w:rsid w:val="0C7C364B"/>
    <w:rsid w:val="0C7C707B"/>
    <w:rsid w:val="0C7D22B4"/>
    <w:rsid w:val="0C7E418F"/>
    <w:rsid w:val="0C7E7DDA"/>
    <w:rsid w:val="0C7F0733"/>
    <w:rsid w:val="0C801DA5"/>
    <w:rsid w:val="0C811679"/>
    <w:rsid w:val="0C817312"/>
    <w:rsid w:val="0C820A5E"/>
    <w:rsid w:val="0C840D85"/>
    <w:rsid w:val="0C867F9D"/>
    <w:rsid w:val="0C886FA5"/>
    <w:rsid w:val="0C8B665C"/>
    <w:rsid w:val="0C8D69A8"/>
    <w:rsid w:val="0C8F1FE8"/>
    <w:rsid w:val="0C915D60"/>
    <w:rsid w:val="0C931AD8"/>
    <w:rsid w:val="0C965124"/>
    <w:rsid w:val="0C980C60"/>
    <w:rsid w:val="0C9950ED"/>
    <w:rsid w:val="0C996996"/>
    <w:rsid w:val="0C996F37"/>
    <w:rsid w:val="0C9A3DEB"/>
    <w:rsid w:val="0C9B273A"/>
    <w:rsid w:val="0C9C6600"/>
    <w:rsid w:val="0C9D4705"/>
    <w:rsid w:val="0C9E047D"/>
    <w:rsid w:val="0CA0054F"/>
    <w:rsid w:val="0CA02447"/>
    <w:rsid w:val="0CA23AC9"/>
    <w:rsid w:val="0CA320F9"/>
    <w:rsid w:val="0CA43CE5"/>
    <w:rsid w:val="0CA84E57"/>
    <w:rsid w:val="0CA936DA"/>
    <w:rsid w:val="0CAA0BCF"/>
    <w:rsid w:val="0CAA6E21"/>
    <w:rsid w:val="0CAB26D5"/>
    <w:rsid w:val="0CAB755A"/>
    <w:rsid w:val="0CAD6449"/>
    <w:rsid w:val="0CAE147F"/>
    <w:rsid w:val="0CAE6EDD"/>
    <w:rsid w:val="0CAF2210"/>
    <w:rsid w:val="0CAF4438"/>
    <w:rsid w:val="0CB02BEB"/>
    <w:rsid w:val="0CB13F67"/>
    <w:rsid w:val="0CB32919"/>
    <w:rsid w:val="0CB47CA0"/>
    <w:rsid w:val="0CB952B6"/>
    <w:rsid w:val="0CBB4B8B"/>
    <w:rsid w:val="0CBC03F1"/>
    <w:rsid w:val="0CBD27D9"/>
    <w:rsid w:val="0CBD6B55"/>
    <w:rsid w:val="0CBE22B8"/>
    <w:rsid w:val="0CBE6688"/>
    <w:rsid w:val="0CBF75BD"/>
    <w:rsid w:val="0CC04897"/>
    <w:rsid w:val="0CC44DFA"/>
    <w:rsid w:val="0CC47EE3"/>
    <w:rsid w:val="0CC55A09"/>
    <w:rsid w:val="0CC671CF"/>
    <w:rsid w:val="0CC8503D"/>
    <w:rsid w:val="0CC872A8"/>
    <w:rsid w:val="0CC9731D"/>
    <w:rsid w:val="0CCA4735"/>
    <w:rsid w:val="0CCA74C4"/>
    <w:rsid w:val="0CCD00B0"/>
    <w:rsid w:val="0CCD37C8"/>
    <w:rsid w:val="0CCD4CCD"/>
    <w:rsid w:val="0CCD5F34"/>
    <w:rsid w:val="0CCE17EE"/>
    <w:rsid w:val="0CCF0636"/>
    <w:rsid w:val="0CD10852"/>
    <w:rsid w:val="0CD12600"/>
    <w:rsid w:val="0CD520F0"/>
    <w:rsid w:val="0CD53589"/>
    <w:rsid w:val="0CD674C0"/>
    <w:rsid w:val="0CD72A6E"/>
    <w:rsid w:val="0CD81BE1"/>
    <w:rsid w:val="0CDA7AFE"/>
    <w:rsid w:val="0CDB522D"/>
    <w:rsid w:val="0CDB6D52"/>
    <w:rsid w:val="0CDE6ACB"/>
    <w:rsid w:val="0CDF2F6F"/>
    <w:rsid w:val="0CDF4D1D"/>
    <w:rsid w:val="0CE02843"/>
    <w:rsid w:val="0CE2480D"/>
    <w:rsid w:val="0CE340E1"/>
    <w:rsid w:val="0CE44695"/>
    <w:rsid w:val="0CE64D53"/>
    <w:rsid w:val="0CE66FB5"/>
    <w:rsid w:val="0CE9383E"/>
    <w:rsid w:val="0CE9794A"/>
    <w:rsid w:val="0CEC11E8"/>
    <w:rsid w:val="0CEE4F60"/>
    <w:rsid w:val="0CEE6D0E"/>
    <w:rsid w:val="0CEF0CD8"/>
    <w:rsid w:val="0CF031C9"/>
    <w:rsid w:val="0CF12CA2"/>
    <w:rsid w:val="0CF14A50"/>
    <w:rsid w:val="0CF32576"/>
    <w:rsid w:val="0CF462EF"/>
    <w:rsid w:val="0CF62067"/>
    <w:rsid w:val="0CF63E15"/>
    <w:rsid w:val="0CF66F4D"/>
    <w:rsid w:val="0CF672D1"/>
    <w:rsid w:val="0CF7474D"/>
    <w:rsid w:val="0CF83480"/>
    <w:rsid w:val="0CF9285A"/>
    <w:rsid w:val="0CFA54CF"/>
    <w:rsid w:val="0D004C93"/>
    <w:rsid w:val="0D0429D6"/>
    <w:rsid w:val="0D0522AA"/>
    <w:rsid w:val="0D054058"/>
    <w:rsid w:val="0D084CFA"/>
    <w:rsid w:val="0D0A25E7"/>
    <w:rsid w:val="0D0B1254"/>
    <w:rsid w:val="0D0D38A1"/>
    <w:rsid w:val="0D0D645D"/>
    <w:rsid w:val="0D0D646B"/>
    <w:rsid w:val="0D0E0345"/>
    <w:rsid w:val="0D0F6754"/>
    <w:rsid w:val="0D15073F"/>
    <w:rsid w:val="0D1644B7"/>
    <w:rsid w:val="0D1657DD"/>
    <w:rsid w:val="0D1735EF"/>
    <w:rsid w:val="0D18022F"/>
    <w:rsid w:val="0D1809B4"/>
    <w:rsid w:val="0D194A15"/>
    <w:rsid w:val="0D1A7DF5"/>
    <w:rsid w:val="0D1F511A"/>
    <w:rsid w:val="0D200E92"/>
    <w:rsid w:val="0D224C0A"/>
    <w:rsid w:val="0D227363"/>
    <w:rsid w:val="0D230F7E"/>
    <w:rsid w:val="0D232C17"/>
    <w:rsid w:val="0D233659"/>
    <w:rsid w:val="0D252196"/>
    <w:rsid w:val="0D277019"/>
    <w:rsid w:val="0D2901C0"/>
    <w:rsid w:val="0D2A777E"/>
    <w:rsid w:val="0D2B1D29"/>
    <w:rsid w:val="0D2B54E5"/>
    <w:rsid w:val="0D2C7F7A"/>
    <w:rsid w:val="0D2D19A9"/>
    <w:rsid w:val="0D3037CB"/>
    <w:rsid w:val="0D347B34"/>
    <w:rsid w:val="0D352B8F"/>
    <w:rsid w:val="0D3606B5"/>
    <w:rsid w:val="0D3A01A5"/>
    <w:rsid w:val="0D3B3F1D"/>
    <w:rsid w:val="0D3B5CCB"/>
    <w:rsid w:val="0D3F15F5"/>
    <w:rsid w:val="0D3F57BC"/>
    <w:rsid w:val="0D4032E2"/>
    <w:rsid w:val="0D41564C"/>
    <w:rsid w:val="0D4265B5"/>
    <w:rsid w:val="0D42705A"/>
    <w:rsid w:val="0D445FA0"/>
    <w:rsid w:val="0D49488C"/>
    <w:rsid w:val="0D496A64"/>
    <w:rsid w:val="0D4B1CD1"/>
    <w:rsid w:val="0D4B5661"/>
    <w:rsid w:val="0D4C603B"/>
    <w:rsid w:val="0D4E59FF"/>
    <w:rsid w:val="0D4F144C"/>
    <w:rsid w:val="0D4F31E3"/>
    <w:rsid w:val="0D51729D"/>
    <w:rsid w:val="0D52226A"/>
    <w:rsid w:val="0D523741"/>
    <w:rsid w:val="0D52512B"/>
    <w:rsid w:val="0D53546C"/>
    <w:rsid w:val="0D536036"/>
    <w:rsid w:val="0D553231"/>
    <w:rsid w:val="0D5A1BF7"/>
    <w:rsid w:val="0D611BD6"/>
    <w:rsid w:val="0D625D59"/>
    <w:rsid w:val="0D646FD0"/>
    <w:rsid w:val="0D682F64"/>
    <w:rsid w:val="0D696CDD"/>
    <w:rsid w:val="0D6B3897"/>
    <w:rsid w:val="0D6F0040"/>
    <w:rsid w:val="0D6F01E0"/>
    <w:rsid w:val="0D706F9B"/>
    <w:rsid w:val="0D71793F"/>
    <w:rsid w:val="0D7731A8"/>
    <w:rsid w:val="0D783CF0"/>
    <w:rsid w:val="0D7B2DAD"/>
    <w:rsid w:val="0D7F3E0A"/>
    <w:rsid w:val="0D817B82"/>
    <w:rsid w:val="0D8307A1"/>
    <w:rsid w:val="0D833BCE"/>
    <w:rsid w:val="0D86163D"/>
    <w:rsid w:val="0D8838E1"/>
    <w:rsid w:val="0D883A97"/>
    <w:rsid w:val="0D8920C3"/>
    <w:rsid w:val="0D894C89"/>
    <w:rsid w:val="0D8A3D93"/>
    <w:rsid w:val="0D8C0655"/>
    <w:rsid w:val="0D8C0AC9"/>
    <w:rsid w:val="0D8C6527"/>
    <w:rsid w:val="0D8D29CB"/>
    <w:rsid w:val="0D8D55CF"/>
    <w:rsid w:val="0D8E04F1"/>
    <w:rsid w:val="0D8F61CA"/>
    <w:rsid w:val="0D8F7523"/>
    <w:rsid w:val="0D906017"/>
    <w:rsid w:val="0D9553DC"/>
    <w:rsid w:val="0D9755F8"/>
    <w:rsid w:val="0D9773A6"/>
    <w:rsid w:val="0D984DF0"/>
    <w:rsid w:val="0D984ECC"/>
    <w:rsid w:val="0D994565"/>
    <w:rsid w:val="0D9A50E8"/>
    <w:rsid w:val="0D9A5CFC"/>
    <w:rsid w:val="0D9D1C5D"/>
    <w:rsid w:val="0D9E4A36"/>
    <w:rsid w:val="0D9F625A"/>
    <w:rsid w:val="0DA10224"/>
    <w:rsid w:val="0DA16476"/>
    <w:rsid w:val="0DA41AC3"/>
    <w:rsid w:val="0DA57240"/>
    <w:rsid w:val="0DA67AEE"/>
    <w:rsid w:val="0DA7345B"/>
    <w:rsid w:val="0DA82A7B"/>
    <w:rsid w:val="0DAB000F"/>
    <w:rsid w:val="0DAC5F17"/>
    <w:rsid w:val="0DAD4E1B"/>
    <w:rsid w:val="0DAE2941"/>
    <w:rsid w:val="0DB02216"/>
    <w:rsid w:val="0DB3322E"/>
    <w:rsid w:val="0DB427EC"/>
    <w:rsid w:val="0DB52D2F"/>
    <w:rsid w:val="0DB55A7E"/>
    <w:rsid w:val="0DB717F6"/>
    <w:rsid w:val="0DB77A48"/>
    <w:rsid w:val="0DBA3094"/>
    <w:rsid w:val="0DBA3A86"/>
    <w:rsid w:val="0DBB7B04"/>
    <w:rsid w:val="0DBD4932"/>
    <w:rsid w:val="0DC21F49"/>
    <w:rsid w:val="0DC64C17"/>
    <w:rsid w:val="0DC7755F"/>
    <w:rsid w:val="0DCB34F3"/>
    <w:rsid w:val="0DCB52A1"/>
    <w:rsid w:val="0DCB704F"/>
    <w:rsid w:val="0DCB75F9"/>
    <w:rsid w:val="0DCD7334"/>
    <w:rsid w:val="0DCF6FB4"/>
    <w:rsid w:val="0DD04666"/>
    <w:rsid w:val="0DD203DE"/>
    <w:rsid w:val="0DD264D9"/>
    <w:rsid w:val="0DD4230C"/>
    <w:rsid w:val="0DD51C7C"/>
    <w:rsid w:val="0DD95345"/>
    <w:rsid w:val="0DDA2272"/>
    <w:rsid w:val="0DDB2665"/>
    <w:rsid w:val="0DDC125D"/>
    <w:rsid w:val="0DDF5A6F"/>
    <w:rsid w:val="0DE11AEE"/>
    <w:rsid w:val="0DE35880"/>
    <w:rsid w:val="0DE44B0E"/>
    <w:rsid w:val="0DE6052C"/>
    <w:rsid w:val="0DE67105"/>
    <w:rsid w:val="0DE7465B"/>
    <w:rsid w:val="0DE85E53"/>
    <w:rsid w:val="0DEA1441"/>
    <w:rsid w:val="0DEA2B18"/>
    <w:rsid w:val="0DEB0A3E"/>
    <w:rsid w:val="0DEB14A0"/>
    <w:rsid w:val="0DEE0F90"/>
    <w:rsid w:val="0DF02F5A"/>
    <w:rsid w:val="0DF06AB6"/>
    <w:rsid w:val="0DF513F2"/>
    <w:rsid w:val="0DF66352"/>
    <w:rsid w:val="0DF742E8"/>
    <w:rsid w:val="0DF77E44"/>
    <w:rsid w:val="0DF83342"/>
    <w:rsid w:val="0DFA5B87"/>
    <w:rsid w:val="0DFC7414"/>
    <w:rsid w:val="0DFD5905"/>
    <w:rsid w:val="0DFD64FC"/>
    <w:rsid w:val="0DFE791C"/>
    <w:rsid w:val="0DFE7B03"/>
    <w:rsid w:val="0DFF319D"/>
    <w:rsid w:val="0E010CC3"/>
    <w:rsid w:val="0E016238"/>
    <w:rsid w:val="0E0545C3"/>
    <w:rsid w:val="0E056A05"/>
    <w:rsid w:val="0E06277D"/>
    <w:rsid w:val="0E066951"/>
    <w:rsid w:val="0E090A68"/>
    <w:rsid w:val="0E0A401C"/>
    <w:rsid w:val="0E0B7F03"/>
    <w:rsid w:val="0E0D2764"/>
    <w:rsid w:val="0E0E518E"/>
    <w:rsid w:val="0E0F1CCC"/>
    <w:rsid w:val="0E100F06"/>
    <w:rsid w:val="0E1053AA"/>
    <w:rsid w:val="0E124DA7"/>
    <w:rsid w:val="0E1409F6"/>
    <w:rsid w:val="0E146C48"/>
    <w:rsid w:val="0E161B9F"/>
    <w:rsid w:val="0E184392"/>
    <w:rsid w:val="0E190362"/>
    <w:rsid w:val="0E1924B1"/>
    <w:rsid w:val="0E1A2554"/>
    <w:rsid w:val="0E1B13CE"/>
    <w:rsid w:val="0E1C4D30"/>
    <w:rsid w:val="0E1F739B"/>
    <w:rsid w:val="0E224018"/>
    <w:rsid w:val="0E24462C"/>
    <w:rsid w:val="0E255633"/>
    <w:rsid w:val="0E266744"/>
    <w:rsid w:val="0E287E81"/>
    <w:rsid w:val="0E294D31"/>
    <w:rsid w:val="0E2A021A"/>
    <w:rsid w:val="0E2A646C"/>
    <w:rsid w:val="0E2B5D40"/>
    <w:rsid w:val="0E2D7D0A"/>
    <w:rsid w:val="0E2F5830"/>
    <w:rsid w:val="0E3015D7"/>
    <w:rsid w:val="0E312C51"/>
    <w:rsid w:val="0E3177FA"/>
    <w:rsid w:val="0E333F9D"/>
    <w:rsid w:val="0E34397D"/>
    <w:rsid w:val="0E343C97"/>
    <w:rsid w:val="0E351858"/>
    <w:rsid w:val="0E384E67"/>
    <w:rsid w:val="0E386240"/>
    <w:rsid w:val="0E3B2427"/>
    <w:rsid w:val="0E3C5281"/>
    <w:rsid w:val="0E3C53EA"/>
    <w:rsid w:val="0E3D5264"/>
    <w:rsid w:val="0E3E3CC5"/>
    <w:rsid w:val="0E3F0D0C"/>
    <w:rsid w:val="0E3F3599"/>
    <w:rsid w:val="0E4211FE"/>
    <w:rsid w:val="0E436F73"/>
    <w:rsid w:val="0E43752E"/>
    <w:rsid w:val="0E4427F6"/>
    <w:rsid w:val="0E455054"/>
    <w:rsid w:val="0E4617CA"/>
    <w:rsid w:val="0E462B7A"/>
    <w:rsid w:val="0E4A266A"/>
    <w:rsid w:val="0E4B63E2"/>
    <w:rsid w:val="0E4D48AC"/>
    <w:rsid w:val="0E4D53E5"/>
    <w:rsid w:val="0E50408A"/>
    <w:rsid w:val="0E5057A7"/>
    <w:rsid w:val="0E52758D"/>
    <w:rsid w:val="0E536B37"/>
    <w:rsid w:val="0E5434E9"/>
    <w:rsid w:val="0E552DBD"/>
    <w:rsid w:val="0E597E6B"/>
    <w:rsid w:val="0E5B4877"/>
    <w:rsid w:val="0E5D717C"/>
    <w:rsid w:val="0E5E4367"/>
    <w:rsid w:val="0E5F68A3"/>
    <w:rsid w:val="0E63197E"/>
    <w:rsid w:val="0E63217E"/>
    <w:rsid w:val="0E664FCA"/>
    <w:rsid w:val="0E6B438E"/>
    <w:rsid w:val="0E6D6359"/>
    <w:rsid w:val="0E6E3509"/>
    <w:rsid w:val="0E6E52B8"/>
    <w:rsid w:val="0E6F0323"/>
    <w:rsid w:val="0E75128A"/>
    <w:rsid w:val="0E7516AA"/>
    <w:rsid w:val="0E7717C7"/>
    <w:rsid w:val="0E787DEF"/>
    <w:rsid w:val="0E7938DE"/>
    <w:rsid w:val="0E794CFD"/>
    <w:rsid w:val="0E7A447D"/>
    <w:rsid w:val="0E7B4E57"/>
    <w:rsid w:val="0E7B78BC"/>
    <w:rsid w:val="0E7D63D0"/>
    <w:rsid w:val="0E7E0566"/>
    <w:rsid w:val="0E7E2314"/>
    <w:rsid w:val="0E80265B"/>
    <w:rsid w:val="0E80608C"/>
    <w:rsid w:val="0E820056"/>
    <w:rsid w:val="0E8518F4"/>
    <w:rsid w:val="0E87741A"/>
    <w:rsid w:val="0E8828C9"/>
    <w:rsid w:val="0E8A0CB9"/>
    <w:rsid w:val="0E8A2A67"/>
    <w:rsid w:val="0E8A515C"/>
    <w:rsid w:val="0E8A6F0A"/>
    <w:rsid w:val="0E8B3091"/>
    <w:rsid w:val="0E8B5269"/>
    <w:rsid w:val="0E8C5C70"/>
    <w:rsid w:val="0E8D1EBF"/>
    <w:rsid w:val="0E907E78"/>
    <w:rsid w:val="0E910299"/>
    <w:rsid w:val="0E926BE8"/>
    <w:rsid w:val="0E927B6D"/>
    <w:rsid w:val="0E941B37"/>
    <w:rsid w:val="0E947D89"/>
    <w:rsid w:val="0E953122"/>
    <w:rsid w:val="0E9644C4"/>
    <w:rsid w:val="0E9B2EC6"/>
    <w:rsid w:val="0E9B4C74"/>
    <w:rsid w:val="0E9C4E0F"/>
    <w:rsid w:val="0E9E6834"/>
    <w:rsid w:val="0E9F70EB"/>
    <w:rsid w:val="0EA0228A"/>
    <w:rsid w:val="0EA37FCC"/>
    <w:rsid w:val="0EA77ABC"/>
    <w:rsid w:val="0EA855E3"/>
    <w:rsid w:val="0EA969AA"/>
    <w:rsid w:val="0EAA0CBD"/>
    <w:rsid w:val="0EAB3DCA"/>
    <w:rsid w:val="0EAC11C7"/>
    <w:rsid w:val="0EAC50D3"/>
    <w:rsid w:val="0EAF35B4"/>
    <w:rsid w:val="0EAF4BC3"/>
    <w:rsid w:val="0EB126E9"/>
    <w:rsid w:val="0EB2798B"/>
    <w:rsid w:val="0EB560BF"/>
    <w:rsid w:val="0EB57F93"/>
    <w:rsid w:val="0EB65F51"/>
    <w:rsid w:val="0EB85B3B"/>
    <w:rsid w:val="0EBC11BB"/>
    <w:rsid w:val="0EBC2521"/>
    <w:rsid w:val="0EBD0E3B"/>
    <w:rsid w:val="0EC046DA"/>
    <w:rsid w:val="0EC266A4"/>
    <w:rsid w:val="0EC51CF1"/>
    <w:rsid w:val="0EC63CAC"/>
    <w:rsid w:val="0EC63E70"/>
    <w:rsid w:val="0EC93766"/>
    <w:rsid w:val="0EC95E16"/>
    <w:rsid w:val="0ECC4344"/>
    <w:rsid w:val="0ECC5EA0"/>
    <w:rsid w:val="0ECC61B7"/>
    <w:rsid w:val="0ECD6DF7"/>
    <w:rsid w:val="0ECE329B"/>
    <w:rsid w:val="0ECF0DC1"/>
    <w:rsid w:val="0ECF491D"/>
    <w:rsid w:val="0ED14B39"/>
    <w:rsid w:val="0ED1566D"/>
    <w:rsid w:val="0ED21009"/>
    <w:rsid w:val="0ED26F75"/>
    <w:rsid w:val="0ED32660"/>
    <w:rsid w:val="0ED9228C"/>
    <w:rsid w:val="0EDA076B"/>
    <w:rsid w:val="0EDA7170"/>
    <w:rsid w:val="0EDB59B8"/>
    <w:rsid w:val="0EE2320B"/>
    <w:rsid w:val="0EE3661B"/>
    <w:rsid w:val="0EE4486D"/>
    <w:rsid w:val="0EE52393"/>
    <w:rsid w:val="0EE7435D"/>
    <w:rsid w:val="0EE76FC7"/>
    <w:rsid w:val="0EE77EB9"/>
    <w:rsid w:val="0EE8119B"/>
    <w:rsid w:val="0EE85502"/>
    <w:rsid w:val="0EE95D7A"/>
    <w:rsid w:val="0EEA1757"/>
    <w:rsid w:val="0EEC778C"/>
    <w:rsid w:val="0EEF3657"/>
    <w:rsid w:val="0EF34D29"/>
    <w:rsid w:val="0EF3650F"/>
    <w:rsid w:val="0EF63F74"/>
    <w:rsid w:val="0EF83E74"/>
    <w:rsid w:val="0EFA2346"/>
    <w:rsid w:val="0EFA3A2B"/>
    <w:rsid w:val="0EFA54BB"/>
    <w:rsid w:val="0EFE5203"/>
    <w:rsid w:val="0EFF5A98"/>
    <w:rsid w:val="0F002C19"/>
    <w:rsid w:val="0F057B00"/>
    <w:rsid w:val="0F073875"/>
    <w:rsid w:val="0F087E2F"/>
    <w:rsid w:val="0F0A004B"/>
    <w:rsid w:val="0F0B6A95"/>
    <w:rsid w:val="0F0C0596"/>
    <w:rsid w:val="0F0C5B71"/>
    <w:rsid w:val="0F0E2667"/>
    <w:rsid w:val="0F0E7B3C"/>
    <w:rsid w:val="0F0F6F17"/>
    <w:rsid w:val="0F1113DA"/>
    <w:rsid w:val="0F121B26"/>
    <w:rsid w:val="0F124148"/>
    <w:rsid w:val="0F136D28"/>
    <w:rsid w:val="0F16561C"/>
    <w:rsid w:val="0F176051"/>
    <w:rsid w:val="0F1862C4"/>
    <w:rsid w:val="0F186C83"/>
    <w:rsid w:val="0F1B4006"/>
    <w:rsid w:val="0F1C14C9"/>
    <w:rsid w:val="0F1D38DB"/>
    <w:rsid w:val="0F1D7D7F"/>
    <w:rsid w:val="0F2033CB"/>
    <w:rsid w:val="0F20546D"/>
    <w:rsid w:val="0F210455"/>
    <w:rsid w:val="0F216BF7"/>
    <w:rsid w:val="0F220EF1"/>
    <w:rsid w:val="0F2227BC"/>
    <w:rsid w:val="0F24110D"/>
    <w:rsid w:val="0F24261F"/>
    <w:rsid w:val="0F2478E6"/>
    <w:rsid w:val="0F264E85"/>
    <w:rsid w:val="0F29227F"/>
    <w:rsid w:val="0F2B2C04"/>
    <w:rsid w:val="0F2B3E08"/>
    <w:rsid w:val="0F2C6214"/>
    <w:rsid w:val="0F2C7FC2"/>
    <w:rsid w:val="0F2E5AE8"/>
    <w:rsid w:val="0F2E5D4C"/>
    <w:rsid w:val="0F304F86"/>
    <w:rsid w:val="0F331350"/>
    <w:rsid w:val="0F3550C8"/>
    <w:rsid w:val="0F35576D"/>
    <w:rsid w:val="0F36499C"/>
    <w:rsid w:val="0F366148"/>
    <w:rsid w:val="0F380715"/>
    <w:rsid w:val="0F381CE9"/>
    <w:rsid w:val="0F39623B"/>
    <w:rsid w:val="0F3C49DA"/>
    <w:rsid w:val="0F3D17DE"/>
    <w:rsid w:val="0F3D5D2B"/>
    <w:rsid w:val="0F3E2A70"/>
    <w:rsid w:val="0F400520"/>
    <w:rsid w:val="0F40581B"/>
    <w:rsid w:val="0F423341"/>
    <w:rsid w:val="0F451083"/>
    <w:rsid w:val="0F4632F8"/>
    <w:rsid w:val="0F474DFC"/>
    <w:rsid w:val="0F476BAA"/>
    <w:rsid w:val="0F4867E1"/>
    <w:rsid w:val="0F490538"/>
    <w:rsid w:val="0F492922"/>
    <w:rsid w:val="0F494354"/>
    <w:rsid w:val="0F4E7F38"/>
    <w:rsid w:val="0F4F1DD3"/>
    <w:rsid w:val="0F501F02"/>
    <w:rsid w:val="0F503C2D"/>
    <w:rsid w:val="0F5116AE"/>
    <w:rsid w:val="0F5764BE"/>
    <w:rsid w:val="0F587009"/>
    <w:rsid w:val="0F5A68DD"/>
    <w:rsid w:val="0F5B4403"/>
    <w:rsid w:val="0F5C3E92"/>
    <w:rsid w:val="0F601A19"/>
    <w:rsid w:val="0F603EC7"/>
    <w:rsid w:val="0F6239E3"/>
    <w:rsid w:val="0F62655D"/>
    <w:rsid w:val="0F64150A"/>
    <w:rsid w:val="0F6550A4"/>
    <w:rsid w:val="0F661BEE"/>
    <w:rsid w:val="0F6634D4"/>
    <w:rsid w:val="0F670FFA"/>
    <w:rsid w:val="0F672631"/>
    <w:rsid w:val="0F672DA8"/>
    <w:rsid w:val="0F6A6B8F"/>
    <w:rsid w:val="0F6C5946"/>
    <w:rsid w:val="0F6F0AD3"/>
    <w:rsid w:val="0F704352"/>
    <w:rsid w:val="0F707EAE"/>
    <w:rsid w:val="0F71204C"/>
    <w:rsid w:val="0F725466"/>
    <w:rsid w:val="0F760C96"/>
    <w:rsid w:val="0F763DA6"/>
    <w:rsid w:val="0F764EAE"/>
    <w:rsid w:val="0F76748F"/>
    <w:rsid w:val="0F786D63"/>
    <w:rsid w:val="0F7A4F0C"/>
    <w:rsid w:val="0F7C0F5A"/>
    <w:rsid w:val="0F7E4E5C"/>
    <w:rsid w:val="0F7F00F1"/>
    <w:rsid w:val="0F8047B6"/>
    <w:rsid w:val="0F827BE2"/>
    <w:rsid w:val="0F845808"/>
    <w:rsid w:val="0F854CFE"/>
    <w:rsid w:val="0F8556A3"/>
    <w:rsid w:val="0F856685"/>
    <w:rsid w:val="0F872F52"/>
    <w:rsid w:val="0F8751F8"/>
    <w:rsid w:val="0F8932E2"/>
    <w:rsid w:val="0F8A4A20"/>
    <w:rsid w:val="0F8B4CE8"/>
    <w:rsid w:val="0F8B53FA"/>
    <w:rsid w:val="0F900551"/>
    <w:rsid w:val="0F9556AF"/>
    <w:rsid w:val="0F956327"/>
    <w:rsid w:val="0F977B31"/>
    <w:rsid w:val="0F985657"/>
    <w:rsid w:val="0F9977AB"/>
    <w:rsid w:val="0F9D1004"/>
    <w:rsid w:val="0F9D4A1B"/>
    <w:rsid w:val="0F9F0794"/>
    <w:rsid w:val="0FA36571"/>
    <w:rsid w:val="0FA37CB2"/>
    <w:rsid w:val="0FA61B22"/>
    <w:rsid w:val="0FA638D0"/>
    <w:rsid w:val="0FA7463C"/>
    <w:rsid w:val="0FA77648"/>
    <w:rsid w:val="0FA77AC3"/>
    <w:rsid w:val="0FA86DE3"/>
    <w:rsid w:val="0FAA551F"/>
    <w:rsid w:val="0FAF605E"/>
    <w:rsid w:val="0FB00BF3"/>
    <w:rsid w:val="0FB145AE"/>
    <w:rsid w:val="0FB321C9"/>
    <w:rsid w:val="0FB35FED"/>
    <w:rsid w:val="0FB42B59"/>
    <w:rsid w:val="0FB44B2D"/>
    <w:rsid w:val="0FB51D65"/>
    <w:rsid w:val="0FB64C56"/>
    <w:rsid w:val="0FB87AA7"/>
    <w:rsid w:val="0FBA10DE"/>
    <w:rsid w:val="0FBB0301"/>
    <w:rsid w:val="0FBC7598"/>
    <w:rsid w:val="0FBD6E6C"/>
    <w:rsid w:val="0FBF64FF"/>
    <w:rsid w:val="0FC1695C"/>
    <w:rsid w:val="0FC226D4"/>
    <w:rsid w:val="0FC30926"/>
    <w:rsid w:val="0FC41FA8"/>
    <w:rsid w:val="0FC87CEA"/>
    <w:rsid w:val="0FC921C2"/>
    <w:rsid w:val="0FC92E5D"/>
    <w:rsid w:val="0FC93A62"/>
    <w:rsid w:val="0FCA4150"/>
    <w:rsid w:val="0FCB3337"/>
    <w:rsid w:val="0FCD3553"/>
    <w:rsid w:val="0FCE1079"/>
    <w:rsid w:val="0FCE5F07"/>
    <w:rsid w:val="0FCE72CB"/>
    <w:rsid w:val="0FCF0106"/>
    <w:rsid w:val="0FCF33F4"/>
    <w:rsid w:val="0FD03043"/>
    <w:rsid w:val="0FD06B9F"/>
    <w:rsid w:val="0FD07480"/>
    <w:rsid w:val="0FD348E1"/>
    <w:rsid w:val="0FD367F3"/>
    <w:rsid w:val="0FD41C88"/>
    <w:rsid w:val="0FD52407"/>
    <w:rsid w:val="0FD57666"/>
    <w:rsid w:val="0FD65F70"/>
    <w:rsid w:val="0FDA1211"/>
    <w:rsid w:val="0FDA7A1E"/>
    <w:rsid w:val="0FDB5D8F"/>
    <w:rsid w:val="0FDC19E8"/>
    <w:rsid w:val="0FDF3286"/>
    <w:rsid w:val="0FDF5034"/>
    <w:rsid w:val="0FDF6D31"/>
    <w:rsid w:val="0FE443F8"/>
    <w:rsid w:val="0FE60171"/>
    <w:rsid w:val="0FE935E8"/>
    <w:rsid w:val="0FEB5C97"/>
    <w:rsid w:val="0FED2ABD"/>
    <w:rsid w:val="0FEE5277"/>
    <w:rsid w:val="0FEF4B78"/>
    <w:rsid w:val="0FF06008"/>
    <w:rsid w:val="0FF1019B"/>
    <w:rsid w:val="0FF20FE2"/>
    <w:rsid w:val="0FF372FD"/>
    <w:rsid w:val="0FF420EE"/>
    <w:rsid w:val="0FF56AAC"/>
    <w:rsid w:val="0FF705D0"/>
    <w:rsid w:val="0FF83DD8"/>
    <w:rsid w:val="0FF85FCE"/>
    <w:rsid w:val="0FFA6FF1"/>
    <w:rsid w:val="0FFB0C72"/>
    <w:rsid w:val="0FFB485C"/>
    <w:rsid w:val="0FFB6765"/>
    <w:rsid w:val="0FFC3E38"/>
    <w:rsid w:val="0FFC5BE6"/>
    <w:rsid w:val="10016353"/>
    <w:rsid w:val="10017FB3"/>
    <w:rsid w:val="100321AD"/>
    <w:rsid w:val="10071902"/>
    <w:rsid w:val="100827DD"/>
    <w:rsid w:val="10086339"/>
    <w:rsid w:val="100A418E"/>
    <w:rsid w:val="100B2C10"/>
    <w:rsid w:val="100B407B"/>
    <w:rsid w:val="100E7BF2"/>
    <w:rsid w:val="101271B8"/>
    <w:rsid w:val="10132135"/>
    <w:rsid w:val="10133241"/>
    <w:rsid w:val="101510DA"/>
    <w:rsid w:val="101551F0"/>
    <w:rsid w:val="10183DC0"/>
    <w:rsid w:val="101C0036"/>
    <w:rsid w:val="101C1DE4"/>
    <w:rsid w:val="101D790A"/>
    <w:rsid w:val="102139A6"/>
    <w:rsid w:val="10240C99"/>
    <w:rsid w:val="10242458"/>
    <w:rsid w:val="1025693D"/>
    <w:rsid w:val="10280789"/>
    <w:rsid w:val="102869DB"/>
    <w:rsid w:val="102B2027"/>
    <w:rsid w:val="102B64CB"/>
    <w:rsid w:val="102D5D9F"/>
    <w:rsid w:val="10320275"/>
    <w:rsid w:val="103409DF"/>
    <w:rsid w:val="103539FF"/>
    <w:rsid w:val="10357777"/>
    <w:rsid w:val="103E0032"/>
    <w:rsid w:val="103F3D25"/>
    <w:rsid w:val="104344BA"/>
    <w:rsid w:val="1043638A"/>
    <w:rsid w:val="104666EA"/>
    <w:rsid w:val="10492BB2"/>
    <w:rsid w:val="104A3976"/>
    <w:rsid w:val="104B26C9"/>
    <w:rsid w:val="104D01F0"/>
    <w:rsid w:val="10543D47"/>
    <w:rsid w:val="10546F3B"/>
    <w:rsid w:val="10556B49"/>
    <w:rsid w:val="105B1AB4"/>
    <w:rsid w:val="105C0433"/>
    <w:rsid w:val="105C6685"/>
    <w:rsid w:val="105C6FA6"/>
    <w:rsid w:val="1060779A"/>
    <w:rsid w:val="10645539"/>
    <w:rsid w:val="1065378B"/>
    <w:rsid w:val="1066305F"/>
    <w:rsid w:val="106720D2"/>
    <w:rsid w:val="106A0DA2"/>
    <w:rsid w:val="106A61FD"/>
    <w:rsid w:val="106E3E49"/>
    <w:rsid w:val="107033EA"/>
    <w:rsid w:val="10703EDE"/>
    <w:rsid w:val="107134FF"/>
    <w:rsid w:val="10726ACE"/>
    <w:rsid w:val="10727C56"/>
    <w:rsid w:val="10743016"/>
    <w:rsid w:val="10765998"/>
    <w:rsid w:val="10771710"/>
    <w:rsid w:val="10772D2F"/>
    <w:rsid w:val="1077526D"/>
    <w:rsid w:val="10790550"/>
    <w:rsid w:val="107A6B0B"/>
    <w:rsid w:val="107B1489"/>
    <w:rsid w:val="107E484D"/>
    <w:rsid w:val="10802373"/>
    <w:rsid w:val="1081433D"/>
    <w:rsid w:val="10816095"/>
    <w:rsid w:val="10837A59"/>
    <w:rsid w:val="108550E0"/>
    <w:rsid w:val="108A0F77"/>
    <w:rsid w:val="108A4FA0"/>
    <w:rsid w:val="108B4B19"/>
    <w:rsid w:val="108C51BC"/>
    <w:rsid w:val="108C6F6A"/>
    <w:rsid w:val="108D1597"/>
    <w:rsid w:val="108D2A4C"/>
    <w:rsid w:val="108D558D"/>
    <w:rsid w:val="108F6A5A"/>
    <w:rsid w:val="108F7EE0"/>
    <w:rsid w:val="109113A8"/>
    <w:rsid w:val="10947BCD"/>
    <w:rsid w:val="10973B61"/>
    <w:rsid w:val="1097590F"/>
    <w:rsid w:val="10993435"/>
    <w:rsid w:val="10997B3A"/>
    <w:rsid w:val="109B7D6A"/>
    <w:rsid w:val="109C64BB"/>
    <w:rsid w:val="109D1177"/>
    <w:rsid w:val="10A02A15"/>
    <w:rsid w:val="10A122E9"/>
    <w:rsid w:val="10A15B58"/>
    <w:rsid w:val="10A3069A"/>
    <w:rsid w:val="10A337BD"/>
    <w:rsid w:val="10A51DDA"/>
    <w:rsid w:val="10A546BD"/>
    <w:rsid w:val="10A65B52"/>
    <w:rsid w:val="10A83B80"/>
    <w:rsid w:val="10AA09E6"/>
    <w:rsid w:val="10AB3168"/>
    <w:rsid w:val="10AB744C"/>
    <w:rsid w:val="10AC13BA"/>
    <w:rsid w:val="10AF1616"/>
    <w:rsid w:val="10B14BBE"/>
    <w:rsid w:val="10B22749"/>
    <w:rsid w:val="10B464C1"/>
    <w:rsid w:val="10B65D95"/>
    <w:rsid w:val="10B75E3C"/>
    <w:rsid w:val="10B8464E"/>
    <w:rsid w:val="10BB60F0"/>
    <w:rsid w:val="10BC5375"/>
    <w:rsid w:val="10BC7123"/>
    <w:rsid w:val="10BD35C7"/>
    <w:rsid w:val="10BE4C49"/>
    <w:rsid w:val="10BE733F"/>
    <w:rsid w:val="10C34956"/>
    <w:rsid w:val="10C61D50"/>
    <w:rsid w:val="10C75BED"/>
    <w:rsid w:val="10CC380A"/>
    <w:rsid w:val="10CC55B8"/>
    <w:rsid w:val="10D206F5"/>
    <w:rsid w:val="10D22A38"/>
    <w:rsid w:val="10D254AD"/>
    <w:rsid w:val="10D34B99"/>
    <w:rsid w:val="10D40911"/>
    <w:rsid w:val="10D426BF"/>
    <w:rsid w:val="10D601E5"/>
    <w:rsid w:val="10D73F5D"/>
    <w:rsid w:val="10D97CD5"/>
    <w:rsid w:val="10DB3A4D"/>
    <w:rsid w:val="10DC126C"/>
    <w:rsid w:val="10DE5858"/>
    <w:rsid w:val="10DF0E3F"/>
    <w:rsid w:val="10DF6C28"/>
    <w:rsid w:val="10E20F9C"/>
    <w:rsid w:val="10E2302E"/>
    <w:rsid w:val="10E24DDC"/>
    <w:rsid w:val="10E32902"/>
    <w:rsid w:val="10E517ED"/>
    <w:rsid w:val="10E731D2"/>
    <w:rsid w:val="10E93D4E"/>
    <w:rsid w:val="10EA5A3E"/>
    <w:rsid w:val="10EE19D3"/>
    <w:rsid w:val="10F20D97"/>
    <w:rsid w:val="10F468BD"/>
    <w:rsid w:val="10F7066A"/>
    <w:rsid w:val="10FB43DC"/>
    <w:rsid w:val="10FC5772"/>
    <w:rsid w:val="10FD1C16"/>
    <w:rsid w:val="10FD70FE"/>
    <w:rsid w:val="10FD716C"/>
    <w:rsid w:val="10FF17E1"/>
    <w:rsid w:val="10FF5EF2"/>
    <w:rsid w:val="11000BEA"/>
    <w:rsid w:val="110113F5"/>
    <w:rsid w:val="11017FF3"/>
    <w:rsid w:val="11020FDA"/>
    <w:rsid w:val="11021A8D"/>
    <w:rsid w:val="11077C7C"/>
    <w:rsid w:val="11081B2C"/>
    <w:rsid w:val="110A7E55"/>
    <w:rsid w:val="110B3F03"/>
    <w:rsid w:val="110D2569"/>
    <w:rsid w:val="110E3E23"/>
    <w:rsid w:val="110E42F0"/>
    <w:rsid w:val="110F36F7"/>
    <w:rsid w:val="111034C9"/>
    <w:rsid w:val="111156C1"/>
    <w:rsid w:val="11146F5F"/>
    <w:rsid w:val="11163ADF"/>
    <w:rsid w:val="11173599"/>
    <w:rsid w:val="11173EC6"/>
    <w:rsid w:val="11196DCE"/>
    <w:rsid w:val="111B3762"/>
    <w:rsid w:val="111D5BA4"/>
    <w:rsid w:val="111D7BC2"/>
    <w:rsid w:val="11230F50"/>
    <w:rsid w:val="112371A2"/>
    <w:rsid w:val="11250A02"/>
    <w:rsid w:val="11276C93"/>
    <w:rsid w:val="112B0C0D"/>
    <w:rsid w:val="112B2658"/>
    <w:rsid w:val="112C24FB"/>
    <w:rsid w:val="112C3D1D"/>
    <w:rsid w:val="112C6057"/>
    <w:rsid w:val="112E1DCF"/>
    <w:rsid w:val="112E27AF"/>
    <w:rsid w:val="112F0C3F"/>
    <w:rsid w:val="112F3D99"/>
    <w:rsid w:val="11361987"/>
    <w:rsid w:val="11366ED6"/>
    <w:rsid w:val="11381354"/>
    <w:rsid w:val="113849FC"/>
    <w:rsid w:val="113A27F3"/>
    <w:rsid w:val="113A709A"/>
    <w:rsid w:val="113B1A46"/>
    <w:rsid w:val="113B273E"/>
    <w:rsid w:val="113D2012"/>
    <w:rsid w:val="113E3FDC"/>
    <w:rsid w:val="113F222E"/>
    <w:rsid w:val="11405FA6"/>
    <w:rsid w:val="114063D0"/>
    <w:rsid w:val="11477335"/>
    <w:rsid w:val="114809B7"/>
    <w:rsid w:val="11483D9C"/>
    <w:rsid w:val="114856A6"/>
    <w:rsid w:val="114A472F"/>
    <w:rsid w:val="114A7F74"/>
    <w:rsid w:val="114F1D45"/>
    <w:rsid w:val="114F675A"/>
    <w:rsid w:val="1151658F"/>
    <w:rsid w:val="11537A88"/>
    <w:rsid w:val="11543690"/>
    <w:rsid w:val="11551A52"/>
    <w:rsid w:val="11567578"/>
    <w:rsid w:val="115A2F0C"/>
    <w:rsid w:val="115B4B8E"/>
    <w:rsid w:val="115B73A4"/>
    <w:rsid w:val="115C4C8B"/>
    <w:rsid w:val="115C699E"/>
    <w:rsid w:val="115D7703"/>
    <w:rsid w:val="115E01DA"/>
    <w:rsid w:val="115F6467"/>
    <w:rsid w:val="11661336"/>
    <w:rsid w:val="11666F3A"/>
    <w:rsid w:val="116C0EE7"/>
    <w:rsid w:val="116F4196"/>
    <w:rsid w:val="1170470A"/>
    <w:rsid w:val="1170586D"/>
    <w:rsid w:val="11706FAD"/>
    <w:rsid w:val="117315F5"/>
    <w:rsid w:val="11731ED8"/>
    <w:rsid w:val="11743805"/>
    <w:rsid w:val="11751CB9"/>
    <w:rsid w:val="11781169"/>
    <w:rsid w:val="11785740"/>
    <w:rsid w:val="117A1736"/>
    <w:rsid w:val="117A6C2B"/>
    <w:rsid w:val="117D68B3"/>
    <w:rsid w:val="117F262B"/>
    <w:rsid w:val="11826503"/>
    <w:rsid w:val="1182686E"/>
    <w:rsid w:val="11826BD9"/>
    <w:rsid w:val="11845235"/>
    <w:rsid w:val="11845E93"/>
    <w:rsid w:val="118714DF"/>
    <w:rsid w:val="11877731"/>
    <w:rsid w:val="118A0054"/>
    <w:rsid w:val="118B3557"/>
    <w:rsid w:val="118B7221"/>
    <w:rsid w:val="118D3C11"/>
    <w:rsid w:val="118E0C59"/>
    <w:rsid w:val="11904838"/>
    <w:rsid w:val="11910E95"/>
    <w:rsid w:val="1193257A"/>
    <w:rsid w:val="119500A0"/>
    <w:rsid w:val="119618E8"/>
    <w:rsid w:val="11971E9F"/>
    <w:rsid w:val="11980D24"/>
    <w:rsid w:val="1199286D"/>
    <w:rsid w:val="119F4A7B"/>
    <w:rsid w:val="11A02DE7"/>
    <w:rsid w:val="11A227BD"/>
    <w:rsid w:val="11A26319"/>
    <w:rsid w:val="11A51879"/>
    <w:rsid w:val="11A55E09"/>
    <w:rsid w:val="11A622AD"/>
    <w:rsid w:val="11A7392F"/>
    <w:rsid w:val="11A958FA"/>
    <w:rsid w:val="11A976A8"/>
    <w:rsid w:val="11AC2C70"/>
    <w:rsid w:val="11AE72F3"/>
    <w:rsid w:val="11B04EDA"/>
    <w:rsid w:val="11B12A00"/>
    <w:rsid w:val="11B20C52"/>
    <w:rsid w:val="11B30526"/>
    <w:rsid w:val="11BA18B5"/>
    <w:rsid w:val="11BC7F56"/>
    <w:rsid w:val="11BF549A"/>
    <w:rsid w:val="11C10E95"/>
    <w:rsid w:val="11C11F26"/>
    <w:rsid w:val="11C15A98"/>
    <w:rsid w:val="11C20769"/>
    <w:rsid w:val="11C269BB"/>
    <w:rsid w:val="11C66D88"/>
    <w:rsid w:val="11C7052A"/>
    <w:rsid w:val="11C73FD2"/>
    <w:rsid w:val="11C76EBC"/>
    <w:rsid w:val="11C93240"/>
    <w:rsid w:val="11CB1D14"/>
    <w:rsid w:val="11CC783A"/>
    <w:rsid w:val="11D15272"/>
    <w:rsid w:val="11D16BFE"/>
    <w:rsid w:val="11D34725"/>
    <w:rsid w:val="11D50CC6"/>
    <w:rsid w:val="11D566EF"/>
    <w:rsid w:val="11D64215"/>
    <w:rsid w:val="11D84431"/>
    <w:rsid w:val="11D86190"/>
    <w:rsid w:val="11DA38D8"/>
    <w:rsid w:val="11DA3FAE"/>
    <w:rsid w:val="11DA5AB3"/>
    <w:rsid w:val="11DC5CCF"/>
    <w:rsid w:val="11DC7A7D"/>
    <w:rsid w:val="11DD37F5"/>
    <w:rsid w:val="11E02D95"/>
    <w:rsid w:val="11E60DDB"/>
    <w:rsid w:val="11E6576C"/>
    <w:rsid w:val="11E74798"/>
    <w:rsid w:val="11E93033"/>
    <w:rsid w:val="11EA4A7C"/>
    <w:rsid w:val="11EA6051"/>
    <w:rsid w:val="11EB6671"/>
    <w:rsid w:val="11EB7CC0"/>
    <w:rsid w:val="11EC3A38"/>
    <w:rsid w:val="11EC514B"/>
    <w:rsid w:val="11ED5CE9"/>
    <w:rsid w:val="11ED5EAE"/>
    <w:rsid w:val="11EF2AC8"/>
    <w:rsid w:val="11F10E68"/>
    <w:rsid w:val="11F2153E"/>
    <w:rsid w:val="11F36B75"/>
    <w:rsid w:val="11F823DD"/>
    <w:rsid w:val="11F86C31"/>
    <w:rsid w:val="11F970A4"/>
    <w:rsid w:val="11FA43A7"/>
    <w:rsid w:val="11FC1ECD"/>
    <w:rsid w:val="11FF3284"/>
    <w:rsid w:val="11FF376C"/>
    <w:rsid w:val="11FF551A"/>
    <w:rsid w:val="120174E4"/>
    <w:rsid w:val="12030414"/>
    <w:rsid w:val="12040D82"/>
    <w:rsid w:val="12062478"/>
    <w:rsid w:val="12067D92"/>
    <w:rsid w:val="12071097"/>
    <w:rsid w:val="12072620"/>
    <w:rsid w:val="120945EA"/>
    <w:rsid w:val="120B3B89"/>
    <w:rsid w:val="120C1F52"/>
    <w:rsid w:val="120C7C36"/>
    <w:rsid w:val="120D40DA"/>
    <w:rsid w:val="120E39AF"/>
    <w:rsid w:val="121216F1"/>
    <w:rsid w:val="12133839"/>
    <w:rsid w:val="12141562"/>
    <w:rsid w:val="121420F8"/>
    <w:rsid w:val="12151DE3"/>
    <w:rsid w:val="1218482D"/>
    <w:rsid w:val="121865DB"/>
    <w:rsid w:val="121D1E44"/>
    <w:rsid w:val="121D73E5"/>
    <w:rsid w:val="121E62E8"/>
    <w:rsid w:val="12231F7B"/>
    <w:rsid w:val="1226519C"/>
    <w:rsid w:val="122704B0"/>
    <w:rsid w:val="122907E8"/>
    <w:rsid w:val="12291BED"/>
    <w:rsid w:val="12296A3A"/>
    <w:rsid w:val="122C2897"/>
    <w:rsid w:val="122E169C"/>
    <w:rsid w:val="122F7702"/>
    <w:rsid w:val="12303384"/>
    <w:rsid w:val="12306264"/>
    <w:rsid w:val="12307DC9"/>
    <w:rsid w:val="12312806"/>
    <w:rsid w:val="12325C22"/>
    <w:rsid w:val="1232769D"/>
    <w:rsid w:val="123442B3"/>
    <w:rsid w:val="12371157"/>
    <w:rsid w:val="12386C7D"/>
    <w:rsid w:val="123910F2"/>
    <w:rsid w:val="12395518"/>
    <w:rsid w:val="123A29F6"/>
    <w:rsid w:val="123D3E33"/>
    <w:rsid w:val="123D6042"/>
    <w:rsid w:val="12400634"/>
    <w:rsid w:val="124073AD"/>
    <w:rsid w:val="12443874"/>
    <w:rsid w:val="124440AD"/>
    <w:rsid w:val="12460407"/>
    <w:rsid w:val="12480FE8"/>
    <w:rsid w:val="124949E7"/>
    <w:rsid w:val="124A70DD"/>
    <w:rsid w:val="124B413C"/>
    <w:rsid w:val="124B69B1"/>
    <w:rsid w:val="124E1837"/>
    <w:rsid w:val="124E72A0"/>
    <w:rsid w:val="124F64F3"/>
    <w:rsid w:val="12505D75"/>
    <w:rsid w:val="12545C7D"/>
    <w:rsid w:val="12552003"/>
    <w:rsid w:val="125735A8"/>
    <w:rsid w:val="125B6DD1"/>
    <w:rsid w:val="125C08EE"/>
    <w:rsid w:val="125E4936"/>
    <w:rsid w:val="125F15AA"/>
    <w:rsid w:val="125F420A"/>
    <w:rsid w:val="126161D4"/>
    <w:rsid w:val="12624579"/>
    <w:rsid w:val="12643715"/>
    <w:rsid w:val="1264592D"/>
    <w:rsid w:val="126807A8"/>
    <w:rsid w:val="126976C2"/>
    <w:rsid w:val="126D1E74"/>
    <w:rsid w:val="126D6927"/>
    <w:rsid w:val="126F15CC"/>
    <w:rsid w:val="126F1E13"/>
    <w:rsid w:val="12704669"/>
    <w:rsid w:val="12751C80"/>
    <w:rsid w:val="12773533"/>
    <w:rsid w:val="127777A6"/>
    <w:rsid w:val="12786986"/>
    <w:rsid w:val="127929E7"/>
    <w:rsid w:val="127A7296"/>
    <w:rsid w:val="127B4B72"/>
    <w:rsid w:val="127B54E8"/>
    <w:rsid w:val="127E28E2"/>
    <w:rsid w:val="127F48AC"/>
    <w:rsid w:val="12823991"/>
    <w:rsid w:val="1283211C"/>
    <w:rsid w:val="12843C71"/>
    <w:rsid w:val="128535CC"/>
    <w:rsid w:val="12866483"/>
    <w:rsid w:val="1288550F"/>
    <w:rsid w:val="128A6237"/>
    <w:rsid w:val="128A74D9"/>
    <w:rsid w:val="128B34F8"/>
    <w:rsid w:val="128C5C52"/>
    <w:rsid w:val="128D0D77"/>
    <w:rsid w:val="12902616"/>
    <w:rsid w:val="12905EB9"/>
    <w:rsid w:val="1291752C"/>
    <w:rsid w:val="12922832"/>
    <w:rsid w:val="12940D7E"/>
    <w:rsid w:val="12944E5D"/>
    <w:rsid w:val="12946401"/>
    <w:rsid w:val="12961F72"/>
    <w:rsid w:val="129640D0"/>
    <w:rsid w:val="12972790"/>
    <w:rsid w:val="1298498E"/>
    <w:rsid w:val="129B4BA9"/>
    <w:rsid w:val="129C545E"/>
    <w:rsid w:val="129E6898"/>
    <w:rsid w:val="12A12A75"/>
    <w:rsid w:val="12A14823"/>
    <w:rsid w:val="12A165D1"/>
    <w:rsid w:val="12A31AF3"/>
    <w:rsid w:val="12A53EC8"/>
    <w:rsid w:val="12A54313"/>
    <w:rsid w:val="12A654A2"/>
    <w:rsid w:val="12A72B1B"/>
    <w:rsid w:val="12A74FA9"/>
    <w:rsid w:val="12A8795F"/>
    <w:rsid w:val="12A90717"/>
    <w:rsid w:val="12AE2586"/>
    <w:rsid w:val="12AF0CEE"/>
    <w:rsid w:val="12AF1E01"/>
    <w:rsid w:val="12AF6814"/>
    <w:rsid w:val="12B02CB8"/>
    <w:rsid w:val="12B07B99"/>
    <w:rsid w:val="12B10F0A"/>
    <w:rsid w:val="12B16B16"/>
    <w:rsid w:val="12B26A30"/>
    <w:rsid w:val="12B37893"/>
    <w:rsid w:val="12B5207C"/>
    <w:rsid w:val="12B65143"/>
    <w:rsid w:val="12B72298"/>
    <w:rsid w:val="12B74046"/>
    <w:rsid w:val="12BA7BE0"/>
    <w:rsid w:val="12BB3B36"/>
    <w:rsid w:val="12BC340B"/>
    <w:rsid w:val="12BC7810"/>
    <w:rsid w:val="12BD4624"/>
    <w:rsid w:val="12BE3627"/>
    <w:rsid w:val="12C0114D"/>
    <w:rsid w:val="12C14EC5"/>
    <w:rsid w:val="12C16C73"/>
    <w:rsid w:val="12C27A9B"/>
    <w:rsid w:val="12C43BB7"/>
    <w:rsid w:val="12C47AD5"/>
    <w:rsid w:val="12CA5B28"/>
    <w:rsid w:val="12CB3EE4"/>
    <w:rsid w:val="12CC3F63"/>
    <w:rsid w:val="12CD4BAE"/>
    <w:rsid w:val="12CD5618"/>
    <w:rsid w:val="12CD73C6"/>
    <w:rsid w:val="12CE532A"/>
    <w:rsid w:val="12D1335A"/>
    <w:rsid w:val="12D22C2E"/>
    <w:rsid w:val="12D544CC"/>
    <w:rsid w:val="12D60970"/>
    <w:rsid w:val="12D76B97"/>
    <w:rsid w:val="12DB5F87"/>
    <w:rsid w:val="12DC585B"/>
    <w:rsid w:val="12DE6E73"/>
    <w:rsid w:val="12DF679F"/>
    <w:rsid w:val="12E03B1B"/>
    <w:rsid w:val="12E12E71"/>
    <w:rsid w:val="12E32EDE"/>
    <w:rsid w:val="12E3308D"/>
    <w:rsid w:val="12E52961"/>
    <w:rsid w:val="12E56E05"/>
    <w:rsid w:val="12E66E96"/>
    <w:rsid w:val="12EA2F3A"/>
    <w:rsid w:val="12EA61CA"/>
    <w:rsid w:val="12EB20FA"/>
    <w:rsid w:val="12EB3CF0"/>
    <w:rsid w:val="12EC0194"/>
    <w:rsid w:val="12EC15C7"/>
    <w:rsid w:val="12ED0ABA"/>
    <w:rsid w:val="12ED1816"/>
    <w:rsid w:val="12EF1A32"/>
    <w:rsid w:val="12EF6816"/>
    <w:rsid w:val="12EF6F01"/>
    <w:rsid w:val="12F02B19"/>
    <w:rsid w:val="12F05282"/>
    <w:rsid w:val="12F11306"/>
    <w:rsid w:val="12F15453"/>
    <w:rsid w:val="12F61406"/>
    <w:rsid w:val="12FB03D7"/>
    <w:rsid w:val="12FB2185"/>
    <w:rsid w:val="12FB3F33"/>
    <w:rsid w:val="12FC5EFD"/>
    <w:rsid w:val="12FD2641"/>
    <w:rsid w:val="13023513"/>
    <w:rsid w:val="130354DD"/>
    <w:rsid w:val="13040929"/>
    <w:rsid w:val="13051255"/>
    <w:rsid w:val="130628D8"/>
    <w:rsid w:val="13086650"/>
    <w:rsid w:val="130A7199"/>
    <w:rsid w:val="130A7C63"/>
    <w:rsid w:val="130B4CCD"/>
    <w:rsid w:val="130E4C12"/>
    <w:rsid w:val="130F79DE"/>
    <w:rsid w:val="13113756"/>
    <w:rsid w:val="131274CE"/>
    <w:rsid w:val="13135720"/>
    <w:rsid w:val="13135B99"/>
    <w:rsid w:val="13144FF5"/>
    <w:rsid w:val="13164E87"/>
    <w:rsid w:val="13182D37"/>
    <w:rsid w:val="1319085D"/>
    <w:rsid w:val="131B5AA1"/>
    <w:rsid w:val="131D659F"/>
    <w:rsid w:val="131E5E73"/>
    <w:rsid w:val="131F6C1D"/>
    <w:rsid w:val="132004B7"/>
    <w:rsid w:val="13207E3D"/>
    <w:rsid w:val="13231DD0"/>
    <w:rsid w:val="13244572"/>
    <w:rsid w:val="1324605E"/>
    <w:rsid w:val="13250FB0"/>
    <w:rsid w:val="13251621"/>
    <w:rsid w:val="13284B0B"/>
    <w:rsid w:val="13286CF2"/>
    <w:rsid w:val="13287F73"/>
    <w:rsid w:val="132A4479"/>
    <w:rsid w:val="132A7BA8"/>
    <w:rsid w:val="132D60B6"/>
    <w:rsid w:val="132F1E2E"/>
    <w:rsid w:val="13307389"/>
    <w:rsid w:val="13315BA7"/>
    <w:rsid w:val="13323067"/>
    <w:rsid w:val="1336140F"/>
    <w:rsid w:val="133631BD"/>
    <w:rsid w:val="13370A53"/>
    <w:rsid w:val="1338673E"/>
    <w:rsid w:val="13391FCB"/>
    <w:rsid w:val="133A279F"/>
    <w:rsid w:val="133B39FD"/>
    <w:rsid w:val="133B4C77"/>
    <w:rsid w:val="133D279D"/>
    <w:rsid w:val="133F6D99"/>
    <w:rsid w:val="1340228E"/>
    <w:rsid w:val="13402870"/>
    <w:rsid w:val="134104D7"/>
    <w:rsid w:val="13411EEC"/>
    <w:rsid w:val="13413D6E"/>
    <w:rsid w:val="134323EA"/>
    <w:rsid w:val="1344242A"/>
    <w:rsid w:val="134607F9"/>
    <w:rsid w:val="13477178"/>
    <w:rsid w:val="134850E0"/>
    <w:rsid w:val="134A0A16"/>
    <w:rsid w:val="134A2234"/>
    <w:rsid w:val="134A310C"/>
    <w:rsid w:val="134C0C32"/>
    <w:rsid w:val="134D0507"/>
    <w:rsid w:val="134F24D1"/>
    <w:rsid w:val="13501D03"/>
    <w:rsid w:val="135049C5"/>
    <w:rsid w:val="13522EC3"/>
    <w:rsid w:val="13531787"/>
    <w:rsid w:val="13533D6F"/>
    <w:rsid w:val="135565C6"/>
    <w:rsid w:val="135628BD"/>
    <w:rsid w:val="135875D7"/>
    <w:rsid w:val="135950FD"/>
    <w:rsid w:val="135B03D5"/>
    <w:rsid w:val="135D699C"/>
    <w:rsid w:val="135E6CD6"/>
    <w:rsid w:val="136003D1"/>
    <w:rsid w:val="13602D79"/>
    <w:rsid w:val="1360648C"/>
    <w:rsid w:val="13620456"/>
    <w:rsid w:val="13622204"/>
    <w:rsid w:val="1364090C"/>
    <w:rsid w:val="136417B1"/>
    <w:rsid w:val="136441CE"/>
    <w:rsid w:val="136A6362"/>
    <w:rsid w:val="136E76CF"/>
    <w:rsid w:val="136F66CF"/>
    <w:rsid w:val="137141F5"/>
    <w:rsid w:val="1373354D"/>
    <w:rsid w:val="1375208F"/>
    <w:rsid w:val="13765CAF"/>
    <w:rsid w:val="13767A5D"/>
    <w:rsid w:val="13771C94"/>
    <w:rsid w:val="13771DFE"/>
    <w:rsid w:val="137837D5"/>
    <w:rsid w:val="13786F55"/>
    <w:rsid w:val="137912FC"/>
    <w:rsid w:val="137A20FF"/>
    <w:rsid w:val="137B2AD9"/>
    <w:rsid w:val="137E6912"/>
    <w:rsid w:val="137F4B64"/>
    <w:rsid w:val="137F7A39"/>
    <w:rsid w:val="1380268A"/>
    <w:rsid w:val="13815B74"/>
    <w:rsid w:val="13816D08"/>
    <w:rsid w:val="13825809"/>
    <w:rsid w:val="13833F28"/>
    <w:rsid w:val="13842697"/>
    <w:rsid w:val="13877224"/>
    <w:rsid w:val="138B678C"/>
    <w:rsid w:val="138C0906"/>
    <w:rsid w:val="138F0B1F"/>
    <w:rsid w:val="138F15AB"/>
    <w:rsid w:val="138F28CD"/>
    <w:rsid w:val="138F4224"/>
    <w:rsid w:val="1393490E"/>
    <w:rsid w:val="13936861"/>
    <w:rsid w:val="13946135"/>
    <w:rsid w:val="13956C7A"/>
    <w:rsid w:val="13963C5C"/>
    <w:rsid w:val="139673AD"/>
    <w:rsid w:val="139A199E"/>
    <w:rsid w:val="139A3EF6"/>
    <w:rsid w:val="139B227B"/>
    <w:rsid w:val="139B74C4"/>
    <w:rsid w:val="139C4BA9"/>
    <w:rsid w:val="139D3E55"/>
    <w:rsid w:val="139F035F"/>
    <w:rsid w:val="139F590B"/>
    <w:rsid w:val="13A051C1"/>
    <w:rsid w:val="13A26AA4"/>
    <w:rsid w:val="13A66595"/>
    <w:rsid w:val="13A66C4F"/>
    <w:rsid w:val="13A877B7"/>
    <w:rsid w:val="13AB531F"/>
    <w:rsid w:val="13AF4D1D"/>
    <w:rsid w:val="13B0325D"/>
    <w:rsid w:val="13B10A95"/>
    <w:rsid w:val="13B27AB8"/>
    <w:rsid w:val="13B55464"/>
    <w:rsid w:val="13BB385E"/>
    <w:rsid w:val="13BD3541"/>
    <w:rsid w:val="13BD38DE"/>
    <w:rsid w:val="13BF1404"/>
    <w:rsid w:val="13BF31B2"/>
    <w:rsid w:val="13BF7656"/>
    <w:rsid w:val="13C16461"/>
    <w:rsid w:val="13C51BEB"/>
    <w:rsid w:val="13C52C06"/>
    <w:rsid w:val="13C54541"/>
    <w:rsid w:val="13C73F1E"/>
    <w:rsid w:val="13C83AB4"/>
    <w:rsid w:val="13C94031"/>
    <w:rsid w:val="13CC5D99"/>
    <w:rsid w:val="13D1738A"/>
    <w:rsid w:val="13D5487D"/>
    <w:rsid w:val="13D824C6"/>
    <w:rsid w:val="13D9385E"/>
    <w:rsid w:val="13D9398B"/>
    <w:rsid w:val="13DA4490"/>
    <w:rsid w:val="13DC11B7"/>
    <w:rsid w:val="13DD7ADC"/>
    <w:rsid w:val="13E1581F"/>
    <w:rsid w:val="13E16044"/>
    <w:rsid w:val="13E23345"/>
    <w:rsid w:val="13E250F3"/>
    <w:rsid w:val="13E26EA1"/>
    <w:rsid w:val="13E42C19"/>
    <w:rsid w:val="13E470BD"/>
    <w:rsid w:val="13E64BE3"/>
    <w:rsid w:val="13E670CA"/>
    <w:rsid w:val="13E946D3"/>
    <w:rsid w:val="13E97311"/>
    <w:rsid w:val="13EC3FBB"/>
    <w:rsid w:val="13EC5CD8"/>
    <w:rsid w:val="13EC5F71"/>
    <w:rsid w:val="13ED41C3"/>
    <w:rsid w:val="13ED7D0B"/>
    <w:rsid w:val="13EE3A98"/>
    <w:rsid w:val="13EE7251"/>
    <w:rsid w:val="13F07810"/>
    <w:rsid w:val="13F6294C"/>
    <w:rsid w:val="13FA068E"/>
    <w:rsid w:val="13FD017F"/>
    <w:rsid w:val="13FE555A"/>
    <w:rsid w:val="14007FBC"/>
    <w:rsid w:val="140137CB"/>
    <w:rsid w:val="14024FE7"/>
    <w:rsid w:val="14033ECF"/>
    <w:rsid w:val="1404150D"/>
    <w:rsid w:val="140432BB"/>
    <w:rsid w:val="140813C4"/>
    <w:rsid w:val="140825FF"/>
    <w:rsid w:val="140B464A"/>
    <w:rsid w:val="140C1966"/>
    <w:rsid w:val="140E01AF"/>
    <w:rsid w:val="140E5EE8"/>
    <w:rsid w:val="140F7DA7"/>
    <w:rsid w:val="14125594"/>
    <w:rsid w:val="141334FE"/>
    <w:rsid w:val="141352AC"/>
    <w:rsid w:val="14164D9C"/>
    <w:rsid w:val="141679D3"/>
    <w:rsid w:val="14171240"/>
    <w:rsid w:val="141B480E"/>
    <w:rsid w:val="141C0605"/>
    <w:rsid w:val="141D612B"/>
    <w:rsid w:val="141D6D81"/>
    <w:rsid w:val="141F00F5"/>
    <w:rsid w:val="141F1EA3"/>
    <w:rsid w:val="14200CD3"/>
    <w:rsid w:val="14215629"/>
    <w:rsid w:val="14223741"/>
    <w:rsid w:val="14232BF3"/>
    <w:rsid w:val="142344B8"/>
    <w:rsid w:val="14241929"/>
    <w:rsid w:val="1424395D"/>
    <w:rsid w:val="14251A5E"/>
    <w:rsid w:val="14261483"/>
    <w:rsid w:val="1426671F"/>
    <w:rsid w:val="142851FC"/>
    <w:rsid w:val="14327B17"/>
    <w:rsid w:val="143509FA"/>
    <w:rsid w:val="143516C6"/>
    <w:rsid w:val="143664D8"/>
    <w:rsid w:val="14373691"/>
    <w:rsid w:val="143771ED"/>
    <w:rsid w:val="14383989"/>
    <w:rsid w:val="143C0CA7"/>
    <w:rsid w:val="143C2A55"/>
    <w:rsid w:val="143E2969"/>
    <w:rsid w:val="143F2CAE"/>
    <w:rsid w:val="14400536"/>
    <w:rsid w:val="14445DAD"/>
    <w:rsid w:val="144530FD"/>
    <w:rsid w:val="14453750"/>
    <w:rsid w:val="14453E7A"/>
    <w:rsid w:val="144B713C"/>
    <w:rsid w:val="144C07BE"/>
    <w:rsid w:val="144D1713"/>
    <w:rsid w:val="144D4C62"/>
    <w:rsid w:val="144D5060"/>
    <w:rsid w:val="144E2788"/>
    <w:rsid w:val="144F6CED"/>
    <w:rsid w:val="145002AE"/>
    <w:rsid w:val="145558C5"/>
    <w:rsid w:val="1457163D"/>
    <w:rsid w:val="145900FA"/>
    <w:rsid w:val="145A4152"/>
    <w:rsid w:val="146177FD"/>
    <w:rsid w:val="14631523"/>
    <w:rsid w:val="14636234"/>
    <w:rsid w:val="14641C7C"/>
    <w:rsid w:val="1468482E"/>
    <w:rsid w:val="146A5CB8"/>
    <w:rsid w:val="146C7CA8"/>
    <w:rsid w:val="146D1135"/>
    <w:rsid w:val="146D2C0E"/>
    <w:rsid w:val="147026FF"/>
    <w:rsid w:val="14706BA3"/>
    <w:rsid w:val="147246C9"/>
    <w:rsid w:val="14726477"/>
    <w:rsid w:val="147306A9"/>
    <w:rsid w:val="147323B2"/>
    <w:rsid w:val="14751D21"/>
    <w:rsid w:val="147527BF"/>
    <w:rsid w:val="14755F67"/>
    <w:rsid w:val="14773EFC"/>
    <w:rsid w:val="147742FE"/>
    <w:rsid w:val="1477700B"/>
    <w:rsid w:val="14777F31"/>
    <w:rsid w:val="147815B3"/>
    <w:rsid w:val="147C72F5"/>
    <w:rsid w:val="14812B5E"/>
    <w:rsid w:val="14832432"/>
    <w:rsid w:val="148443FC"/>
    <w:rsid w:val="148512C7"/>
    <w:rsid w:val="14857CA7"/>
    <w:rsid w:val="14860B72"/>
    <w:rsid w:val="14860F5C"/>
    <w:rsid w:val="1486120C"/>
    <w:rsid w:val="148701AF"/>
    <w:rsid w:val="14881728"/>
    <w:rsid w:val="148869D2"/>
    <w:rsid w:val="148937C0"/>
    <w:rsid w:val="148A5438"/>
    <w:rsid w:val="148A7C64"/>
    <w:rsid w:val="148B12E6"/>
    <w:rsid w:val="148B7DE7"/>
    <w:rsid w:val="148E3042"/>
    <w:rsid w:val="148F527B"/>
    <w:rsid w:val="14900FF3"/>
    <w:rsid w:val="14917DE6"/>
    <w:rsid w:val="14951F61"/>
    <w:rsid w:val="14952165"/>
    <w:rsid w:val="14972F44"/>
    <w:rsid w:val="1497412F"/>
    <w:rsid w:val="14975EDD"/>
    <w:rsid w:val="149A6190"/>
    <w:rsid w:val="149B5C74"/>
    <w:rsid w:val="149C34F4"/>
    <w:rsid w:val="149C7998"/>
    <w:rsid w:val="149E54BE"/>
    <w:rsid w:val="14A10B0A"/>
    <w:rsid w:val="14A4376A"/>
    <w:rsid w:val="14A469A9"/>
    <w:rsid w:val="14A92AFF"/>
    <w:rsid w:val="14A93B49"/>
    <w:rsid w:val="14AA0EF6"/>
    <w:rsid w:val="14AA20B4"/>
    <w:rsid w:val="14AA3E63"/>
    <w:rsid w:val="14AB3737"/>
    <w:rsid w:val="14AC39FA"/>
    <w:rsid w:val="14AD1F26"/>
    <w:rsid w:val="14AF1479"/>
    <w:rsid w:val="14AF6368"/>
    <w:rsid w:val="14B10388"/>
    <w:rsid w:val="14B531B3"/>
    <w:rsid w:val="14BC76F2"/>
    <w:rsid w:val="14BE16BC"/>
    <w:rsid w:val="14BE4314"/>
    <w:rsid w:val="14BF3086"/>
    <w:rsid w:val="14C022D9"/>
    <w:rsid w:val="14C111C1"/>
    <w:rsid w:val="14C30A80"/>
    <w:rsid w:val="14C447F8"/>
    <w:rsid w:val="14C73A06"/>
    <w:rsid w:val="14C831D3"/>
    <w:rsid w:val="14CD18FF"/>
    <w:rsid w:val="14CD56AD"/>
    <w:rsid w:val="14CF4629"/>
    <w:rsid w:val="14D25715"/>
    <w:rsid w:val="14D342B9"/>
    <w:rsid w:val="14D573BF"/>
    <w:rsid w:val="14D7277E"/>
    <w:rsid w:val="14D7452C"/>
    <w:rsid w:val="14D75633"/>
    <w:rsid w:val="14D81F5A"/>
    <w:rsid w:val="14DB226E"/>
    <w:rsid w:val="14DD7449"/>
    <w:rsid w:val="14DE3B0C"/>
    <w:rsid w:val="14DF0BF0"/>
    <w:rsid w:val="14E135CF"/>
    <w:rsid w:val="14E31122"/>
    <w:rsid w:val="14E60C13"/>
    <w:rsid w:val="14E629C1"/>
    <w:rsid w:val="14E7013D"/>
    <w:rsid w:val="14E804E7"/>
    <w:rsid w:val="14E93FFC"/>
    <w:rsid w:val="14E978A4"/>
    <w:rsid w:val="14E97B50"/>
    <w:rsid w:val="14EA645D"/>
    <w:rsid w:val="14ED01F3"/>
    <w:rsid w:val="14ED3D4F"/>
    <w:rsid w:val="14F25809"/>
    <w:rsid w:val="14F43330"/>
    <w:rsid w:val="14F612E8"/>
    <w:rsid w:val="14F670A8"/>
    <w:rsid w:val="14F94C07"/>
    <w:rsid w:val="14F96B98"/>
    <w:rsid w:val="14FB2910"/>
    <w:rsid w:val="14FB46BE"/>
    <w:rsid w:val="14FC201D"/>
    <w:rsid w:val="14FC3F92"/>
    <w:rsid w:val="14FD3553"/>
    <w:rsid w:val="14FE5F5C"/>
    <w:rsid w:val="14FF2B7F"/>
    <w:rsid w:val="14FF7303"/>
    <w:rsid w:val="15001CD4"/>
    <w:rsid w:val="150123CC"/>
    <w:rsid w:val="15023C9F"/>
    <w:rsid w:val="150572EB"/>
    <w:rsid w:val="15064F76"/>
    <w:rsid w:val="15070492"/>
    <w:rsid w:val="150955A7"/>
    <w:rsid w:val="15095AC8"/>
    <w:rsid w:val="15107A3E"/>
    <w:rsid w:val="151632A6"/>
    <w:rsid w:val="15186A1A"/>
    <w:rsid w:val="151B6B0E"/>
    <w:rsid w:val="151E65FF"/>
    <w:rsid w:val="15205ED3"/>
    <w:rsid w:val="15262561"/>
    <w:rsid w:val="152754B3"/>
    <w:rsid w:val="1528122B"/>
    <w:rsid w:val="152E2536"/>
    <w:rsid w:val="15304812"/>
    <w:rsid w:val="15307872"/>
    <w:rsid w:val="15314652"/>
    <w:rsid w:val="15323E58"/>
    <w:rsid w:val="15336827"/>
    <w:rsid w:val="1534197E"/>
    <w:rsid w:val="1534372C"/>
    <w:rsid w:val="15357EA3"/>
    <w:rsid w:val="153656F6"/>
    <w:rsid w:val="153876C0"/>
    <w:rsid w:val="15390C40"/>
    <w:rsid w:val="15396F94"/>
    <w:rsid w:val="153A336F"/>
    <w:rsid w:val="153B4ABB"/>
    <w:rsid w:val="153E0A4F"/>
    <w:rsid w:val="153E45AB"/>
    <w:rsid w:val="15416DE1"/>
    <w:rsid w:val="154222ED"/>
    <w:rsid w:val="15426A77"/>
    <w:rsid w:val="15453B8B"/>
    <w:rsid w:val="15474F0A"/>
    <w:rsid w:val="15475B55"/>
    <w:rsid w:val="1547677E"/>
    <w:rsid w:val="1548072A"/>
    <w:rsid w:val="154A2FFE"/>
    <w:rsid w:val="154A73F4"/>
    <w:rsid w:val="154B26EA"/>
    <w:rsid w:val="154B4238"/>
    <w:rsid w:val="154C0F75"/>
    <w:rsid w:val="154C2C7E"/>
    <w:rsid w:val="154D47EE"/>
    <w:rsid w:val="154E022A"/>
    <w:rsid w:val="154F0566"/>
    <w:rsid w:val="15510782"/>
    <w:rsid w:val="155319C2"/>
    <w:rsid w:val="155344FA"/>
    <w:rsid w:val="15565D98"/>
    <w:rsid w:val="1557566D"/>
    <w:rsid w:val="15581B10"/>
    <w:rsid w:val="155C2C83"/>
    <w:rsid w:val="15602773"/>
    <w:rsid w:val="15604521"/>
    <w:rsid w:val="156173A0"/>
    <w:rsid w:val="1562473D"/>
    <w:rsid w:val="15624E21"/>
    <w:rsid w:val="156404B5"/>
    <w:rsid w:val="15653949"/>
    <w:rsid w:val="15664F78"/>
    <w:rsid w:val="15672383"/>
    <w:rsid w:val="15673B02"/>
    <w:rsid w:val="156758B0"/>
    <w:rsid w:val="15695ACC"/>
    <w:rsid w:val="156B5449"/>
    <w:rsid w:val="156B7C38"/>
    <w:rsid w:val="156C2EC6"/>
    <w:rsid w:val="15712BD2"/>
    <w:rsid w:val="157424E0"/>
    <w:rsid w:val="15747FCD"/>
    <w:rsid w:val="15783F61"/>
    <w:rsid w:val="157E0E4B"/>
    <w:rsid w:val="157E709D"/>
    <w:rsid w:val="15834F2C"/>
    <w:rsid w:val="15897F1C"/>
    <w:rsid w:val="158A3C94"/>
    <w:rsid w:val="158C27EA"/>
    <w:rsid w:val="158C5316"/>
    <w:rsid w:val="158F4E06"/>
    <w:rsid w:val="15915022"/>
    <w:rsid w:val="15962639"/>
    <w:rsid w:val="15995F29"/>
    <w:rsid w:val="159B19FD"/>
    <w:rsid w:val="159B37AB"/>
    <w:rsid w:val="159D6C30"/>
    <w:rsid w:val="159D7523"/>
    <w:rsid w:val="159F3AA5"/>
    <w:rsid w:val="159F7F48"/>
    <w:rsid w:val="15A05265"/>
    <w:rsid w:val="15A17689"/>
    <w:rsid w:val="15A5287C"/>
    <w:rsid w:val="15A5462A"/>
    <w:rsid w:val="15A75916"/>
    <w:rsid w:val="15A8004B"/>
    <w:rsid w:val="15A93BDF"/>
    <w:rsid w:val="15AA5A95"/>
    <w:rsid w:val="15AA616B"/>
    <w:rsid w:val="15AF7257"/>
    <w:rsid w:val="15B11221"/>
    <w:rsid w:val="15B64A89"/>
    <w:rsid w:val="15B71C16"/>
    <w:rsid w:val="15B83995"/>
    <w:rsid w:val="15B914BE"/>
    <w:rsid w:val="15B91E83"/>
    <w:rsid w:val="15B92DEF"/>
    <w:rsid w:val="15BA32B2"/>
    <w:rsid w:val="15BB5BFB"/>
    <w:rsid w:val="15BC5B69"/>
    <w:rsid w:val="15BD7BC5"/>
    <w:rsid w:val="15BF56EC"/>
    <w:rsid w:val="15BF5C2B"/>
    <w:rsid w:val="15C23F41"/>
    <w:rsid w:val="15C40F54"/>
    <w:rsid w:val="15C471A6"/>
    <w:rsid w:val="15C54CCC"/>
    <w:rsid w:val="15C727F2"/>
    <w:rsid w:val="15CA22E2"/>
    <w:rsid w:val="15CA4090"/>
    <w:rsid w:val="15CA5E3E"/>
    <w:rsid w:val="15CE1DD3"/>
    <w:rsid w:val="15D05455"/>
    <w:rsid w:val="15D10ABF"/>
    <w:rsid w:val="15D31197"/>
    <w:rsid w:val="15D372A6"/>
    <w:rsid w:val="15D553E2"/>
    <w:rsid w:val="15D614F6"/>
    <w:rsid w:val="15D867AD"/>
    <w:rsid w:val="15D93D75"/>
    <w:rsid w:val="15D942D4"/>
    <w:rsid w:val="15DB004C"/>
    <w:rsid w:val="15DB1E4F"/>
    <w:rsid w:val="15DC2E2C"/>
    <w:rsid w:val="15DD4A41"/>
    <w:rsid w:val="15E2459B"/>
    <w:rsid w:val="15E47854"/>
    <w:rsid w:val="15E47A09"/>
    <w:rsid w:val="15E52C78"/>
    <w:rsid w:val="15E6387F"/>
    <w:rsid w:val="15E769F0"/>
    <w:rsid w:val="15EA52B2"/>
    <w:rsid w:val="15EE5FD1"/>
    <w:rsid w:val="15EE7D7F"/>
    <w:rsid w:val="15EF1193"/>
    <w:rsid w:val="15F1159B"/>
    <w:rsid w:val="15F230E6"/>
    <w:rsid w:val="15F25829"/>
    <w:rsid w:val="15F5735F"/>
    <w:rsid w:val="15F5743B"/>
    <w:rsid w:val="15F6656E"/>
    <w:rsid w:val="15F829AC"/>
    <w:rsid w:val="15FA4976"/>
    <w:rsid w:val="15FD7FC2"/>
    <w:rsid w:val="15FF01DE"/>
    <w:rsid w:val="160006E8"/>
    <w:rsid w:val="1600491F"/>
    <w:rsid w:val="16016119"/>
    <w:rsid w:val="16037773"/>
    <w:rsid w:val="16045D57"/>
    <w:rsid w:val="1606331B"/>
    <w:rsid w:val="160752E5"/>
    <w:rsid w:val="16077093"/>
    <w:rsid w:val="160B0931"/>
    <w:rsid w:val="160B6B83"/>
    <w:rsid w:val="160C28FB"/>
    <w:rsid w:val="16102F53"/>
    <w:rsid w:val="16116963"/>
    <w:rsid w:val="16133C89"/>
    <w:rsid w:val="16153F8D"/>
    <w:rsid w:val="16155F4A"/>
    <w:rsid w:val="16161084"/>
    <w:rsid w:val="161662EE"/>
    <w:rsid w:val="161950F5"/>
    <w:rsid w:val="161D2A4D"/>
    <w:rsid w:val="161F618A"/>
    <w:rsid w:val="16210154"/>
    <w:rsid w:val="162437A1"/>
    <w:rsid w:val="162502C9"/>
    <w:rsid w:val="16263C66"/>
    <w:rsid w:val="16273291"/>
    <w:rsid w:val="16282DBB"/>
    <w:rsid w:val="16287735"/>
    <w:rsid w:val="162925BB"/>
    <w:rsid w:val="16294BEA"/>
    <w:rsid w:val="162C08A7"/>
    <w:rsid w:val="162D6518"/>
    <w:rsid w:val="162E2871"/>
    <w:rsid w:val="16315EBE"/>
    <w:rsid w:val="163409FD"/>
    <w:rsid w:val="1634517A"/>
    <w:rsid w:val="16351E52"/>
    <w:rsid w:val="163634D4"/>
    <w:rsid w:val="163648FE"/>
    <w:rsid w:val="163836F0"/>
    <w:rsid w:val="163A442E"/>
    <w:rsid w:val="163B0AEA"/>
    <w:rsid w:val="163C4F8E"/>
    <w:rsid w:val="163F682C"/>
    <w:rsid w:val="16421E79"/>
    <w:rsid w:val="16442095"/>
    <w:rsid w:val="16446C93"/>
    <w:rsid w:val="164721ED"/>
    <w:rsid w:val="1647748F"/>
    <w:rsid w:val="1648658E"/>
    <w:rsid w:val="164B51D1"/>
    <w:rsid w:val="165132B2"/>
    <w:rsid w:val="1652472A"/>
    <w:rsid w:val="16553E2F"/>
    <w:rsid w:val="16557DFE"/>
    <w:rsid w:val="16561591"/>
    <w:rsid w:val="1656474A"/>
    <w:rsid w:val="165738F2"/>
    <w:rsid w:val="1658169C"/>
    <w:rsid w:val="165878EE"/>
    <w:rsid w:val="165A3666"/>
    <w:rsid w:val="16610551"/>
    <w:rsid w:val="1662251B"/>
    <w:rsid w:val="16623E92"/>
    <w:rsid w:val="166242C9"/>
    <w:rsid w:val="166511C4"/>
    <w:rsid w:val="1666568D"/>
    <w:rsid w:val="16677B31"/>
    <w:rsid w:val="166C6378"/>
    <w:rsid w:val="166E0EC0"/>
    <w:rsid w:val="167069E6"/>
    <w:rsid w:val="16721780"/>
    <w:rsid w:val="167308AC"/>
    <w:rsid w:val="16740541"/>
    <w:rsid w:val="167504A0"/>
    <w:rsid w:val="16774218"/>
    <w:rsid w:val="16777D74"/>
    <w:rsid w:val="16790724"/>
    <w:rsid w:val="167A7865"/>
    <w:rsid w:val="167B02F0"/>
    <w:rsid w:val="167C0D2B"/>
    <w:rsid w:val="167C35DD"/>
    <w:rsid w:val="167D017F"/>
    <w:rsid w:val="167D26F3"/>
    <w:rsid w:val="167D5B33"/>
    <w:rsid w:val="167E0242"/>
    <w:rsid w:val="167E55A7"/>
    <w:rsid w:val="167F6721"/>
    <w:rsid w:val="16806C42"/>
    <w:rsid w:val="168129A1"/>
    <w:rsid w:val="16817906"/>
    <w:rsid w:val="16826719"/>
    <w:rsid w:val="16831C06"/>
    <w:rsid w:val="1683496B"/>
    <w:rsid w:val="168416E5"/>
    <w:rsid w:val="16897AA8"/>
    <w:rsid w:val="168E3310"/>
    <w:rsid w:val="169528F0"/>
    <w:rsid w:val="16953A28"/>
    <w:rsid w:val="1695469E"/>
    <w:rsid w:val="16970417"/>
    <w:rsid w:val="169721C5"/>
    <w:rsid w:val="1697252A"/>
    <w:rsid w:val="169C3C7F"/>
    <w:rsid w:val="16A3500D"/>
    <w:rsid w:val="16A668AC"/>
    <w:rsid w:val="16A9098C"/>
    <w:rsid w:val="16A91903"/>
    <w:rsid w:val="16AB2114"/>
    <w:rsid w:val="16AB5C70"/>
    <w:rsid w:val="16AB66E5"/>
    <w:rsid w:val="16AD1B78"/>
    <w:rsid w:val="16AD3796"/>
    <w:rsid w:val="16AE61C8"/>
    <w:rsid w:val="16AF0E7C"/>
    <w:rsid w:val="16AF4B8F"/>
    <w:rsid w:val="16AF64EE"/>
    <w:rsid w:val="16B43D36"/>
    <w:rsid w:val="16B46A07"/>
    <w:rsid w:val="16B5271D"/>
    <w:rsid w:val="16BA2357"/>
    <w:rsid w:val="16BA5EB3"/>
    <w:rsid w:val="16BC1BDB"/>
    <w:rsid w:val="16BC4406"/>
    <w:rsid w:val="16BC7E7D"/>
    <w:rsid w:val="16BD2F83"/>
    <w:rsid w:val="16BD48C4"/>
    <w:rsid w:val="16BF3D52"/>
    <w:rsid w:val="16C17241"/>
    <w:rsid w:val="16C32FBA"/>
    <w:rsid w:val="16C3745D"/>
    <w:rsid w:val="16C531D6"/>
    <w:rsid w:val="16C5620B"/>
    <w:rsid w:val="16C57C0B"/>
    <w:rsid w:val="16C60CFC"/>
    <w:rsid w:val="16C64858"/>
    <w:rsid w:val="16C70D67"/>
    <w:rsid w:val="16CA6972"/>
    <w:rsid w:val="16CD3E38"/>
    <w:rsid w:val="16CD5BE6"/>
    <w:rsid w:val="16CE7D9B"/>
    <w:rsid w:val="16CF7BB0"/>
    <w:rsid w:val="16D03928"/>
    <w:rsid w:val="16D0459E"/>
    <w:rsid w:val="16D1700E"/>
    <w:rsid w:val="16D276A1"/>
    <w:rsid w:val="16D36F75"/>
    <w:rsid w:val="16D50F3F"/>
    <w:rsid w:val="16D6652D"/>
    <w:rsid w:val="16D762C1"/>
    <w:rsid w:val="16D82BB4"/>
    <w:rsid w:val="16D9284F"/>
    <w:rsid w:val="16DA07C9"/>
    <w:rsid w:val="16DA6555"/>
    <w:rsid w:val="16DB1072"/>
    <w:rsid w:val="16DC407B"/>
    <w:rsid w:val="16DC73F7"/>
    <w:rsid w:val="16DE4297"/>
    <w:rsid w:val="16E01F94"/>
    <w:rsid w:val="16E11692"/>
    <w:rsid w:val="16E3365C"/>
    <w:rsid w:val="16E661C3"/>
    <w:rsid w:val="16E80C72"/>
    <w:rsid w:val="16E81DD2"/>
    <w:rsid w:val="16E82A20"/>
    <w:rsid w:val="16E96798"/>
    <w:rsid w:val="16EC01AC"/>
    <w:rsid w:val="16ED0036"/>
    <w:rsid w:val="16EE2D85"/>
    <w:rsid w:val="16EE4509"/>
    <w:rsid w:val="16F05D79"/>
    <w:rsid w:val="16F874F3"/>
    <w:rsid w:val="16FA7B24"/>
    <w:rsid w:val="16FB6BF7"/>
    <w:rsid w:val="16FC471D"/>
    <w:rsid w:val="1700420E"/>
    <w:rsid w:val="17050C77"/>
    <w:rsid w:val="17051824"/>
    <w:rsid w:val="17066E48"/>
    <w:rsid w:val="17070757"/>
    <w:rsid w:val="170715A7"/>
    <w:rsid w:val="17076EDD"/>
    <w:rsid w:val="170830C2"/>
    <w:rsid w:val="170B4961"/>
    <w:rsid w:val="170C4463"/>
    <w:rsid w:val="170E6162"/>
    <w:rsid w:val="170F26A3"/>
    <w:rsid w:val="171001C9"/>
    <w:rsid w:val="1710307C"/>
    <w:rsid w:val="17106F8E"/>
    <w:rsid w:val="17123F41"/>
    <w:rsid w:val="171A37D0"/>
    <w:rsid w:val="171C2EF9"/>
    <w:rsid w:val="171E4694"/>
    <w:rsid w:val="171F7AB3"/>
    <w:rsid w:val="17205F01"/>
    <w:rsid w:val="172123D6"/>
    <w:rsid w:val="17237001"/>
    <w:rsid w:val="172577D0"/>
    <w:rsid w:val="17283764"/>
    <w:rsid w:val="172865B7"/>
    <w:rsid w:val="17291E35"/>
    <w:rsid w:val="172B1350"/>
    <w:rsid w:val="172C0981"/>
    <w:rsid w:val="172F064F"/>
    <w:rsid w:val="17325833"/>
    <w:rsid w:val="173369A0"/>
    <w:rsid w:val="17365E81"/>
    <w:rsid w:val="173739A8"/>
    <w:rsid w:val="17375756"/>
    <w:rsid w:val="1739327C"/>
    <w:rsid w:val="173C2D6C"/>
    <w:rsid w:val="173C4B1A"/>
    <w:rsid w:val="173D7210"/>
    <w:rsid w:val="17416ECA"/>
    <w:rsid w:val="174658D3"/>
    <w:rsid w:val="17481711"/>
    <w:rsid w:val="1748684E"/>
    <w:rsid w:val="17487963"/>
    <w:rsid w:val="174B04C8"/>
    <w:rsid w:val="174C7453"/>
    <w:rsid w:val="174D1A41"/>
    <w:rsid w:val="174D3905"/>
    <w:rsid w:val="174E6F4B"/>
    <w:rsid w:val="17516817"/>
    <w:rsid w:val="17542220"/>
    <w:rsid w:val="175468D6"/>
    <w:rsid w:val="17562080"/>
    <w:rsid w:val="175A163A"/>
    <w:rsid w:val="175A34BD"/>
    <w:rsid w:val="175E2CE2"/>
    <w:rsid w:val="17606A5A"/>
    <w:rsid w:val="17607D49"/>
    <w:rsid w:val="17614581"/>
    <w:rsid w:val="1763654B"/>
    <w:rsid w:val="176522C3"/>
    <w:rsid w:val="17681DB3"/>
    <w:rsid w:val="176B037C"/>
    <w:rsid w:val="176B3463"/>
    <w:rsid w:val="176D18F5"/>
    <w:rsid w:val="176D73C9"/>
    <w:rsid w:val="17716EB9"/>
    <w:rsid w:val="177249E0"/>
    <w:rsid w:val="17726EEA"/>
    <w:rsid w:val="177644D0"/>
    <w:rsid w:val="17780248"/>
    <w:rsid w:val="1778455C"/>
    <w:rsid w:val="177B1AE6"/>
    <w:rsid w:val="177B5642"/>
    <w:rsid w:val="177B71D9"/>
    <w:rsid w:val="177B7D38"/>
    <w:rsid w:val="177D2056"/>
    <w:rsid w:val="1780534F"/>
    <w:rsid w:val="17884C82"/>
    <w:rsid w:val="17885FB1"/>
    <w:rsid w:val="178A1D29"/>
    <w:rsid w:val="178A6601"/>
    <w:rsid w:val="178C3CF3"/>
    <w:rsid w:val="178D5376"/>
    <w:rsid w:val="178F10EE"/>
    <w:rsid w:val="178F2FEA"/>
    <w:rsid w:val="17942284"/>
    <w:rsid w:val="17966920"/>
    <w:rsid w:val="17975C9E"/>
    <w:rsid w:val="17981ECF"/>
    <w:rsid w:val="17984446"/>
    <w:rsid w:val="179B5CE4"/>
    <w:rsid w:val="179C49C1"/>
    <w:rsid w:val="179D6684"/>
    <w:rsid w:val="179E3A27"/>
    <w:rsid w:val="179F5F07"/>
    <w:rsid w:val="17A0154D"/>
    <w:rsid w:val="17A032FB"/>
    <w:rsid w:val="17A27073"/>
    <w:rsid w:val="17A42169"/>
    <w:rsid w:val="17A50911"/>
    <w:rsid w:val="17A54E44"/>
    <w:rsid w:val="17A56B63"/>
    <w:rsid w:val="17AA6BDF"/>
    <w:rsid w:val="17AB5634"/>
    <w:rsid w:val="17AC04B0"/>
    <w:rsid w:val="17AD5A18"/>
    <w:rsid w:val="17AD63F9"/>
    <w:rsid w:val="17AF1790"/>
    <w:rsid w:val="17B11783"/>
    <w:rsid w:val="17B13509"/>
    <w:rsid w:val="17B4186E"/>
    <w:rsid w:val="17B423BF"/>
    <w:rsid w:val="17B43302"/>
    <w:rsid w:val="17B62B1E"/>
    <w:rsid w:val="17B74A24"/>
    <w:rsid w:val="17B84AE8"/>
    <w:rsid w:val="17BA37BD"/>
    <w:rsid w:val="17BB1EE3"/>
    <w:rsid w:val="17BB323B"/>
    <w:rsid w:val="17BD1988"/>
    <w:rsid w:val="17BD28A4"/>
    <w:rsid w:val="17C1762F"/>
    <w:rsid w:val="17C4348D"/>
    <w:rsid w:val="17C90AA4"/>
    <w:rsid w:val="17CA3600"/>
    <w:rsid w:val="17CA481C"/>
    <w:rsid w:val="17CA65CA"/>
    <w:rsid w:val="17CC0594"/>
    <w:rsid w:val="17CC5A3F"/>
    <w:rsid w:val="17CF299D"/>
    <w:rsid w:val="17CF3BE0"/>
    <w:rsid w:val="17D11706"/>
    <w:rsid w:val="17D336D0"/>
    <w:rsid w:val="17D43BE0"/>
    <w:rsid w:val="17D47448"/>
    <w:rsid w:val="17D62037"/>
    <w:rsid w:val="17D82A95"/>
    <w:rsid w:val="17D912A0"/>
    <w:rsid w:val="17DA6EDC"/>
    <w:rsid w:val="17DD454F"/>
    <w:rsid w:val="17E05CBA"/>
    <w:rsid w:val="17E1714A"/>
    <w:rsid w:val="17E256C1"/>
    <w:rsid w:val="17E53404"/>
    <w:rsid w:val="17E62C77"/>
    <w:rsid w:val="17E73651"/>
    <w:rsid w:val="17E82BB7"/>
    <w:rsid w:val="17E86A50"/>
    <w:rsid w:val="17E92EF4"/>
    <w:rsid w:val="17EC1FB0"/>
    <w:rsid w:val="17EE050A"/>
    <w:rsid w:val="17EE4834"/>
    <w:rsid w:val="17EF1998"/>
    <w:rsid w:val="17F031FC"/>
    <w:rsid w:val="17F17FFA"/>
    <w:rsid w:val="17F21CF6"/>
    <w:rsid w:val="17F717AB"/>
    <w:rsid w:val="17F74355"/>
    <w:rsid w:val="17F83B61"/>
    <w:rsid w:val="17F84EE5"/>
    <w:rsid w:val="17FD074D"/>
    <w:rsid w:val="17FD699F"/>
    <w:rsid w:val="17FD6E5C"/>
    <w:rsid w:val="1800023D"/>
    <w:rsid w:val="18001FEB"/>
    <w:rsid w:val="18023FB5"/>
    <w:rsid w:val="18027B12"/>
    <w:rsid w:val="18075128"/>
    <w:rsid w:val="180B1118"/>
    <w:rsid w:val="180B6483"/>
    <w:rsid w:val="180C394D"/>
    <w:rsid w:val="180D1836"/>
    <w:rsid w:val="180D32C7"/>
    <w:rsid w:val="180D3B06"/>
    <w:rsid w:val="18100480"/>
    <w:rsid w:val="181021C8"/>
    <w:rsid w:val="1811244B"/>
    <w:rsid w:val="181126ED"/>
    <w:rsid w:val="181141F9"/>
    <w:rsid w:val="181276B9"/>
    <w:rsid w:val="18143770"/>
    <w:rsid w:val="18147845"/>
    <w:rsid w:val="181635BD"/>
    <w:rsid w:val="18167A61"/>
    <w:rsid w:val="18186614"/>
    <w:rsid w:val="181A3740"/>
    <w:rsid w:val="181D2B9D"/>
    <w:rsid w:val="18201364"/>
    <w:rsid w:val="18232257"/>
    <w:rsid w:val="1824217E"/>
    <w:rsid w:val="1825166D"/>
    <w:rsid w:val="18251A52"/>
    <w:rsid w:val="18291542"/>
    <w:rsid w:val="182932F0"/>
    <w:rsid w:val="18297794"/>
    <w:rsid w:val="182A7068"/>
    <w:rsid w:val="182D2D36"/>
    <w:rsid w:val="182E403B"/>
    <w:rsid w:val="18303CBB"/>
    <w:rsid w:val="18312709"/>
    <w:rsid w:val="183415C3"/>
    <w:rsid w:val="18345F44"/>
    <w:rsid w:val="18355624"/>
    <w:rsid w:val="18356139"/>
    <w:rsid w:val="18361EEE"/>
    <w:rsid w:val="18363C5F"/>
    <w:rsid w:val="18371EB1"/>
    <w:rsid w:val="183879D7"/>
    <w:rsid w:val="183A3CF4"/>
    <w:rsid w:val="183F0D66"/>
    <w:rsid w:val="18403F55"/>
    <w:rsid w:val="184158F3"/>
    <w:rsid w:val="18420856"/>
    <w:rsid w:val="18424965"/>
    <w:rsid w:val="18426B32"/>
    <w:rsid w:val="18434EDA"/>
    <w:rsid w:val="18441ED8"/>
    <w:rsid w:val="18452495"/>
    <w:rsid w:val="18452548"/>
    <w:rsid w:val="184644CA"/>
    <w:rsid w:val="184719C8"/>
    <w:rsid w:val="18475E6C"/>
    <w:rsid w:val="184A00E8"/>
    <w:rsid w:val="184B14B9"/>
    <w:rsid w:val="184B770B"/>
    <w:rsid w:val="184C42CD"/>
    <w:rsid w:val="184C6FDF"/>
    <w:rsid w:val="18516225"/>
    <w:rsid w:val="18544752"/>
    <w:rsid w:val="18583BD5"/>
    <w:rsid w:val="18597E8B"/>
    <w:rsid w:val="185A16FC"/>
    <w:rsid w:val="185B064A"/>
    <w:rsid w:val="185C1918"/>
    <w:rsid w:val="185D2F9A"/>
    <w:rsid w:val="18626A98"/>
    <w:rsid w:val="18633981"/>
    <w:rsid w:val="18636337"/>
    <w:rsid w:val="186542E7"/>
    <w:rsid w:val="186952EE"/>
    <w:rsid w:val="186A29FC"/>
    <w:rsid w:val="186B3909"/>
    <w:rsid w:val="186F5C5F"/>
    <w:rsid w:val="18700F1F"/>
    <w:rsid w:val="187157E1"/>
    <w:rsid w:val="18722EE9"/>
    <w:rsid w:val="18723928"/>
    <w:rsid w:val="1876528F"/>
    <w:rsid w:val="18786026"/>
    <w:rsid w:val="187C5B16"/>
    <w:rsid w:val="187D1E98"/>
    <w:rsid w:val="187D363C"/>
    <w:rsid w:val="187F73B4"/>
    <w:rsid w:val="1881137E"/>
    <w:rsid w:val="18836B72"/>
    <w:rsid w:val="18842A0F"/>
    <w:rsid w:val="188449CB"/>
    <w:rsid w:val="188624F1"/>
    <w:rsid w:val="188646CA"/>
    <w:rsid w:val="1887531A"/>
    <w:rsid w:val="18876269"/>
    <w:rsid w:val="1889146B"/>
    <w:rsid w:val="188B3FAB"/>
    <w:rsid w:val="188B4249"/>
    <w:rsid w:val="188D7D23"/>
    <w:rsid w:val="188E3A9B"/>
    <w:rsid w:val="1890336F"/>
    <w:rsid w:val="18904FD9"/>
    <w:rsid w:val="1890511D"/>
    <w:rsid w:val="18944412"/>
    <w:rsid w:val="18950986"/>
    <w:rsid w:val="18956BD8"/>
    <w:rsid w:val="189701E7"/>
    <w:rsid w:val="189B6607"/>
    <w:rsid w:val="189B6EAA"/>
    <w:rsid w:val="189B7EFC"/>
    <w:rsid w:val="189E23D2"/>
    <w:rsid w:val="189E6C73"/>
    <w:rsid w:val="189F6908"/>
    <w:rsid w:val="18A1732B"/>
    <w:rsid w:val="18A230A3"/>
    <w:rsid w:val="18A60DE5"/>
    <w:rsid w:val="18A66D13"/>
    <w:rsid w:val="18A706B9"/>
    <w:rsid w:val="18A711B1"/>
    <w:rsid w:val="18A8170F"/>
    <w:rsid w:val="18A8546B"/>
    <w:rsid w:val="18A961DF"/>
    <w:rsid w:val="18AA2C88"/>
    <w:rsid w:val="18AB2A30"/>
    <w:rsid w:val="18AB3315"/>
    <w:rsid w:val="18AC2568"/>
    <w:rsid w:val="18AE1D93"/>
    <w:rsid w:val="18AE2B96"/>
    <w:rsid w:val="18B03A11"/>
    <w:rsid w:val="18B0756E"/>
    <w:rsid w:val="18B10A3A"/>
    <w:rsid w:val="18B232E6"/>
    <w:rsid w:val="18B34F0B"/>
    <w:rsid w:val="18B74DA0"/>
    <w:rsid w:val="18B941BF"/>
    <w:rsid w:val="18BA2CCA"/>
    <w:rsid w:val="18BA7FF8"/>
    <w:rsid w:val="18BC4164"/>
    <w:rsid w:val="18BD2382"/>
    <w:rsid w:val="18BF5C95"/>
    <w:rsid w:val="18C0505C"/>
    <w:rsid w:val="18C179CD"/>
    <w:rsid w:val="18C56321"/>
    <w:rsid w:val="18C80D5B"/>
    <w:rsid w:val="18C837EE"/>
    <w:rsid w:val="18C8788D"/>
    <w:rsid w:val="18C94AD3"/>
    <w:rsid w:val="18C96881"/>
    <w:rsid w:val="18CB084B"/>
    <w:rsid w:val="18CD45C3"/>
    <w:rsid w:val="18CD4E3E"/>
    <w:rsid w:val="18CE20EA"/>
    <w:rsid w:val="18CE5ABA"/>
    <w:rsid w:val="18D01F80"/>
    <w:rsid w:val="18D25736"/>
    <w:rsid w:val="18D56106"/>
    <w:rsid w:val="18D86AC4"/>
    <w:rsid w:val="18DC0363"/>
    <w:rsid w:val="18DC0A19"/>
    <w:rsid w:val="18DE057F"/>
    <w:rsid w:val="18DF0CDB"/>
    <w:rsid w:val="18DF42F7"/>
    <w:rsid w:val="18E117C4"/>
    <w:rsid w:val="18E24DE3"/>
    <w:rsid w:val="18E3103A"/>
    <w:rsid w:val="18E37943"/>
    <w:rsid w:val="18E56B8C"/>
    <w:rsid w:val="18E65685"/>
    <w:rsid w:val="18E72983"/>
    <w:rsid w:val="18E7546F"/>
    <w:rsid w:val="18E86D07"/>
    <w:rsid w:val="18E90CD1"/>
    <w:rsid w:val="18E93117"/>
    <w:rsid w:val="18EA221C"/>
    <w:rsid w:val="18EA696C"/>
    <w:rsid w:val="18EB2C9C"/>
    <w:rsid w:val="18ED07C2"/>
    <w:rsid w:val="18ED2570"/>
    <w:rsid w:val="18ED6A14"/>
    <w:rsid w:val="18ED6A80"/>
    <w:rsid w:val="18F3507E"/>
    <w:rsid w:val="18F41B50"/>
    <w:rsid w:val="18F45BA2"/>
    <w:rsid w:val="18F465E3"/>
    <w:rsid w:val="18F5508E"/>
    <w:rsid w:val="18F63055"/>
    <w:rsid w:val="18F90F15"/>
    <w:rsid w:val="18FA5564"/>
    <w:rsid w:val="18FA6A3B"/>
    <w:rsid w:val="18FB68AA"/>
    <w:rsid w:val="18FC6C57"/>
    <w:rsid w:val="18FF648E"/>
    <w:rsid w:val="19002AD9"/>
    <w:rsid w:val="19017DC9"/>
    <w:rsid w:val="19022DB5"/>
    <w:rsid w:val="19055FA5"/>
    <w:rsid w:val="1906204F"/>
    <w:rsid w:val="19092DB3"/>
    <w:rsid w:val="190A3122"/>
    <w:rsid w:val="191129A6"/>
    <w:rsid w:val="19121A44"/>
    <w:rsid w:val="19130E4D"/>
    <w:rsid w:val="19150708"/>
    <w:rsid w:val="19153875"/>
    <w:rsid w:val="1917300C"/>
    <w:rsid w:val="19173A91"/>
    <w:rsid w:val="19173FB9"/>
    <w:rsid w:val="191952E8"/>
    <w:rsid w:val="19197809"/>
    <w:rsid w:val="191A0E8B"/>
    <w:rsid w:val="191C10A7"/>
    <w:rsid w:val="191E6BCD"/>
    <w:rsid w:val="19202945"/>
    <w:rsid w:val="19267830"/>
    <w:rsid w:val="192741AF"/>
    <w:rsid w:val="19277122"/>
    <w:rsid w:val="19277601"/>
    <w:rsid w:val="192A37C4"/>
    <w:rsid w:val="192D2CC3"/>
    <w:rsid w:val="192D5062"/>
    <w:rsid w:val="192E3DA6"/>
    <w:rsid w:val="192F4936"/>
    <w:rsid w:val="19306172"/>
    <w:rsid w:val="1932711D"/>
    <w:rsid w:val="19330066"/>
    <w:rsid w:val="19333C3D"/>
    <w:rsid w:val="1934019F"/>
    <w:rsid w:val="193427AD"/>
    <w:rsid w:val="193463F1"/>
    <w:rsid w:val="19385314"/>
    <w:rsid w:val="193A32DB"/>
    <w:rsid w:val="193B777F"/>
    <w:rsid w:val="193F7D58"/>
    <w:rsid w:val="19436634"/>
    <w:rsid w:val="19461C80"/>
    <w:rsid w:val="19463A69"/>
    <w:rsid w:val="19466124"/>
    <w:rsid w:val="19481E9C"/>
    <w:rsid w:val="194B1768"/>
    <w:rsid w:val="194B373A"/>
    <w:rsid w:val="194D26EB"/>
    <w:rsid w:val="19516FA3"/>
    <w:rsid w:val="19560718"/>
    <w:rsid w:val="19567F6A"/>
    <w:rsid w:val="195B559E"/>
    <w:rsid w:val="19601486"/>
    <w:rsid w:val="19604ABB"/>
    <w:rsid w:val="19624054"/>
    <w:rsid w:val="19632D1C"/>
    <w:rsid w:val="19640AF6"/>
    <w:rsid w:val="19642A6B"/>
    <w:rsid w:val="196509BA"/>
    <w:rsid w:val="196565AA"/>
    <w:rsid w:val="19656D1F"/>
    <w:rsid w:val="19662098"/>
    <w:rsid w:val="196640D0"/>
    <w:rsid w:val="19694CBC"/>
    <w:rsid w:val="196A0064"/>
    <w:rsid w:val="196A1E12"/>
    <w:rsid w:val="196A3BC0"/>
    <w:rsid w:val="196C0D73"/>
    <w:rsid w:val="196C11FD"/>
    <w:rsid w:val="196C63F3"/>
    <w:rsid w:val="196D545F"/>
    <w:rsid w:val="196F11D7"/>
    <w:rsid w:val="19737E9D"/>
    <w:rsid w:val="19744A3F"/>
    <w:rsid w:val="19751F18"/>
    <w:rsid w:val="19760FDF"/>
    <w:rsid w:val="19774FE9"/>
    <w:rsid w:val="1979154C"/>
    <w:rsid w:val="197B401F"/>
    <w:rsid w:val="197B7B7C"/>
    <w:rsid w:val="197E766C"/>
    <w:rsid w:val="197F7EC5"/>
    <w:rsid w:val="19800165"/>
    <w:rsid w:val="19816DB3"/>
    <w:rsid w:val="198303AF"/>
    <w:rsid w:val="19832ED4"/>
    <w:rsid w:val="1986426C"/>
    <w:rsid w:val="198731F9"/>
    <w:rsid w:val="19874772"/>
    <w:rsid w:val="19885571"/>
    <w:rsid w:val="19886BE5"/>
    <w:rsid w:val="198A7DBF"/>
    <w:rsid w:val="198C1D89"/>
    <w:rsid w:val="198D6693"/>
    <w:rsid w:val="198E5CD8"/>
    <w:rsid w:val="198F7ACB"/>
    <w:rsid w:val="19915305"/>
    <w:rsid w:val="19951659"/>
    <w:rsid w:val="199B6470"/>
    <w:rsid w:val="199D21E8"/>
    <w:rsid w:val="199D45B7"/>
    <w:rsid w:val="19A03A86"/>
    <w:rsid w:val="19A5109C"/>
    <w:rsid w:val="19A55291"/>
    <w:rsid w:val="19A67A47"/>
    <w:rsid w:val="19A70024"/>
    <w:rsid w:val="19A73191"/>
    <w:rsid w:val="19A74E14"/>
    <w:rsid w:val="19A905BE"/>
    <w:rsid w:val="19AD1CFF"/>
    <w:rsid w:val="19AF1F1B"/>
    <w:rsid w:val="19B05279"/>
    <w:rsid w:val="19B117EF"/>
    <w:rsid w:val="19B27315"/>
    <w:rsid w:val="19B66E06"/>
    <w:rsid w:val="19B7465C"/>
    <w:rsid w:val="19B80DD0"/>
    <w:rsid w:val="19B82A0F"/>
    <w:rsid w:val="19BB08C0"/>
    <w:rsid w:val="19BE215E"/>
    <w:rsid w:val="19C01A32"/>
    <w:rsid w:val="19C0739C"/>
    <w:rsid w:val="19C07C84"/>
    <w:rsid w:val="19C37FA9"/>
    <w:rsid w:val="19C608D9"/>
    <w:rsid w:val="19C71013"/>
    <w:rsid w:val="19C72118"/>
    <w:rsid w:val="19C72AD7"/>
    <w:rsid w:val="19C77265"/>
    <w:rsid w:val="19C920FA"/>
    <w:rsid w:val="19C92FDD"/>
    <w:rsid w:val="19CA28B1"/>
    <w:rsid w:val="19CA335A"/>
    <w:rsid w:val="19CA465F"/>
    <w:rsid w:val="19CE05F3"/>
    <w:rsid w:val="19D11E91"/>
    <w:rsid w:val="19D144C1"/>
    <w:rsid w:val="19D76D7C"/>
    <w:rsid w:val="19D92AF4"/>
    <w:rsid w:val="19DA1AF8"/>
    <w:rsid w:val="19DB2D10"/>
    <w:rsid w:val="19DE1F55"/>
    <w:rsid w:val="19DE2C60"/>
    <w:rsid w:val="19E219A9"/>
    <w:rsid w:val="19E23181"/>
    <w:rsid w:val="19E27BFB"/>
    <w:rsid w:val="19E33973"/>
    <w:rsid w:val="19E37CF0"/>
    <w:rsid w:val="19E40662"/>
    <w:rsid w:val="19E41BC5"/>
    <w:rsid w:val="19E514F2"/>
    <w:rsid w:val="19E65BEC"/>
    <w:rsid w:val="19E716B5"/>
    <w:rsid w:val="19E80F89"/>
    <w:rsid w:val="19E82D37"/>
    <w:rsid w:val="19E86B62"/>
    <w:rsid w:val="19E9549C"/>
    <w:rsid w:val="19EC2827"/>
    <w:rsid w:val="19EE7B83"/>
    <w:rsid w:val="19F31E08"/>
    <w:rsid w:val="19F32E5B"/>
    <w:rsid w:val="19F56FFB"/>
    <w:rsid w:val="19F811CC"/>
    <w:rsid w:val="19F81246"/>
    <w:rsid w:val="19F93196"/>
    <w:rsid w:val="19FA19E3"/>
    <w:rsid w:val="19FA389C"/>
    <w:rsid w:val="19FA7B06"/>
    <w:rsid w:val="19FB2A6A"/>
    <w:rsid w:val="19FB6F0F"/>
    <w:rsid w:val="19FC166F"/>
    <w:rsid w:val="19FD2C86"/>
    <w:rsid w:val="1A003428"/>
    <w:rsid w:val="1A02029D"/>
    <w:rsid w:val="1A037B71"/>
    <w:rsid w:val="1A0420E4"/>
    <w:rsid w:val="1A044015"/>
    <w:rsid w:val="1A09162B"/>
    <w:rsid w:val="1A0933D9"/>
    <w:rsid w:val="1A0C111B"/>
    <w:rsid w:val="1A0E09F0"/>
    <w:rsid w:val="1A136006"/>
    <w:rsid w:val="1A156547"/>
    <w:rsid w:val="1A197394"/>
    <w:rsid w:val="1A1B135F"/>
    <w:rsid w:val="1A1B4EBB"/>
    <w:rsid w:val="1A1C60D9"/>
    <w:rsid w:val="1A1C65FD"/>
    <w:rsid w:val="1A1D50D7"/>
    <w:rsid w:val="1A1E7C4B"/>
    <w:rsid w:val="1A21446B"/>
    <w:rsid w:val="1A2226ED"/>
    <w:rsid w:val="1A2656A4"/>
    <w:rsid w:val="1A2C70C8"/>
    <w:rsid w:val="1A2D082A"/>
    <w:rsid w:val="1A2D2445"/>
    <w:rsid w:val="1A2E1A80"/>
    <w:rsid w:val="1A2E4BEE"/>
    <w:rsid w:val="1A314705"/>
    <w:rsid w:val="1A325A0A"/>
    <w:rsid w:val="1A3362B7"/>
    <w:rsid w:val="1A3441CE"/>
    <w:rsid w:val="1A350272"/>
    <w:rsid w:val="1A352420"/>
    <w:rsid w:val="1A3A39F7"/>
    <w:rsid w:val="1A3B555D"/>
    <w:rsid w:val="1A3B5791"/>
    <w:rsid w:val="1A3D153E"/>
    <w:rsid w:val="1A3D3E6B"/>
    <w:rsid w:val="1A3E33CA"/>
    <w:rsid w:val="1A3F6DFB"/>
    <w:rsid w:val="1A3F7F6A"/>
    <w:rsid w:val="1A405F82"/>
    <w:rsid w:val="1A43313F"/>
    <w:rsid w:val="1A4408B5"/>
    <w:rsid w:val="1A441E0D"/>
    <w:rsid w:val="1A442548"/>
    <w:rsid w:val="1A442663"/>
    <w:rsid w:val="1A46462D"/>
    <w:rsid w:val="1A494467"/>
    <w:rsid w:val="1A495ECC"/>
    <w:rsid w:val="1A4B5EDD"/>
    <w:rsid w:val="1A4C59BC"/>
    <w:rsid w:val="1A4C776A"/>
    <w:rsid w:val="1A4E703E"/>
    <w:rsid w:val="1A4F2DB6"/>
    <w:rsid w:val="1A4F32D5"/>
    <w:rsid w:val="1A501008"/>
    <w:rsid w:val="1A506897"/>
    <w:rsid w:val="1A512F81"/>
    <w:rsid w:val="1A515FF3"/>
    <w:rsid w:val="1A516B2E"/>
    <w:rsid w:val="1A554870"/>
    <w:rsid w:val="1A5605E9"/>
    <w:rsid w:val="1A572B81"/>
    <w:rsid w:val="1A581773"/>
    <w:rsid w:val="1A5B79AD"/>
    <w:rsid w:val="1A5F77D3"/>
    <w:rsid w:val="1A6000FA"/>
    <w:rsid w:val="1A606D71"/>
    <w:rsid w:val="1A612CD6"/>
    <w:rsid w:val="1A613215"/>
    <w:rsid w:val="1A622AE9"/>
    <w:rsid w:val="1A6374B3"/>
    <w:rsid w:val="1A6409D6"/>
    <w:rsid w:val="1A6525DA"/>
    <w:rsid w:val="1A670100"/>
    <w:rsid w:val="1A682661"/>
    <w:rsid w:val="1A6A0F57"/>
    <w:rsid w:val="1A6B57F9"/>
    <w:rsid w:val="1A6C3952"/>
    <w:rsid w:val="1A6E28D7"/>
    <w:rsid w:val="1A705A18"/>
    <w:rsid w:val="1A710F7F"/>
    <w:rsid w:val="1A7171D0"/>
    <w:rsid w:val="1A734E8B"/>
    <w:rsid w:val="1A7412C9"/>
    <w:rsid w:val="1A78230D"/>
    <w:rsid w:val="1A785A33"/>
    <w:rsid w:val="1A7A42D7"/>
    <w:rsid w:val="1A7D6D83"/>
    <w:rsid w:val="1A7E3DE6"/>
    <w:rsid w:val="1A7E7140"/>
    <w:rsid w:val="1A7F18ED"/>
    <w:rsid w:val="1A7F369B"/>
    <w:rsid w:val="1A7F47B4"/>
    <w:rsid w:val="1A7F5449"/>
    <w:rsid w:val="1A8213DE"/>
    <w:rsid w:val="1A83719D"/>
    <w:rsid w:val="1A8449F7"/>
    <w:rsid w:val="1A845156"/>
    <w:rsid w:val="1A846F04"/>
    <w:rsid w:val="1A896419"/>
    <w:rsid w:val="1A8A4B8E"/>
    <w:rsid w:val="1A8B6CC9"/>
    <w:rsid w:val="1A8C5A32"/>
    <w:rsid w:val="1A8C6AE4"/>
    <w:rsid w:val="1A8E4A9F"/>
    <w:rsid w:val="1A8E7D82"/>
    <w:rsid w:val="1A90508E"/>
    <w:rsid w:val="1A911621"/>
    <w:rsid w:val="1A935399"/>
    <w:rsid w:val="1A9441C4"/>
    <w:rsid w:val="1A952EBF"/>
    <w:rsid w:val="1A9829AF"/>
    <w:rsid w:val="1A9A6727"/>
    <w:rsid w:val="1A9B5FFB"/>
    <w:rsid w:val="1A9C249F"/>
    <w:rsid w:val="1A9F5AEC"/>
    <w:rsid w:val="1AA17AB6"/>
    <w:rsid w:val="1AA41354"/>
    <w:rsid w:val="1AA428FF"/>
    <w:rsid w:val="1AA44EB0"/>
    <w:rsid w:val="1AA749A0"/>
    <w:rsid w:val="1AAD1AD0"/>
    <w:rsid w:val="1AAF2DD5"/>
    <w:rsid w:val="1AB01AA7"/>
    <w:rsid w:val="1AB06098"/>
    <w:rsid w:val="1AB062D8"/>
    <w:rsid w:val="1AB07CF9"/>
    <w:rsid w:val="1AB175CD"/>
    <w:rsid w:val="1AB31597"/>
    <w:rsid w:val="1AB33636"/>
    <w:rsid w:val="1AB377E9"/>
    <w:rsid w:val="1AB570BD"/>
    <w:rsid w:val="1AB57683"/>
    <w:rsid w:val="1AB62E35"/>
    <w:rsid w:val="1AB64BE3"/>
    <w:rsid w:val="1AB66B07"/>
    <w:rsid w:val="1AB72EB2"/>
    <w:rsid w:val="1AB8095B"/>
    <w:rsid w:val="1ABA46D4"/>
    <w:rsid w:val="1ABA5192"/>
    <w:rsid w:val="1ABC4DD0"/>
    <w:rsid w:val="1ABF1101"/>
    <w:rsid w:val="1AC6384D"/>
    <w:rsid w:val="1AC75042"/>
    <w:rsid w:val="1AC77420"/>
    <w:rsid w:val="1AC86483"/>
    <w:rsid w:val="1ACD2659"/>
    <w:rsid w:val="1ACE62BE"/>
    <w:rsid w:val="1AD02149"/>
    <w:rsid w:val="1AD36A86"/>
    <w:rsid w:val="1AD67034"/>
    <w:rsid w:val="1AD75285"/>
    <w:rsid w:val="1AD80FFE"/>
    <w:rsid w:val="1AD82DAC"/>
    <w:rsid w:val="1ADA2FC8"/>
    <w:rsid w:val="1ADA4D76"/>
    <w:rsid w:val="1ADA5998"/>
    <w:rsid w:val="1ADA6B24"/>
    <w:rsid w:val="1ADB711C"/>
    <w:rsid w:val="1ADC6D40"/>
    <w:rsid w:val="1ADD2709"/>
    <w:rsid w:val="1ADD6614"/>
    <w:rsid w:val="1AE21017"/>
    <w:rsid w:val="1AE649DD"/>
    <w:rsid w:val="1AE77ACD"/>
    <w:rsid w:val="1AE879F1"/>
    <w:rsid w:val="1AEB5FEB"/>
    <w:rsid w:val="1AEC3A95"/>
    <w:rsid w:val="1AF0383F"/>
    <w:rsid w:val="1AF06347"/>
    <w:rsid w:val="1AF37BE5"/>
    <w:rsid w:val="1AF8515B"/>
    <w:rsid w:val="1AF90BC7"/>
    <w:rsid w:val="1AF916A0"/>
    <w:rsid w:val="1AFA71C6"/>
    <w:rsid w:val="1AFC5C92"/>
    <w:rsid w:val="1AFD0C00"/>
    <w:rsid w:val="1AFF2910"/>
    <w:rsid w:val="1B001029"/>
    <w:rsid w:val="1B001038"/>
    <w:rsid w:val="1B0032DD"/>
    <w:rsid w:val="1B0043CE"/>
    <w:rsid w:val="1B0167A6"/>
    <w:rsid w:val="1B0248EA"/>
    <w:rsid w:val="1B027E17"/>
    <w:rsid w:val="1B027E29"/>
    <w:rsid w:val="1B0342CC"/>
    <w:rsid w:val="1B053600"/>
    <w:rsid w:val="1B0818E3"/>
    <w:rsid w:val="1B09565B"/>
    <w:rsid w:val="1B0D1C71"/>
    <w:rsid w:val="1B0D514B"/>
    <w:rsid w:val="1B0D536D"/>
    <w:rsid w:val="1B0D6EF9"/>
    <w:rsid w:val="1B0E2C78"/>
    <w:rsid w:val="1B0E6672"/>
    <w:rsid w:val="1B102538"/>
    <w:rsid w:val="1B114159"/>
    <w:rsid w:val="1B1262BE"/>
    <w:rsid w:val="1B163FDB"/>
    <w:rsid w:val="1B18764C"/>
    <w:rsid w:val="1B1C7DC9"/>
    <w:rsid w:val="1B1F09DB"/>
    <w:rsid w:val="1B214753"/>
    <w:rsid w:val="1B222279"/>
    <w:rsid w:val="1B223E33"/>
    <w:rsid w:val="1B23671D"/>
    <w:rsid w:val="1B252495"/>
    <w:rsid w:val="1B256297"/>
    <w:rsid w:val="1B2674C4"/>
    <w:rsid w:val="1B281F85"/>
    <w:rsid w:val="1B290A05"/>
    <w:rsid w:val="1B291859"/>
    <w:rsid w:val="1B2B55D1"/>
    <w:rsid w:val="1B2E6E70"/>
    <w:rsid w:val="1B3253FF"/>
    <w:rsid w:val="1B326960"/>
    <w:rsid w:val="1B334486"/>
    <w:rsid w:val="1B373B51"/>
    <w:rsid w:val="1B375D24"/>
    <w:rsid w:val="1B3B1CB8"/>
    <w:rsid w:val="1B3B2051"/>
    <w:rsid w:val="1B3D1960"/>
    <w:rsid w:val="1B3F107D"/>
    <w:rsid w:val="1B3F1817"/>
    <w:rsid w:val="1B4072CF"/>
    <w:rsid w:val="1B417B88"/>
    <w:rsid w:val="1B427656"/>
    <w:rsid w:val="1B453B2A"/>
    <w:rsid w:val="1B4548E5"/>
    <w:rsid w:val="1B4641B9"/>
    <w:rsid w:val="1B4668DD"/>
    <w:rsid w:val="1B483932"/>
    <w:rsid w:val="1B4850E7"/>
    <w:rsid w:val="1B4861BC"/>
    <w:rsid w:val="1B4A4F0A"/>
    <w:rsid w:val="1B4B2131"/>
    <w:rsid w:val="1B4C6C99"/>
    <w:rsid w:val="1B4E1A47"/>
    <w:rsid w:val="1B4E306E"/>
    <w:rsid w:val="1B502E04"/>
    <w:rsid w:val="1B50328A"/>
    <w:rsid w:val="1B5239A9"/>
    <w:rsid w:val="1B542D7A"/>
    <w:rsid w:val="1B543F7D"/>
    <w:rsid w:val="1B5508A0"/>
    <w:rsid w:val="1B577516"/>
    <w:rsid w:val="1B586C8A"/>
    <w:rsid w:val="1B5A66AE"/>
    <w:rsid w:val="1B5C1C2F"/>
    <w:rsid w:val="1B5C39DD"/>
    <w:rsid w:val="1B5C578B"/>
    <w:rsid w:val="1B5E3E72"/>
    <w:rsid w:val="1B5E7755"/>
    <w:rsid w:val="1B63799D"/>
    <w:rsid w:val="1B650AE3"/>
    <w:rsid w:val="1B65531B"/>
    <w:rsid w:val="1B680005"/>
    <w:rsid w:val="1B69651C"/>
    <w:rsid w:val="1B6C00C4"/>
    <w:rsid w:val="1B6E024A"/>
    <w:rsid w:val="1B6F1962"/>
    <w:rsid w:val="1B713895"/>
    <w:rsid w:val="1B730995"/>
    <w:rsid w:val="1B7367E2"/>
    <w:rsid w:val="1B740D26"/>
    <w:rsid w:val="1B747282"/>
    <w:rsid w:val="1B75304D"/>
    <w:rsid w:val="1B75684C"/>
    <w:rsid w:val="1B7725C5"/>
    <w:rsid w:val="1B776A68"/>
    <w:rsid w:val="1B78249E"/>
    <w:rsid w:val="1B790B92"/>
    <w:rsid w:val="1B7948FD"/>
    <w:rsid w:val="1B7C58B1"/>
    <w:rsid w:val="1B7C5E2D"/>
    <w:rsid w:val="1B80101E"/>
    <w:rsid w:val="1B8076CB"/>
    <w:rsid w:val="1B811695"/>
    <w:rsid w:val="1B826CAD"/>
    <w:rsid w:val="1B827539"/>
    <w:rsid w:val="1B83337F"/>
    <w:rsid w:val="1B83540D"/>
    <w:rsid w:val="1B8371BB"/>
    <w:rsid w:val="1B84191A"/>
    <w:rsid w:val="1B845920"/>
    <w:rsid w:val="1B851185"/>
    <w:rsid w:val="1B866CAC"/>
    <w:rsid w:val="1B874C23"/>
    <w:rsid w:val="1B8A0B27"/>
    <w:rsid w:val="1B8A22F8"/>
    <w:rsid w:val="1B8A3A3D"/>
    <w:rsid w:val="1B8A404B"/>
    <w:rsid w:val="1B8A679C"/>
    <w:rsid w:val="1B8B06FB"/>
    <w:rsid w:val="1B8B14BF"/>
    <w:rsid w:val="1B8D06D7"/>
    <w:rsid w:val="1B8F0946"/>
    <w:rsid w:val="1B8F5923"/>
    <w:rsid w:val="1B8F5B60"/>
    <w:rsid w:val="1B901D16"/>
    <w:rsid w:val="1B9262CF"/>
    <w:rsid w:val="1B965141"/>
    <w:rsid w:val="1B967FA7"/>
    <w:rsid w:val="1B970EB9"/>
    <w:rsid w:val="1B972C67"/>
    <w:rsid w:val="1B976543"/>
    <w:rsid w:val="1B99078D"/>
    <w:rsid w:val="1B9E2247"/>
    <w:rsid w:val="1B9E3FF5"/>
    <w:rsid w:val="1B9F3B3C"/>
    <w:rsid w:val="1BA233F1"/>
    <w:rsid w:val="1BA3785E"/>
    <w:rsid w:val="1BA432A8"/>
    <w:rsid w:val="1BA535D6"/>
    <w:rsid w:val="1BA62EAA"/>
    <w:rsid w:val="1BA64C58"/>
    <w:rsid w:val="1BA710FC"/>
    <w:rsid w:val="1BAB0ADF"/>
    <w:rsid w:val="1BAC575C"/>
    <w:rsid w:val="1BAD67AF"/>
    <w:rsid w:val="1BB11FF0"/>
    <w:rsid w:val="1BB43819"/>
    <w:rsid w:val="1BB455C7"/>
    <w:rsid w:val="1BB750B7"/>
    <w:rsid w:val="1BB805C4"/>
    <w:rsid w:val="1BB9498B"/>
    <w:rsid w:val="1BBA19E9"/>
    <w:rsid w:val="1BBC447B"/>
    <w:rsid w:val="1BBD770F"/>
    <w:rsid w:val="1BBE1FA1"/>
    <w:rsid w:val="1BC021BE"/>
    <w:rsid w:val="1BC218BC"/>
    <w:rsid w:val="1BC32914"/>
    <w:rsid w:val="1BC4107F"/>
    <w:rsid w:val="1BC434B3"/>
    <w:rsid w:val="1BC61780"/>
    <w:rsid w:val="1BCA7CE3"/>
    <w:rsid w:val="1BCD0CAE"/>
    <w:rsid w:val="1BCE4B75"/>
    <w:rsid w:val="1BCE5D79"/>
    <w:rsid w:val="1BCF0653"/>
    <w:rsid w:val="1BD01CD5"/>
    <w:rsid w:val="1BD06F4F"/>
    <w:rsid w:val="1BD60EF4"/>
    <w:rsid w:val="1BD712B5"/>
    <w:rsid w:val="1BD87507"/>
    <w:rsid w:val="1BD96DDB"/>
    <w:rsid w:val="1BDC3D23"/>
    <w:rsid w:val="1BDE2589"/>
    <w:rsid w:val="1BE13EE2"/>
    <w:rsid w:val="1BE22134"/>
    <w:rsid w:val="1BE532A6"/>
    <w:rsid w:val="1BE614F8"/>
    <w:rsid w:val="1BE75582"/>
    <w:rsid w:val="1BE7599C"/>
    <w:rsid w:val="1BE85270"/>
    <w:rsid w:val="1BEA2D97"/>
    <w:rsid w:val="1BEC2FB3"/>
    <w:rsid w:val="1BEC6B0F"/>
    <w:rsid w:val="1BEE08D9"/>
    <w:rsid w:val="1BEF2AA3"/>
    <w:rsid w:val="1BEF2D2A"/>
    <w:rsid w:val="1BF105C9"/>
    <w:rsid w:val="1BF14125"/>
    <w:rsid w:val="1BF27E9D"/>
    <w:rsid w:val="1BF43C15"/>
    <w:rsid w:val="1BF6657B"/>
    <w:rsid w:val="1BF6798D"/>
    <w:rsid w:val="1BF754B3"/>
    <w:rsid w:val="1BF84678"/>
    <w:rsid w:val="1BF87F24"/>
    <w:rsid w:val="1BF94285"/>
    <w:rsid w:val="1BF97698"/>
    <w:rsid w:val="1BFC6455"/>
    <w:rsid w:val="1BFD0D1C"/>
    <w:rsid w:val="1C006A5E"/>
    <w:rsid w:val="1C081480"/>
    <w:rsid w:val="1C087D97"/>
    <w:rsid w:val="1C0A00B2"/>
    <w:rsid w:val="1C0F6CA1"/>
    <w:rsid w:val="1C102A7B"/>
    <w:rsid w:val="1C105994"/>
    <w:rsid w:val="1C112A19"/>
    <w:rsid w:val="1C1551C5"/>
    <w:rsid w:val="1C170489"/>
    <w:rsid w:val="1C177904"/>
    <w:rsid w:val="1C191BC6"/>
    <w:rsid w:val="1C1B5646"/>
    <w:rsid w:val="1C1C4D4E"/>
    <w:rsid w:val="1C1E42B1"/>
    <w:rsid w:val="1C1F0578"/>
    <w:rsid w:val="1C1F36B0"/>
    <w:rsid w:val="1C202C5C"/>
    <w:rsid w:val="1C204A0A"/>
    <w:rsid w:val="1C220CF4"/>
    <w:rsid w:val="1C246B7F"/>
    <w:rsid w:val="1C2551E4"/>
    <w:rsid w:val="1C26359D"/>
    <w:rsid w:val="1C284B16"/>
    <w:rsid w:val="1C28741E"/>
    <w:rsid w:val="1C2A3ADB"/>
    <w:rsid w:val="1C2B35C6"/>
    <w:rsid w:val="1C2E35CB"/>
    <w:rsid w:val="1C2E454B"/>
    <w:rsid w:val="1C2F06C6"/>
    <w:rsid w:val="1C3109C5"/>
    <w:rsid w:val="1C311FCA"/>
    <w:rsid w:val="1C3141B7"/>
    <w:rsid w:val="1C32514F"/>
    <w:rsid w:val="1C35485F"/>
    <w:rsid w:val="1C380FDF"/>
    <w:rsid w:val="1C387059"/>
    <w:rsid w:val="1C3B6EE0"/>
    <w:rsid w:val="1C3F1BB3"/>
    <w:rsid w:val="1C3F5943"/>
    <w:rsid w:val="1C3F5AF9"/>
    <w:rsid w:val="1C400211"/>
    <w:rsid w:val="1C400AB2"/>
    <w:rsid w:val="1C4027D8"/>
    <w:rsid w:val="1C4050AC"/>
    <w:rsid w:val="1C406E5A"/>
    <w:rsid w:val="1C435672"/>
    <w:rsid w:val="1C4526C3"/>
    <w:rsid w:val="1C452B63"/>
    <w:rsid w:val="1C470054"/>
    <w:rsid w:val="1C47643B"/>
    <w:rsid w:val="1C497DA3"/>
    <w:rsid w:val="1C4A7CD9"/>
    <w:rsid w:val="1C4D51EF"/>
    <w:rsid w:val="1C4E3CA2"/>
    <w:rsid w:val="1C4F60A6"/>
    <w:rsid w:val="1C5046FF"/>
    <w:rsid w:val="1C5172BA"/>
    <w:rsid w:val="1C5446B4"/>
    <w:rsid w:val="1C5A38F9"/>
    <w:rsid w:val="1C5B3C94"/>
    <w:rsid w:val="1C5D0DA4"/>
    <w:rsid w:val="1C5D1630"/>
    <w:rsid w:val="1C5E1250"/>
    <w:rsid w:val="1C5F7921"/>
    <w:rsid w:val="1C6012AB"/>
    <w:rsid w:val="1C605422"/>
    <w:rsid w:val="1C60673F"/>
    <w:rsid w:val="1C625023"/>
    <w:rsid w:val="1C626DD1"/>
    <w:rsid w:val="1C65711B"/>
    <w:rsid w:val="1C675A41"/>
    <w:rsid w:val="1C6A4A04"/>
    <w:rsid w:val="1C6B4178"/>
    <w:rsid w:val="1C6B7C1E"/>
    <w:rsid w:val="1C6C40F3"/>
    <w:rsid w:val="1C6D7577"/>
    <w:rsid w:val="1C6E5335"/>
    <w:rsid w:val="1C6F168E"/>
    <w:rsid w:val="1C6F7740"/>
    <w:rsid w:val="1C7134B8"/>
    <w:rsid w:val="1C730FDE"/>
    <w:rsid w:val="1C73204A"/>
    <w:rsid w:val="1C744D56"/>
    <w:rsid w:val="1C76287C"/>
    <w:rsid w:val="1C780D06"/>
    <w:rsid w:val="1C784A0B"/>
    <w:rsid w:val="1C7C1FFC"/>
    <w:rsid w:val="1C7C5572"/>
    <w:rsid w:val="1C7D6C93"/>
    <w:rsid w:val="1C7F5BD5"/>
    <w:rsid w:val="1C7F7983"/>
    <w:rsid w:val="1C8101E5"/>
    <w:rsid w:val="1C8256C5"/>
    <w:rsid w:val="1C84795B"/>
    <w:rsid w:val="1C8651B5"/>
    <w:rsid w:val="1C872CC6"/>
    <w:rsid w:val="1C876837"/>
    <w:rsid w:val="1C897E07"/>
    <w:rsid w:val="1C8C6544"/>
    <w:rsid w:val="1C8E406A"/>
    <w:rsid w:val="1C901309"/>
    <w:rsid w:val="1C902538"/>
    <w:rsid w:val="1C9123A9"/>
    <w:rsid w:val="1C915908"/>
    <w:rsid w:val="1C9257B2"/>
    <w:rsid w:val="1C927A29"/>
    <w:rsid w:val="1C9378D2"/>
    <w:rsid w:val="1C940F54"/>
    <w:rsid w:val="1C974E74"/>
    <w:rsid w:val="1C9A0C60"/>
    <w:rsid w:val="1C9B77F5"/>
    <w:rsid w:val="1C9C0C1F"/>
    <w:rsid w:val="1C9C2643"/>
    <w:rsid w:val="1C9D24FF"/>
    <w:rsid w:val="1C9D605B"/>
    <w:rsid w:val="1C9E70AE"/>
    <w:rsid w:val="1CA019C3"/>
    <w:rsid w:val="1CA078F9"/>
    <w:rsid w:val="1CA3357F"/>
    <w:rsid w:val="1CA4563B"/>
    <w:rsid w:val="1CA64593"/>
    <w:rsid w:val="1CA6732F"/>
    <w:rsid w:val="1CA70679"/>
    <w:rsid w:val="1CA76EDA"/>
    <w:rsid w:val="1CA8347B"/>
    <w:rsid w:val="1CAA533B"/>
    <w:rsid w:val="1CAA5CB0"/>
    <w:rsid w:val="1CAB2ED1"/>
    <w:rsid w:val="1CAE2016"/>
    <w:rsid w:val="1CAE64BA"/>
    <w:rsid w:val="1CAF1B22"/>
    <w:rsid w:val="1CB02232"/>
    <w:rsid w:val="1CB03FE0"/>
    <w:rsid w:val="1CB3587E"/>
    <w:rsid w:val="1CB51EA5"/>
    <w:rsid w:val="1CB533A4"/>
    <w:rsid w:val="1CB5684F"/>
    <w:rsid w:val="1CB6536F"/>
    <w:rsid w:val="1CB7118B"/>
    <w:rsid w:val="1CB87339"/>
    <w:rsid w:val="1CBB1806"/>
    <w:rsid w:val="1CBB2985"/>
    <w:rsid w:val="1CBD56DB"/>
    <w:rsid w:val="1CBF6A46"/>
    <w:rsid w:val="1CC318B8"/>
    <w:rsid w:val="1CC47A8B"/>
    <w:rsid w:val="1CC7757C"/>
    <w:rsid w:val="1CC82A58"/>
    <w:rsid w:val="1CCB0E1A"/>
    <w:rsid w:val="1CCB49AB"/>
    <w:rsid w:val="1CCB706C"/>
    <w:rsid w:val="1CCC6940"/>
    <w:rsid w:val="1CCD74C1"/>
    <w:rsid w:val="1CCE26B8"/>
    <w:rsid w:val="1CCE76C1"/>
    <w:rsid w:val="1CD04682"/>
    <w:rsid w:val="1CD14400"/>
    <w:rsid w:val="1CD221A8"/>
    <w:rsid w:val="1CD37CCF"/>
    <w:rsid w:val="1CD53A47"/>
    <w:rsid w:val="1CD852E5"/>
    <w:rsid w:val="1CDA2E0B"/>
    <w:rsid w:val="1CDB049A"/>
    <w:rsid w:val="1CDF0421"/>
    <w:rsid w:val="1CDF48C5"/>
    <w:rsid w:val="1CDF6872"/>
    <w:rsid w:val="1CE04199"/>
    <w:rsid w:val="1CE1063D"/>
    <w:rsid w:val="1CE11D3D"/>
    <w:rsid w:val="1CE1575A"/>
    <w:rsid w:val="1CE20908"/>
    <w:rsid w:val="1CE21A72"/>
    <w:rsid w:val="1CE25C42"/>
    <w:rsid w:val="1CE27C24"/>
    <w:rsid w:val="1CE471BB"/>
    <w:rsid w:val="1CE4737F"/>
    <w:rsid w:val="1CE95744"/>
    <w:rsid w:val="1CE974F2"/>
    <w:rsid w:val="1CEB4B27"/>
    <w:rsid w:val="1CED12FE"/>
    <w:rsid w:val="1CED6FE2"/>
    <w:rsid w:val="1CEE0E9A"/>
    <w:rsid w:val="1CEE20EF"/>
    <w:rsid w:val="1CEE4E5B"/>
    <w:rsid w:val="1CEE5B24"/>
    <w:rsid w:val="1CF00880"/>
    <w:rsid w:val="1CF06F67"/>
    <w:rsid w:val="1CF0718B"/>
    <w:rsid w:val="1CF2284B"/>
    <w:rsid w:val="1CFA16FF"/>
    <w:rsid w:val="1CFA1EF9"/>
    <w:rsid w:val="1CFC4676"/>
    <w:rsid w:val="1CFC7225"/>
    <w:rsid w:val="1CFD2F9D"/>
    <w:rsid w:val="1CFE1968"/>
    <w:rsid w:val="1CFF6449"/>
    <w:rsid w:val="1D0205B4"/>
    <w:rsid w:val="1D0259F5"/>
    <w:rsid w:val="1D03343C"/>
    <w:rsid w:val="1D0439E4"/>
    <w:rsid w:val="1D0600A4"/>
    <w:rsid w:val="1D0D3BB9"/>
    <w:rsid w:val="1D0E339D"/>
    <w:rsid w:val="1D102B23"/>
    <w:rsid w:val="1D144C6E"/>
    <w:rsid w:val="1D14783F"/>
    <w:rsid w:val="1D17405F"/>
    <w:rsid w:val="1D183933"/>
    <w:rsid w:val="1D1907E7"/>
    <w:rsid w:val="1D1B7BF3"/>
    <w:rsid w:val="1D1C78C7"/>
    <w:rsid w:val="1D1D0BA2"/>
    <w:rsid w:val="1D1E2032"/>
    <w:rsid w:val="1D210A3A"/>
    <w:rsid w:val="1D214638"/>
    <w:rsid w:val="1D2147FC"/>
    <w:rsid w:val="1D214EDE"/>
    <w:rsid w:val="1D216C8C"/>
    <w:rsid w:val="1D220702"/>
    <w:rsid w:val="1D230C56"/>
    <w:rsid w:val="1D246750"/>
    <w:rsid w:val="1D253B6C"/>
    <w:rsid w:val="1D2624F4"/>
    <w:rsid w:val="1D292B33"/>
    <w:rsid w:val="1D2B1BB9"/>
    <w:rsid w:val="1D2F37BB"/>
    <w:rsid w:val="1D300C7D"/>
    <w:rsid w:val="1D31686D"/>
    <w:rsid w:val="1D331687"/>
    <w:rsid w:val="1D344C11"/>
    <w:rsid w:val="1D352737"/>
    <w:rsid w:val="1D37025D"/>
    <w:rsid w:val="1D374168"/>
    <w:rsid w:val="1D3764AF"/>
    <w:rsid w:val="1D383726"/>
    <w:rsid w:val="1D3949D8"/>
    <w:rsid w:val="1D3B7BAB"/>
    <w:rsid w:val="1D3D48A2"/>
    <w:rsid w:val="1D4110DC"/>
    <w:rsid w:val="1D412E8A"/>
    <w:rsid w:val="1D4209B0"/>
    <w:rsid w:val="1D4264C5"/>
    <w:rsid w:val="1D4316AD"/>
    <w:rsid w:val="1D441B15"/>
    <w:rsid w:val="1D447B28"/>
    <w:rsid w:val="1D48246B"/>
    <w:rsid w:val="1D4B5AB7"/>
    <w:rsid w:val="1D4D223A"/>
    <w:rsid w:val="1D4E0362"/>
    <w:rsid w:val="1D4E30E0"/>
    <w:rsid w:val="1D50131F"/>
    <w:rsid w:val="1D5133A9"/>
    <w:rsid w:val="1D520E2A"/>
    <w:rsid w:val="1D540DB7"/>
    <w:rsid w:val="1D540E0F"/>
    <w:rsid w:val="1D551DAF"/>
    <w:rsid w:val="1D553591"/>
    <w:rsid w:val="1D554B87"/>
    <w:rsid w:val="1D556936"/>
    <w:rsid w:val="1D56707B"/>
    <w:rsid w:val="1D5726AE"/>
    <w:rsid w:val="1D585591"/>
    <w:rsid w:val="1D5A219E"/>
    <w:rsid w:val="1D5A74C7"/>
    <w:rsid w:val="1D5C5F16"/>
    <w:rsid w:val="1D5D2E26"/>
    <w:rsid w:val="1D5E1C8E"/>
    <w:rsid w:val="1D616594"/>
    <w:rsid w:val="1D61679F"/>
    <w:rsid w:val="1D623D91"/>
    <w:rsid w:val="1D631052"/>
    <w:rsid w:val="1D664516"/>
    <w:rsid w:val="1D666D95"/>
    <w:rsid w:val="1D6A20C9"/>
    <w:rsid w:val="1D6A20D8"/>
    <w:rsid w:val="1D6A233A"/>
    <w:rsid w:val="1D6A2484"/>
    <w:rsid w:val="1D6B7F07"/>
    <w:rsid w:val="1D6D0123"/>
    <w:rsid w:val="1D6D3C7F"/>
    <w:rsid w:val="1D6E2588"/>
    <w:rsid w:val="1D71569B"/>
    <w:rsid w:val="1D725739"/>
    <w:rsid w:val="1D726DCB"/>
    <w:rsid w:val="1D745CED"/>
    <w:rsid w:val="1D752B34"/>
    <w:rsid w:val="1D7768AC"/>
    <w:rsid w:val="1D795028"/>
    <w:rsid w:val="1D7B2840"/>
    <w:rsid w:val="1D7C0366"/>
    <w:rsid w:val="1D7C130D"/>
    <w:rsid w:val="1D807957"/>
    <w:rsid w:val="1D812DA5"/>
    <w:rsid w:val="1D81772B"/>
    <w:rsid w:val="1D8316F5"/>
    <w:rsid w:val="1D835251"/>
    <w:rsid w:val="1D837D50"/>
    <w:rsid w:val="1D864D41"/>
    <w:rsid w:val="1D875D00"/>
    <w:rsid w:val="1D884F5D"/>
    <w:rsid w:val="1D8965DF"/>
    <w:rsid w:val="1D8D0FF5"/>
    <w:rsid w:val="1D8D60CF"/>
    <w:rsid w:val="1D902354"/>
    <w:rsid w:val="1D9060FA"/>
    <w:rsid w:val="1D9137E4"/>
    <w:rsid w:val="1D940DB0"/>
    <w:rsid w:val="1D947315"/>
    <w:rsid w:val="1D94745E"/>
    <w:rsid w:val="1D954F84"/>
    <w:rsid w:val="1D962329"/>
    <w:rsid w:val="1D973FBC"/>
    <w:rsid w:val="1D9751A0"/>
    <w:rsid w:val="1D976F4E"/>
    <w:rsid w:val="1D980112"/>
    <w:rsid w:val="1D9B4C90"/>
    <w:rsid w:val="1D9B5B7E"/>
    <w:rsid w:val="1D9B6A3E"/>
    <w:rsid w:val="1D9D4911"/>
    <w:rsid w:val="1D9F1E7E"/>
    <w:rsid w:val="1D9F5DE8"/>
    <w:rsid w:val="1DA03128"/>
    <w:rsid w:val="1DA17DCD"/>
    <w:rsid w:val="1DA43419"/>
    <w:rsid w:val="1DA63635"/>
    <w:rsid w:val="1DA756F1"/>
    <w:rsid w:val="1DA82F09"/>
    <w:rsid w:val="1DAB29F9"/>
    <w:rsid w:val="1DAC0C4B"/>
    <w:rsid w:val="1DAC622F"/>
    <w:rsid w:val="1DAD49C3"/>
    <w:rsid w:val="1DAF24EA"/>
    <w:rsid w:val="1DAF3D07"/>
    <w:rsid w:val="1DB00010"/>
    <w:rsid w:val="1DB01DBE"/>
    <w:rsid w:val="1DB05E6E"/>
    <w:rsid w:val="1DB16262"/>
    <w:rsid w:val="1DB34347"/>
    <w:rsid w:val="1DB63878"/>
    <w:rsid w:val="1DB643C1"/>
    <w:rsid w:val="1DB72E7F"/>
    <w:rsid w:val="1DB96EC4"/>
    <w:rsid w:val="1DBA103F"/>
    <w:rsid w:val="1DBB5310"/>
    <w:rsid w:val="1DBC2DA7"/>
    <w:rsid w:val="1DBC7851"/>
    <w:rsid w:val="1DBE0159"/>
    <w:rsid w:val="1DBE097F"/>
    <w:rsid w:val="1DC064A5"/>
    <w:rsid w:val="1DC13FCB"/>
    <w:rsid w:val="1DC15D79"/>
    <w:rsid w:val="1DC2273E"/>
    <w:rsid w:val="1DC53ABB"/>
    <w:rsid w:val="1DC53DEF"/>
    <w:rsid w:val="1DC83B88"/>
    <w:rsid w:val="1DC928BA"/>
    <w:rsid w:val="1DC92DDB"/>
    <w:rsid w:val="1DCA1E79"/>
    <w:rsid w:val="1DCA3E7C"/>
    <w:rsid w:val="1DCB6B6C"/>
    <w:rsid w:val="1DCD2970"/>
    <w:rsid w:val="1DCF0496"/>
    <w:rsid w:val="1DD01BCE"/>
    <w:rsid w:val="1DD261D8"/>
    <w:rsid w:val="1DD36DFA"/>
    <w:rsid w:val="1DD46997"/>
    <w:rsid w:val="1DD47C35"/>
    <w:rsid w:val="1DD53F31"/>
    <w:rsid w:val="1DD65CC8"/>
    <w:rsid w:val="1DD66365"/>
    <w:rsid w:val="1DD66886"/>
    <w:rsid w:val="1DD7559C"/>
    <w:rsid w:val="1DDA0899"/>
    <w:rsid w:val="1DDC0E05"/>
    <w:rsid w:val="1DE06B47"/>
    <w:rsid w:val="1DE15B9B"/>
    <w:rsid w:val="1DE1641B"/>
    <w:rsid w:val="1DE32193"/>
    <w:rsid w:val="1DE3446C"/>
    <w:rsid w:val="1DE75D86"/>
    <w:rsid w:val="1DE86925"/>
    <w:rsid w:val="1DEA1B2D"/>
    <w:rsid w:val="1DEA52D0"/>
    <w:rsid w:val="1DEC54EC"/>
    <w:rsid w:val="1DED4DC0"/>
    <w:rsid w:val="1DEF0B38"/>
    <w:rsid w:val="1DEF352E"/>
    <w:rsid w:val="1DF0042A"/>
    <w:rsid w:val="1DF148B0"/>
    <w:rsid w:val="1DF223D6"/>
    <w:rsid w:val="1DF3331F"/>
    <w:rsid w:val="1DF3687A"/>
    <w:rsid w:val="1DF42572"/>
    <w:rsid w:val="1DF42C49"/>
    <w:rsid w:val="1DF75C3F"/>
    <w:rsid w:val="1DF768EE"/>
    <w:rsid w:val="1DF83D01"/>
    <w:rsid w:val="1DF86E1A"/>
    <w:rsid w:val="1DF97A6E"/>
    <w:rsid w:val="1DFB572F"/>
    <w:rsid w:val="1DFC3255"/>
    <w:rsid w:val="1DFC5003"/>
    <w:rsid w:val="1DFE521F"/>
    <w:rsid w:val="1E026ABD"/>
    <w:rsid w:val="1E037064"/>
    <w:rsid w:val="1E06634F"/>
    <w:rsid w:val="1E0740D4"/>
    <w:rsid w:val="1E075E82"/>
    <w:rsid w:val="1E080442"/>
    <w:rsid w:val="1E0839A8"/>
    <w:rsid w:val="1E0A7720"/>
    <w:rsid w:val="1E0D5CDA"/>
    <w:rsid w:val="1E0F4D36"/>
    <w:rsid w:val="1E127BE4"/>
    <w:rsid w:val="1E135B88"/>
    <w:rsid w:val="1E1467F1"/>
    <w:rsid w:val="1E160478"/>
    <w:rsid w:val="1E162569"/>
    <w:rsid w:val="1E181275"/>
    <w:rsid w:val="1E1B192D"/>
    <w:rsid w:val="1E1B36DB"/>
    <w:rsid w:val="1E1E31CB"/>
    <w:rsid w:val="1E1E3463"/>
    <w:rsid w:val="1E1E39F6"/>
    <w:rsid w:val="1E1E63A3"/>
    <w:rsid w:val="1E1E766F"/>
    <w:rsid w:val="1E206F43"/>
    <w:rsid w:val="1E21044D"/>
    <w:rsid w:val="1E2212B0"/>
    <w:rsid w:val="1E22594E"/>
    <w:rsid w:val="1E2527AC"/>
    <w:rsid w:val="1E253DA2"/>
    <w:rsid w:val="1E2B0F41"/>
    <w:rsid w:val="1E2D1660"/>
    <w:rsid w:val="1E2D4011"/>
    <w:rsid w:val="1E2F2AC3"/>
    <w:rsid w:val="1E2F342B"/>
    <w:rsid w:val="1E3022B7"/>
    <w:rsid w:val="1E310314"/>
    <w:rsid w:val="1E312B1D"/>
    <w:rsid w:val="1E322697"/>
    <w:rsid w:val="1E324D9F"/>
    <w:rsid w:val="1E327080"/>
    <w:rsid w:val="1E3429EF"/>
    <w:rsid w:val="1E3704DA"/>
    <w:rsid w:val="1E3819A8"/>
    <w:rsid w:val="1E396257"/>
    <w:rsid w:val="1E3B5B2B"/>
    <w:rsid w:val="1E3D4E74"/>
    <w:rsid w:val="1E3F5595"/>
    <w:rsid w:val="1E42335E"/>
    <w:rsid w:val="1E4252FE"/>
    <w:rsid w:val="1E432470"/>
    <w:rsid w:val="1E4470D6"/>
    <w:rsid w:val="1E466713"/>
    <w:rsid w:val="1E472722"/>
    <w:rsid w:val="1E4A14A1"/>
    <w:rsid w:val="1E4A3C59"/>
    <w:rsid w:val="1E4C5F8A"/>
    <w:rsid w:val="1E4C7F89"/>
    <w:rsid w:val="1E50753C"/>
    <w:rsid w:val="1E543ED0"/>
    <w:rsid w:val="1E546BED"/>
    <w:rsid w:val="1E5725D6"/>
    <w:rsid w:val="1E575CCD"/>
    <w:rsid w:val="1E58715D"/>
    <w:rsid w:val="1E5C61BD"/>
    <w:rsid w:val="1E5D0198"/>
    <w:rsid w:val="1E5F672D"/>
    <w:rsid w:val="1E605592"/>
    <w:rsid w:val="1E635082"/>
    <w:rsid w:val="1E641526"/>
    <w:rsid w:val="1E6904B6"/>
    <w:rsid w:val="1E6A1572"/>
    <w:rsid w:val="1E6F3A27"/>
    <w:rsid w:val="1E74103D"/>
    <w:rsid w:val="1E753012"/>
    <w:rsid w:val="1E766B63"/>
    <w:rsid w:val="1E79001D"/>
    <w:rsid w:val="1E7A3473"/>
    <w:rsid w:val="1E7B3F7A"/>
    <w:rsid w:val="1E7F2B3E"/>
    <w:rsid w:val="1E806E2E"/>
    <w:rsid w:val="1E82375A"/>
    <w:rsid w:val="1E8618BB"/>
    <w:rsid w:val="1E880EA7"/>
    <w:rsid w:val="1E884A2B"/>
    <w:rsid w:val="1E8B65A8"/>
    <w:rsid w:val="1E8E65A3"/>
    <w:rsid w:val="1E9004B2"/>
    <w:rsid w:val="1E933BB9"/>
    <w:rsid w:val="1E94569F"/>
    <w:rsid w:val="1E957931"/>
    <w:rsid w:val="1E960B39"/>
    <w:rsid w:val="1E960FB4"/>
    <w:rsid w:val="1E967206"/>
    <w:rsid w:val="1E9B0CC0"/>
    <w:rsid w:val="1E9C2E47"/>
    <w:rsid w:val="1E9C5B42"/>
    <w:rsid w:val="1E9D2342"/>
    <w:rsid w:val="1EA02D82"/>
    <w:rsid w:val="1EA638ED"/>
    <w:rsid w:val="1EAA0146"/>
    <w:rsid w:val="1EAA4A5F"/>
    <w:rsid w:val="1EAE09F3"/>
    <w:rsid w:val="1EB02877"/>
    <w:rsid w:val="1EB12291"/>
    <w:rsid w:val="1EB41214"/>
    <w:rsid w:val="1EB853CE"/>
    <w:rsid w:val="1EB904D1"/>
    <w:rsid w:val="1EBA4931"/>
    <w:rsid w:val="1EBC3110"/>
    <w:rsid w:val="1EBC597C"/>
    <w:rsid w:val="1EBD3B62"/>
    <w:rsid w:val="1EBF050A"/>
    <w:rsid w:val="1EC10726"/>
    <w:rsid w:val="1EC16A58"/>
    <w:rsid w:val="1EC2702E"/>
    <w:rsid w:val="1EC43D73"/>
    <w:rsid w:val="1EC45B21"/>
    <w:rsid w:val="1EC53C0A"/>
    <w:rsid w:val="1EC71AB5"/>
    <w:rsid w:val="1EC91389"/>
    <w:rsid w:val="1ECA47D6"/>
    <w:rsid w:val="1ECF381A"/>
    <w:rsid w:val="1ECF42FE"/>
    <w:rsid w:val="1ED02718"/>
    <w:rsid w:val="1ED038BC"/>
    <w:rsid w:val="1ED146E2"/>
    <w:rsid w:val="1ED32208"/>
    <w:rsid w:val="1ED33FB6"/>
    <w:rsid w:val="1ED41ADC"/>
    <w:rsid w:val="1ED52D79"/>
    <w:rsid w:val="1ED74BE8"/>
    <w:rsid w:val="1ED979AD"/>
    <w:rsid w:val="1EDD4E34"/>
    <w:rsid w:val="1EDE624F"/>
    <w:rsid w:val="1EDF295B"/>
    <w:rsid w:val="1EE415EC"/>
    <w:rsid w:val="1EE512C1"/>
    <w:rsid w:val="1EE7167D"/>
    <w:rsid w:val="1EE77A61"/>
    <w:rsid w:val="1EEC0F4D"/>
    <w:rsid w:val="1EEC17D9"/>
    <w:rsid w:val="1EEC5ECB"/>
    <w:rsid w:val="1EED0A2C"/>
    <w:rsid w:val="1EF05139"/>
    <w:rsid w:val="1EF05A69"/>
    <w:rsid w:val="1EF1268E"/>
    <w:rsid w:val="1EF67CA4"/>
    <w:rsid w:val="1EF83A1C"/>
    <w:rsid w:val="1EFA1543"/>
    <w:rsid w:val="1EFB265F"/>
    <w:rsid w:val="1EFE30F7"/>
    <w:rsid w:val="1F001DEB"/>
    <w:rsid w:val="1F044A3F"/>
    <w:rsid w:val="1F087818"/>
    <w:rsid w:val="1F0A3D6A"/>
    <w:rsid w:val="1F1078F7"/>
    <w:rsid w:val="1F111D05"/>
    <w:rsid w:val="1F127786"/>
    <w:rsid w:val="1F130856"/>
    <w:rsid w:val="1F136AA8"/>
    <w:rsid w:val="1F143C56"/>
    <w:rsid w:val="1F152820"/>
    <w:rsid w:val="1F170346"/>
    <w:rsid w:val="1F1801C3"/>
    <w:rsid w:val="1F185E6D"/>
    <w:rsid w:val="1F1B770B"/>
    <w:rsid w:val="1F1D7927"/>
    <w:rsid w:val="1F225822"/>
    <w:rsid w:val="1F242A63"/>
    <w:rsid w:val="1F262338"/>
    <w:rsid w:val="1F2649AF"/>
    <w:rsid w:val="1F2974DF"/>
    <w:rsid w:val="1F2A132B"/>
    <w:rsid w:val="1F2B5BA0"/>
    <w:rsid w:val="1F2E5690"/>
    <w:rsid w:val="1F2E743E"/>
    <w:rsid w:val="1F3233D2"/>
    <w:rsid w:val="1F330EF8"/>
    <w:rsid w:val="1F33644B"/>
    <w:rsid w:val="1F345F2A"/>
    <w:rsid w:val="1F352DBD"/>
    <w:rsid w:val="1F372797"/>
    <w:rsid w:val="1F38206B"/>
    <w:rsid w:val="1F396E36"/>
    <w:rsid w:val="1F3B14BA"/>
    <w:rsid w:val="1F3C1B5B"/>
    <w:rsid w:val="1F3D3B25"/>
    <w:rsid w:val="1F3F164B"/>
    <w:rsid w:val="1F3F3802"/>
    <w:rsid w:val="1F403C04"/>
    <w:rsid w:val="1F413615"/>
    <w:rsid w:val="1F416D3C"/>
    <w:rsid w:val="1F423E8E"/>
    <w:rsid w:val="1F4469F8"/>
    <w:rsid w:val="1F4849A4"/>
    <w:rsid w:val="1F490097"/>
    <w:rsid w:val="1F490FA6"/>
    <w:rsid w:val="1F4B6242"/>
    <w:rsid w:val="1F4E0726"/>
    <w:rsid w:val="1F501AAA"/>
    <w:rsid w:val="1F52331D"/>
    <w:rsid w:val="1F5275D0"/>
    <w:rsid w:val="1F5866E8"/>
    <w:rsid w:val="1F5A46D7"/>
    <w:rsid w:val="1F5E75F4"/>
    <w:rsid w:val="1F5F1CED"/>
    <w:rsid w:val="1F5F7A31"/>
    <w:rsid w:val="1F603B68"/>
    <w:rsid w:val="1F60423E"/>
    <w:rsid w:val="1F623A6A"/>
    <w:rsid w:val="1F645556"/>
    <w:rsid w:val="1F66307C"/>
    <w:rsid w:val="1F672950"/>
    <w:rsid w:val="1F677CEA"/>
    <w:rsid w:val="1F681363"/>
    <w:rsid w:val="1F6B41EE"/>
    <w:rsid w:val="1F701025"/>
    <w:rsid w:val="1F712135"/>
    <w:rsid w:val="1F721A21"/>
    <w:rsid w:val="1F742441"/>
    <w:rsid w:val="1F770DE5"/>
    <w:rsid w:val="1F7A36E2"/>
    <w:rsid w:val="1F7C289F"/>
    <w:rsid w:val="1F7C63FB"/>
    <w:rsid w:val="1F7C73D0"/>
    <w:rsid w:val="1F811C64"/>
    <w:rsid w:val="1F833C2E"/>
    <w:rsid w:val="1F857F70"/>
    <w:rsid w:val="1F861028"/>
    <w:rsid w:val="1F877999"/>
    <w:rsid w:val="1F884DA0"/>
    <w:rsid w:val="1F8A3F4D"/>
    <w:rsid w:val="1F8D1B58"/>
    <w:rsid w:val="1F8F5FAF"/>
    <w:rsid w:val="1F9000F9"/>
    <w:rsid w:val="1F9004D4"/>
    <w:rsid w:val="1F901EA7"/>
    <w:rsid w:val="1F933745"/>
    <w:rsid w:val="1F947BE9"/>
    <w:rsid w:val="1F9901DB"/>
    <w:rsid w:val="1F995026"/>
    <w:rsid w:val="1F996FAD"/>
    <w:rsid w:val="1F9A4AD4"/>
    <w:rsid w:val="1F9C084C"/>
    <w:rsid w:val="1F9E2816"/>
    <w:rsid w:val="1F9E6C03"/>
    <w:rsid w:val="1FA0658E"/>
    <w:rsid w:val="1FA140B4"/>
    <w:rsid w:val="1FA2456E"/>
    <w:rsid w:val="1FA80624"/>
    <w:rsid w:val="1FA92F69"/>
    <w:rsid w:val="1FA94D17"/>
    <w:rsid w:val="1FA97BE3"/>
    <w:rsid w:val="1FAA740D"/>
    <w:rsid w:val="1FAB0A8F"/>
    <w:rsid w:val="1FAB5EE4"/>
    <w:rsid w:val="1FAC139E"/>
    <w:rsid w:val="1FAC1F8D"/>
    <w:rsid w:val="1FAD4807"/>
    <w:rsid w:val="1FAE7DCE"/>
    <w:rsid w:val="1FAF67D1"/>
    <w:rsid w:val="1FB060A5"/>
    <w:rsid w:val="1FB11DD6"/>
    <w:rsid w:val="1FB16382"/>
    <w:rsid w:val="1FB738D7"/>
    <w:rsid w:val="1FB843E7"/>
    <w:rsid w:val="1FB913FE"/>
    <w:rsid w:val="1FBA5176"/>
    <w:rsid w:val="1FBB33C8"/>
    <w:rsid w:val="1FBC2C9C"/>
    <w:rsid w:val="1FBE07C2"/>
    <w:rsid w:val="1FC35DD8"/>
    <w:rsid w:val="1FC43FA1"/>
    <w:rsid w:val="1FC55273"/>
    <w:rsid w:val="1FC61D6D"/>
    <w:rsid w:val="1FCA360B"/>
    <w:rsid w:val="1FCB7383"/>
    <w:rsid w:val="1FCD33A1"/>
    <w:rsid w:val="1FD03D90"/>
    <w:rsid w:val="1FD2028B"/>
    <w:rsid w:val="1FD20711"/>
    <w:rsid w:val="1FD2426D"/>
    <w:rsid w:val="1FD44489"/>
    <w:rsid w:val="1FD46AEE"/>
    <w:rsid w:val="1FD47FE6"/>
    <w:rsid w:val="1FD53D5E"/>
    <w:rsid w:val="1FD5668D"/>
    <w:rsid w:val="1FDE2C12"/>
    <w:rsid w:val="1FDE464D"/>
    <w:rsid w:val="1FDE70B6"/>
    <w:rsid w:val="1FE02E2E"/>
    <w:rsid w:val="1FE05460"/>
    <w:rsid w:val="1FE217EC"/>
    <w:rsid w:val="1FE50445"/>
    <w:rsid w:val="1FE65F6B"/>
    <w:rsid w:val="1FE67D19"/>
    <w:rsid w:val="1FE80A17"/>
    <w:rsid w:val="1FE81CE3"/>
    <w:rsid w:val="1FE85911"/>
    <w:rsid w:val="1FE8673D"/>
    <w:rsid w:val="1FEA1BC2"/>
    <w:rsid w:val="1FED72F9"/>
    <w:rsid w:val="1FEE6323"/>
    <w:rsid w:val="1FEF3071"/>
    <w:rsid w:val="1FEF4E1F"/>
    <w:rsid w:val="1FF044EA"/>
    <w:rsid w:val="1FF13FC9"/>
    <w:rsid w:val="1FF468DA"/>
    <w:rsid w:val="1FF64400"/>
    <w:rsid w:val="1FF70178"/>
    <w:rsid w:val="1FF7223E"/>
    <w:rsid w:val="1FF76C9D"/>
    <w:rsid w:val="1FF8773E"/>
    <w:rsid w:val="1FF937B7"/>
    <w:rsid w:val="1FFB37C4"/>
    <w:rsid w:val="1FFE32B4"/>
    <w:rsid w:val="200036E8"/>
    <w:rsid w:val="20005BAF"/>
    <w:rsid w:val="200132EB"/>
    <w:rsid w:val="20014576"/>
    <w:rsid w:val="200603BB"/>
    <w:rsid w:val="2006673B"/>
    <w:rsid w:val="20076858"/>
    <w:rsid w:val="200A3A07"/>
    <w:rsid w:val="200B2A58"/>
    <w:rsid w:val="200F41A6"/>
    <w:rsid w:val="20104AAA"/>
    <w:rsid w:val="201054AB"/>
    <w:rsid w:val="20120B0E"/>
    <w:rsid w:val="201523AC"/>
    <w:rsid w:val="20174376"/>
    <w:rsid w:val="20181590"/>
    <w:rsid w:val="20182980"/>
    <w:rsid w:val="20196340"/>
    <w:rsid w:val="201A7379"/>
    <w:rsid w:val="201B4033"/>
    <w:rsid w:val="201C198C"/>
    <w:rsid w:val="201C5310"/>
    <w:rsid w:val="201D3F72"/>
    <w:rsid w:val="201D443F"/>
    <w:rsid w:val="201E74B3"/>
    <w:rsid w:val="201F3653"/>
    <w:rsid w:val="20210D51"/>
    <w:rsid w:val="20230F6D"/>
    <w:rsid w:val="20232D1B"/>
    <w:rsid w:val="20242568"/>
    <w:rsid w:val="202545DF"/>
    <w:rsid w:val="20285C83"/>
    <w:rsid w:val="20292515"/>
    <w:rsid w:val="202A22FB"/>
    <w:rsid w:val="202C459A"/>
    <w:rsid w:val="202D1DEC"/>
    <w:rsid w:val="202D5948"/>
    <w:rsid w:val="202E37B6"/>
    <w:rsid w:val="202F346E"/>
    <w:rsid w:val="20337402"/>
    <w:rsid w:val="20344F28"/>
    <w:rsid w:val="203474F7"/>
    <w:rsid w:val="2035025A"/>
    <w:rsid w:val="203521F9"/>
    <w:rsid w:val="20364066"/>
    <w:rsid w:val="203647FC"/>
    <w:rsid w:val="20370574"/>
    <w:rsid w:val="20384A18"/>
    <w:rsid w:val="203B04ED"/>
    <w:rsid w:val="203B6335"/>
    <w:rsid w:val="203C5DBA"/>
    <w:rsid w:val="203E5DA7"/>
    <w:rsid w:val="203E7FC6"/>
    <w:rsid w:val="20416E30"/>
    <w:rsid w:val="204213F3"/>
    <w:rsid w:val="2043516B"/>
    <w:rsid w:val="20471FCB"/>
    <w:rsid w:val="20473593"/>
    <w:rsid w:val="20474C5B"/>
    <w:rsid w:val="204750FD"/>
    <w:rsid w:val="20476A09"/>
    <w:rsid w:val="20482782"/>
    <w:rsid w:val="204C04C4"/>
    <w:rsid w:val="204C4020"/>
    <w:rsid w:val="204C6335"/>
    <w:rsid w:val="204D5FEA"/>
    <w:rsid w:val="204F3B10"/>
    <w:rsid w:val="204F58BE"/>
    <w:rsid w:val="204F6CA8"/>
    <w:rsid w:val="2050481D"/>
    <w:rsid w:val="20511A00"/>
    <w:rsid w:val="20540302"/>
    <w:rsid w:val="20564E9E"/>
    <w:rsid w:val="2059281B"/>
    <w:rsid w:val="2059673D"/>
    <w:rsid w:val="205F0ADF"/>
    <w:rsid w:val="205F6F32"/>
    <w:rsid w:val="20620A30"/>
    <w:rsid w:val="206375BB"/>
    <w:rsid w:val="20651585"/>
    <w:rsid w:val="20662DFA"/>
    <w:rsid w:val="206653F6"/>
    <w:rsid w:val="206A094A"/>
    <w:rsid w:val="206A7CD4"/>
    <w:rsid w:val="206D21E8"/>
    <w:rsid w:val="206E043A"/>
    <w:rsid w:val="206E5CA6"/>
    <w:rsid w:val="206F5F60"/>
    <w:rsid w:val="20702D99"/>
    <w:rsid w:val="207109C7"/>
    <w:rsid w:val="20713A86"/>
    <w:rsid w:val="20724B38"/>
    <w:rsid w:val="20726449"/>
    <w:rsid w:val="207277FE"/>
    <w:rsid w:val="2076109D"/>
    <w:rsid w:val="2076477C"/>
    <w:rsid w:val="2079293B"/>
    <w:rsid w:val="207C4233"/>
    <w:rsid w:val="207D68CF"/>
    <w:rsid w:val="20822FA7"/>
    <w:rsid w:val="2084196E"/>
    <w:rsid w:val="208445B0"/>
    <w:rsid w:val="20847C5E"/>
    <w:rsid w:val="208C1F21"/>
    <w:rsid w:val="208C23F8"/>
    <w:rsid w:val="208C6FF3"/>
    <w:rsid w:val="208F6602"/>
    <w:rsid w:val="208F6DEB"/>
    <w:rsid w:val="209239FD"/>
    <w:rsid w:val="20933C2B"/>
    <w:rsid w:val="2093568E"/>
    <w:rsid w:val="20947494"/>
    <w:rsid w:val="20955599"/>
    <w:rsid w:val="209631A4"/>
    <w:rsid w:val="209634ED"/>
    <w:rsid w:val="20971013"/>
    <w:rsid w:val="209D15A3"/>
    <w:rsid w:val="209E5928"/>
    <w:rsid w:val="209F11B8"/>
    <w:rsid w:val="209F6845"/>
    <w:rsid w:val="20A121E7"/>
    <w:rsid w:val="20A200E4"/>
    <w:rsid w:val="20A20EAC"/>
    <w:rsid w:val="20A26336"/>
    <w:rsid w:val="20A3249B"/>
    <w:rsid w:val="20A33E12"/>
    <w:rsid w:val="20A34F62"/>
    <w:rsid w:val="20A43E5C"/>
    <w:rsid w:val="20A63CB6"/>
    <w:rsid w:val="20A73C6F"/>
    <w:rsid w:val="20A774A8"/>
    <w:rsid w:val="20A830A0"/>
    <w:rsid w:val="20AA343C"/>
    <w:rsid w:val="20AC2D10"/>
    <w:rsid w:val="20AC37BC"/>
    <w:rsid w:val="20AE221E"/>
    <w:rsid w:val="20AF0BE5"/>
    <w:rsid w:val="20AF1DF1"/>
    <w:rsid w:val="20AF3BB4"/>
    <w:rsid w:val="20B23F08"/>
    <w:rsid w:val="20B77599"/>
    <w:rsid w:val="20B816B5"/>
    <w:rsid w:val="20B87907"/>
    <w:rsid w:val="20B971DB"/>
    <w:rsid w:val="20BA2A49"/>
    <w:rsid w:val="20BC481D"/>
    <w:rsid w:val="20C04A0E"/>
    <w:rsid w:val="20C17B34"/>
    <w:rsid w:val="20C718F8"/>
    <w:rsid w:val="20C90D2B"/>
    <w:rsid w:val="20C95670"/>
    <w:rsid w:val="20CE2C87"/>
    <w:rsid w:val="20CF1592"/>
    <w:rsid w:val="20CF4C51"/>
    <w:rsid w:val="20CF69FF"/>
    <w:rsid w:val="20D21CE6"/>
    <w:rsid w:val="20D52267"/>
    <w:rsid w:val="20D63E58"/>
    <w:rsid w:val="20D66A29"/>
    <w:rsid w:val="20D800EF"/>
    <w:rsid w:val="20DA089D"/>
    <w:rsid w:val="20DA787E"/>
    <w:rsid w:val="20DB53A4"/>
    <w:rsid w:val="20DD55C0"/>
    <w:rsid w:val="20DF4E94"/>
    <w:rsid w:val="20E22BD6"/>
    <w:rsid w:val="20E2444F"/>
    <w:rsid w:val="20E262D1"/>
    <w:rsid w:val="20E64474"/>
    <w:rsid w:val="20E73C3D"/>
    <w:rsid w:val="20E85585"/>
    <w:rsid w:val="20EA16D6"/>
    <w:rsid w:val="20EC135F"/>
    <w:rsid w:val="20EE100C"/>
    <w:rsid w:val="20EE50D7"/>
    <w:rsid w:val="20F052F3"/>
    <w:rsid w:val="20F06F53"/>
    <w:rsid w:val="20F12044"/>
    <w:rsid w:val="20F178EB"/>
    <w:rsid w:val="20F326ED"/>
    <w:rsid w:val="20F46465"/>
    <w:rsid w:val="20F546B7"/>
    <w:rsid w:val="20F85F56"/>
    <w:rsid w:val="20F87D04"/>
    <w:rsid w:val="20F9026B"/>
    <w:rsid w:val="20FA2EAA"/>
    <w:rsid w:val="20FB61C7"/>
    <w:rsid w:val="21005A13"/>
    <w:rsid w:val="21020B82"/>
    <w:rsid w:val="21035955"/>
    <w:rsid w:val="210743EB"/>
    <w:rsid w:val="21075857"/>
    <w:rsid w:val="21093D59"/>
    <w:rsid w:val="210B52D2"/>
    <w:rsid w:val="210D14B1"/>
    <w:rsid w:val="210D6546"/>
    <w:rsid w:val="210D6AF8"/>
    <w:rsid w:val="210E7C28"/>
    <w:rsid w:val="210F07DA"/>
    <w:rsid w:val="211368E4"/>
    <w:rsid w:val="21150E6D"/>
    <w:rsid w:val="211649B3"/>
    <w:rsid w:val="211865F8"/>
    <w:rsid w:val="211D776A"/>
    <w:rsid w:val="21200896"/>
    <w:rsid w:val="212121C1"/>
    <w:rsid w:val="21224FEE"/>
    <w:rsid w:val="212251A4"/>
    <w:rsid w:val="2125696A"/>
    <w:rsid w:val="2128324A"/>
    <w:rsid w:val="21285DF3"/>
    <w:rsid w:val="2129479D"/>
    <w:rsid w:val="212A63A4"/>
    <w:rsid w:val="212B632B"/>
    <w:rsid w:val="212E5029"/>
    <w:rsid w:val="213051AB"/>
    <w:rsid w:val="21307981"/>
    <w:rsid w:val="21326DF6"/>
    <w:rsid w:val="213318D1"/>
    <w:rsid w:val="21333432"/>
    <w:rsid w:val="2134524B"/>
    <w:rsid w:val="21380A48"/>
    <w:rsid w:val="213A3DD1"/>
    <w:rsid w:val="213A47C0"/>
    <w:rsid w:val="213A656E"/>
    <w:rsid w:val="213B4094"/>
    <w:rsid w:val="213B6A5F"/>
    <w:rsid w:val="213D24B6"/>
    <w:rsid w:val="213D605E"/>
    <w:rsid w:val="213E5926"/>
    <w:rsid w:val="213F1DD6"/>
    <w:rsid w:val="213F3B84"/>
    <w:rsid w:val="21422605"/>
    <w:rsid w:val="21425423"/>
    <w:rsid w:val="21434794"/>
    <w:rsid w:val="2144119B"/>
    <w:rsid w:val="21463165"/>
    <w:rsid w:val="214C004F"/>
    <w:rsid w:val="214E3EFA"/>
    <w:rsid w:val="21507B40"/>
    <w:rsid w:val="21557A65"/>
    <w:rsid w:val="215826EB"/>
    <w:rsid w:val="21584C46"/>
    <w:rsid w:val="215A09BE"/>
    <w:rsid w:val="215A451A"/>
    <w:rsid w:val="215B20D3"/>
    <w:rsid w:val="215C0E89"/>
    <w:rsid w:val="215C64E4"/>
    <w:rsid w:val="215E413C"/>
    <w:rsid w:val="215E4812"/>
    <w:rsid w:val="21647076"/>
    <w:rsid w:val="216554C4"/>
    <w:rsid w:val="216607AF"/>
    <w:rsid w:val="216726C4"/>
    <w:rsid w:val="21677702"/>
    <w:rsid w:val="21692022"/>
    <w:rsid w:val="21696E53"/>
    <w:rsid w:val="216C47A8"/>
    <w:rsid w:val="216D63F8"/>
    <w:rsid w:val="216E6218"/>
    <w:rsid w:val="216E7FC6"/>
    <w:rsid w:val="21711C44"/>
    <w:rsid w:val="21713EAC"/>
    <w:rsid w:val="21725D08"/>
    <w:rsid w:val="2173382E"/>
    <w:rsid w:val="21751354"/>
    <w:rsid w:val="217809FF"/>
    <w:rsid w:val="21787096"/>
    <w:rsid w:val="217C0498"/>
    <w:rsid w:val="217C0DAB"/>
    <w:rsid w:val="217F6677"/>
    <w:rsid w:val="21824709"/>
    <w:rsid w:val="21857FA4"/>
    <w:rsid w:val="2186530F"/>
    <w:rsid w:val="21867A05"/>
    <w:rsid w:val="218705A7"/>
    <w:rsid w:val="218912A4"/>
    <w:rsid w:val="21893DF4"/>
    <w:rsid w:val="218B6DCA"/>
    <w:rsid w:val="218C499A"/>
    <w:rsid w:val="218D48F0"/>
    <w:rsid w:val="218E5D4F"/>
    <w:rsid w:val="219263AA"/>
    <w:rsid w:val="21937C6F"/>
    <w:rsid w:val="219914E7"/>
    <w:rsid w:val="219B7726"/>
    <w:rsid w:val="219C2D85"/>
    <w:rsid w:val="219D0F12"/>
    <w:rsid w:val="219E3359"/>
    <w:rsid w:val="219E4D4F"/>
    <w:rsid w:val="21A165ED"/>
    <w:rsid w:val="21A16C24"/>
    <w:rsid w:val="21A32365"/>
    <w:rsid w:val="21A34ECE"/>
    <w:rsid w:val="21A4259C"/>
    <w:rsid w:val="21A60A43"/>
    <w:rsid w:val="21A612CF"/>
    <w:rsid w:val="21A61FC4"/>
    <w:rsid w:val="21A659B2"/>
    <w:rsid w:val="21A701B7"/>
    <w:rsid w:val="21A81604"/>
    <w:rsid w:val="21AA3516"/>
    <w:rsid w:val="21AB3214"/>
    <w:rsid w:val="21AB41ED"/>
    <w:rsid w:val="21AE4866"/>
    <w:rsid w:val="21B02F8D"/>
    <w:rsid w:val="21B12113"/>
    <w:rsid w:val="21B17070"/>
    <w:rsid w:val="21B225A8"/>
    <w:rsid w:val="21B26104"/>
    <w:rsid w:val="21B420FA"/>
    <w:rsid w:val="21B438F6"/>
    <w:rsid w:val="21B509CA"/>
    <w:rsid w:val="21B532E8"/>
    <w:rsid w:val="21B55BF5"/>
    <w:rsid w:val="21B7196D"/>
    <w:rsid w:val="21B77BBF"/>
    <w:rsid w:val="21B87493"/>
    <w:rsid w:val="21BA76AF"/>
    <w:rsid w:val="21BB449B"/>
    <w:rsid w:val="21BB5DB6"/>
    <w:rsid w:val="21BC3427"/>
    <w:rsid w:val="21BC6F83"/>
    <w:rsid w:val="21BC76E5"/>
    <w:rsid w:val="21BE0F4D"/>
    <w:rsid w:val="21BF6A73"/>
    <w:rsid w:val="21C1459A"/>
    <w:rsid w:val="21C422DC"/>
    <w:rsid w:val="21C67E02"/>
    <w:rsid w:val="21C709E5"/>
    <w:rsid w:val="21C96E14"/>
    <w:rsid w:val="21CA1FA7"/>
    <w:rsid w:val="21CB01E8"/>
    <w:rsid w:val="21CD4909"/>
    <w:rsid w:val="21CE6CB6"/>
    <w:rsid w:val="21D02A2F"/>
    <w:rsid w:val="21D2510C"/>
    <w:rsid w:val="21D27DD5"/>
    <w:rsid w:val="21D32722"/>
    <w:rsid w:val="21D36D57"/>
    <w:rsid w:val="21D45042"/>
    <w:rsid w:val="21D544E9"/>
    <w:rsid w:val="21D56090"/>
    <w:rsid w:val="21D70F9F"/>
    <w:rsid w:val="21D76876"/>
    <w:rsid w:val="21D81213"/>
    <w:rsid w:val="21D94A96"/>
    <w:rsid w:val="21D95D87"/>
    <w:rsid w:val="21DE514B"/>
    <w:rsid w:val="21DF2155"/>
    <w:rsid w:val="21DF69C8"/>
    <w:rsid w:val="21E10E5D"/>
    <w:rsid w:val="21E25450"/>
    <w:rsid w:val="21E37172"/>
    <w:rsid w:val="21E8421C"/>
    <w:rsid w:val="21E93AF0"/>
    <w:rsid w:val="21EB1C9F"/>
    <w:rsid w:val="21ED1832"/>
    <w:rsid w:val="21ED1E46"/>
    <w:rsid w:val="21EE7ED8"/>
    <w:rsid w:val="21EF75D9"/>
    <w:rsid w:val="21F030D1"/>
    <w:rsid w:val="21F11323"/>
    <w:rsid w:val="21F273B2"/>
    <w:rsid w:val="21F6437B"/>
    <w:rsid w:val="21F90E62"/>
    <w:rsid w:val="21F94D1F"/>
    <w:rsid w:val="21F94FCB"/>
    <w:rsid w:val="21FA5C47"/>
    <w:rsid w:val="21FA5CFD"/>
    <w:rsid w:val="21FC5D43"/>
    <w:rsid w:val="21FC77BC"/>
    <w:rsid w:val="21FC7971"/>
    <w:rsid w:val="21FC7CC7"/>
    <w:rsid w:val="21FC7E92"/>
    <w:rsid w:val="21FE7119"/>
    <w:rsid w:val="21FF50C2"/>
    <w:rsid w:val="22010E3A"/>
    <w:rsid w:val="220152DE"/>
    <w:rsid w:val="2201708C"/>
    <w:rsid w:val="2201740A"/>
    <w:rsid w:val="22032E04"/>
    <w:rsid w:val="22056B7C"/>
    <w:rsid w:val="22081361"/>
    <w:rsid w:val="220821C8"/>
    <w:rsid w:val="22087C6F"/>
    <w:rsid w:val="220A4192"/>
    <w:rsid w:val="220B7F0B"/>
    <w:rsid w:val="220D3C83"/>
    <w:rsid w:val="220D77DF"/>
    <w:rsid w:val="220E3CD9"/>
    <w:rsid w:val="220F3557"/>
    <w:rsid w:val="22105601"/>
    <w:rsid w:val="221072CF"/>
    <w:rsid w:val="221531C6"/>
    <w:rsid w:val="221548E5"/>
    <w:rsid w:val="221A4255"/>
    <w:rsid w:val="221A55CD"/>
    <w:rsid w:val="221B014E"/>
    <w:rsid w:val="221C2118"/>
    <w:rsid w:val="221C2390"/>
    <w:rsid w:val="221E2030"/>
    <w:rsid w:val="221E379A"/>
    <w:rsid w:val="221F520B"/>
    <w:rsid w:val="22230DB0"/>
    <w:rsid w:val="22250FCC"/>
    <w:rsid w:val="22280099"/>
    <w:rsid w:val="22295244"/>
    <w:rsid w:val="22295AD0"/>
    <w:rsid w:val="222C1F7D"/>
    <w:rsid w:val="222C4FDA"/>
    <w:rsid w:val="222D60D3"/>
    <w:rsid w:val="22302F27"/>
    <w:rsid w:val="22317971"/>
    <w:rsid w:val="223259EA"/>
    <w:rsid w:val="22343746"/>
    <w:rsid w:val="223631D9"/>
    <w:rsid w:val="223A5CE3"/>
    <w:rsid w:val="223E208E"/>
    <w:rsid w:val="223E5BEA"/>
    <w:rsid w:val="223F443B"/>
    <w:rsid w:val="223F7CBE"/>
    <w:rsid w:val="22405E06"/>
    <w:rsid w:val="22407BB4"/>
    <w:rsid w:val="22422435"/>
    <w:rsid w:val="22433200"/>
    <w:rsid w:val="224407AF"/>
    <w:rsid w:val="22452A44"/>
    <w:rsid w:val="22460F43"/>
    <w:rsid w:val="224621FE"/>
    <w:rsid w:val="22462CF1"/>
    <w:rsid w:val="22477195"/>
    <w:rsid w:val="224A0A33"/>
    <w:rsid w:val="224C4068"/>
    <w:rsid w:val="224F3D47"/>
    <w:rsid w:val="22525B39"/>
    <w:rsid w:val="225304F1"/>
    <w:rsid w:val="22535C5C"/>
    <w:rsid w:val="225418B2"/>
    <w:rsid w:val="22544B91"/>
    <w:rsid w:val="22547158"/>
    <w:rsid w:val="225549DB"/>
    <w:rsid w:val="225673D8"/>
    <w:rsid w:val="225A7B07"/>
    <w:rsid w:val="225C17EC"/>
    <w:rsid w:val="225D418E"/>
    <w:rsid w:val="225D6382"/>
    <w:rsid w:val="225F54CC"/>
    <w:rsid w:val="226002D5"/>
    <w:rsid w:val="22625109"/>
    <w:rsid w:val="22635651"/>
    <w:rsid w:val="226514FC"/>
    <w:rsid w:val="226A2E83"/>
    <w:rsid w:val="226A69DF"/>
    <w:rsid w:val="226C6BFB"/>
    <w:rsid w:val="2270048D"/>
    <w:rsid w:val="22704020"/>
    <w:rsid w:val="22712221"/>
    <w:rsid w:val="22715FC0"/>
    <w:rsid w:val="22736739"/>
    <w:rsid w:val="2274785E"/>
    <w:rsid w:val="227B32F8"/>
    <w:rsid w:val="227B6E3E"/>
    <w:rsid w:val="227C7B23"/>
    <w:rsid w:val="227D22D5"/>
    <w:rsid w:val="227E6ED8"/>
    <w:rsid w:val="22813D29"/>
    <w:rsid w:val="22851A6B"/>
    <w:rsid w:val="22857CBD"/>
    <w:rsid w:val="22861DA0"/>
    <w:rsid w:val="22877591"/>
    <w:rsid w:val="228813B7"/>
    <w:rsid w:val="228935B5"/>
    <w:rsid w:val="228F4698"/>
    <w:rsid w:val="22925F36"/>
    <w:rsid w:val="22933D2F"/>
    <w:rsid w:val="22962718"/>
    <w:rsid w:val="22963C78"/>
    <w:rsid w:val="229677D4"/>
    <w:rsid w:val="2297354C"/>
    <w:rsid w:val="22987FE8"/>
    <w:rsid w:val="229903FF"/>
    <w:rsid w:val="22994C0C"/>
    <w:rsid w:val="229B128E"/>
    <w:rsid w:val="229D0DC1"/>
    <w:rsid w:val="229E3F63"/>
    <w:rsid w:val="229F48D3"/>
    <w:rsid w:val="22A04AD7"/>
    <w:rsid w:val="22A14C0F"/>
    <w:rsid w:val="22A279BF"/>
    <w:rsid w:val="22A44F50"/>
    <w:rsid w:val="22A53EBB"/>
    <w:rsid w:val="22A55C69"/>
    <w:rsid w:val="22A8139A"/>
    <w:rsid w:val="22AB4EE5"/>
    <w:rsid w:val="22AB7ADF"/>
    <w:rsid w:val="22AD16D9"/>
    <w:rsid w:val="22AF0CB3"/>
    <w:rsid w:val="22AF6AE8"/>
    <w:rsid w:val="22B10AB2"/>
    <w:rsid w:val="22BB723B"/>
    <w:rsid w:val="22BC5FE7"/>
    <w:rsid w:val="22BD3BBE"/>
    <w:rsid w:val="22BE5497"/>
    <w:rsid w:val="22C17821"/>
    <w:rsid w:val="22C24A6D"/>
    <w:rsid w:val="22C53076"/>
    <w:rsid w:val="22C63C28"/>
    <w:rsid w:val="22C95B68"/>
    <w:rsid w:val="22C95DFC"/>
    <w:rsid w:val="22CB1764"/>
    <w:rsid w:val="22CC1448"/>
    <w:rsid w:val="22CC769A"/>
    <w:rsid w:val="22CD065A"/>
    <w:rsid w:val="22D034D4"/>
    <w:rsid w:val="22D123D2"/>
    <w:rsid w:val="22D14CB0"/>
    <w:rsid w:val="22D1722D"/>
    <w:rsid w:val="22D30A28"/>
    <w:rsid w:val="22D36C7A"/>
    <w:rsid w:val="22D402FC"/>
    <w:rsid w:val="22D55D68"/>
    <w:rsid w:val="22D757D3"/>
    <w:rsid w:val="22D7603D"/>
    <w:rsid w:val="22D80C0E"/>
    <w:rsid w:val="22D84291"/>
    <w:rsid w:val="22D93B65"/>
    <w:rsid w:val="22DA1DB7"/>
    <w:rsid w:val="22DB168B"/>
    <w:rsid w:val="22DF7C7A"/>
    <w:rsid w:val="22E06081"/>
    <w:rsid w:val="22E06CA1"/>
    <w:rsid w:val="22E13401"/>
    <w:rsid w:val="22E42C35"/>
    <w:rsid w:val="22E61BBA"/>
    <w:rsid w:val="22E90452"/>
    <w:rsid w:val="22E95145"/>
    <w:rsid w:val="22EA6095"/>
    <w:rsid w:val="22EB59ED"/>
    <w:rsid w:val="22EE11B0"/>
    <w:rsid w:val="22F015DA"/>
    <w:rsid w:val="22F4686C"/>
    <w:rsid w:val="22F56BF1"/>
    <w:rsid w:val="22F64717"/>
    <w:rsid w:val="22F664C5"/>
    <w:rsid w:val="22F86AB7"/>
    <w:rsid w:val="22FB1D2D"/>
    <w:rsid w:val="22FB5E73"/>
    <w:rsid w:val="22FD1376"/>
    <w:rsid w:val="22FE2929"/>
    <w:rsid w:val="22FE7A72"/>
    <w:rsid w:val="22FF35CB"/>
    <w:rsid w:val="22FF3DB9"/>
    <w:rsid w:val="23005595"/>
    <w:rsid w:val="230273CA"/>
    <w:rsid w:val="230418DA"/>
    <w:rsid w:val="230518A8"/>
    <w:rsid w:val="2305240F"/>
    <w:rsid w:val="23052BAC"/>
    <w:rsid w:val="230A3D99"/>
    <w:rsid w:val="230C7A96"/>
    <w:rsid w:val="230E078D"/>
    <w:rsid w:val="230E380E"/>
    <w:rsid w:val="230F7587"/>
    <w:rsid w:val="2310441E"/>
    <w:rsid w:val="23111551"/>
    <w:rsid w:val="23122CD3"/>
    <w:rsid w:val="23130E25"/>
    <w:rsid w:val="231400F2"/>
    <w:rsid w:val="23144B9D"/>
    <w:rsid w:val="23152DEF"/>
    <w:rsid w:val="23161237"/>
    <w:rsid w:val="23164DB9"/>
    <w:rsid w:val="2318643B"/>
    <w:rsid w:val="231921B3"/>
    <w:rsid w:val="231A178A"/>
    <w:rsid w:val="231A3359"/>
    <w:rsid w:val="231B23CF"/>
    <w:rsid w:val="231F47BF"/>
    <w:rsid w:val="231F5A1C"/>
    <w:rsid w:val="23203542"/>
    <w:rsid w:val="2322375E"/>
    <w:rsid w:val="232272BA"/>
    <w:rsid w:val="2323790C"/>
    <w:rsid w:val="23244DE0"/>
    <w:rsid w:val="23273161"/>
    <w:rsid w:val="232D0EB7"/>
    <w:rsid w:val="232E5C5F"/>
    <w:rsid w:val="232E5DC3"/>
    <w:rsid w:val="232E610D"/>
    <w:rsid w:val="23305E7B"/>
    <w:rsid w:val="23307478"/>
    <w:rsid w:val="23331568"/>
    <w:rsid w:val="23344B38"/>
    <w:rsid w:val="2336162A"/>
    <w:rsid w:val="23385B7C"/>
    <w:rsid w:val="233A4603"/>
    <w:rsid w:val="233B31D0"/>
    <w:rsid w:val="233D5EA2"/>
    <w:rsid w:val="233D7BE1"/>
    <w:rsid w:val="23424FFC"/>
    <w:rsid w:val="23425BAE"/>
    <w:rsid w:val="234507CF"/>
    <w:rsid w:val="23452FA8"/>
    <w:rsid w:val="23460F94"/>
    <w:rsid w:val="234671EC"/>
    <w:rsid w:val="234A1547"/>
    <w:rsid w:val="234A44CD"/>
    <w:rsid w:val="234B4A63"/>
    <w:rsid w:val="234C4337"/>
    <w:rsid w:val="234D65E4"/>
    <w:rsid w:val="234D67FB"/>
    <w:rsid w:val="234E4553"/>
    <w:rsid w:val="234F3789"/>
    <w:rsid w:val="2351194D"/>
    <w:rsid w:val="2351522D"/>
    <w:rsid w:val="23527D81"/>
    <w:rsid w:val="23564752"/>
    <w:rsid w:val="235651B5"/>
    <w:rsid w:val="23582CDC"/>
    <w:rsid w:val="235A4CA6"/>
    <w:rsid w:val="235B27CC"/>
    <w:rsid w:val="235F050E"/>
    <w:rsid w:val="235F246C"/>
    <w:rsid w:val="235F5E17"/>
    <w:rsid w:val="23614286"/>
    <w:rsid w:val="23616C3A"/>
    <w:rsid w:val="23630647"/>
    <w:rsid w:val="23641680"/>
    <w:rsid w:val="2365267F"/>
    <w:rsid w:val="23674B3A"/>
    <w:rsid w:val="23675615"/>
    <w:rsid w:val="2369313B"/>
    <w:rsid w:val="236A19EB"/>
    <w:rsid w:val="236B0EEE"/>
    <w:rsid w:val="236B2A0F"/>
    <w:rsid w:val="236B6EB3"/>
    <w:rsid w:val="236C2D03"/>
    <w:rsid w:val="236C49D9"/>
    <w:rsid w:val="236E69A3"/>
    <w:rsid w:val="23706277"/>
    <w:rsid w:val="237070C1"/>
    <w:rsid w:val="23754132"/>
    <w:rsid w:val="2378385F"/>
    <w:rsid w:val="237A70F6"/>
    <w:rsid w:val="237C10C0"/>
    <w:rsid w:val="237D0699"/>
    <w:rsid w:val="237E030D"/>
    <w:rsid w:val="237F295E"/>
    <w:rsid w:val="237F64BA"/>
    <w:rsid w:val="23812232"/>
    <w:rsid w:val="23846E58"/>
    <w:rsid w:val="23847F75"/>
    <w:rsid w:val="23871B0E"/>
    <w:rsid w:val="23887A65"/>
    <w:rsid w:val="238910E7"/>
    <w:rsid w:val="238B58AB"/>
    <w:rsid w:val="239314AB"/>
    <w:rsid w:val="23931F66"/>
    <w:rsid w:val="23935FE5"/>
    <w:rsid w:val="2395519B"/>
    <w:rsid w:val="23955CDE"/>
    <w:rsid w:val="23957A8C"/>
    <w:rsid w:val="23961CA1"/>
    <w:rsid w:val="23963804"/>
    <w:rsid w:val="23964A5E"/>
    <w:rsid w:val="23977CA8"/>
    <w:rsid w:val="239A1BA6"/>
    <w:rsid w:val="239A7714"/>
    <w:rsid w:val="239A7798"/>
    <w:rsid w:val="239D2DE4"/>
    <w:rsid w:val="239F0973"/>
    <w:rsid w:val="23A1751D"/>
    <w:rsid w:val="23A221A9"/>
    <w:rsid w:val="23A41016"/>
    <w:rsid w:val="23A423C5"/>
    <w:rsid w:val="23A61C99"/>
    <w:rsid w:val="23A732BD"/>
    <w:rsid w:val="23A94308"/>
    <w:rsid w:val="23AA196F"/>
    <w:rsid w:val="23AB386A"/>
    <w:rsid w:val="23AC3027"/>
    <w:rsid w:val="23AD1279"/>
    <w:rsid w:val="23B14FE2"/>
    <w:rsid w:val="23B229FE"/>
    <w:rsid w:val="23B24AE2"/>
    <w:rsid w:val="23B32608"/>
    <w:rsid w:val="23B33488"/>
    <w:rsid w:val="23B343B6"/>
    <w:rsid w:val="23B75C54"/>
    <w:rsid w:val="23B92818"/>
    <w:rsid w:val="23BC326A"/>
    <w:rsid w:val="23BE3486"/>
    <w:rsid w:val="23BF004B"/>
    <w:rsid w:val="23C03BCC"/>
    <w:rsid w:val="23C232D7"/>
    <w:rsid w:val="23C30A9D"/>
    <w:rsid w:val="23C40371"/>
    <w:rsid w:val="23C56018"/>
    <w:rsid w:val="23C62EF5"/>
    <w:rsid w:val="23CB65C5"/>
    <w:rsid w:val="23CB77BA"/>
    <w:rsid w:val="23CD2672"/>
    <w:rsid w:val="23CD36CA"/>
    <w:rsid w:val="23CE1984"/>
    <w:rsid w:val="23CE3DC9"/>
    <w:rsid w:val="23CF0963"/>
    <w:rsid w:val="23CF272C"/>
    <w:rsid w:val="23D00CF4"/>
    <w:rsid w:val="23D06D16"/>
    <w:rsid w:val="23D21FE8"/>
    <w:rsid w:val="23D36806"/>
    <w:rsid w:val="23D425CF"/>
    <w:rsid w:val="23D507D0"/>
    <w:rsid w:val="23D5257E"/>
    <w:rsid w:val="23D5432C"/>
    <w:rsid w:val="23D55D98"/>
    <w:rsid w:val="23D762F6"/>
    <w:rsid w:val="23D9206E"/>
    <w:rsid w:val="23DC40A3"/>
    <w:rsid w:val="23DC49CE"/>
    <w:rsid w:val="23DD1433"/>
    <w:rsid w:val="23DF164F"/>
    <w:rsid w:val="23DF33FD"/>
    <w:rsid w:val="23E0274D"/>
    <w:rsid w:val="23E91BF9"/>
    <w:rsid w:val="23EA6F56"/>
    <w:rsid w:val="23ED5B1A"/>
    <w:rsid w:val="23F37E91"/>
    <w:rsid w:val="23F5286D"/>
    <w:rsid w:val="23F549CE"/>
    <w:rsid w:val="23FC1C2B"/>
    <w:rsid w:val="23FC7B0B"/>
    <w:rsid w:val="24005895"/>
    <w:rsid w:val="240063ED"/>
    <w:rsid w:val="24042E63"/>
    <w:rsid w:val="24053DA7"/>
    <w:rsid w:val="24065C63"/>
    <w:rsid w:val="24073DAA"/>
    <w:rsid w:val="24077797"/>
    <w:rsid w:val="24077A99"/>
    <w:rsid w:val="240A160A"/>
    <w:rsid w:val="240B41F2"/>
    <w:rsid w:val="240D6FC4"/>
    <w:rsid w:val="240D720D"/>
    <w:rsid w:val="2411369D"/>
    <w:rsid w:val="241906BD"/>
    <w:rsid w:val="241E3F25"/>
    <w:rsid w:val="24216AB4"/>
    <w:rsid w:val="24246DC7"/>
    <w:rsid w:val="24254986"/>
    <w:rsid w:val="24262DDA"/>
    <w:rsid w:val="2426692F"/>
    <w:rsid w:val="242D4168"/>
    <w:rsid w:val="242F6132"/>
    <w:rsid w:val="243328FB"/>
    <w:rsid w:val="2435301D"/>
    <w:rsid w:val="243A6EB3"/>
    <w:rsid w:val="243C084F"/>
    <w:rsid w:val="243C43AB"/>
    <w:rsid w:val="243E45C7"/>
    <w:rsid w:val="24417C14"/>
    <w:rsid w:val="2442432B"/>
    <w:rsid w:val="24431996"/>
    <w:rsid w:val="2443398C"/>
    <w:rsid w:val="24433A9F"/>
    <w:rsid w:val="24474C29"/>
    <w:rsid w:val="24476E69"/>
    <w:rsid w:val="244871F4"/>
    <w:rsid w:val="244A37D3"/>
    <w:rsid w:val="244A6AC8"/>
    <w:rsid w:val="244B3356"/>
    <w:rsid w:val="244D31C9"/>
    <w:rsid w:val="2450146D"/>
    <w:rsid w:val="24507E57"/>
    <w:rsid w:val="2452531A"/>
    <w:rsid w:val="24561DB9"/>
    <w:rsid w:val="24577437"/>
    <w:rsid w:val="24594095"/>
    <w:rsid w:val="245A2A83"/>
    <w:rsid w:val="245A3533"/>
    <w:rsid w:val="245B0CD5"/>
    <w:rsid w:val="245C67FB"/>
    <w:rsid w:val="245D3B5D"/>
    <w:rsid w:val="245E02DF"/>
    <w:rsid w:val="245F009A"/>
    <w:rsid w:val="245F0100"/>
    <w:rsid w:val="245F12E5"/>
    <w:rsid w:val="246062EC"/>
    <w:rsid w:val="24612064"/>
    <w:rsid w:val="2463402E"/>
    <w:rsid w:val="24635DDC"/>
    <w:rsid w:val="24651B54"/>
    <w:rsid w:val="24670393"/>
    <w:rsid w:val="246833F2"/>
    <w:rsid w:val="246851A0"/>
    <w:rsid w:val="246A0F18"/>
    <w:rsid w:val="246A716A"/>
    <w:rsid w:val="246E3081"/>
    <w:rsid w:val="246E38A3"/>
    <w:rsid w:val="246E6870"/>
    <w:rsid w:val="246F0A02"/>
    <w:rsid w:val="24701BFE"/>
    <w:rsid w:val="24704055"/>
    <w:rsid w:val="24785D2A"/>
    <w:rsid w:val="247C5D7F"/>
    <w:rsid w:val="247D56A8"/>
    <w:rsid w:val="247D6B3E"/>
    <w:rsid w:val="24823B09"/>
    <w:rsid w:val="2483647E"/>
    <w:rsid w:val="24855565"/>
    <w:rsid w:val="2486450E"/>
    <w:rsid w:val="248A3369"/>
    <w:rsid w:val="248A5117"/>
    <w:rsid w:val="248C5333"/>
    <w:rsid w:val="248C6F23"/>
    <w:rsid w:val="248D1027"/>
    <w:rsid w:val="248D6176"/>
    <w:rsid w:val="248F3633"/>
    <w:rsid w:val="248F4E23"/>
    <w:rsid w:val="248F628D"/>
    <w:rsid w:val="24900A68"/>
    <w:rsid w:val="249064A5"/>
    <w:rsid w:val="24912949"/>
    <w:rsid w:val="2493621B"/>
    <w:rsid w:val="249441E7"/>
    <w:rsid w:val="24945F95"/>
    <w:rsid w:val="24977834"/>
    <w:rsid w:val="24997A50"/>
    <w:rsid w:val="249B37C8"/>
    <w:rsid w:val="249B49DE"/>
    <w:rsid w:val="249C4E4A"/>
    <w:rsid w:val="24A415E4"/>
    <w:rsid w:val="24A51F50"/>
    <w:rsid w:val="24A7216D"/>
    <w:rsid w:val="24A84C8A"/>
    <w:rsid w:val="24A93B72"/>
    <w:rsid w:val="24A97118"/>
    <w:rsid w:val="24AA3A0B"/>
    <w:rsid w:val="24AB2FD3"/>
    <w:rsid w:val="24AC614B"/>
    <w:rsid w:val="24AD1C0A"/>
    <w:rsid w:val="24AD567B"/>
    <w:rsid w:val="24AD7352"/>
    <w:rsid w:val="24AD7A37"/>
    <w:rsid w:val="24AF1021"/>
    <w:rsid w:val="24B03DFD"/>
    <w:rsid w:val="24B16707"/>
    <w:rsid w:val="24B714CA"/>
    <w:rsid w:val="24B840AC"/>
    <w:rsid w:val="24B86128"/>
    <w:rsid w:val="24B9255E"/>
    <w:rsid w:val="24BC729A"/>
    <w:rsid w:val="24BE3012"/>
    <w:rsid w:val="24BF1BB8"/>
    <w:rsid w:val="24C0299F"/>
    <w:rsid w:val="24C22B02"/>
    <w:rsid w:val="24C30629"/>
    <w:rsid w:val="24C607C1"/>
    <w:rsid w:val="24C60CE2"/>
    <w:rsid w:val="24C85C3F"/>
    <w:rsid w:val="24C95E9B"/>
    <w:rsid w:val="24CC0484"/>
    <w:rsid w:val="24CD15F1"/>
    <w:rsid w:val="24D12D46"/>
    <w:rsid w:val="24D171E9"/>
    <w:rsid w:val="24D215AA"/>
    <w:rsid w:val="24D46CDA"/>
    <w:rsid w:val="24D50412"/>
    <w:rsid w:val="24D57794"/>
    <w:rsid w:val="24D6038A"/>
    <w:rsid w:val="24D64800"/>
    <w:rsid w:val="24D70AA7"/>
    <w:rsid w:val="24DC354A"/>
    <w:rsid w:val="24DD3102"/>
    <w:rsid w:val="24DF150B"/>
    <w:rsid w:val="24E24C71"/>
    <w:rsid w:val="24E24F53"/>
    <w:rsid w:val="24E26528"/>
    <w:rsid w:val="24E33795"/>
    <w:rsid w:val="24E44941"/>
    <w:rsid w:val="24E562E5"/>
    <w:rsid w:val="24E8008F"/>
    <w:rsid w:val="24E862E1"/>
    <w:rsid w:val="24EA02AB"/>
    <w:rsid w:val="24ED56A6"/>
    <w:rsid w:val="24ED62A3"/>
    <w:rsid w:val="24ED7B29"/>
    <w:rsid w:val="24EF141E"/>
    <w:rsid w:val="24F01750"/>
    <w:rsid w:val="24F353B2"/>
    <w:rsid w:val="24F37160"/>
    <w:rsid w:val="24F829C8"/>
    <w:rsid w:val="24F91FD7"/>
    <w:rsid w:val="24FB3714"/>
    <w:rsid w:val="24FD463A"/>
    <w:rsid w:val="24FF6CC4"/>
    <w:rsid w:val="25007ACF"/>
    <w:rsid w:val="250255F5"/>
    <w:rsid w:val="25050C41"/>
    <w:rsid w:val="250550E5"/>
    <w:rsid w:val="25056E93"/>
    <w:rsid w:val="25067563"/>
    <w:rsid w:val="25070E5D"/>
    <w:rsid w:val="25076767"/>
    <w:rsid w:val="250824DF"/>
    <w:rsid w:val="250D02D8"/>
    <w:rsid w:val="250E4EB1"/>
    <w:rsid w:val="250E7516"/>
    <w:rsid w:val="250F53CE"/>
    <w:rsid w:val="250F7D12"/>
    <w:rsid w:val="25102E98"/>
    <w:rsid w:val="25113A8A"/>
    <w:rsid w:val="25145328"/>
    <w:rsid w:val="25156BB8"/>
    <w:rsid w:val="25172AF5"/>
    <w:rsid w:val="25184E18"/>
    <w:rsid w:val="25186BC6"/>
    <w:rsid w:val="251A2FF7"/>
    <w:rsid w:val="251A6B46"/>
    <w:rsid w:val="251B0465"/>
    <w:rsid w:val="251B2969"/>
    <w:rsid w:val="251C7A5B"/>
    <w:rsid w:val="251E5B96"/>
    <w:rsid w:val="25205A7B"/>
    <w:rsid w:val="25220780"/>
    <w:rsid w:val="252437BD"/>
    <w:rsid w:val="25292B82"/>
    <w:rsid w:val="252B2F52"/>
    <w:rsid w:val="252C08C4"/>
    <w:rsid w:val="252C4420"/>
    <w:rsid w:val="252D4FBC"/>
    <w:rsid w:val="252D66FD"/>
    <w:rsid w:val="2532583A"/>
    <w:rsid w:val="253301F9"/>
    <w:rsid w:val="25341526"/>
    <w:rsid w:val="253422BE"/>
    <w:rsid w:val="253A4D8F"/>
    <w:rsid w:val="253D03DB"/>
    <w:rsid w:val="253E4BFC"/>
    <w:rsid w:val="253E5F41"/>
    <w:rsid w:val="2540611D"/>
    <w:rsid w:val="25423C43"/>
    <w:rsid w:val="254526AD"/>
    <w:rsid w:val="25461985"/>
    <w:rsid w:val="254621B4"/>
    <w:rsid w:val="25466455"/>
    <w:rsid w:val="25467141"/>
    <w:rsid w:val="254774AC"/>
    <w:rsid w:val="25480D10"/>
    <w:rsid w:val="25487995"/>
    <w:rsid w:val="25490B5A"/>
    <w:rsid w:val="254A0D53"/>
    <w:rsid w:val="254D45A6"/>
    <w:rsid w:val="25502F27"/>
    <w:rsid w:val="25506ABE"/>
    <w:rsid w:val="255319AC"/>
    <w:rsid w:val="25541995"/>
    <w:rsid w:val="25553EAA"/>
    <w:rsid w:val="255614AE"/>
    <w:rsid w:val="25562CAE"/>
    <w:rsid w:val="25566D99"/>
    <w:rsid w:val="25566D9C"/>
    <w:rsid w:val="255A5461"/>
    <w:rsid w:val="255B0195"/>
    <w:rsid w:val="255B083D"/>
    <w:rsid w:val="255B50BE"/>
    <w:rsid w:val="255E30DE"/>
    <w:rsid w:val="255F2A47"/>
    <w:rsid w:val="25600899"/>
    <w:rsid w:val="2560231B"/>
    <w:rsid w:val="25611B78"/>
    <w:rsid w:val="2564005E"/>
    <w:rsid w:val="25643F3A"/>
    <w:rsid w:val="25650DA8"/>
    <w:rsid w:val="25661F7C"/>
    <w:rsid w:val="2569146F"/>
    <w:rsid w:val="25691621"/>
    <w:rsid w:val="256A6319"/>
    <w:rsid w:val="256B1D08"/>
    <w:rsid w:val="256B319A"/>
    <w:rsid w:val="256C5F96"/>
    <w:rsid w:val="257302A1"/>
    <w:rsid w:val="257847FC"/>
    <w:rsid w:val="25787587"/>
    <w:rsid w:val="25796E5D"/>
    <w:rsid w:val="257B7155"/>
    <w:rsid w:val="257D6329"/>
    <w:rsid w:val="257E5F33"/>
    <w:rsid w:val="257F09F3"/>
    <w:rsid w:val="25804B6B"/>
    <w:rsid w:val="258212E1"/>
    <w:rsid w:val="25826736"/>
    <w:rsid w:val="25836A13"/>
    <w:rsid w:val="2584425C"/>
    <w:rsid w:val="25861D82"/>
    <w:rsid w:val="258A1146"/>
    <w:rsid w:val="258B383C"/>
    <w:rsid w:val="258B7398"/>
    <w:rsid w:val="258C4EBE"/>
    <w:rsid w:val="258D6542"/>
    <w:rsid w:val="259049AF"/>
    <w:rsid w:val="25911A7F"/>
    <w:rsid w:val="259241E2"/>
    <w:rsid w:val="25956469"/>
    <w:rsid w:val="259C2894"/>
    <w:rsid w:val="259D0E7A"/>
    <w:rsid w:val="259D531E"/>
    <w:rsid w:val="259F2E44"/>
    <w:rsid w:val="25A12702"/>
    <w:rsid w:val="25A22934"/>
    <w:rsid w:val="25A5657F"/>
    <w:rsid w:val="25AE322E"/>
    <w:rsid w:val="25AE752B"/>
    <w:rsid w:val="25B0002B"/>
    <w:rsid w:val="25B61F3B"/>
    <w:rsid w:val="25B64840"/>
    <w:rsid w:val="25B763DF"/>
    <w:rsid w:val="25BE7351"/>
    <w:rsid w:val="25BE7A27"/>
    <w:rsid w:val="25C26B32"/>
    <w:rsid w:val="25C66FF8"/>
    <w:rsid w:val="25C7239A"/>
    <w:rsid w:val="25C96113"/>
    <w:rsid w:val="25CB1E8B"/>
    <w:rsid w:val="25CC2570"/>
    <w:rsid w:val="25CC3712"/>
    <w:rsid w:val="25CE197B"/>
    <w:rsid w:val="25CE3729"/>
    <w:rsid w:val="25D034DD"/>
    <w:rsid w:val="25D1584C"/>
    <w:rsid w:val="25D21167"/>
    <w:rsid w:val="25D441CD"/>
    <w:rsid w:val="25D521C4"/>
    <w:rsid w:val="25D733A9"/>
    <w:rsid w:val="25D95AFA"/>
    <w:rsid w:val="25DA4FD8"/>
    <w:rsid w:val="25DC7BF4"/>
    <w:rsid w:val="25DE3772"/>
    <w:rsid w:val="25E1345C"/>
    <w:rsid w:val="25E13C00"/>
    <w:rsid w:val="25E46AA9"/>
    <w:rsid w:val="25E82023"/>
    <w:rsid w:val="25E83AD3"/>
    <w:rsid w:val="25EB4D1E"/>
    <w:rsid w:val="25ED0053"/>
    <w:rsid w:val="25EE5B79"/>
    <w:rsid w:val="25F12096"/>
    <w:rsid w:val="25F211C5"/>
    <w:rsid w:val="25F413E1"/>
    <w:rsid w:val="25F660D7"/>
    <w:rsid w:val="25F72072"/>
    <w:rsid w:val="25F747AF"/>
    <w:rsid w:val="26013AFE"/>
    <w:rsid w:val="26070074"/>
    <w:rsid w:val="260704EC"/>
    <w:rsid w:val="2607261F"/>
    <w:rsid w:val="2608583E"/>
    <w:rsid w:val="26091816"/>
    <w:rsid w:val="260E7FC9"/>
    <w:rsid w:val="260F67A9"/>
    <w:rsid w:val="26105AEF"/>
    <w:rsid w:val="26112CDF"/>
    <w:rsid w:val="26137703"/>
    <w:rsid w:val="261A071C"/>
    <w:rsid w:val="261B2F3C"/>
    <w:rsid w:val="261B3491"/>
    <w:rsid w:val="26215F4F"/>
    <w:rsid w:val="26263565"/>
    <w:rsid w:val="26265313"/>
    <w:rsid w:val="2628108B"/>
    <w:rsid w:val="26282E39"/>
    <w:rsid w:val="262A6475"/>
    <w:rsid w:val="262C093B"/>
    <w:rsid w:val="262C38E5"/>
    <w:rsid w:val="26317208"/>
    <w:rsid w:val="26327B15"/>
    <w:rsid w:val="263712CE"/>
    <w:rsid w:val="26404627"/>
    <w:rsid w:val="26404EF1"/>
    <w:rsid w:val="26421A63"/>
    <w:rsid w:val="26421B0D"/>
    <w:rsid w:val="26431A21"/>
    <w:rsid w:val="264D0C35"/>
    <w:rsid w:val="264D28A0"/>
    <w:rsid w:val="264F70DC"/>
    <w:rsid w:val="26513EE5"/>
    <w:rsid w:val="26526108"/>
    <w:rsid w:val="26527CEA"/>
    <w:rsid w:val="265359DC"/>
    <w:rsid w:val="26543C2E"/>
    <w:rsid w:val="26555BF8"/>
    <w:rsid w:val="2656067D"/>
    <w:rsid w:val="26563AF9"/>
    <w:rsid w:val="26577D40"/>
    <w:rsid w:val="2658120D"/>
    <w:rsid w:val="2659489A"/>
    <w:rsid w:val="265A6D6B"/>
    <w:rsid w:val="265B26B4"/>
    <w:rsid w:val="265C2AE3"/>
    <w:rsid w:val="265E685B"/>
    <w:rsid w:val="26600825"/>
    <w:rsid w:val="26605EB5"/>
    <w:rsid w:val="2661634B"/>
    <w:rsid w:val="26630315"/>
    <w:rsid w:val="266314D8"/>
    <w:rsid w:val="266320C3"/>
    <w:rsid w:val="266334AD"/>
    <w:rsid w:val="26663961"/>
    <w:rsid w:val="26675B0F"/>
    <w:rsid w:val="266877EA"/>
    <w:rsid w:val="266C39C0"/>
    <w:rsid w:val="266C3D2B"/>
    <w:rsid w:val="267442D0"/>
    <w:rsid w:val="26753BA5"/>
    <w:rsid w:val="26773DC1"/>
    <w:rsid w:val="2677791D"/>
    <w:rsid w:val="267A53F0"/>
    <w:rsid w:val="267B565F"/>
    <w:rsid w:val="267E4516"/>
    <w:rsid w:val="26804A23"/>
    <w:rsid w:val="268442D5"/>
    <w:rsid w:val="26844E74"/>
    <w:rsid w:val="2685028B"/>
    <w:rsid w:val="26870241"/>
    <w:rsid w:val="26885244"/>
    <w:rsid w:val="268877A1"/>
    <w:rsid w:val="26887D7C"/>
    <w:rsid w:val="268A3AF4"/>
    <w:rsid w:val="268A58A2"/>
    <w:rsid w:val="268C02CD"/>
    <w:rsid w:val="268D0EEE"/>
    <w:rsid w:val="268E133C"/>
    <w:rsid w:val="268E74B0"/>
    <w:rsid w:val="268F2F81"/>
    <w:rsid w:val="268F4C66"/>
    <w:rsid w:val="26906C30"/>
    <w:rsid w:val="26920BFA"/>
    <w:rsid w:val="26926505"/>
    <w:rsid w:val="26937BFF"/>
    <w:rsid w:val="26961EDB"/>
    <w:rsid w:val="26971D6D"/>
    <w:rsid w:val="26995AE5"/>
    <w:rsid w:val="26996B06"/>
    <w:rsid w:val="2699711B"/>
    <w:rsid w:val="26997893"/>
    <w:rsid w:val="269C3412"/>
    <w:rsid w:val="269D000F"/>
    <w:rsid w:val="26A050C5"/>
    <w:rsid w:val="26A24E49"/>
    <w:rsid w:val="26A362D9"/>
    <w:rsid w:val="26A46A4C"/>
    <w:rsid w:val="26A5448A"/>
    <w:rsid w:val="26A6577E"/>
    <w:rsid w:val="26A9214B"/>
    <w:rsid w:val="26AA1AA0"/>
    <w:rsid w:val="26AA61AC"/>
    <w:rsid w:val="26B02E2F"/>
    <w:rsid w:val="26B14C8A"/>
    <w:rsid w:val="26B262C2"/>
    <w:rsid w:val="26B741BD"/>
    <w:rsid w:val="26B80661"/>
    <w:rsid w:val="26BA0BD4"/>
    <w:rsid w:val="26BC6796"/>
    <w:rsid w:val="26BD4622"/>
    <w:rsid w:val="26BE19EF"/>
    <w:rsid w:val="26BE554B"/>
    <w:rsid w:val="26C03072"/>
    <w:rsid w:val="26C35017"/>
    <w:rsid w:val="26C708A4"/>
    <w:rsid w:val="26CB1A16"/>
    <w:rsid w:val="26CE4858"/>
    <w:rsid w:val="26D00413"/>
    <w:rsid w:val="26D05437"/>
    <w:rsid w:val="26D10020"/>
    <w:rsid w:val="26D1527F"/>
    <w:rsid w:val="26D367BA"/>
    <w:rsid w:val="26D46B1D"/>
    <w:rsid w:val="26D7485F"/>
    <w:rsid w:val="26D829E9"/>
    <w:rsid w:val="26D905D7"/>
    <w:rsid w:val="26D94133"/>
    <w:rsid w:val="26DC1351"/>
    <w:rsid w:val="26E050F9"/>
    <w:rsid w:val="26E07FCC"/>
    <w:rsid w:val="26E1123A"/>
    <w:rsid w:val="26E24E1F"/>
    <w:rsid w:val="26E431C8"/>
    <w:rsid w:val="26E75939"/>
    <w:rsid w:val="26E825C8"/>
    <w:rsid w:val="26E97330"/>
    <w:rsid w:val="26EB3E67"/>
    <w:rsid w:val="26EF7DFB"/>
    <w:rsid w:val="26F0213C"/>
    <w:rsid w:val="26F159EF"/>
    <w:rsid w:val="26F176CF"/>
    <w:rsid w:val="26F25034"/>
    <w:rsid w:val="26F43175"/>
    <w:rsid w:val="26F61189"/>
    <w:rsid w:val="26F64CE5"/>
    <w:rsid w:val="26F66678"/>
    <w:rsid w:val="26F70A5D"/>
    <w:rsid w:val="26F92E80"/>
    <w:rsid w:val="26F947D6"/>
    <w:rsid w:val="26FB67A0"/>
    <w:rsid w:val="26FC4A18"/>
    <w:rsid w:val="26FE003E"/>
    <w:rsid w:val="26FE1DEC"/>
    <w:rsid w:val="26FF4AE5"/>
    <w:rsid w:val="27010B22"/>
    <w:rsid w:val="2702368A"/>
    <w:rsid w:val="27035654"/>
    <w:rsid w:val="27075144"/>
    <w:rsid w:val="27076EF2"/>
    <w:rsid w:val="27082DFB"/>
    <w:rsid w:val="270A253F"/>
    <w:rsid w:val="270A6969"/>
    <w:rsid w:val="270F224B"/>
    <w:rsid w:val="270F3ECA"/>
    <w:rsid w:val="270F5DA7"/>
    <w:rsid w:val="27101411"/>
    <w:rsid w:val="27111B1F"/>
    <w:rsid w:val="27160EE4"/>
    <w:rsid w:val="27166BAC"/>
    <w:rsid w:val="27167E66"/>
    <w:rsid w:val="27174C5C"/>
    <w:rsid w:val="271909D4"/>
    <w:rsid w:val="27190A70"/>
    <w:rsid w:val="27194E78"/>
    <w:rsid w:val="27196C26"/>
    <w:rsid w:val="271A0364"/>
    <w:rsid w:val="271A640C"/>
    <w:rsid w:val="271D48AB"/>
    <w:rsid w:val="271F69C2"/>
    <w:rsid w:val="271F6C8E"/>
    <w:rsid w:val="27206206"/>
    <w:rsid w:val="27207FB4"/>
    <w:rsid w:val="27250A98"/>
    <w:rsid w:val="2725351F"/>
    <w:rsid w:val="2725381D"/>
    <w:rsid w:val="272555CB"/>
    <w:rsid w:val="27263790"/>
    <w:rsid w:val="27271343"/>
    <w:rsid w:val="2728280B"/>
    <w:rsid w:val="272A153E"/>
    <w:rsid w:val="272A2BE1"/>
    <w:rsid w:val="272F6AF6"/>
    <w:rsid w:val="27321A96"/>
    <w:rsid w:val="27335A2C"/>
    <w:rsid w:val="2734580E"/>
    <w:rsid w:val="27351044"/>
    <w:rsid w:val="27374FE9"/>
    <w:rsid w:val="273852FE"/>
    <w:rsid w:val="273870AC"/>
    <w:rsid w:val="273B2771"/>
    <w:rsid w:val="273F48DE"/>
    <w:rsid w:val="27427F2B"/>
    <w:rsid w:val="274418A4"/>
    <w:rsid w:val="27465428"/>
    <w:rsid w:val="27466D84"/>
    <w:rsid w:val="274A6DDF"/>
    <w:rsid w:val="274B704D"/>
    <w:rsid w:val="274D564A"/>
    <w:rsid w:val="2751194B"/>
    <w:rsid w:val="27527226"/>
    <w:rsid w:val="27541561"/>
    <w:rsid w:val="27545EB0"/>
    <w:rsid w:val="27547D16"/>
    <w:rsid w:val="27550E8B"/>
    <w:rsid w:val="27567D73"/>
    <w:rsid w:val="27570C9B"/>
    <w:rsid w:val="275734B6"/>
    <w:rsid w:val="275814FC"/>
    <w:rsid w:val="275845E4"/>
    <w:rsid w:val="275912AC"/>
    <w:rsid w:val="275D6B12"/>
    <w:rsid w:val="275E4DF0"/>
    <w:rsid w:val="276166A6"/>
    <w:rsid w:val="276500BD"/>
    <w:rsid w:val="27651E6B"/>
    <w:rsid w:val="2767173F"/>
    <w:rsid w:val="27673E35"/>
    <w:rsid w:val="27677991"/>
    <w:rsid w:val="276A1007"/>
    <w:rsid w:val="276C31F9"/>
    <w:rsid w:val="277025E4"/>
    <w:rsid w:val="27702CEA"/>
    <w:rsid w:val="277125BE"/>
    <w:rsid w:val="27721C50"/>
    <w:rsid w:val="27734537"/>
    <w:rsid w:val="27736336"/>
    <w:rsid w:val="27741BE7"/>
    <w:rsid w:val="277919F8"/>
    <w:rsid w:val="277A3B68"/>
    <w:rsid w:val="277B168E"/>
    <w:rsid w:val="277B2154"/>
    <w:rsid w:val="277E3893"/>
    <w:rsid w:val="27800A53"/>
    <w:rsid w:val="27802801"/>
    <w:rsid w:val="27806CA5"/>
    <w:rsid w:val="278247CB"/>
    <w:rsid w:val="27826EE1"/>
    <w:rsid w:val="2782748C"/>
    <w:rsid w:val="278301EA"/>
    <w:rsid w:val="27842A64"/>
    <w:rsid w:val="27846795"/>
    <w:rsid w:val="27895B59"/>
    <w:rsid w:val="278C06A4"/>
    <w:rsid w:val="278D3841"/>
    <w:rsid w:val="278E3654"/>
    <w:rsid w:val="278F0C96"/>
    <w:rsid w:val="278F39E1"/>
    <w:rsid w:val="2790513A"/>
    <w:rsid w:val="279462AC"/>
    <w:rsid w:val="279669B1"/>
    <w:rsid w:val="27982240"/>
    <w:rsid w:val="27987D44"/>
    <w:rsid w:val="279A7D67"/>
    <w:rsid w:val="279B4D92"/>
    <w:rsid w:val="279C5947"/>
    <w:rsid w:val="279D467A"/>
    <w:rsid w:val="279E52B8"/>
    <w:rsid w:val="279F537D"/>
    <w:rsid w:val="279F712B"/>
    <w:rsid w:val="27A40BE5"/>
    <w:rsid w:val="27A635DC"/>
    <w:rsid w:val="27A6458A"/>
    <w:rsid w:val="27A6495D"/>
    <w:rsid w:val="27A66186"/>
    <w:rsid w:val="27A908DC"/>
    <w:rsid w:val="27A91D58"/>
    <w:rsid w:val="27A9599F"/>
    <w:rsid w:val="27A97FAA"/>
    <w:rsid w:val="27AB2EB7"/>
    <w:rsid w:val="27AB3D22"/>
    <w:rsid w:val="27AC1848"/>
    <w:rsid w:val="27AD0102"/>
    <w:rsid w:val="27AD6EC3"/>
    <w:rsid w:val="27AE3812"/>
    <w:rsid w:val="27B23302"/>
    <w:rsid w:val="27B23470"/>
    <w:rsid w:val="27B32FEC"/>
    <w:rsid w:val="27B63ADE"/>
    <w:rsid w:val="27B6468A"/>
    <w:rsid w:val="27B73DC6"/>
    <w:rsid w:val="27B8643F"/>
    <w:rsid w:val="27B8715C"/>
    <w:rsid w:val="27B92076"/>
    <w:rsid w:val="27BA3F65"/>
    <w:rsid w:val="27BA76BA"/>
    <w:rsid w:val="27BF6131"/>
    <w:rsid w:val="27C06C94"/>
    <w:rsid w:val="27C2106B"/>
    <w:rsid w:val="27C638FE"/>
    <w:rsid w:val="27C70430"/>
    <w:rsid w:val="27C84332"/>
    <w:rsid w:val="27C939AE"/>
    <w:rsid w:val="27C941A8"/>
    <w:rsid w:val="27CB43C4"/>
    <w:rsid w:val="27CE5C62"/>
    <w:rsid w:val="27D03788"/>
    <w:rsid w:val="27D121ED"/>
    <w:rsid w:val="27D25752"/>
    <w:rsid w:val="27D42B39"/>
    <w:rsid w:val="27D43A83"/>
    <w:rsid w:val="27D504C5"/>
    <w:rsid w:val="27D972D8"/>
    <w:rsid w:val="27DA422E"/>
    <w:rsid w:val="27DA63B5"/>
    <w:rsid w:val="27DC0AE4"/>
    <w:rsid w:val="27DD40F7"/>
    <w:rsid w:val="27DF1C1D"/>
    <w:rsid w:val="27DF69D9"/>
    <w:rsid w:val="27E52BFD"/>
    <w:rsid w:val="27E61368"/>
    <w:rsid w:val="27E64D5A"/>
    <w:rsid w:val="27E82BE9"/>
    <w:rsid w:val="27E92A9C"/>
    <w:rsid w:val="27E92DC7"/>
    <w:rsid w:val="27EA742B"/>
    <w:rsid w:val="27EE7509"/>
    <w:rsid w:val="27EF7B95"/>
    <w:rsid w:val="27F10F49"/>
    <w:rsid w:val="27F154AD"/>
    <w:rsid w:val="27F304AC"/>
    <w:rsid w:val="27F51C04"/>
    <w:rsid w:val="27F54F9D"/>
    <w:rsid w:val="27F56F0B"/>
    <w:rsid w:val="27F82CDF"/>
    <w:rsid w:val="27FC155E"/>
    <w:rsid w:val="27FC27CF"/>
    <w:rsid w:val="27FD02F5"/>
    <w:rsid w:val="27FE2920"/>
    <w:rsid w:val="280276BA"/>
    <w:rsid w:val="28033242"/>
    <w:rsid w:val="28041684"/>
    <w:rsid w:val="280800B8"/>
    <w:rsid w:val="280B656E"/>
    <w:rsid w:val="280D678A"/>
    <w:rsid w:val="280F48DF"/>
    <w:rsid w:val="28113C64"/>
    <w:rsid w:val="28125142"/>
    <w:rsid w:val="2819328C"/>
    <w:rsid w:val="281A0EA7"/>
    <w:rsid w:val="281C69CE"/>
    <w:rsid w:val="281C79EE"/>
    <w:rsid w:val="281D7DBD"/>
    <w:rsid w:val="28201551"/>
    <w:rsid w:val="282107A4"/>
    <w:rsid w:val="28276850"/>
    <w:rsid w:val="2829733C"/>
    <w:rsid w:val="282B0C73"/>
    <w:rsid w:val="282B4E63"/>
    <w:rsid w:val="282C76C7"/>
    <w:rsid w:val="282F3D2E"/>
    <w:rsid w:val="28305FD5"/>
    <w:rsid w:val="283106A2"/>
    <w:rsid w:val="28321D4D"/>
    <w:rsid w:val="28333D17"/>
    <w:rsid w:val="2835183D"/>
    <w:rsid w:val="2838132E"/>
    <w:rsid w:val="28395C86"/>
    <w:rsid w:val="283C4029"/>
    <w:rsid w:val="283D06F2"/>
    <w:rsid w:val="283D6944"/>
    <w:rsid w:val="283E5914"/>
    <w:rsid w:val="283E5C7F"/>
    <w:rsid w:val="283F446A"/>
    <w:rsid w:val="284042E0"/>
    <w:rsid w:val="28433F5A"/>
    <w:rsid w:val="28475108"/>
    <w:rsid w:val="28486025"/>
    <w:rsid w:val="284B1061"/>
    <w:rsid w:val="284B669B"/>
    <w:rsid w:val="284B72B3"/>
    <w:rsid w:val="284D302B"/>
    <w:rsid w:val="284D4DD9"/>
    <w:rsid w:val="284F07D8"/>
    <w:rsid w:val="285171A4"/>
    <w:rsid w:val="28520641"/>
    <w:rsid w:val="285443B9"/>
    <w:rsid w:val="28544C78"/>
    <w:rsid w:val="28546E2D"/>
    <w:rsid w:val="2856314B"/>
    <w:rsid w:val="28595E01"/>
    <w:rsid w:val="285A6569"/>
    <w:rsid w:val="285D2B42"/>
    <w:rsid w:val="285F1E6C"/>
    <w:rsid w:val="28616AD6"/>
    <w:rsid w:val="286332DD"/>
    <w:rsid w:val="28640B8A"/>
    <w:rsid w:val="28643ED1"/>
    <w:rsid w:val="28650375"/>
    <w:rsid w:val="286730EE"/>
    <w:rsid w:val="2867729F"/>
    <w:rsid w:val="286839C1"/>
    <w:rsid w:val="28695261"/>
    <w:rsid w:val="286B36E8"/>
    <w:rsid w:val="286C2EFF"/>
    <w:rsid w:val="286C6A55"/>
    <w:rsid w:val="28796713"/>
    <w:rsid w:val="287B557A"/>
    <w:rsid w:val="287C2855"/>
    <w:rsid w:val="287C6351"/>
    <w:rsid w:val="287C746C"/>
    <w:rsid w:val="287D51FA"/>
    <w:rsid w:val="287F5AB8"/>
    <w:rsid w:val="287F6F5C"/>
    <w:rsid w:val="28801A02"/>
    <w:rsid w:val="28803BF2"/>
    <w:rsid w:val="2880617F"/>
    <w:rsid w:val="288307FB"/>
    <w:rsid w:val="2883338B"/>
    <w:rsid w:val="28844B85"/>
    <w:rsid w:val="28844BDA"/>
    <w:rsid w:val="28846321"/>
    <w:rsid w:val="288552EF"/>
    <w:rsid w:val="28861869"/>
    <w:rsid w:val="2886653D"/>
    <w:rsid w:val="2888032F"/>
    <w:rsid w:val="28895448"/>
    <w:rsid w:val="288A4510"/>
    <w:rsid w:val="288B7918"/>
    <w:rsid w:val="288C3B8C"/>
    <w:rsid w:val="28904CC6"/>
    <w:rsid w:val="2891771E"/>
    <w:rsid w:val="2893029D"/>
    <w:rsid w:val="28936001"/>
    <w:rsid w:val="289533C0"/>
    <w:rsid w:val="289730BA"/>
    <w:rsid w:val="289A1137"/>
    <w:rsid w:val="289C366A"/>
    <w:rsid w:val="289C7B0E"/>
    <w:rsid w:val="289D48FE"/>
    <w:rsid w:val="289E73E3"/>
    <w:rsid w:val="28A32C4B"/>
    <w:rsid w:val="28A40771"/>
    <w:rsid w:val="28A54C15"/>
    <w:rsid w:val="28A8200F"/>
    <w:rsid w:val="28AA3FD9"/>
    <w:rsid w:val="28AA6FC3"/>
    <w:rsid w:val="28AC5FA3"/>
    <w:rsid w:val="28AD3535"/>
    <w:rsid w:val="28AE124C"/>
    <w:rsid w:val="28B07116"/>
    <w:rsid w:val="28B27332"/>
    <w:rsid w:val="28B37AEE"/>
    <w:rsid w:val="28B47FB3"/>
    <w:rsid w:val="28B50BD7"/>
    <w:rsid w:val="28B51443"/>
    <w:rsid w:val="28B871F5"/>
    <w:rsid w:val="28BB57B5"/>
    <w:rsid w:val="28BD2195"/>
    <w:rsid w:val="28BD5758"/>
    <w:rsid w:val="28C029A1"/>
    <w:rsid w:val="28C055AB"/>
    <w:rsid w:val="28C122CB"/>
    <w:rsid w:val="28C826B1"/>
    <w:rsid w:val="28C85C6C"/>
    <w:rsid w:val="28C9430F"/>
    <w:rsid w:val="28CA4115"/>
    <w:rsid w:val="28CA467C"/>
    <w:rsid w:val="28CA52F9"/>
    <w:rsid w:val="28CD1A76"/>
    <w:rsid w:val="28CE6296"/>
    <w:rsid w:val="28CF57EE"/>
    <w:rsid w:val="28D043D2"/>
    <w:rsid w:val="28D325BE"/>
    <w:rsid w:val="28D3684D"/>
    <w:rsid w:val="28D47B5D"/>
    <w:rsid w:val="28D50537"/>
    <w:rsid w:val="28D50751"/>
    <w:rsid w:val="28D646FB"/>
    <w:rsid w:val="28D64BD4"/>
    <w:rsid w:val="28D70B46"/>
    <w:rsid w:val="28D831ED"/>
    <w:rsid w:val="28D948BF"/>
    <w:rsid w:val="28DA4193"/>
    <w:rsid w:val="28DC7F0B"/>
    <w:rsid w:val="28DD1632"/>
    <w:rsid w:val="28DF529E"/>
    <w:rsid w:val="28E3573D"/>
    <w:rsid w:val="28E41B4F"/>
    <w:rsid w:val="28E43A3B"/>
    <w:rsid w:val="28E5239B"/>
    <w:rsid w:val="28E70DA8"/>
    <w:rsid w:val="28E75A13"/>
    <w:rsid w:val="28E7603D"/>
    <w:rsid w:val="28E82D54"/>
    <w:rsid w:val="28E86B18"/>
    <w:rsid w:val="28EB4A58"/>
    <w:rsid w:val="28EF41A5"/>
    <w:rsid w:val="28F11C08"/>
    <w:rsid w:val="28F50017"/>
    <w:rsid w:val="28F504EF"/>
    <w:rsid w:val="28F60FCD"/>
    <w:rsid w:val="28FA02A4"/>
    <w:rsid w:val="28FC05AD"/>
    <w:rsid w:val="28FD5C97"/>
    <w:rsid w:val="28FE2577"/>
    <w:rsid w:val="28FE4325"/>
    <w:rsid w:val="29001E4B"/>
    <w:rsid w:val="2907735C"/>
    <w:rsid w:val="29086F3D"/>
    <w:rsid w:val="290A2CCA"/>
    <w:rsid w:val="290D27BA"/>
    <w:rsid w:val="290D6316"/>
    <w:rsid w:val="290E0BBE"/>
    <w:rsid w:val="290F3048"/>
    <w:rsid w:val="29111C57"/>
    <w:rsid w:val="291122AA"/>
    <w:rsid w:val="2914146A"/>
    <w:rsid w:val="291458F7"/>
    <w:rsid w:val="291476A5"/>
    <w:rsid w:val="2916166F"/>
    <w:rsid w:val="291D29FD"/>
    <w:rsid w:val="291E49C7"/>
    <w:rsid w:val="29215BA4"/>
    <w:rsid w:val="29220014"/>
    <w:rsid w:val="29245D79"/>
    <w:rsid w:val="29254939"/>
    <w:rsid w:val="292721E8"/>
    <w:rsid w:val="29276C21"/>
    <w:rsid w:val="29283150"/>
    <w:rsid w:val="29292357"/>
    <w:rsid w:val="292F5FF8"/>
    <w:rsid w:val="293125D3"/>
    <w:rsid w:val="293146FB"/>
    <w:rsid w:val="29323796"/>
    <w:rsid w:val="29324DF0"/>
    <w:rsid w:val="29325D7D"/>
    <w:rsid w:val="29332221"/>
    <w:rsid w:val="29337116"/>
    <w:rsid w:val="29345444"/>
    <w:rsid w:val="29362C67"/>
    <w:rsid w:val="29363ABF"/>
    <w:rsid w:val="293643AA"/>
    <w:rsid w:val="2936586D"/>
    <w:rsid w:val="293933AF"/>
    <w:rsid w:val="2939710B"/>
    <w:rsid w:val="293C5D8D"/>
    <w:rsid w:val="293D309F"/>
    <w:rsid w:val="293D4E4D"/>
    <w:rsid w:val="293D7349"/>
    <w:rsid w:val="2940049A"/>
    <w:rsid w:val="29400E7C"/>
    <w:rsid w:val="2940493E"/>
    <w:rsid w:val="294066EC"/>
    <w:rsid w:val="294206B6"/>
    <w:rsid w:val="2942121D"/>
    <w:rsid w:val="29441E75"/>
    <w:rsid w:val="2944442E"/>
    <w:rsid w:val="29453D02"/>
    <w:rsid w:val="29477F0D"/>
    <w:rsid w:val="29493649"/>
    <w:rsid w:val="294A57BC"/>
    <w:rsid w:val="294B4AFF"/>
    <w:rsid w:val="294C017B"/>
    <w:rsid w:val="29521614"/>
    <w:rsid w:val="29531633"/>
    <w:rsid w:val="29534671"/>
    <w:rsid w:val="2953641F"/>
    <w:rsid w:val="29542197"/>
    <w:rsid w:val="2954525D"/>
    <w:rsid w:val="29552CF0"/>
    <w:rsid w:val="295577BA"/>
    <w:rsid w:val="29564161"/>
    <w:rsid w:val="29567CBD"/>
    <w:rsid w:val="295744F2"/>
    <w:rsid w:val="295757E3"/>
    <w:rsid w:val="295B71C5"/>
    <w:rsid w:val="295C2DFA"/>
    <w:rsid w:val="295D54F0"/>
    <w:rsid w:val="295E61D7"/>
    <w:rsid w:val="29600B3C"/>
    <w:rsid w:val="296028EA"/>
    <w:rsid w:val="29622B06"/>
    <w:rsid w:val="296323DA"/>
    <w:rsid w:val="296543A4"/>
    <w:rsid w:val="2967011C"/>
    <w:rsid w:val="296879F1"/>
    <w:rsid w:val="296B3E84"/>
    <w:rsid w:val="296D5007"/>
    <w:rsid w:val="296F6FD1"/>
    <w:rsid w:val="29723FBC"/>
    <w:rsid w:val="2972480D"/>
    <w:rsid w:val="297350C5"/>
    <w:rsid w:val="29743FDB"/>
    <w:rsid w:val="29744396"/>
    <w:rsid w:val="29787C34"/>
    <w:rsid w:val="297A3C1F"/>
    <w:rsid w:val="297C7C3F"/>
    <w:rsid w:val="297E255F"/>
    <w:rsid w:val="298068D7"/>
    <w:rsid w:val="29824F56"/>
    <w:rsid w:val="29832529"/>
    <w:rsid w:val="29850632"/>
    <w:rsid w:val="29862181"/>
    <w:rsid w:val="29886328"/>
    <w:rsid w:val="2989445F"/>
    <w:rsid w:val="298A36D3"/>
    <w:rsid w:val="298A3E0B"/>
    <w:rsid w:val="298A534C"/>
    <w:rsid w:val="298C7B83"/>
    <w:rsid w:val="298D2626"/>
    <w:rsid w:val="298E56A9"/>
    <w:rsid w:val="298F31CF"/>
    <w:rsid w:val="29915073"/>
    <w:rsid w:val="29917294"/>
    <w:rsid w:val="29922393"/>
    <w:rsid w:val="2992471C"/>
    <w:rsid w:val="29927F2D"/>
    <w:rsid w:val="299344DE"/>
    <w:rsid w:val="29934A6D"/>
    <w:rsid w:val="29955C15"/>
    <w:rsid w:val="299627B0"/>
    <w:rsid w:val="29977B6E"/>
    <w:rsid w:val="29980ADF"/>
    <w:rsid w:val="299A22A0"/>
    <w:rsid w:val="299A22BA"/>
    <w:rsid w:val="299A59D2"/>
    <w:rsid w:val="299B0A2F"/>
    <w:rsid w:val="299B62A9"/>
    <w:rsid w:val="299B7DC6"/>
    <w:rsid w:val="299D3B3E"/>
    <w:rsid w:val="29A1463E"/>
    <w:rsid w:val="29A17565"/>
    <w:rsid w:val="29A30A29"/>
    <w:rsid w:val="29A44ECD"/>
    <w:rsid w:val="29A77EC5"/>
    <w:rsid w:val="29AA0009"/>
    <w:rsid w:val="29AC1FD3"/>
    <w:rsid w:val="29AD5164"/>
    <w:rsid w:val="29AE18A7"/>
    <w:rsid w:val="29B11398"/>
    <w:rsid w:val="29B37FA6"/>
    <w:rsid w:val="29B82726"/>
    <w:rsid w:val="29BA109E"/>
    <w:rsid w:val="29BA46F0"/>
    <w:rsid w:val="29BB3FC4"/>
    <w:rsid w:val="29BB5B3A"/>
    <w:rsid w:val="29BD5F8E"/>
    <w:rsid w:val="29BD7D3C"/>
    <w:rsid w:val="29BE4D9A"/>
    <w:rsid w:val="29BF3CB8"/>
    <w:rsid w:val="29BF5862"/>
    <w:rsid w:val="29BF63C5"/>
    <w:rsid w:val="29C56184"/>
    <w:rsid w:val="29C568E7"/>
    <w:rsid w:val="29C64ABB"/>
    <w:rsid w:val="29C70BBB"/>
    <w:rsid w:val="29C72969"/>
    <w:rsid w:val="29C73D0E"/>
    <w:rsid w:val="29C8074C"/>
    <w:rsid w:val="29CC61D1"/>
    <w:rsid w:val="29CE3CF8"/>
    <w:rsid w:val="29CE4447"/>
    <w:rsid w:val="29CE5AA6"/>
    <w:rsid w:val="29D14EB1"/>
    <w:rsid w:val="29D3130E"/>
    <w:rsid w:val="29D532D8"/>
    <w:rsid w:val="29D562C8"/>
    <w:rsid w:val="29D56336"/>
    <w:rsid w:val="29D62BAC"/>
    <w:rsid w:val="29D81C33"/>
    <w:rsid w:val="29D84B76"/>
    <w:rsid w:val="29D86924"/>
    <w:rsid w:val="29DA4604"/>
    <w:rsid w:val="29DD03DE"/>
    <w:rsid w:val="29DD2462"/>
    <w:rsid w:val="29DF4157"/>
    <w:rsid w:val="29E03A2B"/>
    <w:rsid w:val="29E22D43"/>
    <w:rsid w:val="29E32938"/>
    <w:rsid w:val="29E37561"/>
    <w:rsid w:val="29E74DB9"/>
    <w:rsid w:val="29E754BD"/>
    <w:rsid w:val="29E76B67"/>
    <w:rsid w:val="29EA6657"/>
    <w:rsid w:val="29EF0088"/>
    <w:rsid w:val="29F32B14"/>
    <w:rsid w:val="29F43DE7"/>
    <w:rsid w:val="29F51284"/>
    <w:rsid w:val="29F833D4"/>
    <w:rsid w:val="29F9365D"/>
    <w:rsid w:val="29FB1396"/>
    <w:rsid w:val="29FC6970"/>
    <w:rsid w:val="2A0041AD"/>
    <w:rsid w:val="2A006359"/>
    <w:rsid w:val="2A0239A1"/>
    <w:rsid w:val="2A07200A"/>
    <w:rsid w:val="2A07545B"/>
    <w:rsid w:val="2A0845C1"/>
    <w:rsid w:val="2A0911D4"/>
    <w:rsid w:val="2A092F82"/>
    <w:rsid w:val="2A0C585F"/>
    <w:rsid w:val="2A0C7722"/>
    <w:rsid w:val="2A102562"/>
    <w:rsid w:val="2A131AE0"/>
    <w:rsid w:val="2A13795C"/>
    <w:rsid w:val="2A151926"/>
    <w:rsid w:val="2A170629"/>
    <w:rsid w:val="2A1805FD"/>
    <w:rsid w:val="2A1831C5"/>
    <w:rsid w:val="2A1A0CEB"/>
    <w:rsid w:val="2A1A17A3"/>
    <w:rsid w:val="2A1B66BF"/>
    <w:rsid w:val="2A1D293D"/>
    <w:rsid w:val="2A1E1B25"/>
    <w:rsid w:val="2A1E2046"/>
    <w:rsid w:val="2A1F32A0"/>
    <w:rsid w:val="2A1F58FE"/>
    <w:rsid w:val="2A202079"/>
    <w:rsid w:val="2A21651D"/>
    <w:rsid w:val="2A23469B"/>
    <w:rsid w:val="2A24600D"/>
    <w:rsid w:val="2A2542B1"/>
    <w:rsid w:val="2A2658E2"/>
    <w:rsid w:val="2A285421"/>
    <w:rsid w:val="2A2C4A41"/>
    <w:rsid w:val="2A2D12C1"/>
    <w:rsid w:val="2A2E347D"/>
    <w:rsid w:val="2A2F6C0B"/>
    <w:rsid w:val="2A3049B2"/>
    <w:rsid w:val="2A306760"/>
    <w:rsid w:val="2A385AB0"/>
    <w:rsid w:val="2A390483"/>
    <w:rsid w:val="2A3A138D"/>
    <w:rsid w:val="2A3A73F4"/>
    <w:rsid w:val="2A3B7000"/>
    <w:rsid w:val="2A3D458D"/>
    <w:rsid w:val="2A41271B"/>
    <w:rsid w:val="2A4445C9"/>
    <w:rsid w:val="2A455ED8"/>
    <w:rsid w:val="2A460333"/>
    <w:rsid w:val="2A481CFC"/>
    <w:rsid w:val="2A48258A"/>
    <w:rsid w:val="2A4931EC"/>
    <w:rsid w:val="2A4A0BE6"/>
    <w:rsid w:val="2A4A387B"/>
    <w:rsid w:val="2A4B1F72"/>
    <w:rsid w:val="2A4B5348"/>
    <w:rsid w:val="2A4C2E6E"/>
    <w:rsid w:val="2A4D10C0"/>
    <w:rsid w:val="2A4F6835"/>
    <w:rsid w:val="2A5266D7"/>
    <w:rsid w:val="2A581F97"/>
    <w:rsid w:val="2A5D033B"/>
    <w:rsid w:val="2A5E4652"/>
    <w:rsid w:val="2A5E59F7"/>
    <w:rsid w:val="2A5E6DC4"/>
    <w:rsid w:val="2A606694"/>
    <w:rsid w:val="2A630864"/>
    <w:rsid w:val="2A6308E4"/>
    <w:rsid w:val="2A6361EE"/>
    <w:rsid w:val="2A636B36"/>
    <w:rsid w:val="2A6401B8"/>
    <w:rsid w:val="2A667359"/>
    <w:rsid w:val="2A677122"/>
    <w:rsid w:val="2A68414C"/>
    <w:rsid w:val="2A697EC4"/>
    <w:rsid w:val="2A6A6147"/>
    <w:rsid w:val="2A6E3005"/>
    <w:rsid w:val="2A7121B2"/>
    <w:rsid w:val="2A7169E6"/>
    <w:rsid w:val="2A730F56"/>
    <w:rsid w:val="2A73489F"/>
    <w:rsid w:val="2A737DE5"/>
    <w:rsid w:val="2A750617"/>
    <w:rsid w:val="2A77438F"/>
    <w:rsid w:val="2A795C12"/>
    <w:rsid w:val="2A7C19A5"/>
    <w:rsid w:val="2A7C5075"/>
    <w:rsid w:val="2A7C7BF7"/>
    <w:rsid w:val="2A7E5439"/>
    <w:rsid w:val="2A802510"/>
    <w:rsid w:val="2A8137B5"/>
    <w:rsid w:val="2A8275BB"/>
    <w:rsid w:val="2A830F86"/>
    <w:rsid w:val="2A8329A5"/>
    <w:rsid w:val="2A84085A"/>
    <w:rsid w:val="2A863051"/>
    <w:rsid w:val="2A8A20AC"/>
    <w:rsid w:val="2A8A2314"/>
    <w:rsid w:val="2A8C323E"/>
    <w:rsid w:val="2A9036A3"/>
    <w:rsid w:val="2A9515A1"/>
    <w:rsid w:val="2A97233B"/>
    <w:rsid w:val="2A987CE6"/>
    <w:rsid w:val="2A992557"/>
    <w:rsid w:val="2A9C7CB2"/>
    <w:rsid w:val="2A9E191C"/>
    <w:rsid w:val="2A9F77C7"/>
    <w:rsid w:val="2AA1140C"/>
    <w:rsid w:val="2AA414C5"/>
    <w:rsid w:val="2AA42CAA"/>
    <w:rsid w:val="2AA607D0"/>
    <w:rsid w:val="2AA64C74"/>
    <w:rsid w:val="2AA809EC"/>
    <w:rsid w:val="2AA86705"/>
    <w:rsid w:val="2AA86A1B"/>
    <w:rsid w:val="2AAA3BF6"/>
    <w:rsid w:val="2AAC37A1"/>
    <w:rsid w:val="2AAE5BA4"/>
    <w:rsid w:val="2AB01024"/>
    <w:rsid w:val="2AB54EB7"/>
    <w:rsid w:val="2AB90504"/>
    <w:rsid w:val="2AB96756"/>
    <w:rsid w:val="2ABA24CE"/>
    <w:rsid w:val="2ABB16D0"/>
    <w:rsid w:val="2ABC728F"/>
    <w:rsid w:val="2ABD3B87"/>
    <w:rsid w:val="2ABE1FBE"/>
    <w:rsid w:val="2ABE6A2E"/>
    <w:rsid w:val="2AC10D1E"/>
    <w:rsid w:val="2AC33130"/>
    <w:rsid w:val="2AC84BEB"/>
    <w:rsid w:val="2ACA1805"/>
    <w:rsid w:val="2ACA7EA3"/>
    <w:rsid w:val="2ACB21DF"/>
    <w:rsid w:val="2ACB7982"/>
    <w:rsid w:val="2ACD1B61"/>
    <w:rsid w:val="2ACD3FAF"/>
    <w:rsid w:val="2AD215C5"/>
    <w:rsid w:val="2AD24543"/>
    <w:rsid w:val="2AD30362"/>
    <w:rsid w:val="2AD40F00"/>
    <w:rsid w:val="2AD73445"/>
    <w:rsid w:val="2AD76BDC"/>
    <w:rsid w:val="2AD924CA"/>
    <w:rsid w:val="2ADB2B70"/>
    <w:rsid w:val="2ADB5CCE"/>
    <w:rsid w:val="2ADC0696"/>
    <w:rsid w:val="2ADC3E7C"/>
    <w:rsid w:val="2ADC66A8"/>
    <w:rsid w:val="2AE15CAC"/>
    <w:rsid w:val="2AE266B1"/>
    <w:rsid w:val="2AE5558D"/>
    <w:rsid w:val="2AE632C3"/>
    <w:rsid w:val="2AEA4B61"/>
    <w:rsid w:val="2AEB08D9"/>
    <w:rsid w:val="2AF07C9E"/>
    <w:rsid w:val="2AF23A16"/>
    <w:rsid w:val="2AF27D27"/>
    <w:rsid w:val="2AF34F9E"/>
    <w:rsid w:val="2AF43C32"/>
    <w:rsid w:val="2AF50EB8"/>
    <w:rsid w:val="2AF754D0"/>
    <w:rsid w:val="2AF94DA4"/>
    <w:rsid w:val="2AFA72B8"/>
    <w:rsid w:val="2AFC4894"/>
    <w:rsid w:val="2AFD0BD7"/>
    <w:rsid w:val="2AFD1D96"/>
    <w:rsid w:val="2AFE1A16"/>
    <w:rsid w:val="2AFE23BA"/>
    <w:rsid w:val="2AFF093C"/>
    <w:rsid w:val="2B006133"/>
    <w:rsid w:val="2B01299A"/>
    <w:rsid w:val="2B0330E5"/>
    <w:rsid w:val="2B033859"/>
    <w:rsid w:val="2B0379D1"/>
    <w:rsid w:val="2B065C9E"/>
    <w:rsid w:val="2B0C6360"/>
    <w:rsid w:val="2B0D0850"/>
    <w:rsid w:val="2B0D67AD"/>
    <w:rsid w:val="2B0E388C"/>
    <w:rsid w:val="2B0F052A"/>
    <w:rsid w:val="2B12230A"/>
    <w:rsid w:val="2B1264B8"/>
    <w:rsid w:val="2B130055"/>
    <w:rsid w:val="2B14257A"/>
    <w:rsid w:val="2B147E30"/>
    <w:rsid w:val="2B165956"/>
    <w:rsid w:val="2B1716CE"/>
    <w:rsid w:val="2B1725AC"/>
    <w:rsid w:val="2B177351"/>
    <w:rsid w:val="2B18314B"/>
    <w:rsid w:val="2B184107"/>
    <w:rsid w:val="2B195446"/>
    <w:rsid w:val="2B1A4D1A"/>
    <w:rsid w:val="2B1E71B6"/>
    <w:rsid w:val="2B210BDA"/>
    <w:rsid w:val="2B2362C5"/>
    <w:rsid w:val="2B2636BF"/>
    <w:rsid w:val="2B280919"/>
    <w:rsid w:val="2B287E45"/>
    <w:rsid w:val="2B2C33CC"/>
    <w:rsid w:val="2B2D3A0D"/>
    <w:rsid w:val="2B2D6440"/>
    <w:rsid w:val="2B2E3048"/>
    <w:rsid w:val="2B2F2E4F"/>
    <w:rsid w:val="2B2F4C6A"/>
    <w:rsid w:val="2B32641C"/>
    <w:rsid w:val="2B361B54"/>
    <w:rsid w:val="2B364ACF"/>
    <w:rsid w:val="2B397690"/>
    <w:rsid w:val="2B3B630C"/>
    <w:rsid w:val="2B3F259D"/>
    <w:rsid w:val="2B3F2753"/>
    <w:rsid w:val="2B400C25"/>
    <w:rsid w:val="2B40111A"/>
    <w:rsid w:val="2B4029D3"/>
    <w:rsid w:val="2B403C03"/>
    <w:rsid w:val="2B42499D"/>
    <w:rsid w:val="2B443561"/>
    <w:rsid w:val="2B46634D"/>
    <w:rsid w:val="2B4A3852"/>
    <w:rsid w:val="2B4D50F0"/>
    <w:rsid w:val="2B4D6E9E"/>
    <w:rsid w:val="2B4E46A4"/>
    <w:rsid w:val="2B5027DF"/>
    <w:rsid w:val="2B514BE0"/>
    <w:rsid w:val="2B514D73"/>
    <w:rsid w:val="2B536BAA"/>
    <w:rsid w:val="2B54022C"/>
    <w:rsid w:val="2B5446D0"/>
    <w:rsid w:val="2B54647E"/>
    <w:rsid w:val="2B561713"/>
    <w:rsid w:val="2B566DA9"/>
    <w:rsid w:val="2B581127"/>
    <w:rsid w:val="2B585F6F"/>
    <w:rsid w:val="2B591CE7"/>
    <w:rsid w:val="2B5A30BA"/>
    <w:rsid w:val="2B5B534A"/>
    <w:rsid w:val="2B5B5A5F"/>
    <w:rsid w:val="2B5D25F0"/>
    <w:rsid w:val="2B5E10AB"/>
    <w:rsid w:val="2B5E4E07"/>
    <w:rsid w:val="2B650C0F"/>
    <w:rsid w:val="2B65243A"/>
    <w:rsid w:val="2B65480A"/>
    <w:rsid w:val="2B6A19C9"/>
    <w:rsid w:val="2B6C1A1A"/>
    <w:rsid w:val="2B6C7B73"/>
    <w:rsid w:val="2B6C7C6C"/>
    <w:rsid w:val="2B6E5792"/>
    <w:rsid w:val="2B6F4C50"/>
    <w:rsid w:val="2B6F55CF"/>
    <w:rsid w:val="2B703B58"/>
    <w:rsid w:val="2B773E3F"/>
    <w:rsid w:val="2B7841A6"/>
    <w:rsid w:val="2B786611"/>
    <w:rsid w:val="2B795EE5"/>
    <w:rsid w:val="2B7A3236"/>
    <w:rsid w:val="2B7A69DC"/>
    <w:rsid w:val="2B7B1C5D"/>
    <w:rsid w:val="2B7D2631"/>
    <w:rsid w:val="2B8128B0"/>
    <w:rsid w:val="2B82329B"/>
    <w:rsid w:val="2B824D9A"/>
    <w:rsid w:val="2B836D64"/>
    <w:rsid w:val="2B852ADC"/>
    <w:rsid w:val="2B880DCB"/>
    <w:rsid w:val="2B88534B"/>
    <w:rsid w:val="2B89255C"/>
    <w:rsid w:val="2B8925CC"/>
    <w:rsid w:val="2B8B0731"/>
    <w:rsid w:val="2B8B2CE8"/>
    <w:rsid w:val="2B8E49A7"/>
    <w:rsid w:val="2B8F74B6"/>
    <w:rsid w:val="2B916B5A"/>
    <w:rsid w:val="2B9176D3"/>
    <w:rsid w:val="2B956841"/>
    <w:rsid w:val="2B960521"/>
    <w:rsid w:val="2B977451"/>
    <w:rsid w:val="2B980F11"/>
    <w:rsid w:val="2B986BC5"/>
    <w:rsid w:val="2B996587"/>
    <w:rsid w:val="2BA70CA4"/>
    <w:rsid w:val="2BA92106"/>
    <w:rsid w:val="2BAD5B8F"/>
    <w:rsid w:val="2BAE17CE"/>
    <w:rsid w:val="2BAF7B59"/>
    <w:rsid w:val="2BB01839"/>
    <w:rsid w:val="2BB12B4A"/>
    <w:rsid w:val="2BB138D1"/>
    <w:rsid w:val="2BB1742D"/>
    <w:rsid w:val="2BB331A5"/>
    <w:rsid w:val="2BB43AC3"/>
    <w:rsid w:val="2BB46F1D"/>
    <w:rsid w:val="2BB82A63"/>
    <w:rsid w:val="2BB84C5F"/>
    <w:rsid w:val="2BB86A0D"/>
    <w:rsid w:val="2BB94533"/>
    <w:rsid w:val="2BBA71F5"/>
    <w:rsid w:val="2BBB02AC"/>
    <w:rsid w:val="2BBD04C8"/>
    <w:rsid w:val="2BBF78D5"/>
    <w:rsid w:val="2BC01D66"/>
    <w:rsid w:val="2BC1720F"/>
    <w:rsid w:val="2BC2687D"/>
    <w:rsid w:val="2BC270C8"/>
    <w:rsid w:val="2BC414EB"/>
    <w:rsid w:val="2BC52ED8"/>
    <w:rsid w:val="2BC56D0C"/>
    <w:rsid w:val="2BC5709C"/>
    <w:rsid w:val="2BC8338B"/>
    <w:rsid w:val="2BCC4267"/>
    <w:rsid w:val="2BCE7FDF"/>
    <w:rsid w:val="2BCF47A9"/>
    <w:rsid w:val="2BD113C6"/>
    <w:rsid w:val="2BD27A22"/>
    <w:rsid w:val="2BD355F5"/>
    <w:rsid w:val="2BD82C0B"/>
    <w:rsid w:val="2BDA4BD6"/>
    <w:rsid w:val="2BDF11BD"/>
    <w:rsid w:val="2BE27F2E"/>
    <w:rsid w:val="2BE45A54"/>
    <w:rsid w:val="2BE94E19"/>
    <w:rsid w:val="2BEB3C1D"/>
    <w:rsid w:val="2BEB6DE3"/>
    <w:rsid w:val="2BEE242F"/>
    <w:rsid w:val="2BEF61A7"/>
    <w:rsid w:val="2BEF7EF3"/>
    <w:rsid w:val="2BF01C4F"/>
    <w:rsid w:val="2BF043F9"/>
    <w:rsid w:val="2BF17357"/>
    <w:rsid w:val="2BF23A18"/>
    <w:rsid w:val="2BF27637"/>
    <w:rsid w:val="2BF343F3"/>
    <w:rsid w:val="2BF37A45"/>
    <w:rsid w:val="2BF5016F"/>
    <w:rsid w:val="2BF51A0F"/>
    <w:rsid w:val="2BF5382C"/>
    <w:rsid w:val="2BF67536"/>
    <w:rsid w:val="2BF75ED5"/>
    <w:rsid w:val="2BF832AE"/>
    <w:rsid w:val="2BF92B9F"/>
    <w:rsid w:val="2BF973AC"/>
    <w:rsid w:val="2BFC0486"/>
    <w:rsid w:val="2BFC0FF0"/>
    <w:rsid w:val="2BFC4078"/>
    <w:rsid w:val="2BFC6CEE"/>
    <w:rsid w:val="2C0003B4"/>
    <w:rsid w:val="2C0167A4"/>
    <w:rsid w:val="2C016968"/>
    <w:rsid w:val="2C0311AE"/>
    <w:rsid w:val="2C0350C5"/>
    <w:rsid w:val="2C037EE1"/>
    <w:rsid w:val="2C0559CB"/>
    <w:rsid w:val="2C0570A8"/>
    <w:rsid w:val="2C077995"/>
    <w:rsid w:val="2C081775"/>
    <w:rsid w:val="2C091017"/>
    <w:rsid w:val="2C0954BB"/>
    <w:rsid w:val="2C0A2E19"/>
    <w:rsid w:val="2C0B1233"/>
    <w:rsid w:val="2C0F23A5"/>
    <w:rsid w:val="2C1300E8"/>
    <w:rsid w:val="2C131E96"/>
    <w:rsid w:val="2C163734"/>
    <w:rsid w:val="2C1B0D4A"/>
    <w:rsid w:val="2C1B2CF0"/>
    <w:rsid w:val="2C1B3A9D"/>
    <w:rsid w:val="2C1C3440"/>
    <w:rsid w:val="2C1D4AC2"/>
    <w:rsid w:val="2C1E72AD"/>
    <w:rsid w:val="2C22032B"/>
    <w:rsid w:val="2C22657D"/>
    <w:rsid w:val="2C2338E0"/>
    <w:rsid w:val="2C251BC9"/>
    <w:rsid w:val="2C2578CB"/>
    <w:rsid w:val="2C275941"/>
    <w:rsid w:val="2C293467"/>
    <w:rsid w:val="2C2A0E64"/>
    <w:rsid w:val="2C2C0EF1"/>
    <w:rsid w:val="2C2C11A9"/>
    <w:rsid w:val="2C2E4F21"/>
    <w:rsid w:val="2C2F6E99"/>
    <w:rsid w:val="2C300C99"/>
    <w:rsid w:val="2C332538"/>
    <w:rsid w:val="2C351E0C"/>
    <w:rsid w:val="2C363DD6"/>
    <w:rsid w:val="2C364F95"/>
    <w:rsid w:val="2C385DA0"/>
    <w:rsid w:val="2C38629A"/>
    <w:rsid w:val="2C395371"/>
    <w:rsid w:val="2C3E7A06"/>
    <w:rsid w:val="2C413326"/>
    <w:rsid w:val="2C416A03"/>
    <w:rsid w:val="2C416BAA"/>
    <w:rsid w:val="2C424529"/>
    <w:rsid w:val="2C4552CE"/>
    <w:rsid w:val="2C466C2E"/>
    <w:rsid w:val="2C471B3F"/>
    <w:rsid w:val="2C47211C"/>
    <w:rsid w:val="2C49219C"/>
    <w:rsid w:val="2C4B5AD3"/>
    <w:rsid w:val="2C4C35F9"/>
    <w:rsid w:val="2C4C4BBF"/>
    <w:rsid w:val="2C4E5528"/>
    <w:rsid w:val="2C54585B"/>
    <w:rsid w:val="2C555185"/>
    <w:rsid w:val="2C555293"/>
    <w:rsid w:val="2C563D6E"/>
    <w:rsid w:val="2C581F9E"/>
    <w:rsid w:val="2C583D4C"/>
    <w:rsid w:val="2C5A5D16"/>
    <w:rsid w:val="2C5A7AC4"/>
    <w:rsid w:val="2C5D5AA8"/>
    <w:rsid w:val="2C5F50DB"/>
    <w:rsid w:val="2C613836"/>
    <w:rsid w:val="2C620559"/>
    <w:rsid w:val="2C622E1D"/>
    <w:rsid w:val="2C6336CD"/>
    <w:rsid w:val="2C66290D"/>
    <w:rsid w:val="2C672AF3"/>
    <w:rsid w:val="2C681F1F"/>
    <w:rsid w:val="2C6922ED"/>
    <w:rsid w:val="2C6D56BB"/>
    <w:rsid w:val="2C6F41F6"/>
    <w:rsid w:val="2C7219A3"/>
    <w:rsid w:val="2C72517A"/>
    <w:rsid w:val="2C732934"/>
    <w:rsid w:val="2C7333ED"/>
    <w:rsid w:val="2C765D7F"/>
    <w:rsid w:val="2C792640"/>
    <w:rsid w:val="2C7A0167"/>
    <w:rsid w:val="2C7A3CC3"/>
    <w:rsid w:val="2C7C43E4"/>
    <w:rsid w:val="2C7C5C8D"/>
    <w:rsid w:val="2C7E4022"/>
    <w:rsid w:val="2C7F154B"/>
    <w:rsid w:val="2C7F4E3D"/>
    <w:rsid w:val="2C7F5513"/>
    <w:rsid w:val="2C8043FC"/>
    <w:rsid w:val="2C8142B0"/>
    <w:rsid w:val="2C840FE5"/>
    <w:rsid w:val="2C850598"/>
    <w:rsid w:val="2C873A9B"/>
    <w:rsid w:val="2C881338"/>
    <w:rsid w:val="2C8965FC"/>
    <w:rsid w:val="2C8C39F6"/>
    <w:rsid w:val="2C8D37A6"/>
    <w:rsid w:val="2C8F0EA7"/>
    <w:rsid w:val="2C901738"/>
    <w:rsid w:val="2C9034E6"/>
    <w:rsid w:val="2C90798A"/>
    <w:rsid w:val="2C9254B0"/>
    <w:rsid w:val="2C94447E"/>
    <w:rsid w:val="2C9A4365"/>
    <w:rsid w:val="2C9C00DD"/>
    <w:rsid w:val="2C9D7207"/>
    <w:rsid w:val="2C9E0609"/>
    <w:rsid w:val="2CA43435"/>
    <w:rsid w:val="2CA60F5C"/>
    <w:rsid w:val="2CAB39DD"/>
    <w:rsid w:val="2CAB642E"/>
    <w:rsid w:val="2CAD4D09"/>
    <w:rsid w:val="2CAF3A97"/>
    <w:rsid w:val="2CB156E1"/>
    <w:rsid w:val="2CB27900"/>
    <w:rsid w:val="2CB35CAF"/>
    <w:rsid w:val="2CB36E69"/>
    <w:rsid w:val="2CB464FF"/>
    <w:rsid w:val="2CB74F17"/>
    <w:rsid w:val="2CB82A3D"/>
    <w:rsid w:val="2CBA0563"/>
    <w:rsid w:val="2CBC252D"/>
    <w:rsid w:val="2CBD0053"/>
    <w:rsid w:val="2CC07975"/>
    <w:rsid w:val="2CC118F2"/>
    <w:rsid w:val="2CC43190"/>
    <w:rsid w:val="2CC47634"/>
    <w:rsid w:val="2CC542E3"/>
    <w:rsid w:val="2CCA6E3E"/>
    <w:rsid w:val="2CCB4545"/>
    <w:rsid w:val="2CCC0D0C"/>
    <w:rsid w:val="2CCD64E8"/>
    <w:rsid w:val="2CCE400E"/>
    <w:rsid w:val="2CCF04B2"/>
    <w:rsid w:val="2CD020C2"/>
    <w:rsid w:val="2CD258AD"/>
    <w:rsid w:val="2CD51841"/>
    <w:rsid w:val="2CD535EF"/>
    <w:rsid w:val="2CD6332A"/>
    <w:rsid w:val="2CD8161B"/>
    <w:rsid w:val="2CD86C3B"/>
    <w:rsid w:val="2CD90E53"/>
    <w:rsid w:val="2CD94E8D"/>
    <w:rsid w:val="2CDA0C05"/>
    <w:rsid w:val="2CDA6E57"/>
    <w:rsid w:val="2CDE013C"/>
    <w:rsid w:val="2CE0789D"/>
    <w:rsid w:val="2CE079AD"/>
    <w:rsid w:val="2CE347AB"/>
    <w:rsid w:val="2CE35D0C"/>
    <w:rsid w:val="2CE675AA"/>
    <w:rsid w:val="2CE81574"/>
    <w:rsid w:val="2CE83322"/>
    <w:rsid w:val="2CEA60FD"/>
    <w:rsid w:val="2CED26E7"/>
    <w:rsid w:val="2CEE645F"/>
    <w:rsid w:val="2CF11C01"/>
    <w:rsid w:val="2CF75313"/>
    <w:rsid w:val="2CF972DD"/>
    <w:rsid w:val="2CFA3DDA"/>
    <w:rsid w:val="2CFE48F4"/>
    <w:rsid w:val="2D002460"/>
    <w:rsid w:val="2D012636"/>
    <w:rsid w:val="2D040526"/>
    <w:rsid w:val="2D0619FA"/>
    <w:rsid w:val="2D0637A8"/>
    <w:rsid w:val="2D0A3299"/>
    <w:rsid w:val="2D0B45E4"/>
    <w:rsid w:val="2D0C7D48"/>
    <w:rsid w:val="2D0F07B8"/>
    <w:rsid w:val="2D1265F1"/>
    <w:rsid w:val="2D127FD2"/>
    <w:rsid w:val="2D137721"/>
    <w:rsid w:val="2D19172E"/>
    <w:rsid w:val="2D1F0559"/>
    <w:rsid w:val="2D1F59ED"/>
    <w:rsid w:val="2D202013"/>
    <w:rsid w:val="2D222765"/>
    <w:rsid w:val="2D23544A"/>
    <w:rsid w:val="2D2500D2"/>
    <w:rsid w:val="2D265BF9"/>
    <w:rsid w:val="2D2C3CCF"/>
    <w:rsid w:val="2D2D6F87"/>
    <w:rsid w:val="2D2E4048"/>
    <w:rsid w:val="2D303998"/>
    <w:rsid w:val="2D331BCB"/>
    <w:rsid w:val="2D355E3C"/>
    <w:rsid w:val="2D3703BB"/>
    <w:rsid w:val="2D376058"/>
    <w:rsid w:val="2D3B3FF4"/>
    <w:rsid w:val="2D3B5B48"/>
    <w:rsid w:val="2D3C5A1F"/>
    <w:rsid w:val="2D3E1194"/>
    <w:rsid w:val="2D40315E"/>
    <w:rsid w:val="2D425788"/>
    <w:rsid w:val="2D4367AA"/>
    <w:rsid w:val="2D445659"/>
    <w:rsid w:val="2D460049"/>
    <w:rsid w:val="2D4708BF"/>
    <w:rsid w:val="2D481418"/>
    <w:rsid w:val="2D4A18E7"/>
    <w:rsid w:val="2D4A5D8B"/>
    <w:rsid w:val="2D4C717F"/>
    <w:rsid w:val="2D4D0E75"/>
    <w:rsid w:val="2D5147E9"/>
    <w:rsid w:val="2D5269EE"/>
    <w:rsid w:val="2D57411E"/>
    <w:rsid w:val="2D581CC1"/>
    <w:rsid w:val="2D582EE4"/>
    <w:rsid w:val="2D597D7C"/>
    <w:rsid w:val="2D5A377F"/>
    <w:rsid w:val="2D5C786C"/>
    <w:rsid w:val="2D5E5392"/>
    <w:rsid w:val="2D5E734A"/>
    <w:rsid w:val="2D621327"/>
    <w:rsid w:val="2D643EE1"/>
    <w:rsid w:val="2D681C32"/>
    <w:rsid w:val="2D684463"/>
    <w:rsid w:val="2D687AB5"/>
    <w:rsid w:val="2D6A55EB"/>
    <w:rsid w:val="2D6F4515"/>
    <w:rsid w:val="2D702D27"/>
    <w:rsid w:val="2D7050C6"/>
    <w:rsid w:val="2D714D1A"/>
    <w:rsid w:val="2D724D1D"/>
    <w:rsid w:val="2D7352E2"/>
    <w:rsid w:val="2D742E08"/>
    <w:rsid w:val="2D7501E6"/>
    <w:rsid w:val="2D776454"/>
    <w:rsid w:val="2D776C27"/>
    <w:rsid w:val="2D782C20"/>
    <w:rsid w:val="2D7C1CBC"/>
    <w:rsid w:val="2D7D7F0E"/>
    <w:rsid w:val="2D810751"/>
    <w:rsid w:val="2D821BBD"/>
    <w:rsid w:val="2D825525"/>
    <w:rsid w:val="2D83555C"/>
    <w:rsid w:val="2D844911"/>
    <w:rsid w:val="2D853E99"/>
    <w:rsid w:val="2D855015"/>
    <w:rsid w:val="2D8868B3"/>
    <w:rsid w:val="2D8950BC"/>
    <w:rsid w:val="2D8D114B"/>
    <w:rsid w:val="2D8D21DF"/>
    <w:rsid w:val="2D8D4E5E"/>
    <w:rsid w:val="2D8F19F0"/>
    <w:rsid w:val="2D8F379E"/>
    <w:rsid w:val="2D915521"/>
    <w:rsid w:val="2D945258"/>
    <w:rsid w:val="2D9502B1"/>
    <w:rsid w:val="2D99461C"/>
    <w:rsid w:val="2D9A3BB6"/>
    <w:rsid w:val="2D9B2143"/>
    <w:rsid w:val="2D9E6926"/>
    <w:rsid w:val="2DA059AB"/>
    <w:rsid w:val="2DA30834"/>
    <w:rsid w:val="2DA336ED"/>
    <w:rsid w:val="2DA37118"/>
    <w:rsid w:val="2DA454DE"/>
    <w:rsid w:val="2DA55D25"/>
    <w:rsid w:val="2DA57465"/>
    <w:rsid w:val="2DA71974"/>
    <w:rsid w:val="2DA76D39"/>
    <w:rsid w:val="2DA84860"/>
    <w:rsid w:val="2DAC483B"/>
    <w:rsid w:val="2DAE0518"/>
    <w:rsid w:val="2DB01588"/>
    <w:rsid w:val="2DB07F59"/>
    <w:rsid w:val="2DB41AC5"/>
    <w:rsid w:val="2DB6142C"/>
    <w:rsid w:val="2DB67DBB"/>
    <w:rsid w:val="2DB90714"/>
    <w:rsid w:val="2DBB0A37"/>
    <w:rsid w:val="2DBE68CC"/>
    <w:rsid w:val="2DC0604D"/>
    <w:rsid w:val="2DC16C9C"/>
    <w:rsid w:val="2DC378EB"/>
    <w:rsid w:val="2DC45B3D"/>
    <w:rsid w:val="2DC960E5"/>
    <w:rsid w:val="2DCA4327"/>
    <w:rsid w:val="2DCC49F2"/>
    <w:rsid w:val="2DCC64F9"/>
    <w:rsid w:val="2DCF003E"/>
    <w:rsid w:val="2DCF6290"/>
    <w:rsid w:val="2DD02CA2"/>
    <w:rsid w:val="2DD37B2E"/>
    <w:rsid w:val="2DD6761F"/>
    <w:rsid w:val="2DD83397"/>
    <w:rsid w:val="2DDA05BC"/>
    <w:rsid w:val="2DDD09AD"/>
    <w:rsid w:val="2DDD432C"/>
    <w:rsid w:val="2DDF1ACE"/>
    <w:rsid w:val="2DE007D6"/>
    <w:rsid w:val="2DE00C12"/>
    <w:rsid w:val="2DE020CC"/>
    <w:rsid w:val="2DE10A31"/>
    <w:rsid w:val="2DE27D71"/>
    <w:rsid w:val="2DE43915"/>
    <w:rsid w:val="2DE60FE9"/>
    <w:rsid w:val="2DE75388"/>
    <w:rsid w:val="2DE81100"/>
    <w:rsid w:val="2DEA131C"/>
    <w:rsid w:val="2DEA4E78"/>
    <w:rsid w:val="2DEC308B"/>
    <w:rsid w:val="2DEC744F"/>
    <w:rsid w:val="2DED381A"/>
    <w:rsid w:val="2DED6716"/>
    <w:rsid w:val="2DEF06E0"/>
    <w:rsid w:val="2DF301D1"/>
    <w:rsid w:val="2DF45CF7"/>
    <w:rsid w:val="2DF6729B"/>
    <w:rsid w:val="2DF67CC1"/>
    <w:rsid w:val="2DF9330D"/>
    <w:rsid w:val="2DFB52D7"/>
    <w:rsid w:val="2DFC42EB"/>
    <w:rsid w:val="2E00644A"/>
    <w:rsid w:val="2E020414"/>
    <w:rsid w:val="2E041285"/>
    <w:rsid w:val="2E04136B"/>
    <w:rsid w:val="2E04418C"/>
    <w:rsid w:val="2E053A60"/>
    <w:rsid w:val="2E054178"/>
    <w:rsid w:val="2E0628ED"/>
    <w:rsid w:val="2E073170"/>
    <w:rsid w:val="2E086516"/>
    <w:rsid w:val="2E09248B"/>
    <w:rsid w:val="2E0929AB"/>
    <w:rsid w:val="2E093550"/>
    <w:rsid w:val="2E0C3040"/>
    <w:rsid w:val="2E0D4FE9"/>
    <w:rsid w:val="2E0E6DB8"/>
    <w:rsid w:val="2E112405"/>
    <w:rsid w:val="2E1168A9"/>
    <w:rsid w:val="2E121023"/>
    <w:rsid w:val="2E132621"/>
    <w:rsid w:val="2E156399"/>
    <w:rsid w:val="2E161FE6"/>
    <w:rsid w:val="2E162111"/>
    <w:rsid w:val="2E1843DC"/>
    <w:rsid w:val="2E184591"/>
    <w:rsid w:val="2E185F8C"/>
    <w:rsid w:val="2E19750B"/>
    <w:rsid w:val="2E1B7727"/>
    <w:rsid w:val="2E1E4B22"/>
    <w:rsid w:val="2E1F42A8"/>
    <w:rsid w:val="2E20089A"/>
    <w:rsid w:val="2E204742"/>
    <w:rsid w:val="2E222864"/>
    <w:rsid w:val="2E22349F"/>
    <w:rsid w:val="2E22383C"/>
    <w:rsid w:val="2E24482E"/>
    <w:rsid w:val="2E255084"/>
    <w:rsid w:val="2E255EB0"/>
    <w:rsid w:val="2E262354"/>
    <w:rsid w:val="2E2675FA"/>
    <w:rsid w:val="2E275D31"/>
    <w:rsid w:val="2E293BF2"/>
    <w:rsid w:val="2E297871"/>
    <w:rsid w:val="2E2A1718"/>
    <w:rsid w:val="2E2A34DD"/>
    <w:rsid w:val="2E2B44BD"/>
    <w:rsid w:val="2E2C594D"/>
    <w:rsid w:val="2E2C6BA8"/>
    <w:rsid w:val="2E2E18F0"/>
    <w:rsid w:val="2E3031D3"/>
    <w:rsid w:val="2E307A24"/>
    <w:rsid w:val="2E312AA7"/>
    <w:rsid w:val="2E33112D"/>
    <w:rsid w:val="2E334A71"/>
    <w:rsid w:val="2E33681F"/>
    <w:rsid w:val="2E345428"/>
    <w:rsid w:val="2E346FDA"/>
    <w:rsid w:val="2E354194"/>
    <w:rsid w:val="2E357085"/>
    <w:rsid w:val="2E376E42"/>
    <w:rsid w:val="2E3A0EE3"/>
    <w:rsid w:val="2E3B56D4"/>
    <w:rsid w:val="2E3D35E2"/>
    <w:rsid w:val="2E3D58F0"/>
    <w:rsid w:val="2E3D68D2"/>
    <w:rsid w:val="2E3E03BD"/>
    <w:rsid w:val="2E425361"/>
    <w:rsid w:val="2E4511F3"/>
    <w:rsid w:val="2E4647A4"/>
    <w:rsid w:val="2E48665F"/>
    <w:rsid w:val="2E496043"/>
    <w:rsid w:val="2E497DF1"/>
    <w:rsid w:val="2E4A2548"/>
    <w:rsid w:val="2E4A6305"/>
    <w:rsid w:val="2E4C2910"/>
    <w:rsid w:val="2E505623"/>
    <w:rsid w:val="2E51499E"/>
    <w:rsid w:val="2E516BDC"/>
    <w:rsid w:val="2E527012"/>
    <w:rsid w:val="2E552C39"/>
    <w:rsid w:val="2E57641F"/>
    <w:rsid w:val="2E5C0DC7"/>
    <w:rsid w:val="2E5C271C"/>
    <w:rsid w:val="2E5F4906"/>
    <w:rsid w:val="2E5F5866"/>
    <w:rsid w:val="2E5F7614"/>
    <w:rsid w:val="2E60513A"/>
    <w:rsid w:val="2E607946"/>
    <w:rsid w:val="2E61338C"/>
    <w:rsid w:val="2E635445"/>
    <w:rsid w:val="2E650E2E"/>
    <w:rsid w:val="2E652F0D"/>
    <w:rsid w:val="2E694897"/>
    <w:rsid w:val="2E6B5FB9"/>
    <w:rsid w:val="2E6D7F83"/>
    <w:rsid w:val="2E6E173D"/>
    <w:rsid w:val="2E6E382B"/>
    <w:rsid w:val="2E6E5AA9"/>
    <w:rsid w:val="2E6F11C8"/>
    <w:rsid w:val="2E6F1761"/>
    <w:rsid w:val="2E6F24F6"/>
    <w:rsid w:val="2E7021F2"/>
    <w:rsid w:val="2E713D7E"/>
    <w:rsid w:val="2E730E6B"/>
    <w:rsid w:val="2E772BB0"/>
    <w:rsid w:val="2E782484"/>
    <w:rsid w:val="2E7859CD"/>
    <w:rsid w:val="2E7C0A53"/>
    <w:rsid w:val="2E7F1A64"/>
    <w:rsid w:val="2E8170D9"/>
    <w:rsid w:val="2E821554"/>
    <w:rsid w:val="2E857BE9"/>
    <w:rsid w:val="2E863561"/>
    <w:rsid w:val="2E87001F"/>
    <w:rsid w:val="2E871EC5"/>
    <w:rsid w:val="2E8811C8"/>
    <w:rsid w:val="2E8861C3"/>
    <w:rsid w:val="2E8A3797"/>
    <w:rsid w:val="2E8C4181"/>
    <w:rsid w:val="2E8C7518"/>
    <w:rsid w:val="2E8C7BEE"/>
    <w:rsid w:val="2E8E35A8"/>
    <w:rsid w:val="2E8E62C1"/>
    <w:rsid w:val="2E8F0D4A"/>
    <w:rsid w:val="2E913546"/>
    <w:rsid w:val="2E923AB6"/>
    <w:rsid w:val="2E935B33"/>
    <w:rsid w:val="2E944EB2"/>
    <w:rsid w:val="2E945DCC"/>
    <w:rsid w:val="2E96604C"/>
    <w:rsid w:val="2E992E0D"/>
    <w:rsid w:val="2E99332D"/>
    <w:rsid w:val="2E99384E"/>
    <w:rsid w:val="2E9B3506"/>
    <w:rsid w:val="2E9C2616"/>
    <w:rsid w:val="2E9E012C"/>
    <w:rsid w:val="2E9E0C07"/>
    <w:rsid w:val="2E9F0D46"/>
    <w:rsid w:val="2EA119DB"/>
    <w:rsid w:val="2EA3508F"/>
    <w:rsid w:val="2EA36A8C"/>
    <w:rsid w:val="2EA42B11"/>
    <w:rsid w:val="2EA43279"/>
    <w:rsid w:val="2EA72D69"/>
    <w:rsid w:val="2EA74B17"/>
    <w:rsid w:val="2EAA38DB"/>
    <w:rsid w:val="2EAB2859"/>
    <w:rsid w:val="2EB21E3A"/>
    <w:rsid w:val="2EB32116"/>
    <w:rsid w:val="2EB37960"/>
    <w:rsid w:val="2EB46A04"/>
    <w:rsid w:val="2EB536D8"/>
    <w:rsid w:val="2EB57234"/>
    <w:rsid w:val="2EB67A5C"/>
    <w:rsid w:val="2EB9097F"/>
    <w:rsid w:val="2EB931C8"/>
    <w:rsid w:val="2EBC05C2"/>
    <w:rsid w:val="2EBF00B3"/>
    <w:rsid w:val="2EBF4557"/>
    <w:rsid w:val="2EC03CB2"/>
    <w:rsid w:val="2EC13E2B"/>
    <w:rsid w:val="2EC15BD9"/>
    <w:rsid w:val="2EC502A8"/>
    <w:rsid w:val="2EC639EA"/>
    <w:rsid w:val="2ECC1AD7"/>
    <w:rsid w:val="2ECD6C74"/>
    <w:rsid w:val="2ECF360C"/>
    <w:rsid w:val="2ECF7305"/>
    <w:rsid w:val="2ED0406E"/>
    <w:rsid w:val="2ED26038"/>
    <w:rsid w:val="2ED3341D"/>
    <w:rsid w:val="2ED3590C"/>
    <w:rsid w:val="2ED42BAB"/>
    <w:rsid w:val="2ED553D9"/>
    <w:rsid w:val="2ED71629"/>
    <w:rsid w:val="2ED74F49"/>
    <w:rsid w:val="2ED753FC"/>
    <w:rsid w:val="2ED81174"/>
    <w:rsid w:val="2EDA310C"/>
    <w:rsid w:val="2EDA313F"/>
    <w:rsid w:val="2EDA4010"/>
    <w:rsid w:val="2EDC6EB7"/>
    <w:rsid w:val="2EDD69C9"/>
    <w:rsid w:val="2EDE49DD"/>
    <w:rsid w:val="2EE13AA5"/>
    <w:rsid w:val="2EE1755E"/>
    <w:rsid w:val="2EE316FC"/>
    <w:rsid w:val="2EE32F12"/>
    <w:rsid w:val="2EE47B19"/>
    <w:rsid w:val="2EE538D4"/>
    <w:rsid w:val="2EE63142"/>
    <w:rsid w:val="2EE6563F"/>
    <w:rsid w:val="2EEC3FC4"/>
    <w:rsid w:val="2EED2E72"/>
    <w:rsid w:val="2EEE2746"/>
    <w:rsid w:val="2EEF0EE8"/>
    <w:rsid w:val="2EEF6BEA"/>
    <w:rsid w:val="2EF0181A"/>
    <w:rsid w:val="2EF04710"/>
    <w:rsid w:val="2EF30CD1"/>
    <w:rsid w:val="2EF73BD8"/>
    <w:rsid w:val="2EF97A69"/>
    <w:rsid w:val="2EFA5A9E"/>
    <w:rsid w:val="2EFE6E2D"/>
    <w:rsid w:val="2EFF4953"/>
    <w:rsid w:val="2F002653"/>
    <w:rsid w:val="2F0106CB"/>
    <w:rsid w:val="2F012479"/>
    <w:rsid w:val="2F02792B"/>
    <w:rsid w:val="2F06102E"/>
    <w:rsid w:val="2F064CA1"/>
    <w:rsid w:val="2F087CAC"/>
    <w:rsid w:val="2F097580"/>
    <w:rsid w:val="2F0A7C9C"/>
    <w:rsid w:val="2F0B154A"/>
    <w:rsid w:val="2F0D52C2"/>
    <w:rsid w:val="2F0E5A28"/>
    <w:rsid w:val="2F1308B0"/>
    <w:rsid w:val="2F151A6E"/>
    <w:rsid w:val="2F163D9B"/>
    <w:rsid w:val="2F191EB9"/>
    <w:rsid w:val="2F1B1879"/>
    <w:rsid w:val="2F1C769F"/>
    <w:rsid w:val="2F2039F6"/>
    <w:rsid w:val="2F223BD8"/>
    <w:rsid w:val="2F2324AC"/>
    <w:rsid w:val="2F2A29E2"/>
    <w:rsid w:val="2F2A4E8F"/>
    <w:rsid w:val="2F2D5E03"/>
    <w:rsid w:val="2F3000AA"/>
    <w:rsid w:val="2F323F98"/>
    <w:rsid w:val="2F324D29"/>
    <w:rsid w:val="2F335E2A"/>
    <w:rsid w:val="2F3445FD"/>
    <w:rsid w:val="2F363C4A"/>
    <w:rsid w:val="2F391C13"/>
    <w:rsid w:val="2F394C9E"/>
    <w:rsid w:val="2F3965BF"/>
    <w:rsid w:val="2F3C7955"/>
    <w:rsid w:val="2F3D2418"/>
    <w:rsid w:val="2F3E191F"/>
    <w:rsid w:val="2F3F11F4"/>
    <w:rsid w:val="2F3F7C04"/>
    <w:rsid w:val="2F414F6C"/>
    <w:rsid w:val="2F430CE4"/>
    <w:rsid w:val="2F432A1A"/>
    <w:rsid w:val="2F45680A"/>
    <w:rsid w:val="2F471420"/>
    <w:rsid w:val="2F4772C6"/>
    <w:rsid w:val="2F49576C"/>
    <w:rsid w:val="2F495C8D"/>
    <w:rsid w:val="2F4B49E0"/>
    <w:rsid w:val="2F4B5DEA"/>
    <w:rsid w:val="2F4F1437"/>
    <w:rsid w:val="2F505525"/>
    <w:rsid w:val="2F5073C2"/>
    <w:rsid w:val="2F522CD5"/>
    <w:rsid w:val="2F5375B5"/>
    <w:rsid w:val="2F542EF1"/>
    <w:rsid w:val="2F546A4D"/>
    <w:rsid w:val="2F5527C5"/>
    <w:rsid w:val="2F556052"/>
    <w:rsid w:val="2F560A17"/>
    <w:rsid w:val="2F563FC4"/>
    <w:rsid w:val="2F5661E0"/>
    <w:rsid w:val="2F566C69"/>
    <w:rsid w:val="2F57098B"/>
    <w:rsid w:val="2F57653D"/>
    <w:rsid w:val="2F5B483E"/>
    <w:rsid w:val="2F5C7FF7"/>
    <w:rsid w:val="2F5D1795"/>
    <w:rsid w:val="2F5E167A"/>
    <w:rsid w:val="2F601896"/>
    <w:rsid w:val="2F60777F"/>
    <w:rsid w:val="2F631C4A"/>
    <w:rsid w:val="2F633134"/>
    <w:rsid w:val="2F650C5A"/>
    <w:rsid w:val="2F6534D3"/>
    <w:rsid w:val="2F65383E"/>
    <w:rsid w:val="2F6628DC"/>
    <w:rsid w:val="2F662DFD"/>
    <w:rsid w:val="2F666780"/>
    <w:rsid w:val="2F68074A"/>
    <w:rsid w:val="2F6F0B8C"/>
    <w:rsid w:val="2F70425D"/>
    <w:rsid w:val="2F7075FF"/>
    <w:rsid w:val="2F712264"/>
    <w:rsid w:val="2F740E9D"/>
    <w:rsid w:val="2F7431E9"/>
    <w:rsid w:val="2F7572F8"/>
    <w:rsid w:val="2F77273B"/>
    <w:rsid w:val="2F7A262F"/>
    <w:rsid w:val="2F7B047E"/>
    <w:rsid w:val="2F803CE6"/>
    <w:rsid w:val="2F807842"/>
    <w:rsid w:val="2F8209AE"/>
    <w:rsid w:val="2F830643"/>
    <w:rsid w:val="2F8530AA"/>
    <w:rsid w:val="2F882B9B"/>
    <w:rsid w:val="2F893CAE"/>
    <w:rsid w:val="2F8B2E0E"/>
    <w:rsid w:val="2F8C0B2E"/>
    <w:rsid w:val="2F8F1EDE"/>
    <w:rsid w:val="2F911A4F"/>
    <w:rsid w:val="2F93021B"/>
    <w:rsid w:val="2F963509"/>
    <w:rsid w:val="2F990904"/>
    <w:rsid w:val="2F996B56"/>
    <w:rsid w:val="2F9D5718"/>
    <w:rsid w:val="2F9D679E"/>
    <w:rsid w:val="2F9E416C"/>
    <w:rsid w:val="2F9E6A4D"/>
    <w:rsid w:val="2F9F4D71"/>
    <w:rsid w:val="2FA002AC"/>
    <w:rsid w:val="2FA1668B"/>
    <w:rsid w:val="2FA21B63"/>
    <w:rsid w:val="2FA22A33"/>
    <w:rsid w:val="2FA430DC"/>
    <w:rsid w:val="2FA554FB"/>
    <w:rsid w:val="2FA63021"/>
    <w:rsid w:val="2FA653B8"/>
    <w:rsid w:val="2FAA48BF"/>
    <w:rsid w:val="2FAB0637"/>
    <w:rsid w:val="2FAB1F8E"/>
    <w:rsid w:val="2FAF6436"/>
    <w:rsid w:val="2FB04AC6"/>
    <w:rsid w:val="2FB27C17"/>
    <w:rsid w:val="2FB44AFF"/>
    <w:rsid w:val="2FB47769"/>
    <w:rsid w:val="2FB72249"/>
    <w:rsid w:val="2FB7522E"/>
    <w:rsid w:val="2FBA0ACE"/>
    <w:rsid w:val="2FBC62A5"/>
    <w:rsid w:val="2FC11C09"/>
    <w:rsid w:val="2FC20250"/>
    <w:rsid w:val="2FC242FE"/>
    <w:rsid w:val="2FC260AC"/>
    <w:rsid w:val="2FC31E25"/>
    <w:rsid w:val="2FC40BB7"/>
    <w:rsid w:val="2FC516F9"/>
    <w:rsid w:val="2FC5794B"/>
    <w:rsid w:val="2FCA4F61"/>
    <w:rsid w:val="2FCE7E34"/>
    <w:rsid w:val="2FD01CE8"/>
    <w:rsid w:val="2FD04090"/>
    <w:rsid w:val="2FD45DE0"/>
    <w:rsid w:val="2FD47B8E"/>
    <w:rsid w:val="2FD6122A"/>
    <w:rsid w:val="2FD63906"/>
    <w:rsid w:val="2FD92D9A"/>
    <w:rsid w:val="2FDA6979"/>
    <w:rsid w:val="2FDB53C0"/>
    <w:rsid w:val="2FDC392C"/>
    <w:rsid w:val="2FDC6F0D"/>
    <w:rsid w:val="2FDD2A14"/>
    <w:rsid w:val="2FDD4EC8"/>
    <w:rsid w:val="2FE129ED"/>
    <w:rsid w:val="2FE1667D"/>
    <w:rsid w:val="2FE34275"/>
    <w:rsid w:val="2FE53B49"/>
    <w:rsid w:val="2FE80B7C"/>
    <w:rsid w:val="2FE9188B"/>
    <w:rsid w:val="2FEA115F"/>
    <w:rsid w:val="2FEA669B"/>
    <w:rsid w:val="2FEA73B1"/>
    <w:rsid w:val="2FEB727A"/>
    <w:rsid w:val="2FEE50F3"/>
    <w:rsid w:val="2FEE6EA1"/>
    <w:rsid w:val="2FF10740"/>
    <w:rsid w:val="2FF10FEC"/>
    <w:rsid w:val="2FF3270A"/>
    <w:rsid w:val="2FF62085"/>
    <w:rsid w:val="2FF62EF3"/>
    <w:rsid w:val="2FF63413"/>
    <w:rsid w:val="2FF7281C"/>
    <w:rsid w:val="2FFE39BA"/>
    <w:rsid w:val="30006BD5"/>
    <w:rsid w:val="300264A9"/>
    <w:rsid w:val="30052AD8"/>
    <w:rsid w:val="300761B5"/>
    <w:rsid w:val="30085A89"/>
    <w:rsid w:val="30091416"/>
    <w:rsid w:val="300A7A53"/>
    <w:rsid w:val="300C37CC"/>
    <w:rsid w:val="300D4E4E"/>
    <w:rsid w:val="300E7B64"/>
    <w:rsid w:val="3011493E"/>
    <w:rsid w:val="301306B6"/>
    <w:rsid w:val="30136908"/>
    <w:rsid w:val="30143FC3"/>
    <w:rsid w:val="301461DC"/>
    <w:rsid w:val="30161F54"/>
    <w:rsid w:val="30183F1E"/>
    <w:rsid w:val="30185CCC"/>
    <w:rsid w:val="30195E69"/>
    <w:rsid w:val="30195EF5"/>
    <w:rsid w:val="301C3A83"/>
    <w:rsid w:val="30202DD3"/>
    <w:rsid w:val="302047D7"/>
    <w:rsid w:val="3022068C"/>
    <w:rsid w:val="302208F9"/>
    <w:rsid w:val="30240B15"/>
    <w:rsid w:val="30263F71"/>
    <w:rsid w:val="30273B58"/>
    <w:rsid w:val="30281C88"/>
    <w:rsid w:val="3028480B"/>
    <w:rsid w:val="30295295"/>
    <w:rsid w:val="30297EDA"/>
    <w:rsid w:val="302A28F2"/>
    <w:rsid w:val="302B0468"/>
    <w:rsid w:val="302C362B"/>
    <w:rsid w:val="30304AFC"/>
    <w:rsid w:val="30313418"/>
    <w:rsid w:val="30314FE0"/>
    <w:rsid w:val="30330D58"/>
    <w:rsid w:val="303339A4"/>
    <w:rsid w:val="3034552F"/>
    <w:rsid w:val="30355669"/>
    <w:rsid w:val="3038518C"/>
    <w:rsid w:val="30395C43"/>
    <w:rsid w:val="303A20E7"/>
    <w:rsid w:val="303E14AB"/>
    <w:rsid w:val="303E76E8"/>
    <w:rsid w:val="30405935"/>
    <w:rsid w:val="30406FD1"/>
    <w:rsid w:val="30416AFF"/>
    <w:rsid w:val="304170CB"/>
    <w:rsid w:val="30450A8C"/>
    <w:rsid w:val="304765B2"/>
    <w:rsid w:val="3049057C"/>
    <w:rsid w:val="3049232A"/>
    <w:rsid w:val="304940D8"/>
    <w:rsid w:val="30496D38"/>
    <w:rsid w:val="304C191E"/>
    <w:rsid w:val="304C1E1A"/>
    <w:rsid w:val="304F36B8"/>
    <w:rsid w:val="30504DAF"/>
    <w:rsid w:val="305111DE"/>
    <w:rsid w:val="30517430"/>
    <w:rsid w:val="30534F57"/>
    <w:rsid w:val="305556AB"/>
    <w:rsid w:val="30562C99"/>
    <w:rsid w:val="30564A47"/>
    <w:rsid w:val="30567DEF"/>
    <w:rsid w:val="305A152E"/>
    <w:rsid w:val="305A67C1"/>
    <w:rsid w:val="305B3E0B"/>
    <w:rsid w:val="305D1E53"/>
    <w:rsid w:val="305D7B83"/>
    <w:rsid w:val="305F31A1"/>
    <w:rsid w:val="30601421"/>
    <w:rsid w:val="306058C5"/>
    <w:rsid w:val="30640F12"/>
    <w:rsid w:val="30646375"/>
    <w:rsid w:val="30676C54"/>
    <w:rsid w:val="306A4800"/>
    <w:rsid w:val="306E3B3E"/>
    <w:rsid w:val="306F0EA2"/>
    <w:rsid w:val="306F78B6"/>
    <w:rsid w:val="307153DD"/>
    <w:rsid w:val="30717AD3"/>
    <w:rsid w:val="30731155"/>
    <w:rsid w:val="30754AC4"/>
    <w:rsid w:val="30755617"/>
    <w:rsid w:val="30760C45"/>
    <w:rsid w:val="3076564F"/>
    <w:rsid w:val="307849BD"/>
    <w:rsid w:val="30797F80"/>
    <w:rsid w:val="307A24E3"/>
    <w:rsid w:val="307B44AD"/>
    <w:rsid w:val="307B625B"/>
    <w:rsid w:val="307F5D4C"/>
    <w:rsid w:val="30827E68"/>
    <w:rsid w:val="308415B4"/>
    <w:rsid w:val="30872E52"/>
    <w:rsid w:val="3088223C"/>
    <w:rsid w:val="308B51BC"/>
    <w:rsid w:val="308B5380"/>
    <w:rsid w:val="308B70BE"/>
    <w:rsid w:val="308F0A11"/>
    <w:rsid w:val="30901D07"/>
    <w:rsid w:val="30903E92"/>
    <w:rsid w:val="30915A7F"/>
    <w:rsid w:val="309317F7"/>
    <w:rsid w:val="30963095"/>
    <w:rsid w:val="3098247E"/>
    <w:rsid w:val="30987E7D"/>
    <w:rsid w:val="309A4AC4"/>
    <w:rsid w:val="309D0A69"/>
    <w:rsid w:val="309F63EE"/>
    <w:rsid w:val="30A13115"/>
    <w:rsid w:val="30A14682"/>
    <w:rsid w:val="30A47041"/>
    <w:rsid w:val="30A62A90"/>
    <w:rsid w:val="30A76A5E"/>
    <w:rsid w:val="30AB5338"/>
    <w:rsid w:val="30B129B4"/>
    <w:rsid w:val="30B15953"/>
    <w:rsid w:val="30B17ECF"/>
    <w:rsid w:val="30B26121"/>
    <w:rsid w:val="30B31E99"/>
    <w:rsid w:val="30B33C47"/>
    <w:rsid w:val="30B359F5"/>
    <w:rsid w:val="30B5176D"/>
    <w:rsid w:val="30B54058"/>
    <w:rsid w:val="30B55C11"/>
    <w:rsid w:val="30B570CD"/>
    <w:rsid w:val="30B57CC4"/>
    <w:rsid w:val="30B72950"/>
    <w:rsid w:val="30B86170"/>
    <w:rsid w:val="30B874AF"/>
    <w:rsid w:val="30B978AD"/>
    <w:rsid w:val="30BA0288"/>
    <w:rsid w:val="30BD6874"/>
    <w:rsid w:val="30BF7988"/>
    <w:rsid w:val="30C145B6"/>
    <w:rsid w:val="30C2069C"/>
    <w:rsid w:val="30C35DBF"/>
    <w:rsid w:val="30C37557"/>
    <w:rsid w:val="30C761C5"/>
    <w:rsid w:val="30C827FD"/>
    <w:rsid w:val="30C916BD"/>
    <w:rsid w:val="30CA430C"/>
    <w:rsid w:val="30D047F9"/>
    <w:rsid w:val="30D156C0"/>
    <w:rsid w:val="30D26997"/>
    <w:rsid w:val="30D32C5B"/>
    <w:rsid w:val="30D332F3"/>
    <w:rsid w:val="30D37E45"/>
    <w:rsid w:val="30D53BBD"/>
    <w:rsid w:val="30D73A01"/>
    <w:rsid w:val="30D74875"/>
    <w:rsid w:val="30D8347E"/>
    <w:rsid w:val="30DA5678"/>
    <w:rsid w:val="30DC039F"/>
    <w:rsid w:val="30DC13F0"/>
    <w:rsid w:val="30DD6F16"/>
    <w:rsid w:val="30DE2356"/>
    <w:rsid w:val="30DF4A3C"/>
    <w:rsid w:val="30E16A06"/>
    <w:rsid w:val="30E20088"/>
    <w:rsid w:val="30E31097"/>
    <w:rsid w:val="30E42053"/>
    <w:rsid w:val="30E6401D"/>
    <w:rsid w:val="30E65649"/>
    <w:rsid w:val="30E8458E"/>
    <w:rsid w:val="30E958BB"/>
    <w:rsid w:val="30EB518F"/>
    <w:rsid w:val="30ED2F06"/>
    <w:rsid w:val="30ED387E"/>
    <w:rsid w:val="30ED5CF7"/>
    <w:rsid w:val="30EE2ED1"/>
    <w:rsid w:val="30EF220B"/>
    <w:rsid w:val="30F0307F"/>
    <w:rsid w:val="30F50609"/>
    <w:rsid w:val="30F57DBC"/>
    <w:rsid w:val="30F62BBB"/>
    <w:rsid w:val="30F67D93"/>
    <w:rsid w:val="30F720DE"/>
    <w:rsid w:val="30F77AE2"/>
    <w:rsid w:val="30F77FD8"/>
    <w:rsid w:val="30FA3624"/>
    <w:rsid w:val="30FC601A"/>
    <w:rsid w:val="30FD1934"/>
    <w:rsid w:val="30FD3114"/>
    <w:rsid w:val="30FD4EC2"/>
    <w:rsid w:val="30FD74F6"/>
    <w:rsid w:val="30FE2C27"/>
    <w:rsid w:val="30FF50DE"/>
    <w:rsid w:val="31032B8E"/>
    <w:rsid w:val="3103697D"/>
    <w:rsid w:val="31046251"/>
    <w:rsid w:val="31067AB6"/>
    <w:rsid w:val="310821E5"/>
    <w:rsid w:val="310A747F"/>
    <w:rsid w:val="310B5831"/>
    <w:rsid w:val="310C50F1"/>
    <w:rsid w:val="310C55BA"/>
    <w:rsid w:val="310D5422"/>
    <w:rsid w:val="310F3573"/>
    <w:rsid w:val="3112096E"/>
    <w:rsid w:val="31124E12"/>
    <w:rsid w:val="31132938"/>
    <w:rsid w:val="3113704A"/>
    <w:rsid w:val="3115220C"/>
    <w:rsid w:val="3116652B"/>
    <w:rsid w:val="3118389A"/>
    <w:rsid w:val="311A046D"/>
    <w:rsid w:val="311B0376"/>
    <w:rsid w:val="311D449B"/>
    <w:rsid w:val="311F308B"/>
    <w:rsid w:val="3120304B"/>
    <w:rsid w:val="31210BB1"/>
    <w:rsid w:val="31213A03"/>
    <w:rsid w:val="31232B7B"/>
    <w:rsid w:val="31241EB0"/>
    <w:rsid w:val="312468F3"/>
    <w:rsid w:val="31253A1B"/>
    <w:rsid w:val="31271F3F"/>
    <w:rsid w:val="31273D62"/>
    <w:rsid w:val="31283ADD"/>
    <w:rsid w:val="31283AF1"/>
    <w:rsid w:val="31291C17"/>
    <w:rsid w:val="312E1520"/>
    <w:rsid w:val="313136FF"/>
    <w:rsid w:val="31327262"/>
    <w:rsid w:val="3134418D"/>
    <w:rsid w:val="3137414F"/>
    <w:rsid w:val="31374D51"/>
    <w:rsid w:val="3138414C"/>
    <w:rsid w:val="313849E6"/>
    <w:rsid w:val="313861B6"/>
    <w:rsid w:val="31396DA0"/>
    <w:rsid w:val="313A1C72"/>
    <w:rsid w:val="313A3321"/>
    <w:rsid w:val="313A7EC4"/>
    <w:rsid w:val="313C284C"/>
    <w:rsid w:val="313E1763"/>
    <w:rsid w:val="313F45C2"/>
    <w:rsid w:val="3140197F"/>
    <w:rsid w:val="31411253"/>
    <w:rsid w:val="31440ED2"/>
    <w:rsid w:val="31457A4F"/>
    <w:rsid w:val="31460307"/>
    <w:rsid w:val="31466869"/>
    <w:rsid w:val="3146700D"/>
    <w:rsid w:val="314676D2"/>
    <w:rsid w:val="31470EF5"/>
    <w:rsid w:val="31496359"/>
    <w:rsid w:val="314B0324"/>
    <w:rsid w:val="314B0464"/>
    <w:rsid w:val="314B3E80"/>
    <w:rsid w:val="314B7A89"/>
    <w:rsid w:val="314D409C"/>
    <w:rsid w:val="314E6F14"/>
    <w:rsid w:val="31501496"/>
    <w:rsid w:val="31503085"/>
    <w:rsid w:val="31523460"/>
    <w:rsid w:val="3153318E"/>
    <w:rsid w:val="31540F86"/>
    <w:rsid w:val="31556AAC"/>
    <w:rsid w:val="31576CC8"/>
    <w:rsid w:val="31594282"/>
    <w:rsid w:val="315C42DF"/>
    <w:rsid w:val="315C608D"/>
    <w:rsid w:val="315C6645"/>
    <w:rsid w:val="315C66BB"/>
    <w:rsid w:val="315E0057"/>
    <w:rsid w:val="315F792B"/>
    <w:rsid w:val="31605B7D"/>
    <w:rsid w:val="31613D60"/>
    <w:rsid w:val="31620028"/>
    <w:rsid w:val="3163741B"/>
    <w:rsid w:val="31642EB0"/>
    <w:rsid w:val="31644F41"/>
    <w:rsid w:val="31660CB9"/>
    <w:rsid w:val="31661DFE"/>
    <w:rsid w:val="31673B61"/>
    <w:rsid w:val="316867E0"/>
    <w:rsid w:val="31692558"/>
    <w:rsid w:val="316A69FC"/>
    <w:rsid w:val="316D3DF6"/>
    <w:rsid w:val="316D5522"/>
    <w:rsid w:val="31711667"/>
    <w:rsid w:val="31721C5E"/>
    <w:rsid w:val="31727625"/>
    <w:rsid w:val="31757D2D"/>
    <w:rsid w:val="31771119"/>
    <w:rsid w:val="31772EC7"/>
    <w:rsid w:val="3178368F"/>
    <w:rsid w:val="317A4765"/>
    <w:rsid w:val="317A71A9"/>
    <w:rsid w:val="317C04DD"/>
    <w:rsid w:val="317E0480"/>
    <w:rsid w:val="317E6003"/>
    <w:rsid w:val="317F3B29"/>
    <w:rsid w:val="31800F82"/>
    <w:rsid w:val="31817793"/>
    <w:rsid w:val="3183186B"/>
    <w:rsid w:val="31833AED"/>
    <w:rsid w:val="31837ABD"/>
    <w:rsid w:val="31886E82"/>
    <w:rsid w:val="31894E52"/>
    <w:rsid w:val="318D26EA"/>
    <w:rsid w:val="318F109E"/>
    <w:rsid w:val="318F2491"/>
    <w:rsid w:val="31905D36"/>
    <w:rsid w:val="319121DA"/>
    <w:rsid w:val="31927D00"/>
    <w:rsid w:val="31976DC4"/>
    <w:rsid w:val="319770C5"/>
    <w:rsid w:val="31981EB0"/>
    <w:rsid w:val="3199491A"/>
    <w:rsid w:val="319A04BE"/>
    <w:rsid w:val="319E0453"/>
    <w:rsid w:val="31A16195"/>
    <w:rsid w:val="31A203EF"/>
    <w:rsid w:val="31A35A6A"/>
    <w:rsid w:val="31A36B64"/>
    <w:rsid w:val="31A87524"/>
    <w:rsid w:val="31AB0719"/>
    <w:rsid w:val="31AF440F"/>
    <w:rsid w:val="31B00187"/>
    <w:rsid w:val="31B04B2F"/>
    <w:rsid w:val="31B23EFF"/>
    <w:rsid w:val="31B274B4"/>
    <w:rsid w:val="31B46F9B"/>
    <w:rsid w:val="31B5579D"/>
    <w:rsid w:val="31B614E7"/>
    <w:rsid w:val="31B61C41"/>
    <w:rsid w:val="31B732C3"/>
    <w:rsid w:val="31BA0817"/>
    <w:rsid w:val="31BB1005"/>
    <w:rsid w:val="31BC4D7D"/>
    <w:rsid w:val="31BF4115"/>
    <w:rsid w:val="31C0661C"/>
    <w:rsid w:val="31C33082"/>
    <w:rsid w:val="31C641E9"/>
    <w:rsid w:val="31C7558F"/>
    <w:rsid w:val="31C75B74"/>
    <w:rsid w:val="31C75BFC"/>
    <w:rsid w:val="31C94DA7"/>
    <w:rsid w:val="31C97E3A"/>
    <w:rsid w:val="31CB6BCB"/>
    <w:rsid w:val="31CD2AE7"/>
    <w:rsid w:val="31CD3F1D"/>
    <w:rsid w:val="31CF2D03"/>
    <w:rsid w:val="31D07929"/>
    <w:rsid w:val="31D10829"/>
    <w:rsid w:val="31D16A7B"/>
    <w:rsid w:val="31D2634F"/>
    <w:rsid w:val="31D323C7"/>
    <w:rsid w:val="31D574D0"/>
    <w:rsid w:val="31D64091"/>
    <w:rsid w:val="31D772B9"/>
    <w:rsid w:val="31D92BDB"/>
    <w:rsid w:val="31D945AB"/>
    <w:rsid w:val="31DD7AF9"/>
    <w:rsid w:val="31E00A6C"/>
    <w:rsid w:val="31E22A36"/>
    <w:rsid w:val="31E42322"/>
    <w:rsid w:val="31E5120A"/>
    <w:rsid w:val="31E51A96"/>
    <w:rsid w:val="31E60CE9"/>
    <w:rsid w:val="31E651EC"/>
    <w:rsid w:val="31E85B72"/>
    <w:rsid w:val="31EE13DB"/>
    <w:rsid w:val="31EF6F01"/>
    <w:rsid w:val="31F42769"/>
    <w:rsid w:val="31F42B5E"/>
    <w:rsid w:val="31F5271A"/>
    <w:rsid w:val="31F55564"/>
    <w:rsid w:val="31F75BE8"/>
    <w:rsid w:val="31F75DB5"/>
    <w:rsid w:val="31FB3AF8"/>
    <w:rsid w:val="31FC33CC"/>
    <w:rsid w:val="31FE0694"/>
    <w:rsid w:val="31FE0EF2"/>
    <w:rsid w:val="31FE5924"/>
    <w:rsid w:val="320504D2"/>
    <w:rsid w:val="3207249C"/>
    <w:rsid w:val="32072B0C"/>
    <w:rsid w:val="32075FF9"/>
    <w:rsid w:val="320873B3"/>
    <w:rsid w:val="320914EF"/>
    <w:rsid w:val="32096215"/>
    <w:rsid w:val="320C360F"/>
    <w:rsid w:val="320F30FF"/>
    <w:rsid w:val="32101599"/>
    <w:rsid w:val="32110C25"/>
    <w:rsid w:val="32116E77"/>
    <w:rsid w:val="321270E3"/>
    <w:rsid w:val="32130E41"/>
    <w:rsid w:val="32132BEF"/>
    <w:rsid w:val="32146967"/>
    <w:rsid w:val="32161171"/>
    <w:rsid w:val="321626E0"/>
    <w:rsid w:val="32170A33"/>
    <w:rsid w:val="32186662"/>
    <w:rsid w:val="32195D2C"/>
    <w:rsid w:val="321A3B53"/>
    <w:rsid w:val="321E3855"/>
    <w:rsid w:val="32202067"/>
    <w:rsid w:val="3220221C"/>
    <w:rsid w:val="32221084"/>
    <w:rsid w:val="32236BAB"/>
    <w:rsid w:val="3227494D"/>
    <w:rsid w:val="3227669B"/>
    <w:rsid w:val="322832D9"/>
    <w:rsid w:val="322841C1"/>
    <w:rsid w:val="322C1F03"/>
    <w:rsid w:val="322D73F8"/>
    <w:rsid w:val="322F72FD"/>
    <w:rsid w:val="3230372C"/>
    <w:rsid w:val="32316565"/>
    <w:rsid w:val="323245B1"/>
    <w:rsid w:val="3233551E"/>
    <w:rsid w:val="323808A8"/>
    <w:rsid w:val="323A4620"/>
    <w:rsid w:val="323D7C6C"/>
    <w:rsid w:val="3240150B"/>
    <w:rsid w:val="32425283"/>
    <w:rsid w:val="324421BF"/>
    <w:rsid w:val="324575EB"/>
    <w:rsid w:val="32472899"/>
    <w:rsid w:val="32473AFE"/>
    <w:rsid w:val="324874D0"/>
    <w:rsid w:val="32491A0D"/>
    <w:rsid w:val="324B0360"/>
    <w:rsid w:val="324B1648"/>
    <w:rsid w:val="324C0A51"/>
    <w:rsid w:val="324C0F72"/>
    <w:rsid w:val="324C4353"/>
    <w:rsid w:val="324D6FC8"/>
    <w:rsid w:val="324E1E79"/>
    <w:rsid w:val="3255145A"/>
    <w:rsid w:val="32560CAC"/>
    <w:rsid w:val="32586854"/>
    <w:rsid w:val="325A04F8"/>
    <w:rsid w:val="325A081E"/>
    <w:rsid w:val="325B6344"/>
    <w:rsid w:val="325D030E"/>
    <w:rsid w:val="325E4C4C"/>
    <w:rsid w:val="325F4087"/>
    <w:rsid w:val="32601BAD"/>
    <w:rsid w:val="32614465"/>
    <w:rsid w:val="32625925"/>
    <w:rsid w:val="326336E7"/>
    <w:rsid w:val="326351F9"/>
    <w:rsid w:val="326544D9"/>
    <w:rsid w:val="32674841"/>
    <w:rsid w:val="32683721"/>
    <w:rsid w:val="32690A61"/>
    <w:rsid w:val="32696CB3"/>
    <w:rsid w:val="326A0AD0"/>
    <w:rsid w:val="326A2A2B"/>
    <w:rsid w:val="326A47D9"/>
    <w:rsid w:val="326B33D8"/>
    <w:rsid w:val="326E42CA"/>
    <w:rsid w:val="326F71AB"/>
    <w:rsid w:val="32713DBA"/>
    <w:rsid w:val="32715B68"/>
    <w:rsid w:val="32747406"/>
    <w:rsid w:val="3276707E"/>
    <w:rsid w:val="327708BF"/>
    <w:rsid w:val="32780CA4"/>
    <w:rsid w:val="327B69E7"/>
    <w:rsid w:val="327D62BB"/>
    <w:rsid w:val="327E1B12"/>
    <w:rsid w:val="3284589B"/>
    <w:rsid w:val="328A2477"/>
    <w:rsid w:val="328B4E7C"/>
    <w:rsid w:val="328C29A2"/>
    <w:rsid w:val="328C597A"/>
    <w:rsid w:val="328D70FE"/>
    <w:rsid w:val="328E2276"/>
    <w:rsid w:val="32911D66"/>
    <w:rsid w:val="32992886"/>
    <w:rsid w:val="329A1673"/>
    <w:rsid w:val="329F4D04"/>
    <w:rsid w:val="32A0644D"/>
    <w:rsid w:val="32A16441"/>
    <w:rsid w:val="32A2020C"/>
    <w:rsid w:val="32A23F73"/>
    <w:rsid w:val="32A27CEB"/>
    <w:rsid w:val="32A36BD3"/>
    <w:rsid w:val="32A61AD2"/>
    <w:rsid w:val="32A777DC"/>
    <w:rsid w:val="32A81A27"/>
    <w:rsid w:val="32A822CF"/>
    <w:rsid w:val="32A8733C"/>
    <w:rsid w:val="32AB5B3C"/>
    <w:rsid w:val="32AC3044"/>
    <w:rsid w:val="32B0720F"/>
    <w:rsid w:val="32B11D6B"/>
    <w:rsid w:val="32B141B6"/>
    <w:rsid w:val="32B20E8F"/>
    <w:rsid w:val="32B32FBF"/>
    <w:rsid w:val="32B43E83"/>
    <w:rsid w:val="32B54A22"/>
    <w:rsid w:val="32B617CD"/>
    <w:rsid w:val="32B75C71"/>
    <w:rsid w:val="32B819E9"/>
    <w:rsid w:val="32B83797"/>
    <w:rsid w:val="32B900B2"/>
    <w:rsid w:val="32BA12BD"/>
    <w:rsid w:val="32BC0AA1"/>
    <w:rsid w:val="32BC21C9"/>
    <w:rsid w:val="32BE5531"/>
    <w:rsid w:val="32BF68D3"/>
    <w:rsid w:val="32C37971"/>
    <w:rsid w:val="32C51A10"/>
    <w:rsid w:val="32C60761"/>
    <w:rsid w:val="32C91500"/>
    <w:rsid w:val="32CB52DE"/>
    <w:rsid w:val="32CD79A3"/>
    <w:rsid w:val="32CE6520"/>
    <w:rsid w:val="32CE6A40"/>
    <w:rsid w:val="32D216CC"/>
    <w:rsid w:val="32D63C1D"/>
    <w:rsid w:val="32D700C1"/>
    <w:rsid w:val="32D87995"/>
    <w:rsid w:val="32DC13D3"/>
    <w:rsid w:val="32DC18F4"/>
    <w:rsid w:val="32DD144F"/>
    <w:rsid w:val="32DD7D9A"/>
    <w:rsid w:val="32DF2AD1"/>
    <w:rsid w:val="32E21B44"/>
    <w:rsid w:val="32E26A66"/>
    <w:rsid w:val="32E36F4F"/>
    <w:rsid w:val="32E4458C"/>
    <w:rsid w:val="32E4751B"/>
    <w:rsid w:val="32E93E5D"/>
    <w:rsid w:val="32EB76C8"/>
    <w:rsid w:val="32ED1692"/>
    <w:rsid w:val="32ED664A"/>
    <w:rsid w:val="32F03733"/>
    <w:rsid w:val="32F17035"/>
    <w:rsid w:val="32F30451"/>
    <w:rsid w:val="32F435DC"/>
    <w:rsid w:val="32F629D1"/>
    <w:rsid w:val="32F742BF"/>
    <w:rsid w:val="32F80037"/>
    <w:rsid w:val="32F961E9"/>
    <w:rsid w:val="32FB467E"/>
    <w:rsid w:val="32FC6139"/>
    <w:rsid w:val="32FE2CD7"/>
    <w:rsid w:val="32FE389F"/>
    <w:rsid w:val="32FE6FF2"/>
    <w:rsid w:val="32FF1A9B"/>
    <w:rsid w:val="33024F8D"/>
    <w:rsid w:val="3304078A"/>
    <w:rsid w:val="330674E5"/>
    <w:rsid w:val="3307101E"/>
    <w:rsid w:val="33087DBE"/>
    <w:rsid w:val="33093135"/>
    <w:rsid w:val="330B38C7"/>
    <w:rsid w:val="330B7D6A"/>
    <w:rsid w:val="330C174A"/>
    <w:rsid w:val="330D3AE3"/>
    <w:rsid w:val="33100032"/>
    <w:rsid w:val="33105381"/>
    <w:rsid w:val="33105E21"/>
    <w:rsid w:val="3312040E"/>
    <w:rsid w:val="3313178E"/>
    <w:rsid w:val="33145890"/>
    <w:rsid w:val="33154745"/>
    <w:rsid w:val="331623E5"/>
    <w:rsid w:val="331704BD"/>
    <w:rsid w:val="33174961"/>
    <w:rsid w:val="331A1D5C"/>
    <w:rsid w:val="331C3D26"/>
    <w:rsid w:val="331D61ED"/>
    <w:rsid w:val="331D77E2"/>
    <w:rsid w:val="33226E62"/>
    <w:rsid w:val="33250136"/>
    <w:rsid w:val="33266952"/>
    <w:rsid w:val="33296443"/>
    <w:rsid w:val="332C2451"/>
    <w:rsid w:val="332D2A48"/>
    <w:rsid w:val="332D5503"/>
    <w:rsid w:val="332D5F33"/>
    <w:rsid w:val="332D7CE1"/>
    <w:rsid w:val="332E3A59"/>
    <w:rsid w:val="332E4C5E"/>
    <w:rsid w:val="332E662C"/>
    <w:rsid w:val="333371EA"/>
    <w:rsid w:val="33337C2B"/>
    <w:rsid w:val="33346D74"/>
    <w:rsid w:val="33355F1C"/>
    <w:rsid w:val="333720E4"/>
    <w:rsid w:val="3337290D"/>
    <w:rsid w:val="33386B85"/>
    <w:rsid w:val="333A23FE"/>
    <w:rsid w:val="333C7F24"/>
    <w:rsid w:val="333D3C9C"/>
    <w:rsid w:val="3341553A"/>
    <w:rsid w:val="33447797"/>
    <w:rsid w:val="33452BAA"/>
    <w:rsid w:val="33473995"/>
    <w:rsid w:val="33494E33"/>
    <w:rsid w:val="334A0741"/>
    <w:rsid w:val="334E12BB"/>
    <w:rsid w:val="334E397C"/>
    <w:rsid w:val="33501C21"/>
    <w:rsid w:val="33503E39"/>
    <w:rsid w:val="33513918"/>
    <w:rsid w:val="33525999"/>
    <w:rsid w:val="335313EB"/>
    <w:rsid w:val="335334BF"/>
    <w:rsid w:val="33550153"/>
    <w:rsid w:val="33552D94"/>
    <w:rsid w:val="335631BA"/>
    <w:rsid w:val="33573EDC"/>
    <w:rsid w:val="33590AD6"/>
    <w:rsid w:val="335A484E"/>
    <w:rsid w:val="335B1D88"/>
    <w:rsid w:val="335C05C6"/>
    <w:rsid w:val="33615BDC"/>
    <w:rsid w:val="336472E3"/>
    <w:rsid w:val="336819E3"/>
    <w:rsid w:val="33684063"/>
    <w:rsid w:val="336B25B7"/>
    <w:rsid w:val="337068B0"/>
    <w:rsid w:val="33707BCD"/>
    <w:rsid w:val="33721B98"/>
    <w:rsid w:val="33727DEA"/>
    <w:rsid w:val="33751F41"/>
    <w:rsid w:val="33753436"/>
    <w:rsid w:val="33792F26"/>
    <w:rsid w:val="337A5C49"/>
    <w:rsid w:val="337C0B05"/>
    <w:rsid w:val="337C266D"/>
    <w:rsid w:val="337D69FA"/>
    <w:rsid w:val="337E22EA"/>
    <w:rsid w:val="337E77FB"/>
    <w:rsid w:val="337F42B4"/>
    <w:rsid w:val="338027AA"/>
    <w:rsid w:val="33837581"/>
    <w:rsid w:val="33857B1D"/>
    <w:rsid w:val="33863895"/>
    <w:rsid w:val="33867AAC"/>
    <w:rsid w:val="33890C8F"/>
    <w:rsid w:val="338C6450"/>
    <w:rsid w:val="338F0D78"/>
    <w:rsid w:val="33900270"/>
    <w:rsid w:val="33900364"/>
    <w:rsid w:val="33941A2F"/>
    <w:rsid w:val="33955886"/>
    <w:rsid w:val="33956111"/>
    <w:rsid w:val="33957634"/>
    <w:rsid w:val="33962D0D"/>
    <w:rsid w:val="339A00B5"/>
    <w:rsid w:val="339C09C3"/>
    <w:rsid w:val="339C6C14"/>
    <w:rsid w:val="339D0B11"/>
    <w:rsid w:val="339E298D"/>
    <w:rsid w:val="339F38EE"/>
    <w:rsid w:val="33A242B4"/>
    <w:rsid w:val="33A30E5F"/>
    <w:rsid w:val="33A476CA"/>
    <w:rsid w:val="33A71A8D"/>
    <w:rsid w:val="33A81C4F"/>
    <w:rsid w:val="33A855B9"/>
    <w:rsid w:val="33AA08AE"/>
    <w:rsid w:val="33AA4975"/>
    <w:rsid w:val="33AB0CEA"/>
    <w:rsid w:val="33AB7EFF"/>
    <w:rsid w:val="33AD497E"/>
    <w:rsid w:val="33AE06F6"/>
    <w:rsid w:val="33AE6A5E"/>
    <w:rsid w:val="33B10912"/>
    <w:rsid w:val="33B15961"/>
    <w:rsid w:val="33B4200D"/>
    <w:rsid w:val="33B63D56"/>
    <w:rsid w:val="33B757FC"/>
    <w:rsid w:val="33B828D3"/>
    <w:rsid w:val="33BA4B66"/>
    <w:rsid w:val="33BC094A"/>
    <w:rsid w:val="33BD3E8D"/>
    <w:rsid w:val="33BD4BD8"/>
    <w:rsid w:val="33BE4DDD"/>
    <w:rsid w:val="33BF137E"/>
    <w:rsid w:val="33C24F8B"/>
    <w:rsid w:val="33C323F3"/>
    <w:rsid w:val="33C543BD"/>
    <w:rsid w:val="33C5616B"/>
    <w:rsid w:val="33C639CE"/>
    <w:rsid w:val="33C645AB"/>
    <w:rsid w:val="33C6541B"/>
    <w:rsid w:val="33CC7ECB"/>
    <w:rsid w:val="33CD6DCE"/>
    <w:rsid w:val="33D30D10"/>
    <w:rsid w:val="33D501F0"/>
    <w:rsid w:val="33D756DA"/>
    <w:rsid w:val="33D75E9F"/>
    <w:rsid w:val="33D771D0"/>
    <w:rsid w:val="33D9561C"/>
    <w:rsid w:val="33DC6C00"/>
    <w:rsid w:val="33DD348B"/>
    <w:rsid w:val="33DF01AE"/>
    <w:rsid w:val="33DF6B01"/>
    <w:rsid w:val="33E0082A"/>
    <w:rsid w:val="33E12879"/>
    <w:rsid w:val="33E74334"/>
    <w:rsid w:val="33E81E5A"/>
    <w:rsid w:val="33EC194A"/>
    <w:rsid w:val="33EC7B9C"/>
    <w:rsid w:val="33EF143A"/>
    <w:rsid w:val="33F14691"/>
    <w:rsid w:val="33F16F60"/>
    <w:rsid w:val="33F20F2A"/>
    <w:rsid w:val="33F24D31"/>
    <w:rsid w:val="33F26834"/>
    <w:rsid w:val="33F64577"/>
    <w:rsid w:val="33F95E15"/>
    <w:rsid w:val="33F96236"/>
    <w:rsid w:val="33FB4AD5"/>
    <w:rsid w:val="33FF778B"/>
    <w:rsid w:val="340159EB"/>
    <w:rsid w:val="34056568"/>
    <w:rsid w:val="34060A77"/>
    <w:rsid w:val="340706E9"/>
    <w:rsid w:val="340B21E3"/>
    <w:rsid w:val="340C3D9A"/>
    <w:rsid w:val="340D25F3"/>
    <w:rsid w:val="340E1801"/>
    <w:rsid w:val="340E1ED8"/>
    <w:rsid w:val="340F73E6"/>
    <w:rsid w:val="3411315F"/>
    <w:rsid w:val="34160775"/>
    <w:rsid w:val="3417273F"/>
    <w:rsid w:val="34173AF7"/>
    <w:rsid w:val="341744ED"/>
    <w:rsid w:val="34180991"/>
    <w:rsid w:val="34191CF1"/>
    <w:rsid w:val="341B222F"/>
    <w:rsid w:val="341B5D8B"/>
    <w:rsid w:val="341C2C0D"/>
    <w:rsid w:val="341C77E4"/>
    <w:rsid w:val="341D068F"/>
    <w:rsid w:val="341D5FA7"/>
    <w:rsid w:val="341E7629"/>
    <w:rsid w:val="341F322A"/>
    <w:rsid w:val="34232234"/>
    <w:rsid w:val="342323F8"/>
    <w:rsid w:val="3423503E"/>
    <w:rsid w:val="34244FAB"/>
    <w:rsid w:val="34254E5C"/>
    <w:rsid w:val="342A73B3"/>
    <w:rsid w:val="342B1D46"/>
    <w:rsid w:val="342C1299"/>
    <w:rsid w:val="342C5A0F"/>
    <w:rsid w:val="342C7F98"/>
    <w:rsid w:val="342D3D09"/>
    <w:rsid w:val="342D3D10"/>
    <w:rsid w:val="342F3E2C"/>
    <w:rsid w:val="34310267"/>
    <w:rsid w:val="34375386"/>
    <w:rsid w:val="3439473C"/>
    <w:rsid w:val="343B467F"/>
    <w:rsid w:val="343B6F1E"/>
    <w:rsid w:val="343C4C08"/>
    <w:rsid w:val="343D1EB6"/>
    <w:rsid w:val="343D55E2"/>
    <w:rsid w:val="34425A0E"/>
    <w:rsid w:val="34433534"/>
    <w:rsid w:val="34476B80"/>
    <w:rsid w:val="344A2458"/>
    <w:rsid w:val="344A2B14"/>
    <w:rsid w:val="344D1295"/>
    <w:rsid w:val="344E7B44"/>
    <w:rsid w:val="344F012B"/>
    <w:rsid w:val="34513D87"/>
    <w:rsid w:val="3453206A"/>
    <w:rsid w:val="345474EF"/>
    <w:rsid w:val="34563267"/>
    <w:rsid w:val="34594B05"/>
    <w:rsid w:val="345968B4"/>
    <w:rsid w:val="345C2724"/>
    <w:rsid w:val="345F32D7"/>
    <w:rsid w:val="346054E9"/>
    <w:rsid w:val="34607E7E"/>
    <w:rsid w:val="34624301"/>
    <w:rsid w:val="34627E5E"/>
    <w:rsid w:val="34645984"/>
    <w:rsid w:val="34657CEE"/>
    <w:rsid w:val="34684D49"/>
    <w:rsid w:val="34695BBC"/>
    <w:rsid w:val="346A286F"/>
    <w:rsid w:val="346C1BF0"/>
    <w:rsid w:val="346E0078"/>
    <w:rsid w:val="346F4329"/>
    <w:rsid w:val="347100A1"/>
    <w:rsid w:val="34714439"/>
    <w:rsid w:val="34732316"/>
    <w:rsid w:val="347463FA"/>
    <w:rsid w:val="34780B0C"/>
    <w:rsid w:val="347831DE"/>
    <w:rsid w:val="34790D04"/>
    <w:rsid w:val="347B2CCE"/>
    <w:rsid w:val="347C5CA5"/>
    <w:rsid w:val="347D25A2"/>
    <w:rsid w:val="348002E4"/>
    <w:rsid w:val="34802092"/>
    <w:rsid w:val="3482405C"/>
    <w:rsid w:val="34825E0A"/>
    <w:rsid w:val="348428C3"/>
    <w:rsid w:val="3486019B"/>
    <w:rsid w:val="34873421"/>
    <w:rsid w:val="34880D58"/>
    <w:rsid w:val="348C0943"/>
    <w:rsid w:val="348F7A86"/>
    <w:rsid w:val="349124F1"/>
    <w:rsid w:val="34915B4D"/>
    <w:rsid w:val="3494296B"/>
    <w:rsid w:val="34951FE2"/>
    <w:rsid w:val="349A13A6"/>
    <w:rsid w:val="349B3370"/>
    <w:rsid w:val="349B5B94"/>
    <w:rsid w:val="349E4CF3"/>
    <w:rsid w:val="349F106B"/>
    <w:rsid w:val="349F1742"/>
    <w:rsid w:val="34A002BF"/>
    <w:rsid w:val="34A0062A"/>
    <w:rsid w:val="34A07D9E"/>
    <w:rsid w:val="34A252DA"/>
    <w:rsid w:val="34A50B71"/>
    <w:rsid w:val="34A9783B"/>
    <w:rsid w:val="34AA5361"/>
    <w:rsid w:val="34AC10D9"/>
    <w:rsid w:val="34AC6F65"/>
    <w:rsid w:val="34AE6BFF"/>
    <w:rsid w:val="34AF4725"/>
    <w:rsid w:val="34B00BC9"/>
    <w:rsid w:val="34B32468"/>
    <w:rsid w:val="34B326E0"/>
    <w:rsid w:val="34B34562"/>
    <w:rsid w:val="34BB30CA"/>
    <w:rsid w:val="34BB3A10"/>
    <w:rsid w:val="34BD32E6"/>
    <w:rsid w:val="34BD5279"/>
    <w:rsid w:val="34BE410B"/>
    <w:rsid w:val="34BE4682"/>
    <w:rsid w:val="34BF0E0C"/>
    <w:rsid w:val="34C11F07"/>
    <w:rsid w:val="34C16DC2"/>
    <w:rsid w:val="34C208FD"/>
    <w:rsid w:val="34C226AB"/>
    <w:rsid w:val="34C3033B"/>
    <w:rsid w:val="34C5786A"/>
    <w:rsid w:val="34C75F13"/>
    <w:rsid w:val="34C957E7"/>
    <w:rsid w:val="34CC52D7"/>
    <w:rsid w:val="34CF6B76"/>
    <w:rsid w:val="34D00132"/>
    <w:rsid w:val="34D126EC"/>
    <w:rsid w:val="34D30271"/>
    <w:rsid w:val="34D553A2"/>
    <w:rsid w:val="34D92233"/>
    <w:rsid w:val="34DA5C46"/>
    <w:rsid w:val="34DB0A44"/>
    <w:rsid w:val="34DB19BE"/>
    <w:rsid w:val="34DC5AF1"/>
    <w:rsid w:val="34DD74E5"/>
    <w:rsid w:val="34E1639F"/>
    <w:rsid w:val="34E16FD5"/>
    <w:rsid w:val="34E46DD3"/>
    <w:rsid w:val="34E61A2F"/>
    <w:rsid w:val="34EA39B0"/>
    <w:rsid w:val="34EB1C02"/>
    <w:rsid w:val="34EB7E53"/>
    <w:rsid w:val="34EC597A"/>
    <w:rsid w:val="34ED54E4"/>
    <w:rsid w:val="34ED70B4"/>
    <w:rsid w:val="34ED71D7"/>
    <w:rsid w:val="34EE16F2"/>
    <w:rsid w:val="34F00667"/>
    <w:rsid w:val="34F41174"/>
    <w:rsid w:val="34F53AC7"/>
    <w:rsid w:val="34F767AB"/>
    <w:rsid w:val="34F76B17"/>
    <w:rsid w:val="34F76CCC"/>
    <w:rsid w:val="34F82448"/>
    <w:rsid w:val="34F928A8"/>
    <w:rsid w:val="34FB5BBD"/>
    <w:rsid w:val="34FD5BD0"/>
    <w:rsid w:val="35011425"/>
    <w:rsid w:val="35037C34"/>
    <w:rsid w:val="350607E9"/>
    <w:rsid w:val="35066447"/>
    <w:rsid w:val="35074C9E"/>
    <w:rsid w:val="3509652C"/>
    <w:rsid w:val="350A21BF"/>
    <w:rsid w:val="350B22A4"/>
    <w:rsid w:val="350B5E00"/>
    <w:rsid w:val="350C3926"/>
    <w:rsid w:val="350C46FB"/>
    <w:rsid w:val="350E58F0"/>
    <w:rsid w:val="350E718F"/>
    <w:rsid w:val="35104158"/>
    <w:rsid w:val="35107297"/>
    <w:rsid w:val="3511718E"/>
    <w:rsid w:val="35125BC0"/>
    <w:rsid w:val="35134CB4"/>
    <w:rsid w:val="35150A2C"/>
    <w:rsid w:val="35152498"/>
    <w:rsid w:val="35154ED0"/>
    <w:rsid w:val="35156C7E"/>
    <w:rsid w:val="351647A5"/>
    <w:rsid w:val="351729F7"/>
    <w:rsid w:val="351739D3"/>
    <w:rsid w:val="3518051D"/>
    <w:rsid w:val="3518676F"/>
    <w:rsid w:val="351A18B0"/>
    <w:rsid w:val="351A24E7"/>
    <w:rsid w:val="351C625F"/>
    <w:rsid w:val="351D3D85"/>
    <w:rsid w:val="351E2BED"/>
    <w:rsid w:val="351F18AB"/>
    <w:rsid w:val="352011B6"/>
    <w:rsid w:val="3522586C"/>
    <w:rsid w:val="352263E9"/>
    <w:rsid w:val="35226619"/>
    <w:rsid w:val="35244BBE"/>
    <w:rsid w:val="352549E8"/>
    <w:rsid w:val="352670DE"/>
    <w:rsid w:val="35282378"/>
    <w:rsid w:val="352A3E47"/>
    <w:rsid w:val="352B4654"/>
    <w:rsid w:val="352E40EE"/>
    <w:rsid w:val="3530056A"/>
    <w:rsid w:val="35301161"/>
    <w:rsid w:val="35301D0A"/>
    <w:rsid w:val="35325A82"/>
    <w:rsid w:val="35327830"/>
    <w:rsid w:val="35335357"/>
    <w:rsid w:val="353431B1"/>
    <w:rsid w:val="353510CF"/>
    <w:rsid w:val="35353F14"/>
    <w:rsid w:val="3537465F"/>
    <w:rsid w:val="35386E11"/>
    <w:rsid w:val="353B2170"/>
    <w:rsid w:val="353C16BC"/>
    <w:rsid w:val="353C420B"/>
    <w:rsid w:val="353F2671"/>
    <w:rsid w:val="353F5AA9"/>
    <w:rsid w:val="35410E83"/>
    <w:rsid w:val="35441312"/>
    <w:rsid w:val="35445961"/>
    <w:rsid w:val="354475BF"/>
    <w:rsid w:val="35470DB7"/>
    <w:rsid w:val="35470F7B"/>
    <w:rsid w:val="35487054"/>
    <w:rsid w:val="354B6B44"/>
    <w:rsid w:val="354D6418"/>
    <w:rsid w:val="354E2190"/>
    <w:rsid w:val="354E3F3E"/>
    <w:rsid w:val="354F3B80"/>
    <w:rsid w:val="35511985"/>
    <w:rsid w:val="355157DD"/>
    <w:rsid w:val="355161BF"/>
    <w:rsid w:val="3551636C"/>
    <w:rsid w:val="35521C81"/>
    <w:rsid w:val="35586B6B"/>
    <w:rsid w:val="355B7F36"/>
    <w:rsid w:val="355C0AD5"/>
    <w:rsid w:val="355C621F"/>
    <w:rsid w:val="355F0D2B"/>
    <w:rsid w:val="355F7EFA"/>
    <w:rsid w:val="35610116"/>
    <w:rsid w:val="35635C3C"/>
    <w:rsid w:val="35643762"/>
    <w:rsid w:val="35643950"/>
    <w:rsid w:val="356660A7"/>
    <w:rsid w:val="35675000"/>
    <w:rsid w:val="35683814"/>
    <w:rsid w:val="356924AC"/>
    <w:rsid w:val="35695279"/>
    <w:rsid w:val="356A12DA"/>
    <w:rsid w:val="356A7D59"/>
    <w:rsid w:val="356B0EA6"/>
    <w:rsid w:val="356B2D42"/>
    <w:rsid w:val="356C2617"/>
    <w:rsid w:val="356D4F9D"/>
    <w:rsid w:val="356E2833"/>
    <w:rsid w:val="356E45E1"/>
    <w:rsid w:val="356E638F"/>
    <w:rsid w:val="35705CCE"/>
    <w:rsid w:val="35727C2D"/>
    <w:rsid w:val="357339A5"/>
    <w:rsid w:val="357678AA"/>
    <w:rsid w:val="35780FBB"/>
    <w:rsid w:val="357B28D6"/>
    <w:rsid w:val="357B43B6"/>
    <w:rsid w:val="357C4F4F"/>
    <w:rsid w:val="357C6CFE"/>
    <w:rsid w:val="357D4824"/>
    <w:rsid w:val="358076BB"/>
    <w:rsid w:val="358362DE"/>
    <w:rsid w:val="35867B7C"/>
    <w:rsid w:val="35885AF5"/>
    <w:rsid w:val="358949DD"/>
    <w:rsid w:val="35894EFE"/>
    <w:rsid w:val="358B0CEF"/>
    <w:rsid w:val="358B5193"/>
    <w:rsid w:val="358D4A67"/>
    <w:rsid w:val="358E5AF3"/>
    <w:rsid w:val="359207AA"/>
    <w:rsid w:val="35935DF5"/>
    <w:rsid w:val="35942299"/>
    <w:rsid w:val="3594516C"/>
    <w:rsid w:val="35957DBF"/>
    <w:rsid w:val="359619A5"/>
    <w:rsid w:val="359978AF"/>
    <w:rsid w:val="359A03B9"/>
    <w:rsid w:val="359D0C08"/>
    <w:rsid w:val="359E5308"/>
    <w:rsid w:val="359F165A"/>
    <w:rsid w:val="35A3072E"/>
    <w:rsid w:val="35A324DC"/>
    <w:rsid w:val="35A33D38"/>
    <w:rsid w:val="35A528F9"/>
    <w:rsid w:val="35A6162C"/>
    <w:rsid w:val="35A61D02"/>
    <w:rsid w:val="35A724F3"/>
    <w:rsid w:val="35A87E15"/>
    <w:rsid w:val="35A93699"/>
    <w:rsid w:val="35AB1391"/>
    <w:rsid w:val="35AB313F"/>
    <w:rsid w:val="35AD3120"/>
    <w:rsid w:val="35AD36FE"/>
    <w:rsid w:val="35AD529E"/>
    <w:rsid w:val="35AD6EB7"/>
    <w:rsid w:val="35B00755"/>
    <w:rsid w:val="35B244CD"/>
    <w:rsid w:val="35B2750C"/>
    <w:rsid w:val="35B30258"/>
    <w:rsid w:val="35B446E9"/>
    <w:rsid w:val="35B46497"/>
    <w:rsid w:val="35B53732"/>
    <w:rsid w:val="35B54174"/>
    <w:rsid w:val="35B71AE4"/>
    <w:rsid w:val="35B77D36"/>
    <w:rsid w:val="35B8118E"/>
    <w:rsid w:val="35BB5A78"/>
    <w:rsid w:val="35BC534C"/>
    <w:rsid w:val="35BE4538"/>
    <w:rsid w:val="35C054BC"/>
    <w:rsid w:val="35C34250"/>
    <w:rsid w:val="35C3492C"/>
    <w:rsid w:val="35C42453"/>
    <w:rsid w:val="35CB1A33"/>
    <w:rsid w:val="35CB6607"/>
    <w:rsid w:val="35CC0BCC"/>
    <w:rsid w:val="35CE6E2D"/>
    <w:rsid w:val="35CF305F"/>
    <w:rsid w:val="35CF32D1"/>
    <w:rsid w:val="35CF507F"/>
    <w:rsid w:val="35CF6FF8"/>
    <w:rsid w:val="35D01EDB"/>
    <w:rsid w:val="35D201CC"/>
    <w:rsid w:val="35D46B3A"/>
    <w:rsid w:val="35D501BC"/>
    <w:rsid w:val="35D703D8"/>
    <w:rsid w:val="35D73F34"/>
    <w:rsid w:val="35D92B63"/>
    <w:rsid w:val="35DA3A24"/>
    <w:rsid w:val="35DB7EC8"/>
    <w:rsid w:val="35DC779C"/>
    <w:rsid w:val="35DE1766"/>
    <w:rsid w:val="35DE3514"/>
    <w:rsid w:val="35E13004"/>
    <w:rsid w:val="35E26AD4"/>
    <w:rsid w:val="35E623C9"/>
    <w:rsid w:val="35E6311C"/>
    <w:rsid w:val="35E65199"/>
    <w:rsid w:val="35EB7FA5"/>
    <w:rsid w:val="35ED19A9"/>
    <w:rsid w:val="35ED704B"/>
    <w:rsid w:val="35F04FF6"/>
    <w:rsid w:val="35F745D6"/>
    <w:rsid w:val="35F75996"/>
    <w:rsid w:val="35F920FC"/>
    <w:rsid w:val="35FB1672"/>
    <w:rsid w:val="35FB2318"/>
    <w:rsid w:val="35FB40C6"/>
    <w:rsid w:val="35FC399A"/>
    <w:rsid w:val="35FF348B"/>
    <w:rsid w:val="35FF4995"/>
    <w:rsid w:val="3601226B"/>
    <w:rsid w:val="36017203"/>
    <w:rsid w:val="360175AB"/>
    <w:rsid w:val="36032F7B"/>
    <w:rsid w:val="36055C36"/>
    <w:rsid w:val="36096403"/>
    <w:rsid w:val="360B2661"/>
    <w:rsid w:val="360B5A0F"/>
    <w:rsid w:val="36113D91"/>
    <w:rsid w:val="36121A43"/>
    <w:rsid w:val="361230A6"/>
    <w:rsid w:val="36140EF6"/>
    <w:rsid w:val="36150687"/>
    <w:rsid w:val="36176A26"/>
    <w:rsid w:val="361817C3"/>
    <w:rsid w:val="36183B8C"/>
    <w:rsid w:val="361B6516"/>
    <w:rsid w:val="361C5DEB"/>
    <w:rsid w:val="361F3BF4"/>
    <w:rsid w:val="36213401"/>
    <w:rsid w:val="36254176"/>
    <w:rsid w:val="36270733"/>
    <w:rsid w:val="36295031"/>
    <w:rsid w:val="3629634E"/>
    <w:rsid w:val="36296503"/>
    <w:rsid w:val="36297C02"/>
    <w:rsid w:val="362A49AB"/>
    <w:rsid w:val="362B4280"/>
    <w:rsid w:val="362D1DA6"/>
    <w:rsid w:val="36301896"/>
    <w:rsid w:val="36315D3A"/>
    <w:rsid w:val="36350340"/>
    <w:rsid w:val="36361FAE"/>
    <w:rsid w:val="3637104B"/>
    <w:rsid w:val="36372C24"/>
    <w:rsid w:val="36374E25"/>
    <w:rsid w:val="363759C8"/>
    <w:rsid w:val="363870C8"/>
    <w:rsid w:val="363B44C3"/>
    <w:rsid w:val="363E5DC7"/>
    <w:rsid w:val="3640043F"/>
    <w:rsid w:val="36415E89"/>
    <w:rsid w:val="3643781B"/>
    <w:rsid w:val="36443918"/>
    <w:rsid w:val="364517E5"/>
    <w:rsid w:val="36454AF6"/>
    <w:rsid w:val="36463152"/>
    <w:rsid w:val="36483084"/>
    <w:rsid w:val="364A6DFC"/>
    <w:rsid w:val="364F61C0"/>
    <w:rsid w:val="36511F38"/>
    <w:rsid w:val="36520169"/>
    <w:rsid w:val="365369C9"/>
    <w:rsid w:val="36537489"/>
    <w:rsid w:val="365457D6"/>
    <w:rsid w:val="36571359"/>
    <w:rsid w:val="365B6913"/>
    <w:rsid w:val="365B6B4A"/>
    <w:rsid w:val="365E28A7"/>
    <w:rsid w:val="366003CD"/>
    <w:rsid w:val="36603F29"/>
    <w:rsid w:val="366208C9"/>
    <w:rsid w:val="366213DA"/>
    <w:rsid w:val="36657792"/>
    <w:rsid w:val="366B0877"/>
    <w:rsid w:val="366D28DC"/>
    <w:rsid w:val="366E534C"/>
    <w:rsid w:val="366F14E1"/>
    <w:rsid w:val="366F4CB5"/>
    <w:rsid w:val="36700F3B"/>
    <w:rsid w:val="36721CF2"/>
    <w:rsid w:val="36721EAF"/>
    <w:rsid w:val="367421A8"/>
    <w:rsid w:val="367479D5"/>
    <w:rsid w:val="36785717"/>
    <w:rsid w:val="367B007B"/>
    <w:rsid w:val="367F61DE"/>
    <w:rsid w:val="367F6A2B"/>
    <w:rsid w:val="368045CB"/>
    <w:rsid w:val="3681431A"/>
    <w:rsid w:val="36826596"/>
    <w:rsid w:val="36851BE2"/>
    <w:rsid w:val="36864261"/>
    <w:rsid w:val="368B456A"/>
    <w:rsid w:val="368C2F70"/>
    <w:rsid w:val="368E3B29"/>
    <w:rsid w:val="368E7F7A"/>
    <w:rsid w:val="368F0CB2"/>
    <w:rsid w:val="36923616"/>
    <w:rsid w:val="369411B6"/>
    <w:rsid w:val="36941E25"/>
    <w:rsid w:val="36962041"/>
    <w:rsid w:val="3697072A"/>
    <w:rsid w:val="36981915"/>
    <w:rsid w:val="36986B54"/>
    <w:rsid w:val="36987B67"/>
    <w:rsid w:val="36987BE7"/>
    <w:rsid w:val="369915A3"/>
    <w:rsid w:val="369B1405"/>
    <w:rsid w:val="369D517D"/>
    <w:rsid w:val="369E2844"/>
    <w:rsid w:val="369E593F"/>
    <w:rsid w:val="369F2EE4"/>
    <w:rsid w:val="36A04C6E"/>
    <w:rsid w:val="36A06A70"/>
    <w:rsid w:val="36A22794"/>
    <w:rsid w:val="36A302BA"/>
    <w:rsid w:val="36A4475E"/>
    <w:rsid w:val="36A466B6"/>
    <w:rsid w:val="36A52E64"/>
    <w:rsid w:val="36A858D0"/>
    <w:rsid w:val="36AA6330"/>
    <w:rsid w:val="36AC3612"/>
    <w:rsid w:val="36AE76C3"/>
    <w:rsid w:val="36B10C29"/>
    <w:rsid w:val="36B85B13"/>
    <w:rsid w:val="36B91280"/>
    <w:rsid w:val="36B96AEB"/>
    <w:rsid w:val="36BA54BE"/>
    <w:rsid w:val="36BB5697"/>
    <w:rsid w:val="36BD312A"/>
    <w:rsid w:val="36BD75CE"/>
    <w:rsid w:val="36BE6EA2"/>
    <w:rsid w:val="36BF3346"/>
    <w:rsid w:val="36C02C1A"/>
    <w:rsid w:val="36C175C6"/>
    <w:rsid w:val="36C24BE4"/>
    <w:rsid w:val="36C4095C"/>
    <w:rsid w:val="36C41867"/>
    <w:rsid w:val="36C418A2"/>
    <w:rsid w:val="36C46BAE"/>
    <w:rsid w:val="36C719CD"/>
    <w:rsid w:val="36C72259"/>
    <w:rsid w:val="36C73FA8"/>
    <w:rsid w:val="36C95800"/>
    <w:rsid w:val="36CE17DB"/>
    <w:rsid w:val="36CE59FA"/>
    <w:rsid w:val="36D0245D"/>
    <w:rsid w:val="36D27D8D"/>
    <w:rsid w:val="36D36DF1"/>
    <w:rsid w:val="36DA1F2E"/>
    <w:rsid w:val="36DB27E6"/>
    <w:rsid w:val="36DB2AF7"/>
    <w:rsid w:val="36DE1BB9"/>
    <w:rsid w:val="36E16BA3"/>
    <w:rsid w:val="36E43B49"/>
    <w:rsid w:val="36E46988"/>
    <w:rsid w:val="36E5185A"/>
    <w:rsid w:val="36E7289C"/>
    <w:rsid w:val="36E83F1F"/>
    <w:rsid w:val="36E903C3"/>
    <w:rsid w:val="36EC3A0F"/>
    <w:rsid w:val="36EE59D9"/>
    <w:rsid w:val="36EF0C5C"/>
    <w:rsid w:val="36F143CA"/>
    <w:rsid w:val="36F30FAF"/>
    <w:rsid w:val="36F31241"/>
    <w:rsid w:val="36F43E7C"/>
    <w:rsid w:val="36F823B4"/>
    <w:rsid w:val="36F9612C"/>
    <w:rsid w:val="36FD79CA"/>
    <w:rsid w:val="37055A53"/>
    <w:rsid w:val="37055B53"/>
    <w:rsid w:val="370621EB"/>
    <w:rsid w:val="370667DF"/>
    <w:rsid w:val="37067D52"/>
    <w:rsid w:val="370A20E7"/>
    <w:rsid w:val="370A5864"/>
    <w:rsid w:val="370B4C6F"/>
    <w:rsid w:val="37101AAB"/>
    <w:rsid w:val="37113475"/>
    <w:rsid w:val="37123B84"/>
    <w:rsid w:val="37133692"/>
    <w:rsid w:val="37144761"/>
    <w:rsid w:val="37147DA6"/>
    <w:rsid w:val="37152977"/>
    <w:rsid w:val="37152F66"/>
    <w:rsid w:val="3715513B"/>
    <w:rsid w:val="37155888"/>
    <w:rsid w:val="3716325B"/>
    <w:rsid w:val="3717227E"/>
    <w:rsid w:val="3718172F"/>
    <w:rsid w:val="37184804"/>
    <w:rsid w:val="371A0862"/>
    <w:rsid w:val="371A67CE"/>
    <w:rsid w:val="371B42F4"/>
    <w:rsid w:val="371C0798"/>
    <w:rsid w:val="371C5729"/>
    <w:rsid w:val="371D006C"/>
    <w:rsid w:val="371E516A"/>
    <w:rsid w:val="372238D5"/>
    <w:rsid w:val="372376B1"/>
    <w:rsid w:val="372413FB"/>
    <w:rsid w:val="37284B97"/>
    <w:rsid w:val="372B47D4"/>
    <w:rsid w:val="372C6501"/>
    <w:rsid w:val="372E0CF4"/>
    <w:rsid w:val="372F0988"/>
    <w:rsid w:val="372F4799"/>
    <w:rsid w:val="372F60EF"/>
    <w:rsid w:val="37313B18"/>
    <w:rsid w:val="3733163E"/>
    <w:rsid w:val="37371BA6"/>
    <w:rsid w:val="37375D11"/>
    <w:rsid w:val="37381FE1"/>
    <w:rsid w:val="37384253"/>
    <w:rsid w:val="37384EA6"/>
    <w:rsid w:val="373904E1"/>
    <w:rsid w:val="373C022C"/>
    <w:rsid w:val="373C4433"/>
    <w:rsid w:val="373E3B81"/>
    <w:rsid w:val="373F6235"/>
    <w:rsid w:val="37403D5B"/>
    <w:rsid w:val="37404B77"/>
    <w:rsid w:val="3741535C"/>
    <w:rsid w:val="37427AD3"/>
    <w:rsid w:val="3744384B"/>
    <w:rsid w:val="37472D85"/>
    <w:rsid w:val="3748158D"/>
    <w:rsid w:val="37490E61"/>
    <w:rsid w:val="374B578D"/>
    <w:rsid w:val="374B6A31"/>
    <w:rsid w:val="374D5F48"/>
    <w:rsid w:val="37521A1A"/>
    <w:rsid w:val="375241BA"/>
    <w:rsid w:val="37532AC6"/>
    <w:rsid w:val="3754697A"/>
    <w:rsid w:val="375849E5"/>
    <w:rsid w:val="375A306E"/>
    <w:rsid w:val="375A6BCB"/>
    <w:rsid w:val="375C1CE0"/>
    <w:rsid w:val="376129EA"/>
    <w:rsid w:val="3768578B"/>
    <w:rsid w:val="37690982"/>
    <w:rsid w:val="37697DF6"/>
    <w:rsid w:val="376B527C"/>
    <w:rsid w:val="376D0FF4"/>
    <w:rsid w:val="376D5B2B"/>
    <w:rsid w:val="377063EE"/>
    <w:rsid w:val="37713AED"/>
    <w:rsid w:val="377432D3"/>
    <w:rsid w:val="37781747"/>
    <w:rsid w:val="377A101B"/>
    <w:rsid w:val="377D7174"/>
    <w:rsid w:val="378123A9"/>
    <w:rsid w:val="37857A6C"/>
    <w:rsid w:val="37865C12"/>
    <w:rsid w:val="378D51F2"/>
    <w:rsid w:val="378E0F6A"/>
    <w:rsid w:val="378E64BD"/>
    <w:rsid w:val="3790083E"/>
    <w:rsid w:val="37904CE2"/>
    <w:rsid w:val="37917DED"/>
    <w:rsid w:val="37920A5A"/>
    <w:rsid w:val="3792162E"/>
    <w:rsid w:val="3793032E"/>
    <w:rsid w:val="37983B97"/>
    <w:rsid w:val="379851DD"/>
    <w:rsid w:val="37985945"/>
    <w:rsid w:val="379A1DE6"/>
    <w:rsid w:val="379F0A81"/>
    <w:rsid w:val="37A01FB3"/>
    <w:rsid w:val="37A10C9D"/>
    <w:rsid w:val="37A14F47"/>
    <w:rsid w:val="37A4253C"/>
    <w:rsid w:val="37A8186B"/>
    <w:rsid w:val="37A81B3B"/>
    <w:rsid w:val="37A83DDA"/>
    <w:rsid w:val="37A92409"/>
    <w:rsid w:val="37A95DA4"/>
    <w:rsid w:val="37AC435C"/>
    <w:rsid w:val="37AC75E6"/>
    <w:rsid w:val="37B00EE0"/>
    <w:rsid w:val="37B02C8E"/>
    <w:rsid w:val="37B07132"/>
    <w:rsid w:val="37B20112"/>
    <w:rsid w:val="37B24C58"/>
    <w:rsid w:val="37B27395"/>
    <w:rsid w:val="37B3277F"/>
    <w:rsid w:val="37B3452D"/>
    <w:rsid w:val="37B41BB8"/>
    <w:rsid w:val="37B54749"/>
    <w:rsid w:val="37B6751C"/>
    <w:rsid w:val="37B7401D"/>
    <w:rsid w:val="37B85195"/>
    <w:rsid w:val="37B87D95"/>
    <w:rsid w:val="37B90E7A"/>
    <w:rsid w:val="37B94B9F"/>
    <w:rsid w:val="37BA1D5F"/>
    <w:rsid w:val="37BA58BB"/>
    <w:rsid w:val="37BC5AD7"/>
    <w:rsid w:val="37C02BEF"/>
    <w:rsid w:val="37C130EE"/>
    <w:rsid w:val="37C30C14"/>
    <w:rsid w:val="37C329C2"/>
    <w:rsid w:val="37C4498C"/>
    <w:rsid w:val="37C66EAA"/>
    <w:rsid w:val="37C87FD8"/>
    <w:rsid w:val="37CB1876"/>
    <w:rsid w:val="37CC6816"/>
    <w:rsid w:val="37CD3840"/>
    <w:rsid w:val="37CF2E52"/>
    <w:rsid w:val="37D33C22"/>
    <w:rsid w:val="37D50947"/>
    <w:rsid w:val="37D83F93"/>
    <w:rsid w:val="37D90437"/>
    <w:rsid w:val="37DC21BD"/>
    <w:rsid w:val="37DC7F27"/>
    <w:rsid w:val="37DE5A4E"/>
    <w:rsid w:val="37DE77FC"/>
    <w:rsid w:val="37DF5322"/>
    <w:rsid w:val="37E01DFB"/>
    <w:rsid w:val="37E06AF3"/>
    <w:rsid w:val="37E34E12"/>
    <w:rsid w:val="37E543A2"/>
    <w:rsid w:val="37E9251B"/>
    <w:rsid w:val="37EC3780"/>
    <w:rsid w:val="37ED6FC5"/>
    <w:rsid w:val="37EF1A09"/>
    <w:rsid w:val="37F232A7"/>
    <w:rsid w:val="37F554BF"/>
    <w:rsid w:val="37F665EC"/>
    <w:rsid w:val="37F74639"/>
    <w:rsid w:val="37F84740"/>
    <w:rsid w:val="37F939B1"/>
    <w:rsid w:val="37FA215C"/>
    <w:rsid w:val="37FB65FF"/>
    <w:rsid w:val="37FC2DAD"/>
    <w:rsid w:val="37FE01FA"/>
    <w:rsid w:val="37FE1C4C"/>
    <w:rsid w:val="37FF43B5"/>
    <w:rsid w:val="38002096"/>
    <w:rsid w:val="380102BC"/>
    <w:rsid w:val="3801173C"/>
    <w:rsid w:val="38044D88"/>
    <w:rsid w:val="380479DF"/>
    <w:rsid w:val="38066D52"/>
    <w:rsid w:val="38075385"/>
    <w:rsid w:val="38080440"/>
    <w:rsid w:val="38083E7D"/>
    <w:rsid w:val="3808478E"/>
    <w:rsid w:val="380B6635"/>
    <w:rsid w:val="380E0468"/>
    <w:rsid w:val="380E117F"/>
    <w:rsid w:val="38117DB1"/>
    <w:rsid w:val="38127B00"/>
    <w:rsid w:val="38133B61"/>
    <w:rsid w:val="38141E4B"/>
    <w:rsid w:val="38156F95"/>
    <w:rsid w:val="38163439"/>
    <w:rsid w:val="38167911"/>
    <w:rsid w:val="381758B5"/>
    <w:rsid w:val="3818525C"/>
    <w:rsid w:val="38194CD8"/>
    <w:rsid w:val="381A45AC"/>
    <w:rsid w:val="381A627C"/>
    <w:rsid w:val="381C14F9"/>
    <w:rsid w:val="381C47C8"/>
    <w:rsid w:val="38224F27"/>
    <w:rsid w:val="38226769"/>
    <w:rsid w:val="3825542A"/>
    <w:rsid w:val="38257DE4"/>
    <w:rsid w:val="382B67B9"/>
    <w:rsid w:val="382C4340"/>
    <w:rsid w:val="382D18A2"/>
    <w:rsid w:val="382D2531"/>
    <w:rsid w:val="382F386A"/>
    <w:rsid w:val="3831699A"/>
    <w:rsid w:val="383218F5"/>
    <w:rsid w:val="38322791"/>
    <w:rsid w:val="38331DCD"/>
    <w:rsid w:val="383513E6"/>
    <w:rsid w:val="38357A6D"/>
    <w:rsid w:val="38363CC7"/>
    <w:rsid w:val="383733B0"/>
    <w:rsid w:val="3837515E"/>
    <w:rsid w:val="38376F0C"/>
    <w:rsid w:val="3838311F"/>
    <w:rsid w:val="38397128"/>
    <w:rsid w:val="383B4C4E"/>
    <w:rsid w:val="383E029A"/>
    <w:rsid w:val="383E7EED"/>
    <w:rsid w:val="383F1888"/>
    <w:rsid w:val="384004B6"/>
    <w:rsid w:val="38417D8A"/>
    <w:rsid w:val="3844298F"/>
    <w:rsid w:val="38451629"/>
    <w:rsid w:val="384653A1"/>
    <w:rsid w:val="3849649C"/>
    <w:rsid w:val="384A4E91"/>
    <w:rsid w:val="384A6C3F"/>
    <w:rsid w:val="384C6A06"/>
    <w:rsid w:val="384D672F"/>
    <w:rsid w:val="384F265C"/>
    <w:rsid w:val="38500654"/>
    <w:rsid w:val="38502845"/>
    <w:rsid w:val="38561B3D"/>
    <w:rsid w:val="385C4BC4"/>
    <w:rsid w:val="385E093C"/>
    <w:rsid w:val="385F275A"/>
    <w:rsid w:val="386046B4"/>
    <w:rsid w:val="3865546C"/>
    <w:rsid w:val="38683569"/>
    <w:rsid w:val="386B35B8"/>
    <w:rsid w:val="386C3059"/>
    <w:rsid w:val="386D4BCC"/>
    <w:rsid w:val="386D6DD1"/>
    <w:rsid w:val="386F3AB4"/>
    <w:rsid w:val="386F708C"/>
    <w:rsid w:val="3870241E"/>
    <w:rsid w:val="38713F21"/>
    <w:rsid w:val="3872263A"/>
    <w:rsid w:val="38724DAE"/>
    <w:rsid w:val="38765C86"/>
    <w:rsid w:val="38767A34"/>
    <w:rsid w:val="387737AC"/>
    <w:rsid w:val="387C7715"/>
    <w:rsid w:val="387E2D8D"/>
    <w:rsid w:val="38800675"/>
    <w:rsid w:val="388163D9"/>
    <w:rsid w:val="388303A3"/>
    <w:rsid w:val="38841563"/>
    <w:rsid w:val="38845CFA"/>
    <w:rsid w:val="388A20A7"/>
    <w:rsid w:val="388A407C"/>
    <w:rsid w:val="388D4D7E"/>
    <w:rsid w:val="388F0AF6"/>
    <w:rsid w:val="38912AC0"/>
    <w:rsid w:val="38922D5C"/>
    <w:rsid w:val="389425B0"/>
    <w:rsid w:val="3894625F"/>
    <w:rsid w:val="389515A7"/>
    <w:rsid w:val="38955AB1"/>
    <w:rsid w:val="389820A0"/>
    <w:rsid w:val="38995E18"/>
    <w:rsid w:val="38997BC6"/>
    <w:rsid w:val="389B5BEA"/>
    <w:rsid w:val="389D69AD"/>
    <w:rsid w:val="389E342F"/>
    <w:rsid w:val="389E359A"/>
    <w:rsid w:val="389E4E7A"/>
    <w:rsid w:val="389E6F8B"/>
    <w:rsid w:val="38A07E13"/>
    <w:rsid w:val="38A27D44"/>
    <w:rsid w:val="38A31D4E"/>
    <w:rsid w:val="38A722E3"/>
    <w:rsid w:val="38A731BC"/>
    <w:rsid w:val="38A85A29"/>
    <w:rsid w:val="38B05D95"/>
    <w:rsid w:val="38B13162"/>
    <w:rsid w:val="38B15F49"/>
    <w:rsid w:val="38B36EDA"/>
    <w:rsid w:val="38B642D4"/>
    <w:rsid w:val="38B67CA1"/>
    <w:rsid w:val="38B7004D"/>
    <w:rsid w:val="38B7797A"/>
    <w:rsid w:val="38B810AA"/>
    <w:rsid w:val="38B85EF2"/>
    <w:rsid w:val="38BB18EB"/>
    <w:rsid w:val="38BB5C48"/>
    <w:rsid w:val="38BD38B5"/>
    <w:rsid w:val="38BE762D"/>
    <w:rsid w:val="38BF5AC3"/>
    <w:rsid w:val="38C2711D"/>
    <w:rsid w:val="38C27DC4"/>
    <w:rsid w:val="38C5276A"/>
    <w:rsid w:val="38C74734"/>
    <w:rsid w:val="38C86679"/>
    <w:rsid w:val="38C86689"/>
    <w:rsid w:val="38C9516C"/>
    <w:rsid w:val="38CA1127"/>
    <w:rsid w:val="38CA7D80"/>
    <w:rsid w:val="38CC58A6"/>
    <w:rsid w:val="38CF35E8"/>
    <w:rsid w:val="38D17360"/>
    <w:rsid w:val="38D24458"/>
    <w:rsid w:val="38D359D5"/>
    <w:rsid w:val="38D440A8"/>
    <w:rsid w:val="38D6254B"/>
    <w:rsid w:val="38D67CAD"/>
    <w:rsid w:val="38D91C9A"/>
    <w:rsid w:val="38D94467"/>
    <w:rsid w:val="38DB3D3B"/>
    <w:rsid w:val="38DB75B4"/>
    <w:rsid w:val="38DD7AB3"/>
    <w:rsid w:val="38DE55D9"/>
    <w:rsid w:val="38DF350C"/>
    <w:rsid w:val="38E04404"/>
    <w:rsid w:val="38E057F5"/>
    <w:rsid w:val="38E27663"/>
    <w:rsid w:val="38E47094"/>
    <w:rsid w:val="38E54BBA"/>
    <w:rsid w:val="38E628FD"/>
    <w:rsid w:val="38E85479"/>
    <w:rsid w:val="38EB3928"/>
    <w:rsid w:val="38EF24BC"/>
    <w:rsid w:val="38F0217A"/>
    <w:rsid w:val="38F21AC9"/>
    <w:rsid w:val="38F77503"/>
    <w:rsid w:val="38F90665"/>
    <w:rsid w:val="38FA1486"/>
    <w:rsid w:val="38FA68B7"/>
    <w:rsid w:val="38FC42C4"/>
    <w:rsid w:val="38FD1F03"/>
    <w:rsid w:val="38FE14F3"/>
    <w:rsid w:val="38FE4B0D"/>
    <w:rsid w:val="38FF14A6"/>
    <w:rsid w:val="38FF2D91"/>
    <w:rsid w:val="38FF383F"/>
    <w:rsid w:val="38FF590E"/>
    <w:rsid w:val="390037A2"/>
    <w:rsid w:val="39005096"/>
    <w:rsid w:val="39013F37"/>
    <w:rsid w:val="3902576C"/>
    <w:rsid w:val="390412B7"/>
    <w:rsid w:val="390414E4"/>
    <w:rsid w:val="390532B6"/>
    <w:rsid w:val="390908A8"/>
    <w:rsid w:val="39091573"/>
    <w:rsid w:val="390B00EB"/>
    <w:rsid w:val="390B2B91"/>
    <w:rsid w:val="390E0EFB"/>
    <w:rsid w:val="390E2362"/>
    <w:rsid w:val="390E5425"/>
    <w:rsid w:val="390E5946"/>
    <w:rsid w:val="390F1C37"/>
    <w:rsid w:val="39127AAA"/>
    <w:rsid w:val="39137979"/>
    <w:rsid w:val="391536CC"/>
    <w:rsid w:val="391611F0"/>
    <w:rsid w:val="3916629D"/>
    <w:rsid w:val="39180AEB"/>
    <w:rsid w:val="39194863"/>
    <w:rsid w:val="391A396D"/>
    <w:rsid w:val="391B12EE"/>
    <w:rsid w:val="391B4A7F"/>
    <w:rsid w:val="391B68C8"/>
    <w:rsid w:val="391D4354"/>
    <w:rsid w:val="391F00CC"/>
    <w:rsid w:val="391F734F"/>
    <w:rsid w:val="39243934"/>
    <w:rsid w:val="39250143"/>
    <w:rsid w:val="39251D9D"/>
    <w:rsid w:val="3928166F"/>
    <w:rsid w:val="39290F4A"/>
    <w:rsid w:val="392F2346"/>
    <w:rsid w:val="3930052B"/>
    <w:rsid w:val="39310040"/>
    <w:rsid w:val="39331479"/>
    <w:rsid w:val="39342B4C"/>
    <w:rsid w:val="393477F7"/>
    <w:rsid w:val="39382F3B"/>
    <w:rsid w:val="393A3F57"/>
    <w:rsid w:val="393A6820"/>
    <w:rsid w:val="393B0C7E"/>
    <w:rsid w:val="393D67A4"/>
    <w:rsid w:val="393F076E"/>
    <w:rsid w:val="39413F55"/>
    <w:rsid w:val="39422F00"/>
    <w:rsid w:val="394249C1"/>
    <w:rsid w:val="39430031"/>
    <w:rsid w:val="39430981"/>
    <w:rsid w:val="394418E0"/>
    <w:rsid w:val="39456083"/>
    <w:rsid w:val="39461906"/>
    <w:rsid w:val="39475874"/>
    <w:rsid w:val="394A0EC1"/>
    <w:rsid w:val="394D359B"/>
    <w:rsid w:val="394F0285"/>
    <w:rsid w:val="395111E8"/>
    <w:rsid w:val="39562A91"/>
    <w:rsid w:val="3957180B"/>
    <w:rsid w:val="39581830"/>
    <w:rsid w:val="395A5034"/>
    <w:rsid w:val="395D4E3F"/>
    <w:rsid w:val="395E5249"/>
    <w:rsid w:val="395F1B47"/>
    <w:rsid w:val="395F58F3"/>
    <w:rsid w:val="3961360B"/>
    <w:rsid w:val="39616936"/>
    <w:rsid w:val="396226AE"/>
    <w:rsid w:val="3962620A"/>
    <w:rsid w:val="39627FB8"/>
    <w:rsid w:val="39641F82"/>
    <w:rsid w:val="39646937"/>
    <w:rsid w:val="396B1563"/>
    <w:rsid w:val="396E37DE"/>
    <w:rsid w:val="396E4430"/>
    <w:rsid w:val="396F153B"/>
    <w:rsid w:val="39700927"/>
    <w:rsid w:val="3970504C"/>
    <w:rsid w:val="397217C8"/>
    <w:rsid w:val="3972239A"/>
    <w:rsid w:val="39730417"/>
    <w:rsid w:val="397321C6"/>
    <w:rsid w:val="39753550"/>
    <w:rsid w:val="39760439"/>
    <w:rsid w:val="39765050"/>
    <w:rsid w:val="39777F17"/>
    <w:rsid w:val="3979408E"/>
    <w:rsid w:val="397A06E1"/>
    <w:rsid w:val="397A0ADB"/>
    <w:rsid w:val="397A17A6"/>
    <w:rsid w:val="397A79F8"/>
    <w:rsid w:val="397B107A"/>
    <w:rsid w:val="397D72C6"/>
    <w:rsid w:val="398472A6"/>
    <w:rsid w:val="3986639D"/>
    <w:rsid w:val="39875C71"/>
    <w:rsid w:val="398919E9"/>
    <w:rsid w:val="398A41CF"/>
    <w:rsid w:val="398C14D9"/>
    <w:rsid w:val="398C590D"/>
    <w:rsid w:val="39900A80"/>
    <w:rsid w:val="39900FC9"/>
    <w:rsid w:val="39916AF0"/>
    <w:rsid w:val="39921977"/>
    <w:rsid w:val="39923F83"/>
    <w:rsid w:val="39940919"/>
    <w:rsid w:val="39974106"/>
    <w:rsid w:val="39981C2C"/>
    <w:rsid w:val="399860D0"/>
    <w:rsid w:val="399A3BF6"/>
    <w:rsid w:val="399B0331"/>
    <w:rsid w:val="399C796E"/>
    <w:rsid w:val="399D673D"/>
    <w:rsid w:val="399F120C"/>
    <w:rsid w:val="399F2FBB"/>
    <w:rsid w:val="399F56D1"/>
    <w:rsid w:val="39A20CFD"/>
    <w:rsid w:val="39A22AAB"/>
    <w:rsid w:val="39A35E40"/>
    <w:rsid w:val="39A52F16"/>
    <w:rsid w:val="39A5530B"/>
    <w:rsid w:val="39A64349"/>
    <w:rsid w:val="39A700C1"/>
    <w:rsid w:val="39A72365"/>
    <w:rsid w:val="39A85A15"/>
    <w:rsid w:val="39AA29C6"/>
    <w:rsid w:val="39AA3828"/>
    <w:rsid w:val="39AB195F"/>
    <w:rsid w:val="39AB5E03"/>
    <w:rsid w:val="39AB6B0E"/>
    <w:rsid w:val="39AD4279"/>
    <w:rsid w:val="39B03000"/>
    <w:rsid w:val="39B10794"/>
    <w:rsid w:val="39B20F40"/>
    <w:rsid w:val="39B27CDE"/>
    <w:rsid w:val="39B32F0A"/>
    <w:rsid w:val="39B63E9B"/>
    <w:rsid w:val="39B822CE"/>
    <w:rsid w:val="39BA1BA2"/>
    <w:rsid w:val="39BB4147"/>
    <w:rsid w:val="39BC591B"/>
    <w:rsid w:val="39BD13FD"/>
    <w:rsid w:val="39C05D23"/>
    <w:rsid w:val="39C62C3D"/>
    <w:rsid w:val="39C70C72"/>
    <w:rsid w:val="39C742BF"/>
    <w:rsid w:val="39C92027"/>
    <w:rsid w:val="39C93586"/>
    <w:rsid w:val="39C944DB"/>
    <w:rsid w:val="39C96289"/>
    <w:rsid w:val="39C9665C"/>
    <w:rsid w:val="39CB3DB0"/>
    <w:rsid w:val="39D03040"/>
    <w:rsid w:val="39D0586A"/>
    <w:rsid w:val="39D07618"/>
    <w:rsid w:val="39D23390"/>
    <w:rsid w:val="39D42485"/>
    <w:rsid w:val="39D54C2E"/>
    <w:rsid w:val="39D7459C"/>
    <w:rsid w:val="39D76BF8"/>
    <w:rsid w:val="39D8471E"/>
    <w:rsid w:val="39DB0A29"/>
    <w:rsid w:val="39DB72F7"/>
    <w:rsid w:val="39DE1D35"/>
    <w:rsid w:val="39DE7F87"/>
    <w:rsid w:val="39DF5C78"/>
    <w:rsid w:val="39E11A28"/>
    <w:rsid w:val="39E906DA"/>
    <w:rsid w:val="39EB26A4"/>
    <w:rsid w:val="39EB371B"/>
    <w:rsid w:val="39EC3D26"/>
    <w:rsid w:val="39F03816"/>
    <w:rsid w:val="39F204E9"/>
    <w:rsid w:val="39F2058D"/>
    <w:rsid w:val="39F415E8"/>
    <w:rsid w:val="39F5707E"/>
    <w:rsid w:val="39F814C4"/>
    <w:rsid w:val="39F82BC4"/>
    <w:rsid w:val="39F84A46"/>
    <w:rsid w:val="39F94DC1"/>
    <w:rsid w:val="39F9503D"/>
    <w:rsid w:val="39F96B6F"/>
    <w:rsid w:val="39FC040D"/>
    <w:rsid w:val="39FC7DAF"/>
    <w:rsid w:val="39FD1710"/>
    <w:rsid w:val="39FD7407"/>
    <w:rsid w:val="39FF3A59"/>
    <w:rsid w:val="3A023E13"/>
    <w:rsid w:val="3A023FD8"/>
    <w:rsid w:val="3A0555EE"/>
    <w:rsid w:val="3A0564C1"/>
    <w:rsid w:val="3A072FE0"/>
    <w:rsid w:val="3A073E00"/>
    <w:rsid w:val="3A0B0650"/>
    <w:rsid w:val="3A0B68A2"/>
    <w:rsid w:val="3A0B7AD3"/>
    <w:rsid w:val="3A0F2AB9"/>
    <w:rsid w:val="3A10210A"/>
    <w:rsid w:val="3A1037BD"/>
    <w:rsid w:val="3A105C66"/>
    <w:rsid w:val="3A115F36"/>
    <w:rsid w:val="3A1219DE"/>
    <w:rsid w:val="3A13080D"/>
    <w:rsid w:val="3A137F81"/>
    <w:rsid w:val="3A141BDE"/>
    <w:rsid w:val="3A1741DD"/>
    <w:rsid w:val="3A176B30"/>
    <w:rsid w:val="3A176FF5"/>
    <w:rsid w:val="3A195161"/>
    <w:rsid w:val="3A195B58"/>
    <w:rsid w:val="3A19694C"/>
    <w:rsid w:val="3A1A5C49"/>
    <w:rsid w:val="3A1B0664"/>
    <w:rsid w:val="3A1B068A"/>
    <w:rsid w:val="3A1B6B6A"/>
    <w:rsid w:val="3A1C7386"/>
    <w:rsid w:val="3A1F234D"/>
    <w:rsid w:val="3A1F5EA9"/>
    <w:rsid w:val="3A230DBA"/>
    <w:rsid w:val="3A26548A"/>
    <w:rsid w:val="3A266CCC"/>
    <w:rsid w:val="3A27446B"/>
    <w:rsid w:val="3A2B484E"/>
    <w:rsid w:val="3A2C5530"/>
    <w:rsid w:val="3A2D05C6"/>
    <w:rsid w:val="3A2F2590"/>
    <w:rsid w:val="3A2F3A82"/>
    <w:rsid w:val="3A3020F5"/>
    <w:rsid w:val="3A306308"/>
    <w:rsid w:val="3A320CEC"/>
    <w:rsid w:val="3A322EC1"/>
    <w:rsid w:val="3A331955"/>
    <w:rsid w:val="3A377697"/>
    <w:rsid w:val="3A3810E1"/>
    <w:rsid w:val="3A3931FD"/>
    <w:rsid w:val="3A3A2CE3"/>
    <w:rsid w:val="3A3E27D3"/>
    <w:rsid w:val="3A3E409C"/>
    <w:rsid w:val="3A3F02FA"/>
    <w:rsid w:val="3A3F654C"/>
    <w:rsid w:val="3A41749B"/>
    <w:rsid w:val="3A421A87"/>
    <w:rsid w:val="3A4678DA"/>
    <w:rsid w:val="3A4837A7"/>
    <w:rsid w:val="3A485DA3"/>
    <w:rsid w:val="3A4B3142"/>
    <w:rsid w:val="3A4D2A17"/>
    <w:rsid w:val="3A4F49E1"/>
    <w:rsid w:val="3A516A25"/>
    <w:rsid w:val="3A52002D"/>
    <w:rsid w:val="3A535CE8"/>
    <w:rsid w:val="3A540249"/>
    <w:rsid w:val="3A5426B5"/>
    <w:rsid w:val="3A5730C6"/>
    <w:rsid w:val="3A577D39"/>
    <w:rsid w:val="3A583CA3"/>
    <w:rsid w:val="3A5913BB"/>
    <w:rsid w:val="3A593DCA"/>
    <w:rsid w:val="3A5A00DD"/>
    <w:rsid w:val="3A5A3DE1"/>
    <w:rsid w:val="3A5A474C"/>
    <w:rsid w:val="3A5B5D7C"/>
    <w:rsid w:val="3A5E1DCC"/>
    <w:rsid w:val="3A5E1F81"/>
    <w:rsid w:val="3A60099C"/>
    <w:rsid w:val="3A601931"/>
    <w:rsid w:val="3A685AA2"/>
    <w:rsid w:val="3A6A0578"/>
    <w:rsid w:val="3A6A7A6C"/>
    <w:rsid w:val="3A6B7341"/>
    <w:rsid w:val="3A6C1D7C"/>
    <w:rsid w:val="3A6C5593"/>
    <w:rsid w:val="3A6F662C"/>
    <w:rsid w:val="3A705B70"/>
    <w:rsid w:val="3A713E42"/>
    <w:rsid w:val="3A7200D5"/>
    <w:rsid w:val="3A7461F5"/>
    <w:rsid w:val="3A754D72"/>
    <w:rsid w:val="3A773F37"/>
    <w:rsid w:val="3A78649F"/>
    <w:rsid w:val="3A790053"/>
    <w:rsid w:val="3A797CAF"/>
    <w:rsid w:val="3A7A098B"/>
    <w:rsid w:val="3A7B6865"/>
    <w:rsid w:val="3A7C1983"/>
    <w:rsid w:val="3A7C4BBA"/>
    <w:rsid w:val="3A7D0F55"/>
    <w:rsid w:val="3A7D7CA7"/>
    <w:rsid w:val="3A7E0EF0"/>
    <w:rsid w:val="3A7E764A"/>
    <w:rsid w:val="3A83468A"/>
    <w:rsid w:val="3A8519FD"/>
    <w:rsid w:val="3A854A54"/>
    <w:rsid w:val="3A87084A"/>
    <w:rsid w:val="3A881CA1"/>
    <w:rsid w:val="3A8C79E3"/>
    <w:rsid w:val="3A8D2215"/>
    <w:rsid w:val="3A8D375B"/>
    <w:rsid w:val="3A8F5F3B"/>
    <w:rsid w:val="3A907970"/>
    <w:rsid w:val="3A914FF9"/>
    <w:rsid w:val="3A915A51"/>
    <w:rsid w:val="3A940645"/>
    <w:rsid w:val="3A946897"/>
    <w:rsid w:val="3A9479A4"/>
    <w:rsid w:val="3A950543"/>
    <w:rsid w:val="3A964E58"/>
    <w:rsid w:val="3A9B19D4"/>
    <w:rsid w:val="3A9B5E78"/>
    <w:rsid w:val="3A9C399E"/>
    <w:rsid w:val="3A9C4AA9"/>
    <w:rsid w:val="3A9D64C0"/>
    <w:rsid w:val="3A9E3272"/>
    <w:rsid w:val="3AA01986"/>
    <w:rsid w:val="3AA0348E"/>
    <w:rsid w:val="3AA32AB9"/>
    <w:rsid w:val="3AA40077"/>
    <w:rsid w:val="3AA477EB"/>
    <w:rsid w:val="3AA54601"/>
    <w:rsid w:val="3AA65C91"/>
    <w:rsid w:val="3AA666A1"/>
    <w:rsid w:val="3AA91070"/>
    <w:rsid w:val="3AA92C5C"/>
    <w:rsid w:val="3AAC3BE1"/>
    <w:rsid w:val="3AAE4FC5"/>
    <w:rsid w:val="3AAF3DE4"/>
    <w:rsid w:val="3AB111F7"/>
    <w:rsid w:val="3AB22116"/>
    <w:rsid w:val="3AB2269E"/>
    <w:rsid w:val="3AB42A96"/>
    <w:rsid w:val="3AB57B20"/>
    <w:rsid w:val="3AB605BC"/>
    <w:rsid w:val="3AB962FE"/>
    <w:rsid w:val="3ABE56C2"/>
    <w:rsid w:val="3ABE7C28"/>
    <w:rsid w:val="3AC058DE"/>
    <w:rsid w:val="3AC32CD9"/>
    <w:rsid w:val="3AC342F5"/>
    <w:rsid w:val="3AC649C3"/>
    <w:rsid w:val="3AC87AC3"/>
    <w:rsid w:val="3ACA050B"/>
    <w:rsid w:val="3ACC7DDF"/>
    <w:rsid w:val="3ACD3B57"/>
    <w:rsid w:val="3ACF5B21"/>
    <w:rsid w:val="3AD2116E"/>
    <w:rsid w:val="3AD55AFF"/>
    <w:rsid w:val="3AD60C5E"/>
    <w:rsid w:val="3AD66EB0"/>
    <w:rsid w:val="3AD76819"/>
    <w:rsid w:val="3AD81B72"/>
    <w:rsid w:val="3AD82C28"/>
    <w:rsid w:val="3AD924FC"/>
    <w:rsid w:val="3AD96499"/>
    <w:rsid w:val="3ADB0022"/>
    <w:rsid w:val="3ADB3B42"/>
    <w:rsid w:val="3ADD1FEC"/>
    <w:rsid w:val="3ADE2DAA"/>
    <w:rsid w:val="3ADE5D64"/>
    <w:rsid w:val="3ADF1019"/>
    <w:rsid w:val="3ADF3C25"/>
    <w:rsid w:val="3AE001E1"/>
    <w:rsid w:val="3AE27603"/>
    <w:rsid w:val="3AE55345"/>
    <w:rsid w:val="3AE74C19"/>
    <w:rsid w:val="3AE96BE3"/>
    <w:rsid w:val="3AED5FA8"/>
    <w:rsid w:val="3AEE2077"/>
    <w:rsid w:val="3AEE244B"/>
    <w:rsid w:val="3AF13CEA"/>
    <w:rsid w:val="3AF24F9D"/>
    <w:rsid w:val="3AF33BF2"/>
    <w:rsid w:val="3AF47E43"/>
    <w:rsid w:val="3AF8453C"/>
    <w:rsid w:val="3AF86E26"/>
    <w:rsid w:val="3AFD268F"/>
    <w:rsid w:val="3B005CDB"/>
    <w:rsid w:val="3B020A8C"/>
    <w:rsid w:val="3B0276ED"/>
    <w:rsid w:val="3B04588E"/>
    <w:rsid w:val="3B082DE1"/>
    <w:rsid w:val="3B0A02FF"/>
    <w:rsid w:val="3B0A473E"/>
    <w:rsid w:val="3B0A4DAB"/>
    <w:rsid w:val="3B0B6B11"/>
    <w:rsid w:val="3B0C28D2"/>
    <w:rsid w:val="3B0D1831"/>
    <w:rsid w:val="3B106CFD"/>
    <w:rsid w:val="3B131EB2"/>
    <w:rsid w:val="3B135A0E"/>
    <w:rsid w:val="3B1369B9"/>
    <w:rsid w:val="3B163750"/>
    <w:rsid w:val="3B183024"/>
    <w:rsid w:val="3B1A14A3"/>
    <w:rsid w:val="3B1B06F7"/>
    <w:rsid w:val="3B1B0D67"/>
    <w:rsid w:val="3B1B2B15"/>
    <w:rsid w:val="3B1D063B"/>
    <w:rsid w:val="3B1E5785"/>
    <w:rsid w:val="3B2000A5"/>
    <w:rsid w:val="3B2142EC"/>
    <w:rsid w:val="3B221DD1"/>
    <w:rsid w:val="3B255741"/>
    <w:rsid w:val="3B263535"/>
    <w:rsid w:val="3B274878"/>
    <w:rsid w:val="3B293484"/>
    <w:rsid w:val="3B2B7D91"/>
    <w:rsid w:val="3B2D43E9"/>
    <w:rsid w:val="3B2E3FC8"/>
    <w:rsid w:val="3B3101AC"/>
    <w:rsid w:val="3B3140E6"/>
    <w:rsid w:val="3B3318C0"/>
    <w:rsid w:val="3B351E28"/>
    <w:rsid w:val="3B3616FD"/>
    <w:rsid w:val="3B363A0C"/>
    <w:rsid w:val="3B364677"/>
    <w:rsid w:val="3B3760F2"/>
    <w:rsid w:val="3B3977BC"/>
    <w:rsid w:val="3B3C613D"/>
    <w:rsid w:val="3B404329"/>
    <w:rsid w:val="3B423839"/>
    <w:rsid w:val="3B424545"/>
    <w:rsid w:val="3B424B80"/>
    <w:rsid w:val="3B425EC8"/>
    <w:rsid w:val="3B437E53"/>
    <w:rsid w:val="3B450FA6"/>
    <w:rsid w:val="3B4553FE"/>
    <w:rsid w:val="3B4731CB"/>
    <w:rsid w:val="3B47390A"/>
    <w:rsid w:val="3B4C0F20"/>
    <w:rsid w:val="3B4C7172"/>
    <w:rsid w:val="3B4E2EEA"/>
    <w:rsid w:val="3B506C62"/>
    <w:rsid w:val="3B5119C7"/>
    <w:rsid w:val="3B5322AF"/>
    <w:rsid w:val="3B555854"/>
    <w:rsid w:val="3B564B5A"/>
    <w:rsid w:val="3B592632"/>
    <w:rsid w:val="3B5953EB"/>
    <w:rsid w:val="3B5C6287"/>
    <w:rsid w:val="3B5E2A01"/>
    <w:rsid w:val="3B602967"/>
    <w:rsid w:val="3B605538"/>
    <w:rsid w:val="3B627DF7"/>
    <w:rsid w:val="3B633EE6"/>
    <w:rsid w:val="3B64270E"/>
    <w:rsid w:val="3B64380F"/>
    <w:rsid w:val="3B651FE2"/>
    <w:rsid w:val="3B672F18"/>
    <w:rsid w:val="3B673FAC"/>
    <w:rsid w:val="3B6A25AD"/>
    <w:rsid w:val="3B6C15C2"/>
    <w:rsid w:val="3B7266C3"/>
    <w:rsid w:val="3B762441"/>
    <w:rsid w:val="3B787B31"/>
    <w:rsid w:val="3B7921C4"/>
    <w:rsid w:val="3B7B1805"/>
    <w:rsid w:val="3B7B35B3"/>
    <w:rsid w:val="3B7B718B"/>
    <w:rsid w:val="3B7C27E7"/>
    <w:rsid w:val="3B7D4A60"/>
    <w:rsid w:val="3B7D557D"/>
    <w:rsid w:val="3B7D61A1"/>
    <w:rsid w:val="3B8227AD"/>
    <w:rsid w:val="3B82342F"/>
    <w:rsid w:val="3B84690C"/>
    <w:rsid w:val="3B8561E0"/>
    <w:rsid w:val="3B8620A7"/>
    <w:rsid w:val="3B8701AA"/>
    <w:rsid w:val="3B8A0DC3"/>
    <w:rsid w:val="3B8B1A48"/>
    <w:rsid w:val="3B8D4B00"/>
    <w:rsid w:val="3B8E32E7"/>
    <w:rsid w:val="3B8E778B"/>
    <w:rsid w:val="3B940AAB"/>
    <w:rsid w:val="3B976570"/>
    <w:rsid w:val="3B9768AC"/>
    <w:rsid w:val="3B9823B7"/>
    <w:rsid w:val="3B9E12CA"/>
    <w:rsid w:val="3B9E713A"/>
    <w:rsid w:val="3BA62369"/>
    <w:rsid w:val="3BA74E76"/>
    <w:rsid w:val="3BA90120"/>
    <w:rsid w:val="3BAB4B50"/>
    <w:rsid w:val="3BAC628D"/>
    <w:rsid w:val="3BAC6CBA"/>
    <w:rsid w:val="3BAE3989"/>
    <w:rsid w:val="3BAE7806"/>
    <w:rsid w:val="3BAF6DB1"/>
    <w:rsid w:val="3BB10D7F"/>
    <w:rsid w:val="3BB15ED6"/>
    <w:rsid w:val="3BB16FD5"/>
    <w:rsid w:val="3BB30F9F"/>
    <w:rsid w:val="3BB545D4"/>
    <w:rsid w:val="3BB54D17"/>
    <w:rsid w:val="3BB66332"/>
    <w:rsid w:val="3BBA23D3"/>
    <w:rsid w:val="3BBB43D5"/>
    <w:rsid w:val="3BBC42F8"/>
    <w:rsid w:val="3BBE6635"/>
    <w:rsid w:val="3BC136BC"/>
    <w:rsid w:val="3BC15248"/>
    <w:rsid w:val="3BC471F4"/>
    <w:rsid w:val="3BC60CD2"/>
    <w:rsid w:val="3BC74A4B"/>
    <w:rsid w:val="3BC767F9"/>
    <w:rsid w:val="3BC8595D"/>
    <w:rsid w:val="3BC96A15"/>
    <w:rsid w:val="3BCE19ED"/>
    <w:rsid w:val="3BCE5A48"/>
    <w:rsid w:val="3BCF689E"/>
    <w:rsid w:val="3BD01B51"/>
    <w:rsid w:val="3BD11204"/>
    <w:rsid w:val="3BD11425"/>
    <w:rsid w:val="3BD333EF"/>
    <w:rsid w:val="3BD35859"/>
    <w:rsid w:val="3BD53828"/>
    <w:rsid w:val="3BD6013A"/>
    <w:rsid w:val="3BD66A3C"/>
    <w:rsid w:val="3BD71E31"/>
    <w:rsid w:val="3BD74C8E"/>
    <w:rsid w:val="3BD80A06"/>
    <w:rsid w:val="3BD86C58"/>
    <w:rsid w:val="3BDA2B5B"/>
    <w:rsid w:val="3BDB18D3"/>
    <w:rsid w:val="3BDB1F87"/>
    <w:rsid w:val="3BDC004C"/>
    <w:rsid w:val="3BDD6417"/>
    <w:rsid w:val="3BDE296C"/>
    <w:rsid w:val="3BE03FFA"/>
    <w:rsid w:val="3BE178BA"/>
    <w:rsid w:val="3BE42FED"/>
    <w:rsid w:val="3BE462B6"/>
    <w:rsid w:val="3BE467DE"/>
    <w:rsid w:val="3BE545B8"/>
    <w:rsid w:val="3BE936E9"/>
    <w:rsid w:val="3BEA41F9"/>
    <w:rsid w:val="3BED6453"/>
    <w:rsid w:val="3BEE5244"/>
    <w:rsid w:val="3BF07AFD"/>
    <w:rsid w:val="3BF21014"/>
    <w:rsid w:val="3BF21AC7"/>
    <w:rsid w:val="3BF34F3E"/>
    <w:rsid w:val="3BF35840"/>
    <w:rsid w:val="3BF375EE"/>
    <w:rsid w:val="3BF43ABB"/>
    <w:rsid w:val="3BF54581"/>
    <w:rsid w:val="3BF55114"/>
    <w:rsid w:val="3BF70E8C"/>
    <w:rsid w:val="3BF75330"/>
    <w:rsid w:val="3BF770DE"/>
    <w:rsid w:val="3BF82E56"/>
    <w:rsid w:val="3BF84C04"/>
    <w:rsid w:val="3BF91819"/>
    <w:rsid w:val="3BF95EA6"/>
    <w:rsid w:val="3BFA4E20"/>
    <w:rsid w:val="3BFA7034"/>
    <w:rsid w:val="3BFC2946"/>
    <w:rsid w:val="3BFF5F92"/>
    <w:rsid w:val="3C011D0B"/>
    <w:rsid w:val="3C017F5D"/>
    <w:rsid w:val="3C027200"/>
    <w:rsid w:val="3C033057"/>
    <w:rsid w:val="3C03487C"/>
    <w:rsid w:val="3C042703"/>
    <w:rsid w:val="3C047258"/>
    <w:rsid w:val="3C047A4D"/>
    <w:rsid w:val="3C0543BF"/>
    <w:rsid w:val="3C081952"/>
    <w:rsid w:val="3C0D06AF"/>
    <w:rsid w:val="3C0D0B7F"/>
    <w:rsid w:val="3C101EF8"/>
    <w:rsid w:val="3C144D18"/>
    <w:rsid w:val="3C153A08"/>
    <w:rsid w:val="3C16028C"/>
    <w:rsid w:val="3C163B20"/>
    <w:rsid w:val="3C17472B"/>
    <w:rsid w:val="3C190F57"/>
    <w:rsid w:val="3C1C54DF"/>
    <w:rsid w:val="3C1E3FFF"/>
    <w:rsid w:val="3C1E5D3E"/>
    <w:rsid w:val="3C1F128F"/>
    <w:rsid w:val="3C2350EA"/>
    <w:rsid w:val="3C261771"/>
    <w:rsid w:val="3C284449"/>
    <w:rsid w:val="3C292943"/>
    <w:rsid w:val="3C2D6B47"/>
    <w:rsid w:val="3C302214"/>
    <w:rsid w:val="3C317A73"/>
    <w:rsid w:val="3C326368"/>
    <w:rsid w:val="3C3744B2"/>
    <w:rsid w:val="3C395BEF"/>
    <w:rsid w:val="3C3976F6"/>
    <w:rsid w:val="3C3A0A68"/>
    <w:rsid w:val="3C3A521C"/>
    <w:rsid w:val="3C3A6FCB"/>
    <w:rsid w:val="3C3C020C"/>
    <w:rsid w:val="3C3C2D43"/>
    <w:rsid w:val="3C3D4818"/>
    <w:rsid w:val="3C3F0A85"/>
    <w:rsid w:val="3C3F1E1E"/>
    <w:rsid w:val="3C410B97"/>
    <w:rsid w:val="3C416D3E"/>
    <w:rsid w:val="3C44609B"/>
    <w:rsid w:val="3C4507D5"/>
    <w:rsid w:val="3C453F8F"/>
    <w:rsid w:val="3C4542ED"/>
    <w:rsid w:val="3C463BC1"/>
    <w:rsid w:val="3C48097A"/>
    <w:rsid w:val="3C4B1FA8"/>
    <w:rsid w:val="3C5000BD"/>
    <w:rsid w:val="3C504A40"/>
    <w:rsid w:val="3C5207B8"/>
    <w:rsid w:val="3C552056"/>
    <w:rsid w:val="3C574020"/>
    <w:rsid w:val="3C577B7C"/>
    <w:rsid w:val="3C5C4417"/>
    <w:rsid w:val="3C5E02C4"/>
    <w:rsid w:val="3C5F6A31"/>
    <w:rsid w:val="3C601127"/>
    <w:rsid w:val="3C605EFA"/>
    <w:rsid w:val="3C6165D5"/>
    <w:rsid w:val="3C623DA1"/>
    <w:rsid w:val="3C632E81"/>
    <w:rsid w:val="3C683B38"/>
    <w:rsid w:val="3C687931"/>
    <w:rsid w:val="3C6978B0"/>
    <w:rsid w:val="3C6A592B"/>
    <w:rsid w:val="3C6B187A"/>
    <w:rsid w:val="3C7265BA"/>
    <w:rsid w:val="3C7324DC"/>
    <w:rsid w:val="3C7526A2"/>
    <w:rsid w:val="3C761AAA"/>
    <w:rsid w:val="3C770472"/>
    <w:rsid w:val="3C771FCD"/>
    <w:rsid w:val="3C7921E9"/>
    <w:rsid w:val="3C793F97"/>
    <w:rsid w:val="3C795968"/>
    <w:rsid w:val="3C795D45"/>
    <w:rsid w:val="3C7C75E3"/>
    <w:rsid w:val="3C7F5728"/>
    <w:rsid w:val="3C81109D"/>
    <w:rsid w:val="3C814BF9"/>
    <w:rsid w:val="3C834E15"/>
    <w:rsid w:val="3C88781A"/>
    <w:rsid w:val="3C8A5E5F"/>
    <w:rsid w:val="3C8B0765"/>
    <w:rsid w:val="3C8D359E"/>
    <w:rsid w:val="3C8D7A42"/>
    <w:rsid w:val="3C917532"/>
    <w:rsid w:val="3C926E07"/>
    <w:rsid w:val="3C936023"/>
    <w:rsid w:val="3C94450B"/>
    <w:rsid w:val="3C954D55"/>
    <w:rsid w:val="3C9568F7"/>
    <w:rsid w:val="3C97309F"/>
    <w:rsid w:val="3C9871E1"/>
    <w:rsid w:val="3C990195"/>
    <w:rsid w:val="3C9A4EFD"/>
    <w:rsid w:val="3C9D5136"/>
    <w:rsid w:val="3C9E0FE4"/>
    <w:rsid w:val="3C9F32D2"/>
    <w:rsid w:val="3CA01523"/>
    <w:rsid w:val="3CA115AD"/>
    <w:rsid w:val="3CA1529C"/>
    <w:rsid w:val="3CA23F97"/>
    <w:rsid w:val="3CA27DBE"/>
    <w:rsid w:val="3CA339C6"/>
    <w:rsid w:val="3CA56B3A"/>
    <w:rsid w:val="3CA96656"/>
    <w:rsid w:val="3CAA4150"/>
    <w:rsid w:val="3CAB143F"/>
    <w:rsid w:val="3CAB1C76"/>
    <w:rsid w:val="3CAC611A"/>
    <w:rsid w:val="3CAC668F"/>
    <w:rsid w:val="3CAD1727"/>
    <w:rsid w:val="3CAD1CC0"/>
    <w:rsid w:val="3CAD1E92"/>
    <w:rsid w:val="3CAD59EE"/>
    <w:rsid w:val="3CB11983"/>
    <w:rsid w:val="3CB12227"/>
    <w:rsid w:val="3CB23005"/>
    <w:rsid w:val="3CB52AF5"/>
    <w:rsid w:val="3CB570E8"/>
    <w:rsid w:val="3CB90F2D"/>
    <w:rsid w:val="3CBB635D"/>
    <w:rsid w:val="3CBC20D5"/>
    <w:rsid w:val="3CBC3E83"/>
    <w:rsid w:val="3CBE5E4E"/>
    <w:rsid w:val="3CBF319F"/>
    <w:rsid w:val="3CBF4D76"/>
    <w:rsid w:val="3CC316B6"/>
    <w:rsid w:val="3CC33439"/>
    <w:rsid w:val="3CC441C6"/>
    <w:rsid w:val="3CC44D40"/>
    <w:rsid w:val="3CC55AFB"/>
    <w:rsid w:val="3CC66AB0"/>
    <w:rsid w:val="3CC72F54"/>
    <w:rsid w:val="3CCA0042"/>
    <w:rsid w:val="3CCA24CC"/>
    <w:rsid w:val="3CCB5752"/>
    <w:rsid w:val="3CCC57A3"/>
    <w:rsid w:val="3CCF1E66"/>
    <w:rsid w:val="3CCF3BB7"/>
    <w:rsid w:val="3CCF3E3F"/>
    <w:rsid w:val="3CD115A5"/>
    <w:rsid w:val="3CD15B81"/>
    <w:rsid w:val="3CD236E9"/>
    <w:rsid w:val="3CD25303"/>
    <w:rsid w:val="3CD613E9"/>
    <w:rsid w:val="3CD63197"/>
    <w:rsid w:val="3CD839E0"/>
    <w:rsid w:val="3CD92C87"/>
    <w:rsid w:val="3CD967E3"/>
    <w:rsid w:val="3CDB07AE"/>
    <w:rsid w:val="3CDC209E"/>
    <w:rsid w:val="3CDE6FFD"/>
    <w:rsid w:val="3CDF1048"/>
    <w:rsid w:val="3CE07B72"/>
    <w:rsid w:val="3CE358B4"/>
    <w:rsid w:val="3CE60A27"/>
    <w:rsid w:val="3CE60F00"/>
    <w:rsid w:val="3CE7534A"/>
    <w:rsid w:val="3CE75508"/>
    <w:rsid w:val="3CE77152"/>
    <w:rsid w:val="3CE94CCB"/>
    <w:rsid w:val="3CEA09F1"/>
    <w:rsid w:val="3CEB09D4"/>
    <w:rsid w:val="3CED228F"/>
    <w:rsid w:val="3CEF4A46"/>
    <w:rsid w:val="3CF25AF7"/>
    <w:rsid w:val="3CF5643D"/>
    <w:rsid w:val="3CF63839"/>
    <w:rsid w:val="3CF8135F"/>
    <w:rsid w:val="3CF8256F"/>
    <w:rsid w:val="3CF92F4A"/>
    <w:rsid w:val="3CFA72E6"/>
    <w:rsid w:val="3CFB70E0"/>
    <w:rsid w:val="3CFC0724"/>
    <w:rsid w:val="3CFC4690"/>
    <w:rsid w:val="3CFD5C00"/>
    <w:rsid w:val="3CFD6976"/>
    <w:rsid w:val="3D000214"/>
    <w:rsid w:val="3D007123"/>
    <w:rsid w:val="3D037D04"/>
    <w:rsid w:val="3D053A7C"/>
    <w:rsid w:val="3D070029"/>
    <w:rsid w:val="3D0777F5"/>
    <w:rsid w:val="3D0A1093"/>
    <w:rsid w:val="3D0A1A46"/>
    <w:rsid w:val="3D0C0065"/>
    <w:rsid w:val="3D0F2AA3"/>
    <w:rsid w:val="3D112421"/>
    <w:rsid w:val="3D1215F7"/>
    <w:rsid w:val="3D136199"/>
    <w:rsid w:val="3D145A6E"/>
    <w:rsid w:val="3D1617E6"/>
    <w:rsid w:val="3D163594"/>
    <w:rsid w:val="3D176D48"/>
    <w:rsid w:val="3D17730C"/>
    <w:rsid w:val="3D1837B0"/>
    <w:rsid w:val="3D197528"/>
    <w:rsid w:val="3D1C6419"/>
    <w:rsid w:val="3D1C7B5A"/>
    <w:rsid w:val="3D1D2B74"/>
    <w:rsid w:val="3D1F0390"/>
    <w:rsid w:val="3D22462E"/>
    <w:rsid w:val="3D2263DC"/>
    <w:rsid w:val="3D253EC9"/>
    <w:rsid w:val="3D255ECD"/>
    <w:rsid w:val="3D271C45"/>
    <w:rsid w:val="3D285CC9"/>
    <w:rsid w:val="3D287B82"/>
    <w:rsid w:val="3D2A13D1"/>
    <w:rsid w:val="3D2A5291"/>
    <w:rsid w:val="3D2E2FD3"/>
    <w:rsid w:val="3D3103CE"/>
    <w:rsid w:val="3D31435C"/>
    <w:rsid w:val="3D324146"/>
    <w:rsid w:val="3D335711"/>
    <w:rsid w:val="3D337138"/>
    <w:rsid w:val="3D3561A5"/>
    <w:rsid w:val="3D357127"/>
    <w:rsid w:val="3D3630FE"/>
    <w:rsid w:val="3D3659E4"/>
    <w:rsid w:val="3D3679ED"/>
    <w:rsid w:val="3D3842E3"/>
    <w:rsid w:val="3D3B0201"/>
    <w:rsid w:val="3D3B124C"/>
    <w:rsid w:val="3D402D06"/>
    <w:rsid w:val="3D4124DC"/>
    <w:rsid w:val="3D45031D"/>
    <w:rsid w:val="3D46761E"/>
    <w:rsid w:val="3D475E43"/>
    <w:rsid w:val="3D490006"/>
    <w:rsid w:val="3D4C5207"/>
    <w:rsid w:val="3D4D6405"/>
    <w:rsid w:val="3D4E71D1"/>
    <w:rsid w:val="3D4F2F4A"/>
    <w:rsid w:val="3D4F4CF8"/>
    <w:rsid w:val="3D566086"/>
    <w:rsid w:val="3D5B1E56"/>
    <w:rsid w:val="3D5B72F8"/>
    <w:rsid w:val="3D646231"/>
    <w:rsid w:val="3D6562C9"/>
    <w:rsid w:val="3D6764E5"/>
    <w:rsid w:val="3D6C0B43"/>
    <w:rsid w:val="3D6C3AFB"/>
    <w:rsid w:val="3D6D1908"/>
    <w:rsid w:val="3D6E7757"/>
    <w:rsid w:val="3D6F71B7"/>
    <w:rsid w:val="3D6F7A43"/>
    <w:rsid w:val="3D70539A"/>
    <w:rsid w:val="3D745DFB"/>
    <w:rsid w:val="3D752FC2"/>
    <w:rsid w:val="3D760AE1"/>
    <w:rsid w:val="3D772606"/>
    <w:rsid w:val="3D791D75"/>
    <w:rsid w:val="3D7A18AF"/>
    <w:rsid w:val="3D8255C6"/>
    <w:rsid w:val="3D8449A1"/>
    <w:rsid w:val="3D851D0D"/>
    <w:rsid w:val="3D8729D9"/>
    <w:rsid w:val="3D874491"/>
    <w:rsid w:val="3D894F96"/>
    <w:rsid w:val="3D8C5F4C"/>
    <w:rsid w:val="3D8E220A"/>
    <w:rsid w:val="3D8E7E7B"/>
    <w:rsid w:val="3D8F15CC"/>
    <w:rsid w:val="3D8F3346"/>
    <w:rsid w:val="3D90017F"/>
    <w:rsid w:val="3D912B45"/>
    <w:rsid w:val="3D923F1B"/>
    <w:rsid w:val="3D9274E1"/>
    <w:rsid w:val="3D931088"/>
    <w:rsid w:val="3D94703C"/>
    <w:rsid w:val="3D9646D4"/>
    <w:rsid w:val="3D976E93"/>
    <w:rsid w:val="3D980617"/>
    <w:rsid w:val="3D9902F3"/>
    <w:rsid w:val="3D99065E"/>
    <w:rsid w:val="3D9A7025"/>
    <w:rsid w:val="3D9B7F3D"/>
    <w:rsid w:val="3D9F061F"/>
    <w:rsid w:val="3DA212CB"/>
    <w:rsid w:val="3DA2751D"/>
    <w:rsid w:val="3DA57E9B"/>
    <w:rsid w:val="3DA60DBB"/>
    <w:rsid w:val="3DA61E89"/>
    <w:rsid w:val="3DAB73A3"/>
    <w:rsid w:val="3DAD1CC3"/>
    <w:rsid w:val="3DAD3404"/>
    <w:rsid w:val="3DAE1A1E"/>
    <w:rsid w:val="3DB13215"/>
    <w:rsid w:val="3DB44648"/>
    <w:rsid w:val="3DB50FFF"/>
    <w:rsid w:val="3DB57251"/>
    <w:rsid w:val="3DB65977"/>
    <w:rsid w:val="3DB669EF"/>
    <w:rsid w:val="3DB66B25"/>
    <w:rsid w:val="3DB84C51"/>
    <w:rsid w:val="3DBA03C3"/>
    <w:rsid w:val="3DBA6551"/>
    <w:rsid w:val="3DBD4D72"/>
    <w:rsid w:val="3DBD5259"/>
    <w:rsid w:val="3DBE4B91"/>
    <w:rsid w:val="3DBE5819"/>
    <w:rsid w:val="3DBF3C2B"/>
    <w:rsid w:val="3DC05237"/>
    <w:rsid w:val="3DC254CA"/>
    <w:rsid w:val="3DC408C7"/>
    <w:rsid w:val="3DC471FE"/>
    <w:rsid w:val="3DC47494"/>
    <w:rsid w:val="3DC56D68"/>
    <w:rsid w:val="3DC6320C"/>
    <w:rsid w:val="3DC67DE5"/>
    <w:rsid w:val="3DC72AE0"/>
    <w:rsid w:val="3DCB6A74"/>
    <w:rsid w:val="3DCD0388"/>
    <w:rsid w:val="3DCF0187"/>
    <w:rsid w:val="3DCF6379"/>
    <w:rsid w:val="3DD07BE6"/>
    <w:rsid w:val="3DD26AE2"/>
    <w:rsid w:val="3DD31B91"/>
    <w:rsid w:val="3DD35929"/>
    <w:rsid w:val="3DD5344F"/>
    <w:rsid w:val="3DD551FD"/>
    <w:rsid w:val="3DD75419"/>
    <w:rsid w:val="3DD86EA7"/>
    <w:rsid w:val="3DDA2813"/>
    <w:rsid w:val="3DDC2A2F"/>
    <w:rsid w:val="3DDE2F12"/>
    <w:rsid w:val="3DE03BA2"/>
    <w:rsid w:val="3DE1502A"/>
    <w:rsid w:val="3DE23DBE"/>
    <w:rsid w:val="3DE2616C"/>
    <w:rsid w:val="3DE3213E"/>
    <w:rsid w:val="3DE43692"/>
    <w:rsid w:val="3DE47B36"/>
    <w:rsid w:val="3DE7342C"/>
    <w:rsid w:val="3DE73A23"/>
    <w:rsid w:val="3DE74B05"/>
    <w:rsid w:val="3DE9514C"/>
    <w:rsid w:val="3DEB3974"/>
    <w:rsid w:val="3DEB4A20"/>
    <w:rsid w:val="3DED4B59"/>
    <w:rsid w:val="3DF151A7"/>
    <w:rsid w:val="3DF1535C"/>
    <w:rsid w:val="3DF15DAF"/>
    <w:rsid w:val="3DF22256"/>
    <w:rsid w:val="3DF243FA"/>
    <w:rsid w:val="3DF245B0"/>
    <w:rsid w:val="3DF37D79"/>
    <w:rsid w:val="3DF53AF1"/>
    <w:rsid w:val="3DF5589F"/>
    <w:rsid w:val="3DF5764D"/>
    <w:rsid w:val="3DFA1107"/>
    <w:rsid w:val="3DFB1968"/>
    <w:rsid w:val="3DFD29A6"/>
    <w:rsid w:val="3E014244"/>
    <w:rsid w:val="3E01686C"/>
    <w:rsid w:val="3E02059E"/>
    <w:rsid w:val="3E021D6A"/>
    <w:rsid w:val="3E05686D"/>
    <w:rsid w:val="3E06185A"/>
    <w:rsid w:val="3E0B3FA3"/>
    <w:rsid w:val="3E0D2F0E"/>
    <w:rsid w:val="3E0D342E"/>
    <w:rsid w:val="3E0E6DE1"/>
    <w:rsid w:val="3E104487"/>
    <w:rsid w:val="3E1201FF"/>
    <w:rsid w:val="3E1321C9"/>
    <w:rsid w:val="3E135806"/>
    <w:rsid w:val="3E1440E6"/>
    <w:rsid w:val="3E15389D"/>
    <w:rsid w:val="3E15394A"/>
    <w:rsid w:val="3E155F41"/>
    <w:rsid w:val="3E157956"/>
    <w:rsid w:val="3E17465A"/>
    <w:rsid w:val="3E174EC3"/>
    <w:rsid w:val="3E190929"/>
    <w:rsid w:val="3E1978B4"/>
    <w:rsid w:val="3E1A3557"/>
    <w:rsid w:val="3E1C7B6E"/>
    <w:rsid w:val="3E1D6BA4"/>
    <w:rsid w:val="3E1F25A6"/>
    <w:rsid w:val="3E23065E"/>
    <w:rsid w:val="3E261EFC"/>
    <w:rsid w:val="3E281B36"/>
    <w:rsid w:val="3E2A3192"/>
    <w:rsid w:val="3E2B306F"/>
    <w:rsid w:val="3E2B558B"/>
    <w:rsid w:val="3E2C4A1C"/>
    <w:rsid w:val="3E2C592D"/>
    <w:rsid w:val="3E2D1E59"/>
    <w:rsid w:val="3E2D4427"/>
    <w:rsid w:val="3E2D5039"/>
    <w:rsid w:val="3E310BD1"/>
    <w:rsid w:val="3E3363C7"/>
    <w:rsid w:val="3E35213F"/>
    <w:rsid w:val="3E353EED"/>
    <w:rsid w:val="3E3826A5"/>
    <w:rsid w:val="3E3A0996"/>
    <w:rsid w:val="3E3A6BED"/>
    <w:rsid w:val="3E3F202E"/>
    <w:rsid w:val="3E402A5F"/>
    <w:rsid w:val="3E4203B8"/>
    <w:rsid w:val="3E421769"/>
    <w:rsid w:val="3E424470"/>
    <w:rsid w:val="3E432D09"/>
    <w:rsid w:val="3E43485C"/>
    <w:rsid w:val="3E437F50"/>
    <w:rsid w:val="3E45722C"/>
    <w:rsid w:val="3E481508"/>
    <w:rsid w:val="3E481E73"/>
    <w:rsid w:val="3E4E5063"/>
    <w:rsid w:val="3E504D4A"/>
    <w:rsid w:val="3E507983"/>
    <w:rsid w:val="3E514F5F"/>
    <w:rsid w:val="3E522CF1"/>
    <w:rsid w:val="3E530817"/>
    <w:rsid w:val="3E534D99"/>
    <w:rsid w:val="3E541FD3"/>
    <w:rsid w:val="3E555A65"/>
    <w:rsid w:val="3E55633E"/>
    <w:rsid w:val="3E573E64"/>
    <w:rsid w:val="3E597AA2"/>
    <w:rsid w:val="3E597D6C"/>
    <w:rsid w:val="3E5A3EDC"/>
    <w:rsid w:val="3E5E42D6"/>
    <w:rsid w:val="3E5F0F6A"/>
    <w:rsid w:val="3E667CEF"/>
    <w:rsid w:val="3E677D82"/>
    <w:rsid w:val="3E6829DC"/>
    <w:rsid w:val="3E6853F0"/>
    <w:rsid w:val="3E6A003B"/>
    <w:rsid w:val="3E6B790F"/>
    <w:rsid w:val="3E6F439C"/>
    <w:rsid w:val="3E722093"/>
    <w:rsid w:val="3E7A5DA4"/>
    <w:rsid w:val="3E7C1B1C"/>
    <w:rsid w:val="3E7E5894"/>
    <w:rsid w:val="3E7E7E57"/>
    <w:rsid w:val="3E7F160D"/>
    <w:rsid w:val="3E7F6A62"/>
    <w:rsid w:val="3E800899"/>
    <w:rsid w:val="3E817133"/>
    <w:rsid w:val="3E846C23"/>
    <w:rsid w:val="3E8751F4"/>
    <w:rsid w:val="3E8804C1"/>
    <w:rsid w:val="3E883383"/>
    <w:rsid w:val="3E895FE7"/>
    <w:rsid w:val="3E8B1D5F"/>
    <w:rsid w:val="3E8B62D5"/>
    <w:rsid w:val="3E8C596E"/>
    <w:rsid w:val="3E8D1F7B"/>
    <w:rsid w:val="3E8D7925"/>
    <w:rsid w:val="3E8E4B07"/>
    <w:rsid w:val="3E907376"/>
    <w:rsid w:val="3E917038"/>
    <w:rsid w:val="3E921340"/>
    <w:rsid w:val="3E9260D6"/>
    <w:rsid w:val="3E941738"/>
    <w:rsid w:val="3E947456"/>
    <w:rsid w:val="3E9545A0"/>
    <w:rsid w:val="3E9926CE"/>
    <w:rsid w:val="3E9B4698"/>
    <w:rsid w:val="3E9C323A"/>
    <w:rsid w:val="3E9E0431"/>
    <w:rsid w:val="3EA03A5D"/>
    <w:rsid w:val="3EA23AC2"/>
    <w:rsid w:val="3EA51073"/>
    <w:rsid w:val="3EA6303D"/>
    <w:rsid w:val="3EA7309D"/>
    <w:rsid w:val="3EA82C46"/>
    <w:rsid w:val="3EA943A4"/>
    <w:rsid w:val="3EAB41B0"/>
    <w:rsid w:val="3EAC29A7"/>
    <w:rsid w:val="3EAC7351"/>
    <w:rsid w:val="3EB07A18"/>
    <w:rsid w:val="3EB219E2"/>
    <w:rsid w:val="3EB412B6"/>
    <w:rsid w:val="3EB5502E"/>
    <w:rsid w:val="3EB63280"/>
    <w:rsid w:val="3EB70DA6"/>
    <w:rsid w:val="3EB96BF2"/>
    <w:rsid w:val="3EBB58F7"/>
    <w:rsid w:val="3EBC460F"/>
    <w:rsid w:val="3EBC6CF0"/>
    <w:rsid w:val="3EBE490B"/>
    <w:rsid w:val="3EBE4C76"/>
    <w:rsid w:val="3EBF3EF4"/>
    <w:rsid w:val="3EC12500"/>
    <w:rsid w:val="3EC15781"/>
    <w:rsid w:val="3EC2309F"/>
    <w:rsid w:val="3EC4322F"/>
    <w:rsid w:val="3ECA0847"/>
    <w:rsid w:val="3ECA2888"/>
    <w:rsid w:val="3ECA3B48"/>
    <w:rsid w:val="3ECB03B5"/>
    <w:rsid w:val="3ECD05CA"/>
    <w:rsid w:val="3ECE0618"/>
    <w:rsid w:val="3ED022A8"/>
    <w:rsid w:val="3ED2074B"/>
    <w:rsid w:val="3ED2798E"/>
    <w:rsid w:val="3ED43706"/>
    <w:rsid w:val="3ED6747E"/>
    <w:rsid w:val="3ED71527"/>
    <w:rsid w:val="3ED951C1"/>
    <w:rsid w:val="3ED953F3"/>
    <w:rsid w:val="3ED96F6F"/>
    <w:rsid w:val="3EDA1F9B"/>
    <w:rsid w:val="3EDF3C3E"/>
    <w:rsid w:val="3EE020AB"/>
    <w:rsid w:val="3EE15E23"/>
    <w:rsid w:val="3EE5023D"/>
    <w:rsid w:val="3EE7262B"/>
    <w:rsid w:val="3EE75890"/>
    <w:rsid w:val="3EE76488"/>
    <w:rsid w:val="3EE80F60"/>
    <w:rsid w:val="3EE85404"/>
    <w:rsid w:val="3EE9278D"/>
    <w:rsid w:val="3EE92F0D"/>
    <w:rsid w:val="3EE940A2"/>
    <w:rsid w:val="3EE9440D"/>
    <w:rsid w:val="3EEA2F2A"/>
    <w:rsid w:val="3EEB0A50"/>
    <w:rsid w:val="3EEC344B"/>
    <w:rsid w:val="3EED6576"/>
    <w:rsid w:val="3EEE458E"/>
    <w:rsid w:val="3EEF0540"/>
    <w:rsid w:val="3EF2265D"/>
    <w:rsid w:val="3EF26958"/>
    <w:rsid w:val="3EF61D26"/>
    <w:rsid w:val="3EF9069B"/>
    <w:rsid w:val="3EF9145C"/>
    <w:rsid w:val="3EF92E5D"/>
    <w:rsid w:val="3EFE5326"/>
    <w:rsid w:val="3EFF7B42"/>
    <w:rsid w:val="3F00274D"/>
    <w:rsid w:val="3F054910"/>
    <w:rsid w:val="3F086863"/>
    <w:rsid w:val="3F1049E5"/>
    <w:rsid w:val="3F143D5A"/>
    <w:rsid w:val="3F163D1F"/>
    <w:rsid w:val="3F1735F3"/>
    <w:rsid w:val="3F177A97"/>
    <w:rsid w:val="3F192EF0"/>
    <w:rsid w:val="3F1B4619"/>
    <w:rsid w:val="3F1B623A"/>
    <w:rsid w:val="3F1F4BA2"/>
    <w:rsid w:val="3F2006FA"/>
    <w:rsid w:val="3F2114A2"/>
    <w:rsid w:val="3F21299C"/>
    <w:rsid w:val="3F220916"/>
    <w:rsid w:val="3F221C11"/>
    <w:rsid w:val="3F2327AF"/>
    <w:rsid w:val="3F247041"/>
    <w:rsid w:val="3F26793E"/>
    <w:rsid w:val="3F281CA4"/>
    <w:rsid w:val="3F2B2F30"/>
    <w:rsid w:val="3F2C130C"/>
    <w:rsid w:val="3F2C52F0"/>
    <w:rsid w:val="3F2D1069"/>
    <w:rsid w:val="3F2E70A0"/>
    <w:rsid w:val="3F2F6B8F"/>
    <w:rsid w:val="3F312907"/>
    <w:rsid w:val="3F3452A8"/>
    <w:rsid w:val="3F373C95"/>
    <w:rsid w:val="3F3A29A8"/>
    <w:rsid w:val="3F3A3882"/>
    <w:rsid w:val="3F3B19D7"/>
    <w:rsid w:val="3F3B5533"/>
    <w:rsid w:val="3F3D66CD"/>
    <w:rsid w:val="3F3D74FE"/>
    <w:rsid w:val="3F3F2FD1"/>
    <w:rsid w:val="3F400D9C"/>
    <w:rsid w:val="3F402B4A"/>
    <w:rsid w:val="3F4168C2"/>
    <w:rsid w:val="3F434E29"/>
    <w:rsid w:val="3F45783C"/>
    <w:rsid w:val="3F47037C"/>
    <w:rsid w:val="3F485EA2"/>
    <w:rsid w:val="3F4A7E6C"/>
    <w:rsid w:val="3F4C44A0"/>
    <w:rsid w:val="3F4D5267"/>
    <w:rsid w:val="3F4D5E84"/>
    <w:rsid w:val="3F4D6968"/>
    <w:rsid w:val="3F51413E"/>
    <w:rsid w:val="3F524CDD"/>
    <w:rsid w:val="3F524DF0"/>
    <w:rsid w:val="3F536D21"/>
    <w:rsid w:val="3F542A99"/>
    <w:rsid w:val="3F546091"/>
    <w:rsid w:val="3F5672FF"/>
    <w:rsid w:val="3F5860E5"/>
    <w:rsid w:val="3F5900B0"/>
    <w:rsid w:val="3F591E5E"/>
    <w:rsid w:val="3F5B09CC"/>
    <w:rsid w:val="3F5B3E28"/>
    <w:rsid w:val="3F5B5BD6"/>
    <w:rsid w:val="3F5C4B8A"/>
    <w:rsid w:val="3F5C78B4"/>
    <w:rsid w:val="3F5C7A6A"/>
    <w:rsid w:val="3F5D6CBD"/>
    <w:rsid w:val="3F5E56C6"/>
    <w:rsid w:val="3F604F9A"/>
    <w:rsid w:val="3F617B87"/>
    <w:rsid w:val="3F6444D4"/>
    <w:rsid w:val="3F650802"/>
    <w:rsid w:val="3F6727CC"/>
    <w:rsid w:val="3F67457A"/>
    <w:rsid w:val="3F676329"/>
    <w:rsid w:val="3F6902F3"/>
    <w:rsid w:val="3F693551"/>
    <w:rsid w:val="3F695DAF"/>
    <w:rsid w:val="3F6A2AD3"/>
    <w:rsid w:val="3F6C7DE3"/>
    <w:rsid w:val="3F6E0157"/>
    <w:rsid w:val="3F6F1739"/>
    <w:rsid w:val="3F715893"/>
    <w:rsid w:val="3F733709"/>
    <w:rsid w:val="3F780536"/>
    <w:rsid w:val="3F7942AE"/>
    <w:rsid w:val="3F7B1DD4"/>
    <w:rsid w:val="3F7D11F8"/>
    <w:rsid w:val="3F7D3D9E"/>
    <w:rsid w:val="3F7D5B4C"/>
    <w:rsid w:val="3F7F6AE6"/>
    <w:rsid w:val="3F8064C6"/>
    <w:rsid w:val="3F823162"/>
    <w:rsid w:val="3F842C17"/>
    <w:rsid w:val="3F865BC8"/>
    <w:rsid w:val="3F877A8D"/>
    <w:rsid w:val="3F8844F1"/>
    <w:rsid w:val="3F890D4B"/>
    <w:rsid w:val="3F892743"/>
    <w:rsid w:val="3F8B4A3E"/>
    <w:rsid w:val="3F910FCA"/>
    <w:rsid w:val="3F912ABC"/>
    <w:rsid w:val="3F9335C1"/>
    <w:rsid w:val="3F93475A"/>
    <w:rsid w:val="3F9457EA"/>
    <w:rsid w:val="3F9A4CD2"/>
    <w:rsid w:val="3F9B0DC4"/>
    <w:rsid w:val="3F9B1C2A"/>
    <w:rsid w:val="3F9B4224"/>
    <w:rsid w:val="3F9D61EE"/>
    <w:rsid w:val="3F9E1855"/>
    <w:rsid w:val="3F9F1F66"/>
    <w:rsid w:val="3FA154AA"/>
    <w:rsid w:val="3FA40226"/>
    <w:rsid w:val="3FA4132B"/>
    <w:rsid w:val="3FA47376"/>
    <w:rsid w:val="3FA64287"/>
    <w:rsid w:val="3FA7706D"/>
    <w:rsid w:val="3FA94B93"/>
    <w:rsid w:val="3FAA4467"/>
    <w:rsid w:val="3FAE03FB"/>
    <w:rsid w:val="3FAF1A7E"/>
    <w:rsid w:val="3FB35A12"/>
    <w:rsid w:val="3FB35A36"/>
    <w:rsid w:val="3FB45881"/>
    <w:rsid w:val="3FB45AB9"/>
    <w:rsid w:val="3FB6105E"/>
    <w:rsid w:val="3FBA368F"/>
    <w:rsid w:val="3FBD23EC"/>
    <w:rsid w:val="3FBD419A"/>
    <w:rsid w:val="3FC277D2"/>
    <w:rsid w:val="3FC41290"/>
    <w:rsid w:val="3FC46A7B"/>
    <w:rsid w:val="3FC512A1"/>
    <w:rsid w:val="3FC67889"/>
    <w:rsid w:val="3FC7326B"/>
    <w:rsid w:val="3FC77CA4"/>
    <w:rsid w:val="3FCC680A"/>
    <w:rsid w:val="3FCD4900"/>
    <w:rsid w:val="3FCE1E68"/>
    <w:rsid w:val="3FD029F0"/>
    <w:rsid w:val="3FD6525C"/>
    <w:rsid w:val="3FD662F8"/>
    <w:rsid w:val="3FD87226"/>
    <w:rsid w:val="3FD876AC"/>
    <w:rsid w:val="3FD9040F"/>
    <w:rsid w:val="3FDA11F0"/>
    <w:rsid w:val="3FDA4D4C"/>
    <w:rsid w:val="3FDD1AF8"/>
    <w:rsid w:val="3FDD65EB"/>
    <w:rsid w:val="3FDD6F27"/>
    <w:rsid w:val="3FDE5539"/>
    <w:rsid w:val="3FDF2363"/>
    <w:rsid w:val="3FDF4CAD"/>
    <w:rsid w:val="3FDF6625"/>
    <w:rsid w:val="3FDF6807"/>
    <w:rsid w:val="3FE231B7"/>
    <w:rsid w:val="3FE45BCB"/>
    <w:rsid w:val="3FE67B95"/>
    <w:rsid w:val="3FE831F2"/>
    <w:rsid w:val="3FE91433"/>
    <w:rsid w:val="3FEA2868"/>
    <w:rsid w:val="3FEB40FC"/>
    <w:rsid w:val="3FEB52B2"/>
    <w:rsid w:val="3FEB6F5A"/>
    <w:rsid w:val="3FEB6F5D"/>
    <w:rsid w:val="3FEC0DF0"/>
    <w:rsid w:val="3FEE25A6"/>
    <w:rsid w:val="3FEE42F3"/>
    <w:rsid w:val="3FEE6A4A"/>
    <w:rsid w:val="3FF34060"/>
    <w:rsid w:val="3FF34A03"/>
    <w:rsid w:val="3FF57DD8"/>
    <w:rsid w:val="3FFC13DB"/>
    <w:rsid w:val="3FFC1C67"/>
    <w:rsid w:val="3FFC3940"/>
    <w:rsid w:val="3FFD0D04"/>
    <w:rsid w:val="40022383"/>
    <w:rsid w:val="40026051"/>
    <w:rsid w:val="40036064"/>
    <w:rsid w:val="40084BA9"/>
    <w:rsid w:val="400A6787"/>
    <w:rsid w:val="400B5BA8"/>
    <w:rsid w:val="400B75FC"/>
    <w:rsid w:val="401157AC"/>
    <w:rsid w:val="4013200C"/>
    <w:rsid w:val="40161C34"/>
    <w:rsid w:val="40195A39"/>
    <w:rsid w:val="40195E74"/>
    <w:rsid w:val="401961DF"/>
    <w:rsid w:val="401B69A9"/>
    <w:rsid w:val="401B746C"/>
    <w:rsid w:val="401F2997"/>
    <w:rsid w:val="401F3152"/>
    <w:rsid w:val="40224945"/>
    <w:rsid w:val="40225F85"/>
    <w:rsid w:val="4023466F"/>
    <w:rsid w:val="4024421A"/>
    <w:rsid w:val="402448E9"/>
    <w:rsid w:val="402715B4"/>
    <w:rsid w:val="40271F5C"/>
    <w:rsid w:val="402802E6"/>
    <w:rsid w:val="402F3CB8"/>
    <w:rsid w:val="403311B0"/>
    <w:rsid w:val="40343568"/>
    <w:rsid w:val="4034372C"/>
    <w:rsid w:val="40356427"/>
    <w:rsid w:val="4038111F"/>
    <w:rsid w:val="40384169"/>
    <w:rsid w:val="40391654"/>
    <w:rsid w:val="40411C21"/>
    <w:rsid w:val="40437E8C"/>
    <w:rsid w:val="40460634"/>
    <w:rsid w:val="40464190"/>
    <w:rsid w:val="40466196"/>
    <w:rsid w:val="404733DB"/>
    <w:rsid w:val="404A3798"/>
    <w:rsid w:val="405014B2"/>
    <w:rsid w:val="40510A2D"/>
    <w:rsid w:val="405326C2"/>
    <w:rsid w:val="40534AFF"/>
    <w:rsid w:val="40544E2E"/>
    <w:rsid w:val="405465FA"/>
    <w:rsid w:val="40550877"/>
    <w:rsid w:val="40574C1C"/>
    <w:rsid w:val="405857FB"/>
    <w:rsid w:val="40591E69"/>
    <w:rsid w:val="40596D74"/>
    <w:rsid w:val="4059782F"/>
    <w:rsid w:val="405A40DF"/>
    <w:rsid w:val="405A7C3B"/>
    <w:rsid w:val="405B02ED"/>
    <w:rsid w:val="405E3BCF"/>
    <w:rsid w:val="405F16F6"/>
    <w:rsid w:val="40612FAD"/>
    <w:rsid w:val="4061721C"/>
    <w:rsid w:val="40632F94"/>
    <w:rsid w:val="40635C59"/>
    <w:rsid w:val="406665E0"/>
    <w:rsid w:val="406800A0"/>
    <w:rsid w:val="40694322"/>
    <w:rsid w:val="406B1E48"/>
    <w:rsid w:val="406C02A7"/>
    <w:rsid w:val="406C796F"/>
    <w:rsid w:val="406F68CD"/>
    <w:rsid w:val="407056B1"/>
    <w:rsid w:val="407225E2"/>
    <w:rsid w:val="407231D7"/>
    <w:rsid w:val="40741F5E"/>
    <w:rsid w:val="40747DF6"/>
    <w:rsid w:val="40752CC7"/>
    <w:rsid w:val="40775150"/>
    <w:rsid w:val="407927B7"/>
    <w:rsid w:val="40793ED7"/>
    <w:rsid w:val="407A652F"/>
    <w:rsid w:val="407C6265"/>
    <w:rsid w:val="407D392A"/>
    <w:rsid w:val="407E2D76"/>
    <w:rsid w:val="407E73CA"/>
    <w:rsid w:val="407F76A2"/>
    <w:rsid w:val="40800D4A"/>
    <w:rsid w:val="408056BB"/>
    <w:rsid w:val="40805A26"/>
    <w:rsid w:val="40827192"/>
    <w:rsid w:val="40864D84"/>
    <w:rsid w:val="40881AFB"/>
    <w:rsid w:val="408847A8"/>
    <w:rsid w:val="40887534"/>
    <w:rsid w:val="4089126F"/>
    <w:rsid w:val="40891C7B"/>
    <w:rsid w:val="408E0203"/>
    <w:rsid w:val="408E6FA1"/>
    <w:rsid w:val="4090044C"/>
    <w:rsid w:val="40955117"/>
    <w:rsid w:val="40966E0C"/>
    <w:rsid w:val="4099592E"/>
    <w:rsid w:val="40995D45"/>
    <w:rsid w:val="409A17EE"/>
    <w:rsid w:val="409C2D4C"/>
    <w:rsid w:val="409C2F14"/>
    <w:rsid w:val="409C326C"/>
    <w:rsid w:val="409C3422"/>
    <w:rsid w:val="409E155D"/>
    <w:rsid w:val="409E3FCC"/>
    <w:rsid w:val="40A1676B"/>
    <w:rsid w:val="40A204FB"/>
    <w:rsid w:val="40A806BA"/>
    <w:rsid w:val="40A8590B"/>
    <w:rsid w:val="40A9107D"/>
    <w:rsid w:val="40AC381A"/>
    <w:rsid w:val="40AC3EF0"/>
    <w:rsid w:val="40AC5344"/>
    <w:rsid w:val="40AF442B"/>
    <w:rsid w:val="40B03CFF"/>
    <w:rsid w:val="40B15BA0"/>
    <w:rsid w:val="40B2251C"/>
    <w:rsid w:val="40B60D80"/>
    <w:rsid w:val="40B875BE"/>
    <w:rsid w:val="40BA4B7E"/>
    <w:rsid w:val="40BA7296"/>
    <w:rsid w:val="40BC08F6"/>
    <w:rsid w:val="40BC1CAF"/>
    <w:rsid w:val="40BD4B88"/>
    <w:rsid w:val="40BF2194"/>
    <w:rsid w:val="40BF3F42"/>
    <w:rsid w:val="40C34607"/>
    <w:rsid w:val="40C56E99"/>
    <w:rsid w:val="40C61775"/>
    <w:rsid w:val="40C652D1"/>
    <w:rsid w:val="40C72BB9"/>
    <w:rsid w:val="40C779CD"/>
    <w:rsid w:val="40CA3013"/>
    <w:rsid w:val="40D21E6C"/>
    <w:rsid w:val="40D304EF"/>
    <w:rsid w:val="40D32BD9"/>
    <w:rsid w:val="40D37F31"/>
    <w:rsid w:val="40D44550"/>
    <w:rsid w:val="40D53766"/>
    <w:rsid w:val="40D56FE4"/>
    <w:rsid w:val="40D63F13"/>
    <w:rsid w:val="40D6429F"/>
    <w:rsid w:val="40D735C1"/>
    <w:rsid w:val="40D774DE"/>
    <w:rsid w:val="40DA0D7C"/>
    <w:rsid w:val="40DC28F6"/>
    <w:rsid w:val="40E113D5"/>
    <w:rsid w:val="40E1210B"/>
    <w:rsid w:val="40E12670"/>
    <w:rsid w:val="40E340D5"/>
    <w:rsid w:val="40E46277"/>
    <w:rsid w:val="40E47CE9"/>
    <w:rsid w:val="40E51BFB"/>
    <w:rsid w:val="40E650B7"/>
    <w:rsid w:val="40E77DF5"/>
    <w:rsid w:val="40E9264F"/>
    <w:rsid w:val="40EB2F89"/>
    <w:rsid w:val="40F0234E"/>
    <w:rsid w:val="40F24F08"/>
    <w:rsid w:val="40F305EF"/>
    <w:rsid w:val="40F462E2"/>
    <w:rsid w:val="40F57964"/>
    <w:rsid w:val="40F77B80"/>
    <w:rsid w:val="40FB4B2A"/>
    <w:rsid w:val="40FE4A6B"/>
    <w:rsid w:val="41011E2C"/>
    <w:rsid w:val="4101455B"/>
    <w:rsid w:val="41016309"/>
    <w:rsid w:val="4103199B"/>
    <w:rsid w:val="4105038F"/>
    <w:rsid w:val="410507AD"/>
    <w:rsid w:val="4105404B"/>
    <w:rsid w:val="41067DC3"/>
    <w:rsid w:val="4108321F"/>
    <w:rsid w:val="410858E9"/>
    <w:rsid w:val="410A318F"/>
    <w:rsid w:val="410A78B3"/>
    <w:rsid w:val="410E16F6"/>
    <w:rsid w:val="410F6C78"/>
    <w:rsid w:val="411053AE"/>
    <w:rsid w:val="41105CD2"/>
    <w:rsid w:val="4114428E"/>
    <w:rsid w:val="41151DB4"/>
    <w:rsid w:val="41182D1A"/>
    <w:rsid w:val="41195D48"/>
    <w:rsid w:val="411B55A4"/>
    <w:rsid w:val="411E510D"/>
    <w:rsid w:val="41202C33"/>
    <w:rsid w:val="41207397"/>
    <w:rsid w:val="41225622"/>
    <w:rsid w:val="41250249"/>
    <w:rsid w:val="41263FC1"/>
    <w:rsid w:val="41296327"/>
    <w:rsid w:val="412A2779"/>
    <w:rsid w:val="412B750C"/>
    <w:rsid w:val="41304EAA"/>
    <w:rsid w:val="413109A6"/>
    <w:rsid w:val="4134441C"/>
    <w:rsid w:val="413606A8"/>
    <w:rsid w:val="41361594"/>
    <w:rsid w:val="4136379D"/>
    <w:rsid w:val="41372133"/>
    <w:rsid w:val="41375F67"/>
    <w:rsid w:val="413772EF"/>
    <w:rsid w:val="41384420"/>
    <w:rsid w:val="413936AC"/>
    <w:rsid w:val="413B4F48"/>
    <w:rsid w:val="413B561F"/>
    <w:rsid w:val="413C1A16"/>
    <w:rsid w:val="413C37E5"/>
    <w:rsid w:val="413C4A27"/>
    <w:rsid w:val="413E755D"/>
    <w:rsid w:val="413F7118"/>
    <w:rsid w:val="414003CA"/>
    <w:rsid w:val="41425B1E"/>
    <w:rsid w:val="4142704D"/>
    <w:rsid w:val="41483F38"/>
    <w:rsid w:val="414A0A35"/>
    <w:rsid w:val="414A5F02"/>
    <w:rsid w:val="414B1462"/>
    <w:rsid w:val="414B5F37"/>
    <w:rsid w:val="414D59F2"/>
    <w:rsid w:val="414E2503"/>
    <w:rsid w:val="414F52C6"/>
    <w:rsid w:val="41523008"/>
    <w:rsid w:val="41534040"/>
    <w:rsid w:val="415475F9"/>
    <w:rsid w:val="415648A7"/>
    <w:rsid w:val="41591156"/>
    <w:rsid w:val="415A3663"/>
    <w:rsid w:val="415A3828"/>
    <w:rsid w:val="416045F4"/>
    <w:rsid w:val="416074D3"/>
    <w:rsid w:val="4162149D"/>
    <w:rsid w:val="41621CF3"/>
    <w:rsid w:val="41631CB5"/>
    <w:rsid w:val="41635215"/>
    <w:rsid w:val="41676AB4"/>
    <w:rsid w:val="416A0352"/>
    <w:rsid w:val="416A3A66"/>
    <w:rsid w:val="416F1073"/>
    <w:rsid w:val="416F3BBA"/>
    <w:rsid w:val="416F5968"/>
    <w:rsid w:val="417C1B26"/>
    <w:rsid w:val="417C1E33"/>
    <w:rsid w:val="417E656E"/>
    <w:rsid w:val="417F7DE8"/>
    <w:rsid w:val="418036D2"/>
    <w:rsid w:val="41820F87"/>
    <w:rsid w:val="4182569C"/>
    <w:rsid w:val="418331C2"/>
    <w:rsid w:val="41843F96"/>
    <w:rsid w:val="41850CE8"/>
    <w:rsid w:val="418807D8"/>
    <w:rsid w:val="41886A2A"/>
    <w:rsid w:val="41895719"/>
    <w:rsid w:val="418A34E1"/>
    <w:rsid w:val="418A4550"/>
    <w:rsid w:val="418A7109"/>
    <w:rsid w:val="418B7CA8"/>
    <w:rsid w:val="418C02C8"/>
    <w:rsid w:val="418C651A"/>
    <w:rsid w:val="418D4C98"/>
    <w:rsid w:val="418E2292"/>
    <w:rsid w:val="418E7A7B"/>
    <w:rsid w:val="418E7C8B"/>
    <w:rsid w:val="418F16A4"/>
    <w:rsid w:val="41903A54"/>
    <w:rsid w:val="41915912"/>
    <w:rsid w:val="41916F22"/>
    <w:rsid w:val="41932D5F"/>
    <w:rsid w:val="419453CF"/>
    <w:rsid w:val="41986978"/>
    <w:rsid w:val="41990C37"/>
    <w:rsid w:val="419929E5"/>
    <w:rsid w:val="419C34D8"/>
    <w:rsid w:val="419D24D5"/>
    <w:rsid w:val="419E4CC7"/>
    <w:rsid w:val="41A15C12"/>
    <w:rsid w:val="41A33F03"/>
    <w:rsid w:val="41A409B2"/>
    <w:rsid w:val="41A4319E"/>
    <w:rsid w:val="41A50A65"/>
    <w:rsid w:val="41A53138"/>
    <w:rsid w:val="41A76EB0"/>
    <w:rsid w:val="41A81BE9"/>
    <w:rsid w:val="41AA074E"/>
    <w:rsid w:val="41AA2E44"/>
    <w:rsid w:val="41AC0E4E"/>
    <w:rsid w:val="41AC2719"/>
    <w:rsid w:val="41AC2CD4"/>
    <w:rsid w:val="41AD023F"/>
    <w:rsid w:val="41AD1BAE"/>
    <w:rsid w:val="41AD1C97"/>
    <w:rsid w:val="41AE7F1F"/>
    <w:rsid w:val="41AF5B4D"/>
    <w:rsid w:val="41B14053"/>
    <w:rsid w:val="41B24535"/>
    <w:rsid w:val="41B255C8"/>
    <w:rsid w:val="41B31CF9"/>
    <w:rsid w:val="41B61F00"/>
    <w:rsid w:val="41B63217"/>
    <w:rsid w:val="41B63641"/>
    <w:rsid w:val="41B71360"/>
    <w:rsid w:val="41B96BE3"/>
    <w:rsid w:val="41BC6E35"/>
    <w:rsid w:val="41BD5235"/>
    <w:rsid w:val="41C00111"/>
    <w:rsid w:val="41C07F72"/>
    <w:rsid w:val="41C16892"/>
    <w:rsid w:val="41C21F3C"/>
    <w:rsid w:val="41C41CCC"/>
    <w:rsid w:val="41C75D77"/>
    <w:rsid w:val="41CA2B9F"/>
    <w:rsid w:val="41CC2DBB"/>
    <w:rsid w:val="41CD097A"/>
    <w:rsid w:val="41CE08E1"/>
    <w:rsid w:val="41CE2D58"/>
    <w:rsid w:val="41CF2217"/>
    <w:rsid w:val="41CF6407"/>
    <w:rsid w:val="41D028AB"/>
    <w:rsid w:val="41D11F0A"/>
    <w:rsid w:val="41D1217F"/>
    <w:rsid w:val="41D140CE"/>
    <w:rsid w:val="41D25922"/>
    <w:rsid w:val="41D72026"/>
    <w:rsid w:val="41D85470"/>
    <w:rsid w:val="41DA54D8"/>
    <w:rsid w:val="41DB1250"/>
    <w:rsid w:val="41DB2D2B"/>
    <w:rsid w:val="41DD4412"/>
    <w:rsid w:val="41DE664A"/>
    <w:rsid w:val="41E2613A"/>
    <w:rsid w:val="41E579D9"/>
    <w:rsid w:val="41E838FF"/>
    <w:rsid w:val="41E83ECA"/>
    <w:rsid w:val="41E84702"/>
    <w:rsid w:val="41E864D0"/>
    <w:rsid w:val="41E9571B"/>
    <w:rsid w:val="41E974C9"/>
    <w:rsid w:val="41EA1493"/>
    <w:rsid w:val="41EB2280"/>
    <w:rsid w:val="41EB7F7E"/>
    <w:rsid w:val="41EC520B"/>
    <w:rsid w:val="41ED5FB7"/>
    <w:rsid w:val="41ED7D93"/>
    <w:rsid w:val="41F1637D"/>
    <w:rsid w:val="41F3120F"/>
    <w:rsid w:val="41F320F5"/>
    <w:rsid w:val="41F768C6"/>
    <w:rsid w:val="41F83BB0"/>
    <w:rsid w:val="41F87BCB"/>
    <w:rsid w:val="41F93484"/>
    <w:rsid w:val="41FB4ED5"/>
    <w:rsid w:val="42010CB6"/>
    <w:rsid w:val="4202071A"/>
    <w:rsid w:val="42032080"/>
    <w:rsid w:val="42041240"/>
    <w:rsid w:val="42042555"/>
    <w:rsid w:val="42051E29"/>
    <w:rsid w:val="42053CB0"/>
    <w:rsid w:val="42073DF3"/>
    <w:rsid w:val="42097B6B"/>
    <w:rsid w:val="420A6C99"/>
    <w:rsid w:val="420C31B7"/>
    <w:rsid w:val="420F2CA7"/>
    <w:rsid w:val="420F6490"/>
    <w:rsid w:val="42114C71"/>
    <w:rsid w:val="42127409"/>
    <w:rsid w:val="42134546"/>
    <w:rsid w:val="42154762"/>
    <w:rsid w:val="42164E9D"/>
    <w:rsid w:val="4216717B"/>
    <w:rsid w:val="421765FD"/>
    <w:rsid w:val="42176A6B"/>
    <w:rsid w:val="42187DAE"/>
    <w:rsid w:val="421A7ECF"/>
    <w:rsid w:val="421B164C"/>
    <w:rsid w:val="421B33FA"/>
    <w:rsid w:val="421C10AE"/>
    <w:rsid w:val="421D7172"/>
    <w:rsid w:val="421E3C19"/>
    <w:rsid w:val="421E72F9"/>
    <w:rsid w:val="421F69FD"/>
    <w:rsid w:val="42213106"/>
    <w:rsid w:val="422229DB"/>
    <w:rsid w:val="42224F20"/>
    <w:rsid w:val="422259CE"/>
    <w:rsid w:val="422354E9"/>
    <w:rsid w:val="42240501"/>
    <w:rsid w:val="42240607"/>
    <w:rsid w:val="422449A5"/>
    <w:rsid w:val="42246753"/>
    <w:rsid w:val="42260DDB"/>
    <w:rsid w:val="42261B80"/>
    <w:rsid w:val="42276243"/>
    <w:rsid w:val="422C0BA3"/>
    <w:rsid w:val="422E75D1"/>
    <w:rsid w:val="422E7EC6"/>
    <w:rsid w:val="42311E19"/>
    <w:rsid w:val="423179A5"/>
    <w:rsid w:val="42324E73"/>
    <w:rsid w:val="42332E3A"/>
    <w:rsid w:val="4233451A"/>
    <w:rsid w:val="42334BE8"/>
    <w:rsid w:val="423524A0"/>
    <w:rsid w:val="42383143"/>
    <w:rsid w:val="423C1CEE"/>
    <w:rsid w:val="423D15C3"/>
    <w:rsid w:val="423F17DF"/>
    <w:rsid w:val="4242307D"/>
    <w:rsid w:val="42424E2B"/>
    <w:rsid w:val="42442951"/>
    <w:rsid w:val="42481CF7"/>
    <w:rsid w:val="42491AFD"/>
    <w:rsid w:val="4249440B"/>
    <w:rsid w:val="424B1F31"/>
    <w:rsid w:val="424B3CDF"/>
    <w:rsid w:val="424E37D0"/>
    <w:rsid w:val="424F45FB"/>
    <w:rsid w:val="42505483"/>
    <w:rsid w:val="42521DD1"/>
    <w:rsid w:val="42565461"/>
    <w:rsid w:val="425659E6"/>
    <w:rsid w:val="425828A0"/>
    <w:rsid w:val="4258464E"/>
    <w:rsid w:val="42597604"/>
    <w:rsid w:val="425A03C6"/>
    <w:rsid w:val="425A3F23"/>
    <w:rsid w:val="425C4C13"/>
    <w:rsid w:val="425C5EED"/>
    <w:rsid w:val="425C7E35"/>
    <w:rsid w:val="425D777C"/>
    <w:rsid w:val="425E25A2"/>
    <w:rsid w:val="425F0D31"/>
    <w:rsid w:val="42601716"/>
    <w:rsid w:val="426052B1"/>
    <w:rsid w:val="42611755"/>
    <w:rsid w:val="42614D21"/>
    <w:rsid w:val="4262727B"/>
    <w:rsid w:val="4267663F"/>
    <w:rsid w:val="42695449"/>
    <w:rsid w:val="4269685C"/>
    <w:rsid w:val="426A4298"/>
    <w:rsid w:val="426A7782"/>
    <w:rsid w:val="426C4876"/>
    <w:rsid w:val="426C62D9"/>
    <w:rsid w:val="426D634C"/>
    <w:rsid w:val="426E3E72"/>
    <w:rsid w:val="427174BE"/>
    <w:rsid w:val="42725710"/>
    <w:rsid w:val="42733236"/>
    <w:rsid w:val="42734FE4"/>
    <w:rsid w:val="42764A3E"/>
    <w:rsid w:val="42784CF1"/>
    <w:rsid w:val="42786A9F"/>
    <w:rsid w:val="427939E0"/>
    <w:rsid w:val="427A361C"/>
    <w:rsid w:val="427A45C5"/>
    <w:rsid w:val="427B0595"/>
    <w:rsid w:val="427C0C6D"/>
    <w:rsid w:val="427D5E63"/>
    <w:rsid w:val="427E2307"/>
    <w:rsid w:val="428045E8"/>
    <w:rsid w:val="428323B1"/>
    <w:rsid w:val="428365DA"/>
    <w:rsid w:val="4283791D"/>
    <w:rsid w:val="42847F65"/>
    <w:rsid w:val="4285201E"/>
    <w:rsid w:val="428611BC"/>
    <w:rsid w:val="42870C99"/>
    <w:rsid w:val="428914FE"/>
    <w:rsid w:val="428B67D2"/>
    <w:rsid w:val="428C60A6"/>
    <w:rsid w:val="428D254A"/>
    <w:rsid w:val="428E0070"/>
    <w:rsid w:val="428E5E60"/>
    <w:rsid w:val="42913407"/>
    <w:rsid w:val="429201FB"/>
    <w:rsid w:val="42941C9B"/>
    <w:rsid w:val="429531AD"/>
    <w:rsid w:val="42982B3E"/>
    <w:rsid w:val="42984E79"/>
    <w:rsid w:val="429945ED"/>
    <w:rsid w:val="429947A2"/>
    <w:rsid w:val="429960CF"/>
    <w:rsid w:val="429A4C67"/>
    <w:rsid w:val="429B2544"/>
    <w:rsid w:val="429C28D7"/>
    <w:rsid w:val="429D02B3"/>
    <w:rsid w:val="429D17C3"/>
    <w:rsid w:val="429D6505"/>
    <w:rsid w:val="429E4757"/>
    <w:rsid w:val="42A0024B"/>
    <w:rsid w:val="42A012DD"/>
    <w:rsid w:val="42A11B51"/>
    <w:rsid w:val="42A258CA"/>
    <w:rsid w:val="42A40CC8"/>
    <w:rsid w:val="42A41642"/>
    <w:rsid w:val="42A41D7A"/>
    <w:rsid w:val="42A72EE0"/>
    <w:rsid w:val="42A76C14"/>
    <w:rsid w:val="42A913DA"/>
    <w:rsid w:val="42A96C58"/>
    <w:rsid w:val="42AA71BE"/>
    <w:rsid w:val="42AD5BF9"/>
    <w:rsid w:val="42AE0712"/>
    <w:rsid w:val="42B06238"/>
    <w:rsid w:val="42B15B0D"/>
    <w:rsid w:val="42B23D5F"/>
    <w:rsid w:val="42B37276"/>
    <w:rsid w:val="42B37AD7"/>
    <w:rsid w:val="42B42CCE"/>
    <w:rsid w:val="42B45D29"/>
    <w:rsid w:val="42B60B65"/>
    <w:rsid w:val="42B71375"/>
    <w:rsid w:val="42B775C7"/>
    <w:rsid w:val="42B86E9B"/>
    <w:rsid w:val="42BA6AC5"/>
    <w:rsid w:val="42BA70B7"/>
    <w:rsid w:val="42BB7663"/>
    <w:rsid w:val="42BC2E2F"/>
    <w:rsid w:val="42BE04AF"/>
    <w:rsid w:val="42BE6356"/>
    <w:rsid w:val="42BF647C"/>
    <w:rsid w:val="42C27D1A"/>
    <w:rsid w:val="42C34B3C"/>
    <w:rsid w:val="42C359AA"/>
    <w:rsid w:val="42C41CE4"/>
    <w:rsid w:val="42C43BCE"/>
    <w:rsid w:val="42C44321"/>
    <w:rsid w:val="42C54B0D"/>
    <w:rsid w:val="42C6780A"/>
    <w:rsid w:val="42C817D4"/>
    <w:rsid w:val="42C84A20"/>
    <w:rsid w:val="42C972FA"/>
    <w:rsid w:val="42CA0761"/>
    <w:rsid w:val="42CA554C"/>
    <w:rsid w:val="42CB3072"/>
    <w:rsid w:val="42CD3F43"/>
    <w:rsid w:val="42CD46CB"/>
    <w:rsid w:val="42CD488F"/>
    <w:rsid w:val="42CE0B28"/>
    <w:rsid w:val="42CF5C44"/>
    <w:rsid w:val="42D02D38"/>
    <w:rsid w:val="42D32DB1"/>
    <w:rsid w:val="42D33CD5"/>
    <w:rsid w:val="42D40179"/>
    <w:rsid w:val="42D47418"/>
    <w:rsid w:val="42D739B6"/>
    <w:rsid w:val="42D9753D"/>
    <w:rsid w:val="42DA1507"/>
    <w:rsid w:val="42DB1B91"/>
    <w:rsid w:val="42DB3FE5"/>
    <w:rsid w:val="42E17442"/>
    <w:rsid w:val="42E3216A"/>
    <w:rsid w:val="42E36CC4"/>
    <w:rsid w:val="42E77C3D"/>
    <w:rsid w:val="42E934F8"/>
    <w:rsid w:val="42EA3618"/>
    <w:rsid w:val="42EB101F"/>
    <w:rsid w:val="42ED4D97"/>
    <w:rsid w:val="42EF5DC0"/>
    <w:rsid w:val="42EF6D61"/>
    <w:rsid w:val="42F0679A"/>
    <w:rsid w:val="42F119C2"/>
    <w:rsid w:val="42F22CB2"/>
    <w:rsid w:val="42F36125"/>
    <w:rsid w:val="42F43CDA"/>
    <w:rsid w:val="42F500EF"/>
    <w:rsid w:val="42F56341"/>
    <w:rsid w:val="42F75C45"/>
    <w:rsid w:val="42FC322C"/>
    <w:rsid w:val="42FD4085"/>
    <w:rsid w:val="42FD44B2"/>
    <w:rsid w:val="42FE2B48"/>
    <w:rsid w:val="43000F6E"/>
    <w:rsid w:val="4303280C"/>
    <w:rsid w:val="43036368"/>
    <w:rsid w:val="43040332"/>
    <w:rsid w:val="43041F0A"/>
    <w:rsid w:val="430622FC"/>
    <w:rsid w:val="430630EF"/>
    <w:rsid w:val="43076E92"/>
    <w:rsid w:val="43090FA9"/>
    <w:rsid w:val="43095949"/>
    <w:rsid w:val="430C1F09"/>
    <w:rsid w:val="430D0CC0"/>
    <w:rsid w:val="430D5439"/>
    <w:rsid w:val="430D5AB1"/>
    <w:rsid w:val="430E1CFC"/>
    <w:rsid w:val="430F22F3"/>
    <w:rsid w:val="430F68C7"/>
    <w:rsid w:val="43116916"/>
    <w:rsid w:val="43120CA1"/>
    <w:rsid w:val="431247FD"/>
    <w:rsid w:val="4314381B"/>
    <w:rsid w:val="4315253F"/>
    <w:rsid w:val="43160791"/>
    <w:rsid w:val="43171E14"/>
    <w:rsid w:val="4317479F"/>
    <w:rsid w:val="43193DDE"/>
    <w:rsid w:val="431C0DEE"/>
    <w:rsid w:val="431C1B20"/>
    <w:rsid w:val="431D5002"/>
    <w:rsid w:val="431E1BAC"/>
    <w:rsid w:val="43244A8B"/>
    <w:rsid w:val="432509D4"/>
    <w:rsid w:val="432702BD"/>
    <w:rsid w:val="43276EBB"/>
    <w:rsid w:val="43282273"/>
    <w:rsid w:val="43291B47"/>
    <w:rsid w:val="432A5FEB"/>
    <w:rsid w:val="432A7D99"/>
    <w:rsid w:val="432B1D63"/>
    <w:rsid w:val="432B2EF5"/>
    <w:rsid w:val="432B35CB"/>
    <w:rsid w:val="432B58BF"/>
    <w:rsid w:val="432C1A71"/>
    <w:rsid w:val="432D51F3"/>
    <w:rsid w:val="432E4348"/>
    <w:rsid w:val="4334444E"/>
    <w:rsid w:val="43346E69"/>
    <w:rsid w:val="43370708"/>
    <w:rsid w:val="43382A65"/>
    <w:rsid w:val="43397FDC"/>
    <w:rsid w:val="433A3D54"/>
    <w:rsid w:val="433A4ADA"/>
    <w:rsid w:val="433B01F8"/>
    <w:rsid w:val="433B0731"/>
    <w:rsid w:val="433D6BDD"/>
    <w:rsid w:val="433F136A"/>
    <w:rsid w:val="43444075"/>
    <w:rsid w:val="43454EAD"/>
    <w:rsid w:val="4346094B"/>
    <w:rsid w:val="43476B9D"/>
    <w:rsid w:val="43486471"/>
    <w:rsid w:val="434B0725"/>
    <w:rsid w:val="434B5F61"/>
    <w:rsid w:val="434D1CD9"/>
    <w:rsid w:val="43503578"/>
    <w:rsid w:val="4350530C"/>
    <w:rsid w:val="43531F1A"/>
    <w:rsid w:val="43544298"/>
    <w:rsid w:val="43551F1B"/>
    <w:rsid w:val="43562321"/>
    <w:rsid w:val="435718DF"/>
    <w:rsid w:val="43572B58"/>
    <w:rsid w:val="43574906"/>
    <w:rsid w:val="43581B16"/>
    <w:rsid w:val="43596C7D"/>
    <w:rsid w:val="435C6F85"/>
    <w:rsid w:val="435E0E0D"/>
    <w:rsid w:val="435E5108"/>
    <w:rsid w:val="435E7A42"/>
    <w:rsid w:val="436037BB"/>
    <w:rsid w:val="43610414"/>
    <w:rsid w:val="43635059"/>
    <w:rsid w:val="43653BB6"/>
    <w:rsid w:val="43664B49"/>
    <w:rsid w:val="43690D26"/>
    <w:rsid w:val="436B092E"/>
    <w:rsid w:val="436C03B1"/>
    <w:rsid w:val="436C1CAB"/>
    <w:rsid w:val="436D4129"/>
    <w:rsid w:val="436D5ED7"/>
    <w:rsid w:val="43713887"/>
    <w:rsid w:val="4372604E"/>
    <w:rsid w:val="43740BCC"/>
    <w:rsid w:val="437466E4"/>
    <w:rsid w:val="43747266"/>
    <w:rsid w:val="437512B9"/>
    <w:rsid w:val="43755AEC"/>
    <w:rsid w:val="43761230"/>
    <w:rsid w:val="43766F04"/>
    <w:rsid w:val="43770B04"/>
    <w:rsid w:val="437817D5"/>
    <w:rsid w:val="437A41A8"/>
    <w:rsid w:val="437C611B"/>
    <w:rsid w:val="437D39A2"/>
    <w:rsid w:val="437F6B26"/>
    <w:rsid w:val="4380094B"/>
    <w:rsid w:val="4384463D"/>
    <w:rsid w:val="43853221"/>
    <w:rsid w:val="43855569"/>
    <w:rsid w:val="4387343D"/>
    <w:rsid w:val="438A6A89"/>
    <w:rsid w:val="438B1974"/>
    <w:rsid w:val="438C0A54"/>
    <w:rsid w:val="438C45B0"/>
    <w:rsid w:val="438C574D"/>
    <w:rsid w:val="43903F2A"/>
    <w:rsid w:val="43904295"/>
    <w:rsid w:val="43906005"/>
    <w:rsid w:val="43912BFC"/>
    <w:rsid w:val="4392527B"/>
    <w:rsid w:val="43943464"/>
    <w:rsid w:val="4396542E"/>
    <w:rsid w:val="439711A6"/>
    <w:rsid w:val="439A28DE"/>
    <w:rsid w:val="439C056B"/>
    <w:rsid w:val="439E2CDD"/>
    <w:rsid w:val="43A30EB2"/>
    <w:rsid w:val="43A41F82"/>
    <w:rsid w:val="43A55671"/>
    <w:rsid w:val="43A713E9"/>
    <w:rsid w:val="43A93D0E"/>
    <w:rsid w:val="43AA2090"/>
    <w:rsid w:val="43AA2C88"/>
    <w:rsid w:val="43AC4C52"/>
    <w:rsid w:val="43AD2778"/>
    <w:rsid w:val="43B0415C"/>
    <w:rsid w:val="43B20A5C"/>
    <w:rsid w:val="43B27D8E"/>
    <w:rsid w:val="43B43B06"/>
    <w:rsid w:val="43BC275F"/>
    <w:rsid w:val="43BC4AF1"/>
    <w:rsid w:val="43BF2BD7"/>
    <w:rsid w:val="43C05680"/>
    <w:rsid w:val="43C24475"/>
    <w:rsid w:val="43C31F9B"/>
    <w:rsid w:val="43C348B8"/>
    <w:rsid w:val="43C401ED"/>
    <w:rsid w:val="43C755E8"/>
    <w:rsid w:val="43CB512D"/>
    <w:rsid w:val="43CF6B92"/>
    <w:rsid w:val="43D2242F"/>
    <w:rsid w:val="43D30430"/>
    <w:rsid w:val="43D321DE"/>
    <w:rsid w:val="43D403D5"/>
    <w:rsid w:val="43D47874"/>
    <w:rsid w:val="43D561DF"/>
    <w:rsid w:val="43D67F21"/>
    <w:rsid w:val="43D85F39"/>
    <w:rsid w:val="43D97C3A"/>
    <w:rsid w:val="43DB5537"/>
    <w:rsid w:val="43DD4E0B"/>
    <w:rsid w:val="43DE2931"/>
    <w:rsid w:val="43DF5027"/>
    <w:rsid w:val="43DF7059"/>
    <w:rsid w:val="43E02B4D"/>
    <w:rsid w:val="43E066A9"/>
    <w:rsid w:val="43E20674"/>
    <w:rsid w:val="43E50164"/>
    <w:rsid w:val="43E7266E"/>
    <w:rsid w:val="43E97C54"/>
    <w:rsid w:val="43EB65BA"/>
    <w:rsid w:val="43EC32A0"/>
    <w:rsid w:val="43EC504E"/>
    <w:rsid w:val="43ED34FE"/>
    <w:rsid w:val="43EF3579"/>
    <w:rsid w:val="43F14D5A"/>
    <w:rsid w:val="43F23209"/>
    <w:rsid w:val="43F31768"/>
    <w:rsid w:val="43F32B2E"/>
    <w:rsid w:val="43F3552A"/>
    <w:rsid w:val="43F40808"/>
    <w:rsid w:val="43F42155"/>
    <w:rsid w:val="43F67691"/>
    <w:rsid w:val="43F72B67"/>
    <w:rsid w:val="43F96494"/>
    <w:rsid w:val="43FC6FC6"/>
    <w:rsid w:val="43FE1BC4"/>
    <w:rsid w:val="43FE4C25"/>
    <w:rsid w:val="43FE7BAA"/>
    <w:rsid w:val="44022AC4"/>
    <w:rsid w:val="440305EA"/>
    <w:rsid w:val="44067D66"/>
    <w:rsid w:val="440950CF"/>
    <w:rsid w:val="440A6183"/>
    <w:rsid w:val="440B4EEF"/>
    <w:rsid w:val="440C3942"/>
    <w:rsid w:val="44110F59"/>
    <w:rsid w:val="441133CA"/>
    <w:rsid w:val="44130C4C"/>
    <w:rsid w:val="4415745D"/>
    <w:rsid w:val="44177434"/>
    <w:rsid w:val="44184095"/>
    <w:rsid w:val="441B5933"/>
    <w:rsid w:val="441F5424"/>
    <w:rsid w:val="44216071"/>
    <w:rsid w:val="44225E77"/>
    <w:rsid w:val="442353F7"/>
    <w:rsid w:val="44247290"/>
    <w:rsid w:val="442567B2"/>
    <w:rsid w:val="44262384"/>
    <w:rsid w:val="442742D8"/>
    <w:rsid w:val="44290050"/>
    <w:rsid w:val="442A5B49"/>
    <w:rsid w:val="442A5B77"/>
    <w:rsid w:val="44300C50"/>
    <w:rsid w:val="44307631"/>
    <w:rsid w:val="44315157"/>
    <w:rsid w:val="44316F05"/>
    <w:rsid w:val="4432746E"/>
    <w:rsid w:val="4435719A"/>
    <w:rsid w:val="44384737"/>
    <w:rsid w:val="443864E5"/>
    <w:rsid w:val="443B5FD6"/>
    <w:rsid w:val="443C762B"/>
    <w:rsid w:val="443D3FBF"/>
    <w:rsid w:val="443F1622"/>
    <w:rsid w:val="443F5AC6"/>
    <w:rsid w:val="443F68DF"/>
    <w:rsid w:val="4440539A"/>
    <w:rsid w:val="4441183E"/>
    <w:rsid w:val="44421112"/>
    <w:rsid w:val="44426C2E"/>
    <w:rsid w:val="444510ED"/>
    <w:rsid w:val="44472BCC"/>
    <w:rsid w:val="444906F3"/>
    <w:rsid w:val="444924A1"/>
    <w:rsid w:val="44496945"/>
    <w:rsid w:val="444A18D1"/>
    <w:rsid w:val="444C1F91"/>
    <w:rsid w:val="444C73FC"/>
    <w:rsid w:val="444D2334"/>
    <w:rsid w:val="444E18F2"/>
    <w:rsid w:val="444E7AB7"/>
    <w:rsid w:val="444E7CA8"/>
    <w:rsid w:val="444F0625"/>
    <w:rsid w:val="444F55DD"/>
    <w:rsid w:val="445032B1"/>
    <w:rsid w:val="44525938"/>
    <w:rsid w:val="44533ED7"/>
    <w:rsid w:val="44550E45"/>
    <w:rsid w:val="44555819"/>
    <w:rsid w:val="44562E10"/>
    <w:rsid w:val="445634B0"/>
    <w:rsid w:val="44564BBE"/>
    <w:rsid w:val="44587568"/>
    <w:rsid w:val="445A2900"/>
    <w:rsid w:val="445C54DF"/>
    <w:rsid w:val="445D419E"/>
    <w:rsid w:val="445E033A"/>
    <w:rsid w:val="445E35D2"/>
    <w:rsid w:val="445F3A72"/>
    <w:rsid w:val="445F7F16"/>
    <w:rsid w:val="446101D9"/>
    <w:rsid w:val="44613C8E"/>
    <w:rsid w:val="44632243"/>
    <w:rsid w:val="44654637"/>
    <w:rsid w:val="44675AEB"/>
    <w:rsid w:val="446A0C2B"/>
    <w:rsid w:val="446A2417"/>
    <w:rsid w:val="446A2FDC"/>
    <w:rsid w:val="446B68BB"/>
    <w:rsid w:val="446D610C"/>
    <w:rsid w:val="446E021C"/>
    <w:rsid w:val="446F4653"/>
    <w:rsid w:val="44722916"/>
    <w:rsid w:val="447419C0"/>
    <w:rsid w:val="44770EE3"/>
    <w:rsid w:val="44775660"/>
    <w:rsid w:val="44784B34"/>
    <w:rsid w:val="44793592"/>
    <w:rsid w:val="447A08AC"/>
    <w:rsid w:val="447C62D9"/>
    <w:rsid w:val="44801F58"/>
    <w:rsid w:val="44871A95"/>
    <w:rsid w:val="448736FC"/>
    <w:rsid w:val="448742A8"/>
    <w:rsid w:val="448B2AB9"/>
    <w:rsid w:val="448B3D49"/>
    <w:rsid w:val="448B61F6"/>
    <w:rsid w:val="448D4A83"/>
    <w:rsid w:val="4490039B"/>
    <w:rsid w:val="44911A8D"/>
    <w:rsid w:val="44953938"/>
    <w:rsid w:val="44971FF9"/>
    <w:rsid w:val="449750E1"/>
    <w:rsid w:val="44983E14"/>
    <w:rsid w:val="449A0F4E"/>
    <w:rsid w:val="449B49DA"/>
    <w:rsid w:val="449C39D5"/>
    <w:rsid w:val="449C4FB6"/>
    <w:rsid w:val="449C649D"/>
    <w:rsid w:val="449C6A74"/>
    <w:rsid w:val="449D65EC"/>
    <w:rsid w:val="449E34A1"/>
    <w:rsid w:val="44A55A8C"/>
    <w:rsid w:val="44A5739E"/>
    <w:rsid w:val="44A6695C"/>
    <w:rsid w:val="44A818BD"/>
    <w:rsid w:val="44A92F3F"/>
    <w:rsid w:val="44AD0C81"/>
    <w:rsid w:val="44B00772"/>
    <w:rsid w:val="44B10051"/>
    <w:rsid w:val="44B26298"/>
    <w:rsid w:val="44B30986"/>
    <w:rsid w:val="44B33BB0"/>
    <w:rsid w:val="44B33DBE"/>
    <w:rsid w:val="44B542BF"/>
    <w:rsid w:val="44B71B00"/>
    <w:rsid w:val="44BC0EC5"/>
    <w:rsid w:val="44BC6061"/>
    <w:rsid w:val="44BD4C3D"/>
    <w:rsid w:val="44C03401"/>
    <w:rsid w:val="44C24001"/>
    <w:rsid w:val="44C47D79"/>
    <w:rsid w:val="44C55CAC"/>
    <w:rsid w:val="44C61D43"/>
    <w:rsid w:val="44C66A64"/>
    <w:rsid w:val="44C923DE"/>
    <w:rsid w:val="44C94E87"/>
    <w:rsid w:val="44CC59FC"/>
    <w:rsid w:val="44CE67D1"/>
    <w:rsid w:val="44D02202"/>
    <w:rsid w:val="44D073C1"/>
    <w:rsid w:val="44D206E8"/>
    <w:rsid w:val="44D467E0"/>
    <w:rsid w:val="44D46A3A"/>
    <w:rsid w:val="44D51F86"/>
    <w:rsid w:val="44D74953"/>
    <w:rsid w:val="44D81DAB"/>
    <w:rsid w:val="44D86915"/>
    <w:rsid w:val="44E07E8F"/>
    <w:rsid w:val="44E126D9"/>
    <w:rsid w:val="44E346A3"/>
    <w:rsid w:val="44E57FFB"/>
    <w:rsid w:val="44E67CEF"/>
    <w:rsid w:val="44EB1BBA"/>
    <w:rsid w:val="44EB3558"/>
    <w:rsid w:val="44ED3AEF"/>
    <w:rsid w:val="44ED5522"/>
    <w:rsid w:val="44EE129A"/>
    <w:rsid w:val="44EE3048"/>
    <w:rsid w:val="44EE4DF6"/>
    <w:rsid w:val="44EE6885"/>
    <w:rsid w:val="44EF49CC"/>
    <w:rsid w:val="44F03307"/>
    <w:rsid w:val="44F05012"/>
    <w:rsid w:val="44F06DC0"/>
    <w:rsid w:val="44F12C03"/>
    <w:rsid w:val="44F16DA1"/>
    <w:rsid w:val="44F53FBC"/>
    <w:rsid w:val="44F543D6"/>
    <w:rsid w:val="44F56185"/>
    <w:rsid w:val="44F763A1"/>
    <w:rsid w:val="44F84CB5"/>
    <w:rsid w:val="44FA5EB5"/>
    <w:rsid w:val="44FC3E11"/>
    <w:rsid w:val="44FF20C1"/>
    <w:rsid w:val="45010FCD"/>
    <w:rsid w:val="45012D7B"/>
    <w:rsid w:val="45063999"/>
    <w:rsid w:val="45065FDC"/>
    <w:rsid w:val="45090FCA"/>
    <w:rsid w:val="450A0AA9"/>
    <w:rsid w:val="450A60D4"/>
    <w:rsid w:val="450D121B"/>
    <w:rsid w:val="450E6273"/>
    <w:rsid w:val="45101210"/>
    <w:rsid w:val="45102222"/>
    <w:rsid w:val="451066F7"/>
    <w:rsid w:val="4511585F"/>
    <w:rsid w:val="451232E0"/>
    <w:rsid w:val="451235E1"/>
    <w:rsid w:val="4513485D"/>
    <w:rsid w:val="4514712E"/>
    <w:rsid w:val="45156827"/>
    <w:rsid w:val="45163B28"/>
    <w:rsid w:val="451663FC"/>
    <w:rsid w:val="45181009"/>
    <w:rsid w:val="45190F2D"/>
    <w:rsid w:val="45192845"/>
    <w:rsid w:val="45196317"/>
    <w:rsid w:val="451A1E03"/>
    <w:rsid w:val="451A53D0"/>
    <w:rsid w:val="451C5E07"/>
    <w:rsid w:val="451D0117"/>
    <w:rsid w:val="451E3F8A"/>
    <w:rsid w:val="451E56DB"/>
    <w:rsid w:val="451F1453"/>
    <w:rsid w:val="452151CC"/>
    <w:rsid w:val="45224346"/>
    <w:rsid w:val="452572E1"/>
    <w:rsid w:val="45260A34"/>
    <w:rsid w:val="452627E2"/>
    <w:rsid w:val="45280575"/>
    <w:rsid w:val="452A0987"/>
    <w:rsid w:val="452A6789"/>
    <w:rsid w:val="452D591E"/>
    <w:rsid w:val="452E2BA5"/>
    <w:rsid w:val="452F5B59"/>
    <w:rsid w:val="45303661"/>
    <w:rsid w:val="4530540F"/>
    <w:rsid w:val="45343151"/>
    <w:rsid w:val="45344EFF"/>
    <w:rsid w:val="453749EF"/>
    <w:rsid w:val="45380C3F"/>
    <w:rsid w:val="45390767"/>
    <w:rsid w:val="453B3D19"/>
    <w:rsid w:val="453B5179"/>
    <w:rsid w:val="453C2005"/>
    <w:rsid w:val="453C2B7C"/>
    <w:rsid w:val="453C3DB3"/>
    <w:rsid w:val="453D4F37"/>
    <w:rsid w:val="453E18DA"/>
    <w:rsid w:val="453F3821"/>
    <w:rsid w:val="453F7628"/>
    <w:rsid w:val="454113CA"/>
    <w:rsid w:val="4541761C"/>
    <w:rsid w:val="454278F8"/>
    <w:rsid w:val="45435142"/>
    <w:rsid w:val="4545107A"/>
    <w:rsid w:val="4545710C"/>
    <w:rsid w:val="4545799C"/>
    <w:rsid w:val="45460437"/>
    <w:rsid w:val="45464C32"/>
    <w:rsid w:val="45466CB8"/>
    <w:rsid w:val="454977AD"/>
    <w:rsid w:val="454B2644"/>
    <w:rsid w:val="454C4C9E"/>
    <w:rsid w:val="454D4212"/>
    <w:rsid w:val="454D49ED"/>
    <w:rsid w:val="454D7D6F"/>
    <w:rsid w:val="454E0A4E"/>
    <w:rsid w:val="454F5D6B"/>
    <w:rsid w:val="454F61FC"/>
    <w:rsid w:val="454F7F8B"/>
    <w:rsid w:val="4550785F"/>
    <w:rsid w:val="45511D76"/>
    <w:rsid w:val="45515F3F"/>
    <w:rsid w:val="45521829"/>
    <w:rsid w:val="45522830"/>
    <w:rsid w:val="455410FD"/>
    <w:rsid w:val="45561319"/>
    <w:rsid w:val="45594965"/>
    <w:rsid w:val="455A06DD"/>
    <w:rsid w:val="455A182E"/>
    <w:rsid w:val="455A248C"/>
    <w:rsid w:val="455C4456"/>
    <w:rsid w:val="455C6204"/>
    <w:rsid w:val="455D74E7"/>
    <w:rsid w:val="45616F96"/>
    <w:rsid w:val="456357E4"/>
    <w:rsid w:val="4565673D"/>
    <w:rsid w:val="45667082"/>
    <w:rsid w:val="456B4496"/>
    <w:rsid w:val="456D0411"/>
    <w:rsid w:val="456E40D4"/>
    <w:rsid w:val="456F23DB"/>
    <w:rsid w:val="456F4189"/>
    <w:rsid w:val="45702B0F"/>
    <w:rsid w:val="45703A5D"/>
    <w:rsid w:val="457176F9"/>
    <w:rsid w:val="457269B9"/>
    <w:rsid w:val="45763769"/>
    <w:rsid w:val="4579063A"/>
    <w:rsid w:val="457A7B12"/>
    <w:rsid w:val="457B7A6B"/>
    <w:rsid w:val="457C263C"/>
    <w:rsid w:val="457E42BB"/>
    <w:rsid w:val="4580164A"/>
    <w:rsid w:val="45801800"/>
    <w:rsid w:val="45863281"/>
    <w:rsid w:val="458D35C1"/>
    <w:rsid w:val="458E4A1E"/>
    <w:rsid w:val="45921C25"/>
    <w:rsid w:val="45927E77"/>
    <w:rsid w:val="45964554"/>
    <w:rsid w:val="45986DBD"/>
    <w:rsid w:val="45991206"/>
    <w:rsid w:val="459942AC"/>
    <w:rsid w:val="45997458"/>
    <w:rsid w:val="45A056B7"/>
    <w:rsid w:val="45A243E5"/>
    <w:rsid w:val="45A81449"/>
    <w:rsid w:val="45AA25D0"/>
    <w:rsid w:val="45AA3A7F"/>
    <w:rsid w:val="45AB389E"/>
    <w:rsid w:val="45AB7FDC"/>
    <w:rsid w:val="45AC1B90"/>
    <w:rsid w:val="45AD105A"/>
    <w:rsid w:val="45AD56DD"/>
    <w:rsid w:val="45AD6A5F"/>
    <w:rsid w:val="45AF27D7"/>
    <w:rsid w:val="45B032FB"/>
    <w:rsid w:val="45B222C8"/>
    <w:rsid w:val="45B2311A"/>
    <w:rsid w:val="45B46040"/>
    <w:rsid w:val="45B63B66"/>
    <w:rsid w:val="45B94E3D"/>
    <w:rsid w:val="45B95404"/>
    <w:rsid w:val="45BC567F"/>
    <w:rsid w:val="45BC6CA2"/>
    <w:rsid w:val="45BD200A"/>
    <w:rsid w:val="45BE0D18"/>
    <w:rsid w:val="45C10D70"/>
    <w:rsid w:val="45C142B9"/>
    <w:rsid w:val="45C16811"/>
    <w:rsid w:val="45C269AF"/>
    <w:rsid w:val="45C40004"/>
    <w:rsid w:val="45C613E6"/>
    <w:rsid w:val="45C759BD"/>
    <w:rsid w:val="45C767DD"/>
    <w:rsid w:val="45C83899"/>
    <w:rsid w:val="45CA2504"/>
    <w:rsid w:val="45CA7611"/>
    <w:rsid w:val="45CF3980"/>
    <w:rsid w:val="45D109A0"/>
    <w:rsid w:val="45D21ED5"/>
    <w:rsid w:val="45D24718"/>
    <w:rsid w:val="45D67D64"/>
    <w:rsid w:val="45D73ADC"/>
    <w:rsid w:val="45DB181E"/>
    <w:rsid w:val="45DD5596"/>
    <w:rsid w:val="45DE0298"/>
    <w:rsid w:val="45DE30BD"/>
    <w:rsid w:val="45E002ED"/>
    <w:rsid w:val="45E00BE3"/>
    <w:rsid w:val="45E20EBC"/>
    <w:rsid w:val="45E36925"/>
    <w:rsid w:val="45E45137"/>
    <w:rsid w:val="45E561F9"/>
    <w:rsid w:val="45E87A97"/>
    <w:rsid w:val="45EA7CB3"/>
    <w:rsid w:val="45ED50AE"/>
    <w:rsid w:val="45EF7078"/>
    <w:rsid w:val="45EF7642"/>
    <w:rsid w:val="45F11042"/>
    <w:rsid w:val="45F3209F"/>
    <w:rsid w:val="45F36163"/>
    <w:rsid w:val="45F36B68"/>
    <w:rsid w:val="45F42696"/>
    <w:rsid w:val="45F43E60"/>
    <w:rsid w:val="45F4493C"/>
    <w:rsid w:val="45F45E5E"/>
    <w:rsid w:val="45F86E64"/>
    <w:rsid w:val="45FB137C"/>
    <w:rsid w:val="45FC4C14"/>
    <w:rsid w:val="45FD79E7"/>
    <w:rsid w:val="45FE618C"/>
    <w:rsid w:val="4601007B"/>
    <w:rsid w:val="46026DAB"/>
    <w:rsid w:val="46027639"/>
    <w:rsid w:val="46032B23"/>
    <w:rsid w:val="460348D1"/>
    <w:rsid w:val="46035B78"/>
    <w:rsid w:val="46036001"/>
    <w:rsid w:val="460421F7"/>
    <w:rsid w:val="46077A46"/>
    <w:rsid w:val="46094995"/>
    <w:rsid w:val="460A5C60"/>
    <w:rsid w:val="460C7C2A"/>
    <w:rsid w:val="460D5750"/>
    <w:rsid w:val="460D74FE"/>
    <w:rsid w:val="460F6777"/>
    <w:rsid w:val="46103030"/>
    <w:rsid w:val="46113492"/>
    <w:rsid w:val="46113BCE"/>
    <w:rsid w:val="46116FEE"/>
    <w:rsid w:val="4613720A"/>
    <w:rsid w:val="4614088C"/>
    <w:rsid w:val="46144188"/>
    <w:rsid w:val="46162856"/>
    <w:rsid w:val="46164604"/>
    <w:rsid w:val="46182753"/>
    <w:rsid w:val="46190D48"/>
    <w:rsid w:val="46191F15"/>
    <w:rsid w:val="46192347"/>
    <w:rsid w:val="46193ED5"/>
    <w:rsid w:val="461A3B1B"/>
    <w:rsid w:val="461C29A4"/>
    <w:rsid w:val="461F3847"/>
    <w:rsid w:val="461F7F9A"/>
    <w:rsid w:val="46207231"/>
    <w:rsid w:val="46207339"/>
    <w:rsid w:val="462431C5"/>
    <w:rsid w:val="46244F73"/>
    <w:rsid w:val="46256F3D"/>
    <w:rsid w:val="46284338"/>
    <w:rsid w:val="462A4554"/>
    <w:rsid w:val="462A6302"/>
    <w:rsid w:val="462E5DF2"/>
    <w:rsid w:val="462E7BA0"/>
    <w:rsid w:val="462F27B3"/>
    <w:rsid w:val="462F3918"/>
    <w:rsid w:val="462F56C6"/>
    <w:rsid w:val="463351B6"/>
    <w:rsid w:val="463673DA"/>
    <w:rsid w:val="463A50D8"/>
    <w:rsid w:val="463A6393"/>
    <w:rsid w:val="463D6035"/>
    <w:rsid w:val="463D7DBF"/>
    <w:rsid w:val="463E2142"/>
    <w:rsid w:val="463F00F4"/>
    <w:rsid w:val="464205C2"/>
    <w:rsid w:val="46430BED"/>
    <w:rsid w:val="46456C98"/>
    <w:rsid w:val="46470C62"/>
    <w:rsid w:val="464949DA"/>
    <w:rsid w:val="46494E1C"/>
    <w:rsid w:val="46496788"/>
    <w:rsid w:val="464A0752"/>
    <w:rsid w:val="464A32B7"/>
    <w:rsid w:val="464B4747"/>
    <w:rsid w:val="464C6278"/>
    <w:rsid w:val="464F7B16"/>
    <w:rsid w:val="46503FBA"/>
    <w:rsid w:val="46511AE0"/>
    <w:rsid w:val="4654512D"/>
    <w:rsid w:val="46560EA5"/>
    <w:rsid w:val="465670F7"/>
    <w:rsid w:val="465810C1"/>
    <w:rsid w:val="465A14A9"/>
    <w:rsid w:val="465A46A3"/>
    <w:rsid w:val="465A4F2F"/>
    <w:rsid w:val="465B64BB"/>
    <w:rsid w:val="465D2233"/>
    <w:rsid w:val="465E7D59"/>
    <w:rsid w:val="465F5793"/>
    <w:rsid w:val="46607F75"/>
    <w:rsid w:val="46614287"/>
    <w:rsid w:val="4662784A"/>
    <w:rsid w:val="46641814"/>
    <w:rsid w:val="466873A1"/>
    <w:rsid w:val="466A7115"/>
    <w:rsid w:val="466B0DF4"/>
    <w:rsid w:val="466B2BA2"/>
    <w:rsid w:val="46704FD2"/>
    <w:rsid w:val="46733645"/>
    <w:rsid w:val="467341A1"/>
    <w:rsid w:val="46771EAF"/>
    <w:rsid w:val="467806FB"/>
    <w:rsid w:val="46780A66"/>
    <w:rsid w:val="467B1DBC"/>
    <w:rsid w:val="467B4CB6"/>
    <w:rsid w:val="467D28D5"/>
    <w:rsid w:val="467F154A"/>
    <w:rsid w:val="46810624"/>
    <w:rsid w:val="46816795"/>
    <w:rsid w:val="4682613E"/>
    <w:rsid w:val="46827EEC"/>
    <w:rsid w:val="46844D9D"/>
    <w:rsid w:val="468839D7"/>
    <w:rsid w:val="46893028"/>
    <w:rsid w:val="468E7C06"/>
    <w:rsid w:val="468F41B2"/>
    <w:rsid w:val="468F4EA6"/>
    <w:rsid w:val="4691012F"/>
    <w:rsid w:val="46916381"/>
    <w:rsid w:val="46937059"/>
    <w:rsid w:val="4695042E"/>
    <w:rsid w:val="46976762"/>
    <w:rsid w:val="469965DF"/>
    <w:rsid w:val="469A6FE4"/>
    <w:rsid w:val="469B15DD"/>
    <w:rsid w:val="469B2D5C"/>
    <w:rsid w:val="469D4D26"/>
    <w:rsid w:val="46A105FA"/>
    <w:rsid w:val="46A11681"/>
    <w:rsid w:val="46A14816"/>
    <w:rsid w:val="46A165C4"/>
    <w:rsid w:val="46A240EA"/>
    <w:rsid w:val="46A256FF"/>
    <w:rsid w:val="46A3209A"/>
    <w:rsid w:val="46A35ADB"/>
    <w:rsid w:val="46A37E92"/>
    <w:rsid w:val="46A43E3D"/>
    <w:rsid w:val="46A63BDA"/>
    <w:rsid w:val="46A71088"/>
    <w:rsid w:val="46A937CA"/>
    <w:rsid w:val="46A950E1"/>
    <w:rsid w:val="46AC31BB"/>
    <w:rsid w:val="46AC6D17"/>
    <w:rsid w:val="46AF722A"/>
    <w:rsid w:val="46B02CAB"/>
    <w:rsid w:val="46B06807"/>
    <w:rsid w:val="46B2214F"/>
    <w:rsid w:val="46B300A5"/>
    <w:rsid w:val="46B362F7"/>
    <w:rsid w:val="46B67B95"/>
    <w:rsid w:val="46B83454"/>
    <w:rsid w:val="46B906BC"/>
    <w:rsid w:val="46B90F45"/>
    <w:rsid w:val="46BA7E57"/>
    <w:rsid w:val="46BB0831"/>
    <w:rsid w:val="46BF5BF9"/>
    <w:rsid w:val="46C01222"/>
    <w:rsid w:val="46C027C2"/>
    <w:rsid w:val="46C04C97"/>
    <w:rsid w:val="46C04E4C"/>
    <w:rsid w:val="46C10A14"/>
    <w:rsid w:val="46C235B1"/>
    <w:rsid w:val="46C329DE"/>
    <w:rsid w:val="46C4652A"/>
    <w:rsid w:val="46C93442"/>
    <w:rsid w:val="46C93D6D"/>
    <w:rsid w:val="46C978C9"/>
    <w:rsid w:val="46CA7206"/>
    <w:rsid w:val="46CD058C"/>
    <w:rsid w:val="46CD6437"/>
    <w:rsid w:val="46CE3131"/>
    <w:rsid w:val="46D06EA9"/>
    <w:rsid w:val="46D10C0E"/>
    <w:rsid w:val="46D22C21"/>
    <w:rsid w:val="46D257FF"/>
    <w:rsid w:val="46D346F1"/>
    <w:rsid w:val="46D36999"/>
    <w:rsid w:val="46D85D5E"/>
    <w:rsid w:val="46DA56D2"/>
    <w:rsid w:val="46DC584E"/>
    <w:rsid w:val="46E13E64"/>
    <w:rsid w:val="46E14C12"/>
    <w:rsid w:val="46E22739"/>
    <w:rsid w:val="46E44703"/>
    <w:rsid w:val="46E46CF4"/>
    <w:rsid w:val="46E6047B"/>
    <w:rsid w:val="46E666CD"/>
    <w:rsid w:val="46E95465"/>
    <w:rsid w:val="46EA1684"/>
    <w:rsid w:val="46EB783F"/>
    <w:rsid w:val="46EC63A6"/>
    <w:rsid w:val="46ED2407"/>
    <w:rsid w:val="46ED5A14"/>
    <w:rsid w:val="46F000D2"/>
    <w:rsid w:val="46F10D88"/>
    <w:rsid w:val="46F54B62"/>
    <w:rsid w:val="46F56910"/>
    <w:rsid w:val="46F801AE"/>
    <w:rsid w:val="46F838A8"/>
    <w:rsid w:val="46F84072"/>
    <w:rsid w:val="46FA5CD4"/>
    <w:rsid w:val="46FB3692"/>
    <w:rsid w:val="46FC1976"/>
    <w:rsid w:val="46FC1A4C"/>
    <w:rsid w:val="46FC37FA"/>
    <w:rsid w:val="46FD4F0E"/>
    <w:rsid w:val="46FF778E"/>
    <w:rsid w:val="47004D4B"/>
    <w:rsid w:val="4703102D"/>
    <w:rsid w:val="4703319D"/>
    <w:rsid w:val="4703462D"/>
    <w:rsid w:val="47044DA5"/>
    <w:rsid w:val="47055800"/>
    <w:rsid w:val="47061B1E"/>
    <w:rsid w:val="47083327"/>
    <w:rsid w:val="47084895"/>
    <w:rsid w:val="470A2EDA"/>
    <w:rsid w:val="470F203C"/>
    <w:rsid w:val="47110372"/>
    <w:rsid w:val="47125489"/>
    <w:rsid w:val="47163A10"/>
    <w:rsid w:val="471A0124"/>
    <w:rsid w:val="471B5DAE"/>
    <w:rsid w:val="471C3E9C"/>
    <w:rsid w:val="471C70C6"/>
    <w:rsid w:val="471D091C"/>
    <w:rsid w:val="471D14E6"/>
    <w:rsid w:val="471F398D"/>
    <w:rsid w:val="471F573B"/>
    <w:rsid w:val="47206D04"/>
    <w:rsid w:val="47213261"/>
    <w:rsid w:val="47217705"/>
    <w:rsid w:val="47224B4B"/>
    <w:rsid w:val="47230F03"/>
    <w:rsid w:val="472364B8"/>
    <w:rsid w:val="4724670E"/>
    <w:rsid w:val="47262F6D"/>
    <w:rsid w:val="47264D0C"/>
    <w:rsid w:val="47282841"/>
    <w:rsid w:val="472829CB"/>
    <w:rsid w:val="47291CC6"/>
    <w:rsid w:val="472A4BAC"/>
    <w:rsid w:val="472B0583"/>
    <w:rsid w:val="472F4540"/>
    <w:rsid w:val="4732546E"/>
    <w:rsid w:val="47352751"/>
    <w:rsid w:val="473531B0"/>
    <w:rsid w:val="47372A84"/>
    <w:rsid w:val="473A089D"/>
    <w:rsid w:val="473C009B"/>
    <w:rsid w:val="4741387D"/>
    <w:rsid w:val="47413903"/>
    <w:rsid w:val="47414C6F"/>
    <w:rsid w:val="47422245"/>
    <w:rsid w:val="47431429"/>
    <w:rsid w:val="474606F2"/>
    <w:rsid w:val="47466FB1"/>
    <w:rsid w:val="47480B36"/>
    <w:rsid w:val="474D04FA"/>
    <w:rsid w:val="474D1C6C"/>
    <w:rsid w:val="474D22A8"/>
    <w:rsid w:val="474F5EA5"/>
    <w:rsid w:val="47502C34"/>
    <w:rsid w:val="47514196"/>
    <w:rsid w:val="47530E9B"/>
    <w:rsid w:val="47531190"/>
    <w:rsid w:val="475353E4"/>
    <w:rsid w:val="4754024C"/>
    <w:rsid w:val="47543636"/>
    <w:rsid w:val="47571378"/>
    <w:rsid w:val="475A49C5"/>
    <w:rsid w:val="475A6773"/>
    <w:rsid w:val="475C411F"/>
    <w:rsid w:val="475E52BA"/>
    <w:rsid w:val="475F022D"/>
    <w:rsid w:val="475F6973"/>
    <w:rsid w:val="4760647F"/>
    <w:rsid w:val="47653A95"/>
    <w:rsid w:val="476615BC"/>
    <w:rsid w:val="47685334"/>
    <w:rsid w:val="476870E2"/>
    <w:rsid w:val="476A2E5A"/>
    <w:rsid w:val="476C240D"/>
    <w:rsid w:val="476E14BB"/>
    <w:rsid w:val="476E1671"/>
    <w:rsid w:val="477261B2"/>
    <w:rsid w:val="47746AF3"/>
    <w:rsid w:val="477517FF"/>
    <w:rsid w:val="477610AF"/>
    <w:rsid w:val="477737C9"/>
    <w:rsid w:val="47797541"/>
    <w:rsid w:val="477A6E15"/>
    <w:rsid w:val="477C0DDF"/>
    <w:rsid w:val="477C2B8D"/>
    <w:rsid w:val="47811A62"/>
    <w:rsid w:val="478163F5"/>
    <w:rsid w:val="4783216D"/>
    <w:rsid w:val="478329E8"/>
    <w:rsid w:val="47835CCA"/>
    <w:rsid w:val="478403E3"/>
    <w:rsid w:val="47844268"/>
    <w:rsid w:val="47867568"/>
    <w:rsid w:val="478B1022"/>
    <w:rsid w:val="478B610A"/>
    <w:rsid w:val="478C7274"/>
    <w:rsid w:val="478D4316"/>
    <w:rsid w:val="478E45D4"/>
    <w:rsid w:val="478F0B12"/>
    <w:rsid w:val="478F28C0"/>
    <w:rsid w:val="47941618"/>
    <w:rsid w:val="47941C85"/>
    <w:rsid w:val="47946129"/>
    <w:rsid w:val="47947ED7"/>
    <w:rsid w:val="47952AE3"/>
    <w:rsid w:val="47971775"/>
    <w:rsid w:val="47975C19"/>
    <w:rsid w:val="47980FBD"/>
    <w:rsid w:val="479941FD"/>
    <w:rsid w:val="479A3D49"/>
    <w:rsid w:val="479C322F"/>
    <w:rsid w:val="479C4FDD"/>
    <w:rsid w:val="479C739E"/>
    <w:rsid w:val="479C7D67"/>
    <w:rsid w:val="479E48B1"/>
    <w:rsid w:val="479F4FEA"/>
    <w:rsid w:val="47A04ACD"/>
    <w:rsid w:val="47A218BB"/>
    <w:rsid w:val="47A53E92"/>
    <w:rsid w:val="47A6632A"/>
    <w:rsid w:val="47A81BD4"/>
    <w:rsid w:val="47A821BB"/>
    <w:rsid w:val="47AF3BF5"/>
    <w:rsid w:val="47AF44AD"/>
    <w:rsid w:val="47AF4D11"/>
    <w:rsid w:val="47B076B0"/>
    <w:rsid w:val="47B16C82"/>
    <w:rsid w:val="47B265AF"/>
    <w:rsid w:val="47B36F9E"/>
    <w:rsid w:val="47B474C1"/>
    <w:rsid w:val="47B55DC2"/>
    <w:rsid w:val="47B6609F"/>
    <w:rsid w:val="47B71E17"/>
    <w:rsid w:val="47BC567F"/>
    <w:rsid w:val="47BD0CC0"/>
    <w:rsid w:val="47BE6D02"/>
    <w:rsid w:val="47BE7AD9"/>
    <w:rsid w:val="47C00CCC"/>
    <w:rsid w:val="47C02A7A"/>
    <w:rsid w:val="47C307BC"/>
    <w:rsid w:val="47C56F66"/>
    <w:rsid w:val="47C85DD2"/>
    <w:rsid w:val="47CA16E7"/>
    <w:rsid w:val="47CA1B4A"/>
    <w:rsid w:val="47CA4753"/>
    <w:rsid w:val="47CA56A6"/>
    <w:rsid w:val="47CC34D8"/>
    <w:rsid w:val="47CC34D9"/>
    <w:rsid w:val="47CD163B"/>
    <w:rsid w:val="47CD33E9"/>
    <w:rsid w:val="47CF3A8A"/>
    <w:rsid w:val="47CF53B3"/>
    <w:rsid w:val="47D01EDF"/>
    <w:rsid w:val="47D14C87"/>
    <w:rsid w:val="47D31FCF"/>
    <w:rsid w:val="47D413D8"/>
    <w:rsid w:val="47D50693"/>
    <w:rsid w:val="47D604EF"/>
    <w:rsid w:val="47D63DE9"/>
    <w:rsid w:val="47D70B6B"/>
    <w:rsid w:val="47D91D8D"/>
    <w:rsid w:val="47DC187E"/>
    <w:rsid w:val="47DE17E3"/>
    <w:rsid w:val="47DE73A4"/>
    <w:rsid w:val="47E00AF1"/>
    <w:rsid w:val="47E0311C"/>
    <w:rsid w:val="47E145F7"/>
    <w:rsid w:val="47E14E83"/>
    <w:rsid w:val="47E312CD"/>
    <w:rsid w:val="47E32E09"/>
    <w:rsid w:val="47E66258"/>
    <w:rsid w:val="47E71F69"/>
    <w:rsid w:val="47EA7AF7"/>
    <w:rsid w:val="47EB386F"/>
    <w:rsid w:val="47EE0514"/>
    <w:rsid w:val="47EE7652"/>
    <w:rsid w:val="47F06392"/>
    <w:rsid w:val="47F0713F"/>
    <w:rsid w:val="47F16027"/>
    <w:rsid w:val="47F210A1"/>
    <w:rsid w:val="47F44E19"/>
    <w:rsid w:val="47F6293F"/>
    <w:rsid w:val="47F67688"/>
    <w:rsid w:val="47F70466"/>
    <w:rsid w:val="47F756F5"/>
    <w:rsid w:val="47F831EA"/>
    <w:rsid w:val="47F92430"/>
    <w:rsid w:val="47F95BF5"/>
    <w:rsid w:val="47FE17F4"/>
    <w:rsid w:val="48000D05"/>
    <w:rsid w:val="480212E4"/>
    <w:rsid w:val="480224E2"/>
    <w:rsid w:val="48036E0A"/>
    <w:rsid w:val="48054938"/>
    <w:rsid w:val="480745B8"/>
    <w:rsid w:val="48087ABB"/>
    <w:rsid w:val="480908C5"/>
    <w:rsid w:val="480C3F11"/>
    <w:rsid w:val="480C6C1B"/>
    <w:rsid w:val="480D1A37"/>
    <w:rsid w:val="480E2E2C"/>
    <w:rsid w:val="480F1C53"/>
    <w:rsid w:val="480F755D"/>
    <w:rsid w:val="481129EC"/>
    <w:rsid w:val="4812529F"/>
    <w:rsid w:val="48147269"/>
    <w:rsid w:val="481607C6"/>
    <w:rsid w:val="48173391"/>
    <w:rsid w:val="48194880"/>
    <w:rsid w:val="481A28DA"/>
    <w:rsid w:val="481E1E96"/>
    <w:rsid w:val="4820176A"/>
    <w:rsid w:val="48205C0E"/>
    <w:rsid w:val="48270D4B"/>
    <w:rsid w:val="48272CCA"/>
    <w:rsid w:val="482C010F"/>
    <w:rsid w:val="482D1655"/>
    <w:rsid w:val="482D3E87"/>
    <w:rsid w:val="48313978"/>
    <w:rsid w:val="48323BAE"/>
    <w:rsid w:val="48382E4F"/>
    <w:rsid w:val="48390A7E"/>
    <w:rsid w:val="483A26D1"/>
    <w:rsid w:val="483B0352"/>
    <w:rsid w:val="483D40CA"/>
    <w:rsid w:val="483E7E42"/>
    <w:rsid w:val="4840005F"/>
    <w:rsid w:val="484418FD"/>
    <w:rsid w:val="48455675"/>
    <w:rsid w:val="484641FC"/>
    <w:rsid w:val="48474F49"/>
    <w:rsid w:val="48480CC1"/>
    <w:rsid w:val="484916ED"/>
    <w:rsid w:val="484E277B"/>
    <w:rsid w:val="484F02A2"/>
    <w:rsid w:val="484F25B3"/>
    <w:rsid w:val="48517B76"/>
    <w:rsid w:val="485246CB"/>
    <w:rsid w:val="48537D92"/>
    <w:rsid w:val="4855757D"/>
    <w:rsid w:val="48574155"/>
    <w:rsid w:val="485823E2"/>
    <w:rsid w:val="48587156"/>
    <w:rsid w:val="48594C7C"/>
    <w:rsid w:val="485B27A2"/>
    <w:rsid w:val="485C5346"/>
    <w:rsid w:val="48614602"/>
    <w:rsid w:val="48622294"/>
    <w:rsid w:val="48627FD5"/>
    <w:rsid w:val="486309CF"/>
    <w:rsid w:val="486378A9"/>
    <w:rsid w:val="48677399"/>
    <w:rsid w:val="48684EBF"/>
    <w:rsid w:val="486A50DB"/>
    <w:rsid w:val="486E0728"/>
    <w:rsid w:val="486E697A"/>
    <w:rsid w:val="486F0D70"/>
    <w:rsid w:val="486F624E"/>
    <w:rsid w:val="486F6E83"/>
    <w:rsid w:val="487023A6"/>
    <w:rsid w:val="4871646A"/>
    <w:rsid w:val="4873341F"/>
    <w:rsid w:val="48741AB6"/>
    <w:rsid w:val="48743864"/>
    <w:rsid w:val="48751C31"/>
    <w:rsid w:val="48755A36"/>
    <w:rsid w:val="48783354"/>
    <w:rsid w:val="487970CD"/>
    <w:rsid w:val="487C1FF8"/>
    <w:rsid w:val="487F2935"/>
    <w:rsid w:val="48805E95"/>
    <w:rsid w:val="488066AD"/>
    <w:rsid w:val="48826148"/>
    <w:rsid w:val="48826B4D"/>
    <w:rsid w:val="4884419E"/>
    <w:rsid w:val="48850F68"/>
    <w:rsid w:val="48853CC3"/>
    <w:rsid w:val="48877A3B"/>
    <w:rsid w:val="488D73C8"/>
    <w:rsid w:val="488E2B78"/>
    <w:rsid w:val="488E4926"/>
    <w:rsid w:val="488F3E82"/>
    <w:rsid w:val="488F6235"/>
    <w:rsid w:val="489170DF"/>
    <w:rsid w:val="48917477"/>
    <w:rsid w:val="48926BEB"/>
    <w:rsid w:val="48943F06"/>
    <w:rsid w:val="48952158"/>
    <w:rsid w:val="489839F7"/>
    <w:rsid w:val="489857A5"/>
    <w:rsid w:val="48987EA8"/>
    <w:rsid w:val="489B5295"/>
    <w:rsid w:val="489B7043"/>
    <w:rsid w:val="489D725F"/>
    <w:rsid w:val="489E30D2"/>
    <w:rsid w:val="489E4A98"/>
    <w:rsid w:val="48A14B56"/>
    <w:rsid w:val="48A16BAF"/>
    <w:rsid w:val="48A26623"/>
    <w:rsid w:val="48A32272"/>
    <w:rsid w:val="48A51C70"/>
    <w:rsid w:val="48A5361D"/>
    <w:rsid w:val="48A759E8"/>
    <w:rsid w:val="48A96D19"/>
    <w:rsid w:val="48AB7EFE"/>
    <w:rsid w:val="48AC136E"/>
    <w:rsid w:val="48AC2FFE"/>
    <w:rsid w:val="48AC3287"/>
    <w:rsid w:val="48AD51DE"/>
    <w:rsid w:val="48AE6D76"/>
    <w:rsid w:val="48B07979"/>
    <w:rsid w:val="48B15B78"/>
    <w:rsid w:val="48B23EC9"/>
    <w:rsid w:val="48B60321"/>
    <w:rsid w:val="48B620CF"/>
    <w:rsid w:val="48BA11FA"/>
    <w:rsid w:val="48BA1BBF"/>
    <w:rsid w:val="48BD16AF"/>
    <w:rsid w:val="48C0506B"/>
    <w:rsid w:val="48C22822"/>
    <w:rsid w:val="48C26CC5"/>
    <w:rsid w:val="48C52312"/>
    <w:rsid w:val="48C92504"/>
    <w:rsid w:val="48C93BB0"/>
    <w:rsid w:val="48CB0D15"/>
    <w:rsid w:val="48CD4381"/>
    <w:rsid w:val="48CD7E21"/>
    <w:rsid w:val="48CE77DB"/>
    <w:rsid w:val="48D12A65"/>
    <w:rsid w:val="48D22491"/>
    <w:rsid w:val="48D22655"/>
    <w:rsid w:val="48D52555"/>
    <w:rsid w:val="48D569F9"/>
    <w:rsid w:val="48D71DCF"/>
    <w:rsid w:val="48D766C0"/>
    <w:rsid w:val="48D8751A"/>
    <w:rsid w:val="48D92391"/>
    <w:rsid w:val="48D93BC9"/>
    <w:rsid w:val="48D94F98"/>
    <w:rsid w:val="48DD2F81"/>
    <w:rsid w:val="48DD3AFF"/>
    <w:rsid w:val="48DD7604"/>
    <w:rsid w:val="48DF0110"/>
    <w:rsid w:val="48E1539E"/>
    <w:rsid w:val="48E153E1"/>
    <w:rsid w:val="48E22EC4"/>
    <w:rsid w:val="48E24C72"/>
    <w:rsid w:val="48E52CE0"/>
    <w:rsid w:val="48E532BC"/>
    <w:rsid w:val="48E56510"/>
    <w:rsid w:val="48E63C26"/>
    <w:rsid w:val="48E721AE"/>
    <w:rsid w:val="48E7672C"/>
    <w:rsid w:val="48EB3E65"/>
    <w:rsid w:val="48EC3D42"/>
    <w:rsid w:val="48EE3617"/>
    <w:rsid w:val="48F055E1"/>
    <w:rsid w:val="48F14EB5"/>
    <w:rsid w:val="48F232D1"/>
    <w:rsid w:val="48F5140F"/>
    <w:rsid w:val="48F54724"/>
    <w:rsid w:val="48F826E7"/>
    <w:rsid w:val="48F86243"/>
    <w:rsid w:val="48FA3D14"/>
    <w:rsid w:val="48FD1AAC"/>
    <w:rsid w:val="48FD5F50"/>
    <w:rsid w:val="490019CF"/>
    <w:rsid w:val="4900334A"/>
    <w:rsid w:val="490231AB"/>
    <w:rsid w:val="49033566"/>
    <w:rsid w:val="49043516"/>
    <w:rsid w:val="490436CB"/>
    <w:rsid w:val="49050658"/>
    <w:rsid w:val="4905680A"/>
    <w:rsid w:val="490619BC"/>
    <w:rsid w:val="49085996"/>
    <w:rsid w:val="490948F4"/>
    <w:rsid w:val="490A06B4"/>
    <w:rsid w:val="490A0962"/>
    <w:rsid w:val="490C46F3"/>
    <w:rsid w:val="490C5387"/>
    <w:rsid w:val="490C7F41"/>
    <w:rsid w:val="490E1F0B"/>
    <w:rsid w:val="490E5A67"/>
    <w:rsid w:val="491017DF"/>
    <w:rsid w:val="4911104B"/>
    <w:rsid w:val="49124E4F"/>
    <w:rsid w:val="49125B3D"/>
    <w:rsid w:val="49134D90"/>
    <w:rsid w:val="49137521"/>
    <w:rsid w:val="49153299"/>
    <w:rsid w:val="49164517"/>
    <w:rsid w:val="4916491B"/>
    <w:rsid w:val="49170DBF"/>
    <w:rsid w:val="49172B6D"/>
    <w:rsid w:val="49177011"/>
    <w:rsid w:val="49184C88"/>
    <w:rsid w:val="49196832"/>
    <w:rsid w:val="492125D8"/>
    <w:rsid w:val="49221512"/>
    <w:rsid w:val="49226384"/>
    <w:rsid w:val="49237D52"/>
    <w:rsid w:val="49267254"/>
    <w:rsid w:val="49276B29"/>
    <w:rsid w:val="492B03C7"/>
    <w:rsid w:val="492E435B"/>
    <w:rsid w:val="492F1439"/>
    <w:rsid w:val="49301E81"/>
    <w:rsid w:val="49303C2F"/>
    <w:rsid w:val="493059DD"/>
    <w:rsid w:val="49310757"/>
    <w:rsid w:val="49325BF9"/>
    <w:rsid w:val="49341D31"/>
    <w:rsid w:val="49373B70"/>
    <w:rsid w:val="49393B07"/>
    <w:rsid w:val="49396F88"/>
    <w:rsid w:val="493A685C"/>
    <w:rsid w:val="493E2BBB"/>
    <w:rsid w:val="493E4F4B"/>
    <w:rsid w:val="493F3418"/>
    <w:rsid w:val="493F35C5"/>
    <w:rsid w:val="493F3E72"/>
    <w:rsid w:val="494024AD"/>
    <w:rsid w:val="49402818"/>
    <w:rsid w:val="49415E3C"/>
    <w:rsid w:val="49417BEA"/>
    <w:rsid w:val="494254CB"/>
    <w:rsid w:val="49431BB4"/>
    <w:rsid w:val="49441489"/>
    <w:rsid w:val="49454AF7"/>
    <w:rsid w:val="49465201"/>
    <w:rsid w:val="494838A4"/>
    <w:rsid w:val="494951F7"/>
    <w:rsid w:val="494B1FCC"/>
    <w:rsid w:val="494B2817"/>
    <w:rsid w:val="494B6CBB"/>
    <w:rsid w:val="494C43B1"/>
    <w:rsid w:val="494D2A33"/>
    <w:rsid w:val="49506EA2"/>
    <w:rsid w:val="49507E2D"/>
    <w:rsid w:val="49531B59"/>
    <w:rsid w:val="49536540"/>
    <w:rsid w:val="4953791E"/>
    <w:rsid w:val="49555F11"/>
    <w:rsid w:val="495751DE"/>
    <w:rsid w:val="49594A19"/>
    <w:rsid w:val="49594E5F"/>
    <w:rsid w:val="495A08D2"/>
    <w:rsid w:val="495A39E7"/>
    <w:rsid w:val="495D254A"/>
    <w:rsid w:val="495D63AA"/>
    <w:rsid w:val="495F0B5E"/>
    <w:rsid w:val="4960336B"/>
    <w:rsid w:val="496062FA"/>
    <w:rsid w:val="496164DE"/>
    <w:rsid w:val="49621FD8"/>
    <w:rsid w:val="49627597"/>
    <w:rsid w:val="49634005"/>
    <w:rsid w:val="496501BE"/>
    <w:rsid w:val="496658A3"/>
    <w:rsid w:val="4967456F"/>
    <w:rsid w:val="4968161B"/>
    <w:rsid w:val="496B2EB9"/>
    <w:rsid w:val="496B3098"/>
    <w:rsid w:val="49705DC9"/>
    <w:rsid w:val="49731D6E"/>
    <w:rsid w:val="4974192B"/>
    <w:rsid w:val="49773A63"/>
    <w:rsid w:val="49793828"/>
    <w:rsid w:val="497955D6"/>
    <w:rsid w:val="497A478D"/>
    <w:rsid w:val="497A75A0"/>
    <w:rsid w:val="497E2BEC"/>
    <w:rsid w:val="497F1F6E"/>
    <w:rsid w:val="49803C61"/>
    <w:rsid w:val="4981092F"/>
    <w:rsid w:val="4983062C"/>
    <w:rsid w:val="49831FB1"/>
    <w:rsid w:val="498455FF"/>
    <w:rsid w:val="49857986"/>
    <w:rsid w:val="49865F45"/>
    <w:rsid w:val="49883A6B"/>
    <w:rsid w:val="498875C7"/>
    <w:rsid w:val="49891591"/>
    <w:rsid w:val="498B355B"/>
    <w:rsid w:val="498E4EBE"/>
    <w:rsid w:val="498F5A5D"/>
    <w:rsid w:val="49902920"/>
    <w:rsid w:val="49940662"/>
    <w:rsid w:val="49961E1D"/>
    <w:rsid w:val="49975A5C"/>
    <w:rsid w:val="49995C78"/>
    <w:rsid w:val="499B2377"/>
    <w:rsid w:val="49A12900"/>
    <w:rsid w:val="49A44B1B"/>
    <w:rsid w:val="49A563CB"/>
    <w:rsid w:val="49A575DF"/>
    <w:rsid w:val="49A85EBB"/>
    <w:rsid w:val="49AA1C33"/>
    <w:rsid w:val="49AA5D18"/>
    <w:rsid w:val="49AD1724"/>
    <w:rsid w:val="49AD1DAD"/>
    <w:rsid w:val="49AE366E"/>
    <w:rsid w:val="49AF0FF8"/>
    <w:rsid w:val="49AF6C96"/>
    <w:rsid w:val="49B00CDD"/>
    <w:rsid w:val="49B303BC"/>
    <w:rsid w:val="49B30506"/>
    <w:rsid w:val="49B33B03"/>
    <w:rsid w:val="49B4396D"/>
    <w:rsid w:val="49B605D8"/>
    <w:rsid w:val="49B6261E"/>
    <w:rsid w:val="49B77EAC"/>
    <w:rsid w:val="49B91A00"/>
    <w:rsid w:val="49B97E84"/>
    <w:rsid w:val="49BA799D"/>
    <w:rsid w:val="49BE129E"/>
    <w:rsid w:val="49BE748D"/>
    <w:rsid w:val="49BF4FB3"/>
    <w:rsid w:val="49C01457"/>
    <w:rsid w:val="49C36851"/>
    <w:rsid w:val="49C4513B"/>
    <w:rsid w:val="49CA09D9"/>
    <w:rsid w:val="49CA5E32"/>
    <w:rsid w:val="49CB3958"/>
    <w:rsid w:val="49CB3B7E"/>
    <w:rsid w:val="49CF169A"/>
    <w:rsid w:val="49CF5171"/>
    <w:rsid w:val="49CF51F6"/>
    <w:rsid w:val="49D025DB"/>
    <w:rsid w:val="49D26F45"/>
    <w:rsid w:val="49D35E39"/>
    <w:rsid w:val="49D547D7"/>
    <w:rsid w:val="49D84EFD"/>
    <w:rsid w:val="49D96821"/>
    <w:rsid w:val="49DA42F1"/>
    <w:rsid w:val="49DB3239"/>
    <w:rsid w:val="49DD1DC9"/>
    <w:rsid w:val="49DD673C"/>
    <w:rsid w:val="49DF3C05"/>
    <w:rsid w:val="49E05655"/>
    <w:rsid w:val="49E0596B"/>
    <w:rsid w:val="49E22BC4"/>
    <w:rsid w:val="49E26C03"/>
    <w:rsid w:val="49E50EBD"/>
    <w:rsid w:val="49E54A1A"/>
    <w:rsid w:val="49E82739"/>
    <w:rsid w:val="49EA4420"/>
    <w:rsid w:val="49EB7B56"/>
    <w:rsid w:val="49ED38CE"/>
    <w:rsid w:val="49ED7C34"/>
    <w:rsid w:val="49F02CC8"/>
    <w:rsid w:val="49F11610"/>
    <w:rsid w:val="49F15899"/>
    <w:rsid w:val="49F25388"/>
    <w:rsid w:val="49F40639"/>
    <w:rsid w:val="49F625B6"/>
    <w:rsid w:val="49F7474D"/>
    <w:rsid w:val="49F772E6"/>
    <w:rsid w:val="49F77FCA"/>
    <w:rsid w:val="49F92273"/>
    <w:rsid w:val="49FA008C"/>
    <w:rsid w:val="49FB277C"/>
    <w:rsid w:val="49FF7D34"/>
    <w:rsid w:val="4A001853"/>
    <w:rsid w:val="4A02471E"/>
    <w:rsid w:val="4A050C18"/>
    <w:rsid w:val="4A062BE2"/>
    <w:rsid w:val="4A0A0E4D"/>
    <w:rsid w:val="4A0A6190"/>
    <w:rsid w:val="4A0B0B6D"/>
    <w:rsid w:val="4A0B78D0"/>
    <w:rsid w:val="4A0C54F3"/>
    <w:rsid w:val="4A0D4DC1"/>
    <w:rsid w:val="4A0D5D1E"/>
    <w:rsid w:val="4A0F1148"/>
    <w:rsid w:val="4A0F1A96"/>
    <w:rsid w:val="4A123335"/>
    <w:rsid w:val="4A172E6A"/>
    <w:rsid w:val="4A1730BC"/>
    <w:rsid w:val="4A176B9D"/>
    <w:rsid w:val="4A1C2405"/>
    <w:rsid w:val="4A1F0E0D"/>
    <w:rsid w:val="4A201847"/>
    <w:rsid w:val="4A210D1B"/>
    <w:rsid w:val="4A2117CA"/>
    <w:rsid w:val="4A227A1C"/>
    <w:rsid w:val="4A2461D1"/>
    <w:rsid w:val="4A253068"/>
    <w:rsid w:val="4A292E59"/>
    <w:rsid w:val="4A2A2D74"/>
    <w:rsid w:val="4A2D016F"/>
    <w:rsid w:val="4A2D77C0"/>
    <w:rsid w:val="4A3239D7"/>
    <w:rsid w:val="4A325785"/>
    <w:rsid w:val="4A3459A1"/>
    <w:rsid w:val="4A34774F"/>
    <w:rsid w:val="4A363CAF"/>
    <w:rsid w:val="4A372155"/>
    <w:rsid w:val="4A381DEA"/>
    <w:rsid w:val="4A3B4613"/>
    <w:rsid w:val="4A3C414F"/>
    <w:rsid w:val="4A3C6604"/>
    <w:rsid w:val="4A426990"/>
    <w:rsid w:val="4A435BE4"/>
    <w:rsid w:val="4A4365D1"/>
    <w:rsid w:val="4A443E36"/>
    <w:rsid w:val="4A446C9B"/>
    <w:rsid w:val="4A4534F8"/>
    <w:rsid w:val="4A4536BD"/>
    <w:rsid w:val="4A45552A"/>
    <w:rsid w:val="4A474F52"/>
    <w:rsid w:val="4A496867"/>
    <w:rsid w:val="4A4A4CEE"/>
    <w:rsid w:val="4A4C6847"/>
    <w:rsid w:val="4A4F4589"/>
    <w:rsid w:val="4A513E5D"/>
    <w:rsid w:val="4A51645E"/>
    <w:rsid w:val="4A525E27"/>
    <w:rsid w:val="4A534501"/>
    <w:rsid w:val="4A541B9F"/>
    <w:rsid w:val="4A547DF1"/>
    <w:rsid w:val="4A551A8E"/>
    <w:rsid w:val="4A563B69"/>
    <w:rsid w:val="4A565917"/>
    <w:rsid w:val="4A5B1180"/>
    <w:rsid w:val="4A5B256D"/>
    <w:rsid w:val="4A5D0A54"/>
    <w:rsid w:val="4A5E657A"/>
    <w:rsid w:val="4A5F5A11"/>
    <w:rsid w:val="4A602DAC"/>
    <w:rsid w:val="4A612A04"/>
    <w:rsid w:val="4A653DAC"/>
    <w:rsid w:val="4A65590A"/>
    <w:rsid w:val="4A660C1F"/>
    <w:rsid w:val="4A673681"/>
    <w:rsid w:val="4A69564B"/>
    <w:rsid w:val="4A6A3171"/>
    <w:rsid w:val="4A6D0C58"/>
    <w:rsid w:val="4A6D640B"/>
    <w:rsid w:val="4A71383E"/>
    <w:rsid w:val="4A7144FF"/>
    <w:rsid w:val="4A722025"/>
    <w:rsid w:val="4A743FEF"/>
    <w:rsid w:val="4A746BC7"/>
    <w:rsid w:val="4A7638C4"/>
    <w:rsid w:val="4A767F31"/>
    <w:rsid w:val="4A791606"/>
    <w:rsid w:val="4A7B712C"/>
    <w:rsid w:val="4A7D2EA4"/>
    <w:rsid w:val="4A7E52E5"/>
    <w:rsid w:val="4A7E6C1C"/>
    <w:rsid w:val="4A7F6DC7"/>
    <w:rsid w:val="4A802994"/>
    <w:rsid w:val="4A805944"/>
    <w:rsid w:val="4A8173A0"/>
    <w:rsid w:val="4A82670C"/>
    <w:rsid w:val="4A842D0B"/>
    <w:rsid w:val="4A853B31"/>
    <w:rsid w:val="4A881849"/>
    <w:rsid w:val="4A895CED"/>
    <w:rsid w:val="4A897A9B"/>
    <w:rsid w:val="4A8E0ECE"/>
    <w:rsid w:val="4A8E17AE"/>
    <w:rsid w:val="4A8E50B1"/>
    <w:rsid w:val="4A8E7C7E"/>
    <w:rsid w:val="4A8F2434"/>
    <w:rsid w:val="4A906C2F"/>
    <w:rsid w:val="4A9274F7"/>
    <w:rsid w:val="4A934476"/>
    <w:rsid w:val="4A946440"/>
    <w:rsid w:val="4A965D14"/>
    <w:rsid w:val="4A980693"/>
    <w:rsid w:val="4A981A8C"/>
    <w:rsid w:val="4A9B3456"/>
    <w:rsid w:val="4A9C3861"/>
    <w:rsid w:val="4A9D28FF"/>
    <w:rsid w:val="4A9D52F4"/>
    <w:rsid w:val="4A9F106C"/>
    <w:rsid w:val="4A9F165A"/>
    <w:rsid w:val="4AA45F01"/>
    <w:rsid w:val="4AA523FB"/>
    <w:rsid w:val="4AA942EE"/>
    <w:rsid w:val="4AAC4D70"/>
    <w:rsid w:val="4AAD68B6"/>
    <w:rsid w:val="4AAF370C"/>
    <w:rsid w:val="4AAF3CE0"/>
    <w:rsid w:val="4AAF6DD6"/>
    <w:rsid w:val="4AB02606"/>
    <w:rsid w:val="4AB12B4E"/>
    <w:rsid w:val="4AB211F1"/>
    <w:rsid w:val="4AB32D6A"/>
    <w:rsid w:val="4AB368C6"/>
    <w:rsid w:val="4AB4552B"/>
    <w:rsid w:val="4AB60164"/>
    <w:rsid w:val="4AB64608"/>
    <w:rsid w:val="4AB83EDC"/>
    <w:rsid w:val="4AB92DEE"/>
    <w:rsid w:val="4ABA28A7"/>
    <w:rsid w:val="4ABA40F8"/>
    <w:rsid w:val="4ABB39CC"/>
    <w:rsid w:val="4ABD14F2"/>
    <w:rsid w:val="4ABD5996"/>
    <w:rsid w:val="4ABE526B"/>
    <w:rsid w:val="4AC62A9D"/>
    <w:rsid w:val="4AC72371"/>
    <w:rsid w:val="4AC76815"/>
    <w:rsid w:val="4ACB00B3"/>
    <w:rsid w:val="4ACB4169"/>
    <w:rsid w:val="4ACC7988"/>
    <w:rsid w:val="4ACE0368"/>
    <w:rsid w:val="4ACE54AE"/>
    <w:rsid w:val="4ACF50AD"/>
    <w:rsid w:val="4ACF7478"/>
    <w:rsid w:val="4AD056CA"/>
    <w:rsid w:val="4AD11DB9"/>
    <w:rsid w:val="4AD166FC"/>
    <w:rsid w:val="4AD20D54"/>
    <w:rsid w:val="4AD343D3"/>
    <w:rsid w:val="4AD351BA"/>
    <w:rsid w:val="4AD352BB"/>
    <w:rsid w:val="4AD625B4"/>
    <w:rsid w:val="4AD8323A"/>
    <w:rsid w:val="4AD91A70"/>
    <w:rsid w:val="4ADA20A4"/>
    <w:rsid w:val="4ADB7BCB"/>
    <w:rsid w:val="4ADF590D"/>
    <w:rsid w:val="4ADF6E1E"/>
    <w:rsid w:val="4AE40A60"/>
    <w:rsid w:val="4AE47C47"/>
    <w:rsid w:val="4AE51158"/>
    <w:rsid w:val="4AE5143A"/>
    <w:rsid w:val="4AE64290"/>
    <w:rsid w:val="4AE67E15"/>
    <w:rsid w:val="4AEB0E78"/>
    <w:rsid w:val="4AEC002A"/>
    <w:rsid w:val="4AEC627C"/>
    <w:rsid w:val="4AF34F14"/>
    <w:rsid w:val="4AF40DEB"/>
    <w:rsid w:val="4AF55130"/>
    <w:rsid w:val="4AF56EDE"/>
    <w:rsid w:val="4AF57D24"/>
    <w:rsid w:val="4AF85E6B"/>
    <w:rsid w:val="4AF869CF"/>
    <w:rsid w:val="4AFA1158"/>
    <w:rsid w:val="4AFA2747"/>
    <w:rsid w:val="4AFB026D"/>
    <w:rsid w:val="4AFC7BF7"/>
    <w:rsid w:val="4AFF1B0B"/>
    <w:rsid w:val="4B005D50"/>
    <w:rsid w:val="4B007631"/>
    <w:rsid w:val="4B014375"/>
    <w:rsid w:val="4B037685"/>
    <w:rsid w:val="4B05076D"/>
    <w:rsid w:val="4B054C48"/>
    <w:rsid w:val="4B082E1E"/>
    <w:rsid w:val="4B0B04B0"/>
    <w:rsid w:val="4B0B57E5"/>
    <w:rsid w:val="4B0C2455"/>
    <w:rsid w:val="4B0C24B8"/>
    <w:rsid w:val="4B0E1D4E"/>
    <w:rsid w:val="4B0E200C"/>
    <w:rsid w:val="4B0F7DB3"/>
    <w:rsid w:val="4B1172F2"/>
    <w:rsid w:val="4B137364"/>
    <w:rsid w:val="4B15214A"/>
    <w:rsid w:val="4B16133D"/>
    <w:rsid w:val="4B1B446B"/>
    <w:rsid w:val="4B1C090F"/>
    <w:rsid w:val="4B1D01E3"/>
    <w:rsid w:val="4B1E117A"/>
    <w:rsid w:val="4B1E1EF5"/>
    <w:rsid w:val="4B1E797A"/>
    <w:rsid w:val="4B1F03D7"/>
    <w:rsid w:val="4B1F03FF"/>
    <w:rsid w:val="4B211352"/>
    <w:rsid w:val="4B26353C"/>
    <w:rsid w:val="4B271062"/>
    <w:rsid w:val="4B28332B"/>
    <w:rsid w:val="4B294DDA"/>
    <w:rsid w:val="4B2C6678"/>
    <w:rsid w:val="4B2F5520"/>
    <w:rsid w:val="4B3043BA"/>
    <w:rsid w:val="4B335C59"/>
    <w:rsid w:val="4B34391F"/>
    <w:rsid w:val="4B35692E"/>
    <w:rsid w:val="4B397B99"/>
    <w:rsid w:val="4B3A2B43"/>
    <w:rsid w:val="4B3B58A8"/>
    <w:rsid w:val="4B3C501C"/>
    <w:rsid w:val="4B3C553D"/>
    <w:rsid w:val="4B3D2633"/>
    <w:rsid w:val="4B3E33A3"/>
    <w:rsid w:val="4B3F63AB"/>
    <w:rsid w:val="4B4022CA"/>
    <w:rsid w:val="4B404E95"/>
    <w:rsid w:val="4B413ED2"/>
    <w:rsid w:val="4B4208F0"/>
    <w:rsid w:val="4B441C14"/>
    <w:rsid w:val="4B475260"/>
    <w:rsid w:val="4B494ABD"/>
    <w:rsid w:val="4B4A4BCE"/>
    <w:rsid w:val="4B4B2FA2"/>
    <w:rsid w:val="4B4C2876"/>
    <w:rsid w:val="4B4E5319"/>
    <w:rsid w:val="4B57145D"/>
    <w:rsid w:val="4B571947"/>
    <w:rsid w:val="4B5A1437"/>
    <w:rsid w:val="4B5A31E5"/>
    <w:rsid w:val="4B5B06A4"/>
    <w:rsid w:val="4B5D397A"/>
    <w:rsid w:val="4B5E0F27"/>
    <w:rsid w:val="4B5E79B9"/>
    <w:rsid w:val="4B5F25AA"/>
    <w:rsid w:val="4B5F778B"/>
    <w:rsid w:val="4B6068C4"/>
    <w:rsid w:val="4B614574"/>
    <w:rsid w:val="4B625472"/>
    <w:rsid w:val="4B642A75"/>
    <w:rsid w:val="4B647BC0"/>
    <w:rsid w:val="4B6651F5"/>
    <w:rsid w:val="4B674448"/>
    <w:rsid w:val="4B6745FE"/>
    <w:rsid w:val="4B683B54"/>
    <w:rsid w:val="4B692D16"/>
    <w:rsid w:val="4B6D2CD4"/>
    <w:rsid w:val="4B6E46F3"/>
    <w:rsid w:val="4B6E6FA5"/>
    <w:rsid w:val="4B702A09"/>
    <w:rsid w:val="4B72052F"/>
    <w:rsid w:val="4B761DCD"/>
    <w:rsid w:val="4B76442C"/>
    <w:rsid w:val="4B766399"/>
    <w:rsid w:val="4B773D97"/>
    <w:rsid w:val="4B7818BD"/>
    <w:rsid w:val="4B7924D2"/>
    <w:rsid w:val="4B7F2937"/>
    <w:rsid w:val="4B7F49FA"/>
    <w:rsid w:val="4B810673"/>
    <w:rsid w:val="4B850656"/>
    <w:rsid w:val="4B88323B"/>
    <w:rsid w:val="4B8D7117"/>
    <w:rsid w:val="4B9009B5"/>
    <w:rsid w:val="4B90799F"/>
    <w:rsid w:val="4B920BD1"/>
    <w:rsid w:val="4B941ED0"/>
    <w:rsid w:val="4B946370"/>
    <w:rsid w:val="4B95421D"/>
    <w:rsid w:val="4B971D44"/>
    <w:rsid w:val="4B985147"/>
    <w:rsid w:val="4B9905B7"/>
    <w:rsid w:val="4B9C55AC"/>
    <w:rsid w:val="4B9D30D2"/>
    <w:rsid w:val="4B9E7576"/>
    <w:rsid w:val="4BA12BC2"/>
    <w:rsid w:val="4BA15E9C"/>
    <w:rsid w:val="4BA268C1"/>
    <w:rsid w:val="4BA32DDE"/>
    <w:rsid w:val="4BA754D9"/>
    <w:rsid w:val="4BA83F51"/>
    <w:rsid w:val="4BAF1783"/>
    <w:rsid w:val="4BB0082A"/>
    <w:rsid w:val="4BB072A9"/>
    <w:rsid w:val="4BB46D99"/>
    <w:rsid w:val="4BB5041C"/>
    <w:rsid w:val="4BB548C0"/>
    <w:rsid w:val="4BB943B0"/>
    <w:rsid w:val="4BBA1ED6"/>
    <w:rsid w:val="4BBE3774"/>
    <w:rsid w:val="4BBF1667"/>
    <w:rsid w:val="4BC12400"/>
    <w:rsid w:val="4BC13445"/>
    <w:rsid w:val="4BC27510"/>
    <w:rsid w:val="4BC30D8B"/>
    <w:rsid w:val="4BC52C30"/>
    <w:rsid w:val="4BC66ACD"/>
    <w:rsid w:val="4BCB40E3"/>
    <w:rsid w:val="4BCC39E9"/>
    <w:rsid w:val="4BCC4DF0"/>
    <w:rsid w:val="4BCE14DD"/>
    <w:rsid w:val="4BCF0198"/>
    <w:rsid w:val="4BD034A7"/>
    <w:rsid w:val="4BD041F2"/>
    <w:rsid w:val="4BD27220"/>
    <w:rsid w:val="4BD44D46"/>
    <w:rsid w:val="4BDB7584"/>
    <w:rsid w:val="4BDE0746"/>
    <w:rsid w:val="4BDE77B0"/>
    <w:rsid w:val="4BDF1120"/>
    <w:rsid w:val="4BDF1609"/>
    <w:rsid w:val="4BE21410"/>
    <w:rsid w:val="4BE3142D"/>
    <w:rsid w:val="4BE34F89"/>
    <w:rsid w:val="4BE43E1D"/>
    <w:rsid w:val="4BE85952"/>
    <w:rsid w:val="4BE909E0"/>
    <w:rsid w:val="4BE928B1"/>
    <w:rsid w:val="4BEB7E9C"/>
    <w:rsid w:val="4BEC7B8E"/>
    <w:rsid w:val="4BEE33F0"/>
    <w:rsid w:val="4BEF1B80"/>
    <w:rsid w:val="4BF03B4A"/>
    <w:rsid w:val="4BF2341E"/>
    <w:rsid w:val="4BF453E8"/>
    <w:rsid w:val="4BF54CBC"/>
    <w:rsid w:val="4BF90C50"/>
    <w:rsid w:val="4BFC604B"/>
    <w:rsid w:val="4BFE1DC3"/>
    <w:rsid w:val="4BFE7B5F"/>
    <w:rsid w:val="4BFF4671"/>
    <w:rsid w:val="4C011FAC"/>
    <w:rsid w:val="4C036118"/>
    <w:rsid w:val="4C065563"/>
    <w:rsid w:val="4C0678A4"/>
    <w:rsid w:val="4C077BD7"/>
    <w:rsid w:val="4C08552D"/>
    <w:rsid w:val="4C0B16FA"/>
    <w:rsid w:val="4C0D4686"/>
    <w:rsid w:val="4C0E5FC2"/>
    <w:rsid w:val="4C115F9A"/>
    <w:rsid w:val="4C123AC0"/>
    <w:rsid w:val="4C154208"/>
    <w:rsid w:val="4C20166C"/>
    <w:rsid w:val="4C20213F"/>
    <w:rsid w:val="4C213F8C"/>
    <w:rsid w:val="4C2365F6"/>
    <w:rsid w:val="4C237797"/>
    <w:rsid w:val="4C242F29"/>
    <w:rsid w:val="4C251A45"/>
    <w:rsid w:val="4C2555A1"/>
    <w:rsid w:val="4C2832E3"/>
    <w:rsid w:val="4C2A2657"/>
    <w:rsid w:val="4C2A69C2"/>
    <w:rsid w:val="4C2B503E"/>
    <w:rsid w:val="4C2D3C70"/>
    <w:rsid w:val="4C3103EA"/>
    <w:rsid w:val="4C31118F"/>
    <w:rsid w:val="4C31571C"/>
    <w:rsid w:val="4C332C5F"/>
    <w:rsid w:val="4C3347A3"/>
    <w:rsid w:val="4C3752D5"/>
    <w:rsid w:val="4C3B4DC5"/>
    <w:rsid w:val="4C3C0B3D"/>
    <w:rsid w:val="4C3C3795"/>
    <w:rsid w:val="4C3F6085"/>
    <w:rsid w:val="4C4036E6"/>
    <w:rsid w:val="4C404189"/>
    <w:rsid w:val="4C417D2D"/>
    <w:rsid w:val="4C430FB4"/>
    <w:rsid w:val="4C433C79"/>
    <w:rsid w:val="4C435AFD"/>
    <w:rsid w:val="4C435E69"/>
    <w:rsid w:val="4C453E95"/>
    <w:rsid w:val="4C455D3C"/>
    <w:rsid w:val="4C46543A"/>
    <w:rsid w:val="4C481290"/>
    <w:rsid w:val="4C485734"/>
    <w:rsid w:val="4C4938FB"/>
    <w:rsid w:val="4C4A14AC"/>
    <w:rsid w:val="4C4B073B"/>
    <w:rsid w:val="4C4D6F48"/>
    <w:rsid w:val="4C4E2CBD"/>
    <w:rsid w:val="4C5145E8"/>
    <w:rsid w:val="4C515898"/>
    <w:rsid w:val="4C527B9F"/>
    <w:rsid w:val="4C5440D8"/>
    <w:rsid w:val="4C570CD8"/>
    <w:rsid w:val="4C5A3BDF"/>
    <w:rsid w:val="4C5B0FC3"/>
    <w:rsid w:val="4C5C4D3B"/>
    <w:rsid w:val="4C5D11DF"/>
    <w:rsid w:val="4C5E1110"/>
    <w:rsid w:val="4C5F1112"/>
    <w:rsid w:val="4C6251E1"/>
    <w:rsid w:val="4C6267F5"/>
    <w:rsid w:val="4C633D3F"/>
    <w:rsid w:val="4C660281"/>
    <w:rsid w:val="4C6A56AA"/>
    <w:rsid w:val="4C6C0C46"/>
    <w:rsid w:val="4C6D519A"/>
    <w:rsid w:val="4C6D6532"/>
    <w:rsid w:val="4C6D7630"/>
    <w:rsid w:val="4C6E0C92"/>
    <w:rsid w:val="4C6F4A6E"/>
    <w:rsid w:val="4C6F6E0F"/>
    <w:rsid w:val="4C7165E3"/>
    <w:rsid w:val="4C72455F"/>
    <w:rsid w:val="4C7363EE"/>
    <w:rsid w:val="4C7420C2"/>
    <w:rsid w:val="4C766400"/>
    <w:rsid w:val="4C7807C4"/>
    <w:rsid w:val="4C7B0A31"/>
    <w:rsid w:val="4C7C718B"/>
    <w:rsid w:val="4C7D362F"/>
    <w:rsid w:val="4C7E1155"/>
    <w:rsid w:val="4C8274F7"/>
    <w:rsid w:val="4C8449BE"/>
    <w:rsid w:val="4C8524E4"/>
    <w:rsid w:val="4C853456"/>
    <w:rsid w:val="4C855949"/>
    <w:rsid w:val="4C857EEB"/>
    <w:rsid w:val="4C87000A"/>
    <w:rsid w:val="4C871DB8"/>
    <w:rsid w:val="4C8A5D4C"/>
    <w:rsid w:val="4C8B1D2E"/>
    <w:rsid w:val="4C8B75CC"/>
    <w:rsid w:val="4C8E75EA"/>
    <w:rsid w:val="4C902D5C"/>
    <w:rsid w:val="4C915AE9"/>
    <w:rsid w:val="4C9269AF"/>
    <w:rsid w:val="4C935075"/>
    <w:rsid w:val="4C991AEB"/>
    <w:rsid w:val="4C997D3D"/>
    <w:rsid w:val="4C9A2FAF"/>
    <w:rsid w:val="4C9B33F3"/>
    <w:rsid w:val="4CA0731E"/>
    <w:rsid w:val="4CA24E44"/>
    <w:rsid w:val="4CA26BF2"/>
    <w:rsid w:val="4CA5340D"/>
    <w:rsid w:val="4CA773BE"/>
    <w:rsid w:val="4CA77FB6"/>
    <w:rsid w:val="4CA95D86"/>
    <w:rsid w:val="4CAA1F6A"/>
    <w:rsid w:val="4CAC181F"/>
    <w:rsid w:val="4CAC5A6A"/>
    <w:rsid w:val="4CAC5CC3"/>
    <w:rsid w:val="4CB125AB"/>
    <w:rsid w:val="4CB15087"/>
    <w:rsid w:val="4CB229E2"/>
    <w:rsid w:val="4CB24C66"/>
    <w:rsid w:val="4CB44B77"/>
    <w:rsid w:val="4CB520BC"/>
    <w:rsid w:val="4CB61D51"/>
    <w:rsid w:val="4CB644F0"/>
    <w:rsid w:val="4CB66B41"/>
    <w:rsid w:val="4CB91F68"/>
    <w:rsid w:val="4CBE77A4"/>
    <w:rsid w:val="4CC0351C"/>
    <w:rsid w:val="4CC039AA"/>
    <w:rsid w:val="4CC335E8"/>
    <w:rsid w:val="4CC36B68"/>
    <w:rsid w:val="4CC50B32"/>
    <w:rsid w:val="4CC51B63"/>
    <w:rsid w:val="4CC530DC"/>
    <w:rsid w:val="4CC53937"/>
    <w:rsid w:val="4CC81A5D"/>
    <w:rsid w:val="4CC8493E"/>
    <w:rsid w:val="4CC90623"/>
    <w:rsid w:val="4CCA30D9"/>
    <w:rsid w:val="4CCC0113"/>
    <w:rsid w:val="4CCE79E7"/>
    <w:rsid w:val="4CD3324F"/>
    <w:rsid w:val="4CD34FFD"/>
    <w:rsid w:val="4CD55219"/>
    <w:rsid w:val="4CD57D2F"/>
    <w:rsid w:val="4CD6771E"/>
    <w:rsid w:val="4CDD35A1"/>
    <w:rsid w:val="4CDD70A9"/>
    <w:rsid w:val="4CE10C5C"/>
    <w:rsid w:val="4CE11854"/>
    <w:rsid w:val="4CE30FB8"/>
    <w:rsid w:val="4CE3746E"/>
    <w:rsid w:val="4CE52F83"/>
    <w:rsid w:val="4CE76CFB"/>
    <w:rsid w:val="4CE86476"/>
    <w:rsid w:val="4CE953FD"/>
    <w:rsid w:val="4CE95658"/>
    <w:rsid w:val="4CEE40BA"/>
    <w:rsid w:val="4CEF25AC"/>
    <w:rsid w:val="4CF02261"/>
    <w:rsid w:val="4CF02F19"/>
    <w:rsid w:val="4CF67277"/>
    <w:rsid w:val="4CFA6A2E"/>
    <w:rsid w:val="4CFB27A6"/>
    <w:rsid w:val="4CFE2C64"/>
    <w:rsid w:val="4CFE5DF2"/>
    <w:rsid w:val="4D01600E"/>
    <w:rsid w:val="4D021D86"/>
    <w:rsid w:val="4D023B34"/>
    <w:rsid w:val="4D061FA6"/>
    <w:rsid w:val="4D094A71"/>
    <w:rsid w:val="4D0B0C3B"/>
    <w:rsid w:val="4D0C03F4"/>
    <w:rsid w:val="4D0F1DAD"/>
    <w:rsid w:val="4D1005EE"/>
    <w:rsid w:val="4D145005"/>
    <w:rsid w:val="4D150064"/>
    <w:rsid w:val="4D16384E"/>
    <w:rsid w:val="4D176E22"/>
    <w:rsid w:val="4D181B86"/>
    <w:rsid w:val="4D1858EA"/>
    <w:rsid w:val="4D187C1B"/>
    <w:rsid w:val="4D1A4990"/>
    <w:rsid w:val="4D1C1598"/>
    <w:rsid w:val="4D1D3E23"/>
    <w:rsid w:val="4D1E0503"/>
    <w:rsid w:val="4D1E654F"/>
    <w:rsid w:val="4D1F083B"/>
    <w:rsid w:val="4D1F6494"/>
    <w:rsid w:val="4D203FBB"/>
    <w:rsid w:val="4D221D9C"/>
    <w:rsid w:val="4D2407F9"/>
    <w:rsid w:val="4D244EB8"/>
    <w:rsid w:val="4D245859"/>
    <w:rsid w:val="4D265A75"/>
    <w:rsid w:val="4D267823"/>
    <w:rsid w:val="4D2B4E39"/>
    <w:rsid w:val="4D2C295F"/>
    <w:rsid w:val="4D2C4E5B"/>
    <w:rsid w:val="4D2C6E03"/>
    <w:rsid w:val="4D2E66D8"/>
    <w:rsid w:val="4D331F40"/>
    <w:rsid w:val="4D333CEE"/>
    <w:rsid w:val="4D3442E8"/>
    <w:rsid w:val="4D3519E8"/>
    <w:rsid w:val="4D367C3A"/>
    <w:rsid w:val="4D3857A8"/>
    <w:rsid w:val="4D3874B5"/>
    <w:rsid w:val="4D39639D"/>
    <w:rsid w:val="4D3B0D99"/>
    <w:rsid w:val="4D41465D"/>
    <w:rsid w:val="4D447CA9"/>
    <w:rsid w:val="4D452FBE"/>
    <w:rsid w:val="4D47053C"/>
    <w:rsid w:val="4D471547"/>
    <w:rsid w:val="4D4978AC"/>
    <w:rsid w:val="4D4A3E5A"/>
    <w:rsid w:val="4D4D5F33"/>
    <w:rsid w:val="4D4D6AF7"/>
    <w:rsid w:val="4D510618"/>
    <w:rsid w:val="4D5117AD"/>
    <w:rsid w:val="4D513FA5"/>
    <w:rsid w:val="4D521266"/>
    <w:rsid w:val="4D534390"/>
    <w:rsid w:val="4D53771C"/>
    <w:rsid w:val="4D555F59"/>
    <w:rsid w:val="4D561ADF"/>
    <w:rsid w:val="4D563B7D"/>
    <w:rsid w:val="4D56721B"/>
    <w:rsid w:val="4D5B4FF3"/>
    <w:rsid w:val="4D5D0BAF"/>
    <w:rsid w:val="4D5E3359"/>
    <w:rsid w:val="4D5F2D35"/>
    <w:rsid w:val="4D616AAD"/>
    <w:rsid w:val="4D622825"/>
    <w:rsid w:val="4D664345"/>
    <w:rsid w:val="4D671BE9"/>
    <w:rsid w:val="4D681722"/>
    <w:rsid w:val="4D6B792C"/>
    <w:rsid w:val="4D704F42"/>
    <w:rsid w:val="4D706CF0"/>
    <w:rsid w:val="4D722434"/>
    <w:rsid w:val="4D73763E"/>
    <w:rsid w:val="4D741C4E"/>
    <w:rsid w:val="4D756297"/>
    <w:rsid w:val="4D796F28"/>
    <w:rsid w:val="4D7A7B6F"/>
    <w:rsid w:val="4D7D140D"/>
    <w:rsid w:val="4D84279B"/>
    <w:rsid w:val="4D844549"/>
    <w:rsid w:val="4D84736B"/>
    <w:rsid w:val="4D8602C2"/>
    <w:rsid w:val="4D897DB2"/>
    <w:rsid w:val="4D8B3B2A"/>
    <w:rsid w:val="4D8B58D8"/>
    <w:rsid w:val="4D8E361A"/>
    <w:rsid w:val="4D8E608C"/>
    <w:rsid w:val="4D8F5346"/>
    <w:rsid w:val="4D901140"/>
    <w:rsid w:val="4D910D42"/>
    <w:rsid w:val="4D913927"/>
    <w:rsid w:val="4D92310A"/>
    <w:rsid w:val="4D924EB8"/>
    <w:rsid w:val="4D926C66"/>
    <w:rsid w:val="4D942FD5"/>
    <w:rsid w:val="4D994499"/>
    <w:rsid w:val="4D9A5B1B"/>
    <w:rsid w:val="4D9C1893"/>
    <w:rsid w:val="4D9D2EC2"/>
    <w:rsid w:val="4D9D5085"/>
    <w:rsid w:val="4D9F00EC"/>
    <w:rsid w:val="4DA120EF"/>
    <w:rsid w:val="4DA1334D"/>
    <w:rsid w:val="4DA1466C"/>
    <w:rsid w:val="4DA21EBF"/>
    <w:rsid w:val="4DA30E74"/>
    <w:rsid w:val="4DA370C6"/>
    <w:rsid w:val="4DA44BEC"/>
    <w:rsid w:val="4DA4699A"/>
    <w:rsid w:val="4DA5062D"/>
    <w:rsid w:val="4DA50906"/>
    <w:rsid w:val="4DA7365D"/>
    <w:rsid w:val="4DA846DC"/>
    <w:rsid w:val="4DA954F8"/>
    <w:rsid w:val="4DAA338D"/>
    <w:rsid w:val="4DAB7D28"/>
    <w:rsid w:val="4DAC584E"/>
    <w:rsid w:val="4DAD0C10"/>
    <w:rsid w:val="4DAD19F9"/>
    <w:rsid w:val="4DAD1CF2"/>
    <w:rsid w:val="4DAE5A6A"/>
    <w:rsid w:val="4DAE7818"/>
    <w:rsid w:val="4DAF1885"/>
    <w:rsid w:val="4DB12E65"/>
    <w:rsid w:val="4DB27309"/>
    <w:rsid w:val="4DB50BA7"/>
    <w:rsid w:val="4DB542AF"/>
    <w:rsid w:val="4DB55C61"/>
    <w:rsid w:val="4DB841F3"/>
    <w:rsid w:val="4DB87D11"/>
    <w:rsid w:val="4DBA440F"/>
    <w:rsid w:val="4DBA7040"/>
    <w:rsid w:val="4DBB5413"/>
    <w:rsid w:val="4DBC3274"/>
    <w:rsid w:val="4DBD0F93"/>
    <w:rsid w:val="4DBF1A26"/>
    <w:rsid w:val="4DBF44B5"/>
    <w:rsid w:val="4DC077B7"/>
    <w:rsid w:val="4DC349B7"/>
    <w:rsid w:val="4DC3603D"/>
    <w:rsid w:val="4DC67027"/>
    <w:rsid w:val="4DC840D7"/>
    <w:rsid w:val="4DCA2B2F"/>
    <w:rsid w:val="4DCB4939"/>
    <w:rsid w:val="4DCD4142"/>
    <w:rsid w:val="4DCD7CE8"/>
    <w:rsid w:val="4DD64681"/>
    <w:rsid w:val="4DD728CB"/>
    <w:rsid w:val="4DD80599"/>
    <w:rsid w:val="4DD94895"/>
    <w:rsid w:val="4DD97637"/>
    <w:rsid w:val="4DDA23BB"/>
    <w:rsid w:val="4DDA64EC"/>
    <w:rsid w:val="4DE17BEE"/>
    <w:rsid w:val="4DE230D4"/>
    <w:rsid w:val="4DE374C2"/>
    <w:rsid w:val="4DE638C5"/>
    <w:rsid w:val="4DE70AF0"/>
    <w:rsid w:val="4DE72231"/>
    <w:rsid w:val="4DE72F2C"/>
    <w:rsid w:val="4DE80F7C"/>
    <w:rsid w:val="4DE82D2A"/>
    <w:rsid w:val="4DEA5DB7"/>
    <w:rsid w:val="4DEC3685"/>
    <w:rsid w:val="4DED50AF"/>
    <w:rsid w:val="4DEE3E30"/>
    <w:rsid w:val="4DF10658"/>
    <w:rsid w:val="4DF27705"/>
    <w:rsid w:val="4DF34673"/>
    <w:rsid w:val="4DF41442"/>
    <w:rsid w:val="4DF5709E"/>
    <w:rsid w:val="4DF65033"/>
    <w:rsid w:val="4DF711BF"/>
    <w:rsid w:val="4DF72F6D"/>
    <w:rsid w:val="4DF777F6"/>
    <w:rsid w:val="4DF80AFB"/>
    <w:rsid w:val="4DF842F9"/>
    <w:rsid w:val="4DFC03F6"/>
    <w:rsid w:val="4DFC4AC6"/>
    <w:rsid w:val="4DFC67D6"/>
    <w:rsid w:val="4DFE60AA"/>
    <w:rsid w:val="4DFF0074"/>
    <w:rsid w:val="4DFF1E22"/>
    <w:rsid w:val="4DFF2684"/>
    <w:rsid w:val="4E01203E"/>
    <w:rsid w:val="4E01609E"/>
    <w:rsid w:val="4E061402"/>
    <w:rsid w:val="4E0631B0"/>
    <w:rsid w:val="4E067654"/>
    <w:rsid w:val="4E0929FA"/>
    <w:rsid w:val="4E0B4C6B"/>
    <w:rsid w:val="4E0F4E9D"/>
    <w:rsid w:val="4E0F6509"/>
    <w:rsid w:val="4E101D1C"/>
    <w:rsid w:val="4E111971"/>
    <w:rsid w:val="4E12250E"/>
    <w:rsid w:val="4E125FF9"/>
    <w:rsid w:val="4E131240"/>
    <w:rsid w:val="4E1313F6"/>
    <w:rsid w:val="4E143B1F"/>
    <w:rsid w:val="4E15678B"/>
    <w:rsid w:val="4E165AE9"/>
    <w:rsid w:val="4E173610"/>
    <w:rsid w:val="4E17716C"/>
    <w:rsid w:val="4E1C29D4"/>
    <w:rsid w:val="4E1C35CB"/>
    <w:rsid w:val="4E1D0AA4"/>
    <w:rsid w:val="4E2146FA"/>
    <w:rsid w:val="4E217105"/>
    <w:rsid w:val="4E2634BF"/>
    <w:rsid w:val="4E28581D"/>
    <w:rsid w:val="4E2A3343"/>
    <w:rsid w:val="4E2F2707"/>
    <w:rsid w:val="4E2F6C3C"/>
    <w:rsid w:val="4E305CD9"/>
    <w:rsid w:val="4E3221F7"/>
    <w:rsid w:val="4E3301FD"/>
    <w:rsid w:val="4E340E42"/>
    <w:rsid w:val="4E345F70"/>
    <w:rsid w:val="4E3715BC"/>
    <w:rsid w:val="4E3B5550"/>
    <w:rsid w:val="4E3C3076"/>
    <w:rsid w:val="4E3C4E24"/>
    <w:rsid w:val="4E4116FB"/>
    <w:rsid w:val="4E412773"/>
    <w:rsid w:val="4E4168DE"/>
    <w:rsid w:val="4E4361B3"/>
    <w:rsid w:val="4E437F61"/>
    <w:rsid w:val="4E467A51"/>
    <w:rsid w:val="4E4A5793"/>
    <w:rsid w:val="4E4A7DB4"/>
    <w:rsid w:val="4E4B0DB6"/>
    <w:rsid w:val="4E4B32B9"/>
    <w:rsid w:val="4E4C27ED"/>
    <w:rsid w:val="4E4C3520"/>
    <w:rsid w:val="4E4C7F4F"/>
    <w:rsid w:val="4E4D2C94"/>
    <w:rsid w:val="4E4F113A"/>
    <w:rsid w:val="4E535B5D"/>
    <w:rsid w:val="4E564138"/>
    <w:rsid w:val="4E577E36"/>
    <w:rsid w:val="4E5B174E"/>
    <w:rsid w:val="4E5B5471"/>
    <w:rsid w:val="4E5B79A0"/>
    <w:rsid w:val="4E5B7C53"/>
    <w:rsid w:val="4E5C1022"/>
    <w:rsid w:val="4E5C3321"/>
    <w:rsid w:val="4E5D35AC"/>
    <w:rsid w:val="4E606D65"/>
    <w:rsid w:val="4E611B8B"/>
    <w:rsid w:val="4E616639"/>
    <w:rsid w:val="4E676345"/>
    <w:rsid w:val="4E6879C7"/>
    <w:rsid w:val="4E6C395B"/>
    <w:rsid w:val="4E6E0739"/>
    <w:rsid w:val="4E6F7E8D"/>
    <w:rsid w:val="4E704ACE"/>
    <w:rsid w:val="4E726A98"/>
    <w:rsid w:val="4E742810"/>
    <w:rsid w:val="4E754DDC"/>
    <w:rsid w:val="4E77396D"/>
    <w:rsid w:val="4E7A0A87"/>
    <w:rsid w:val="4E7B3B9E"/>
    <w:rsid w:val="4E7B594C"/>
    <w:rsid w:val="4E8011B5"/>
    <w:rsid w:val="4E804FFA"/>
    <w:rsid w:val="4E807407"/>
    <w:rsid w:val="4E810A89"/>
    <w:rsid w:val="4E8567CB"/>
    <w:rsid w:val="4E861570"/>
    <w:rsid w:val="4E8812E3"/>
    <w:rsid w:val="4E8972EB"/>
    <w:rsid w:val="4E8A2033"/>
    <w:rsid w:val="4E8B1908"/>
    <w:rsid w:val="4E8F13F8"/>
    <w:rsid w:val="4E9133C2"/>
    <w:rsid w:val="4E9308D5"/>
    <w:rsid w:val="4E95295F"/>
    <w:rsid w:val="4E966638"/>
    <w:rsid w:val="4E99190B"/>
    <w:rsid w:val="4E9C3796"/>
    <w:rsid w:val="4E9D1D67"/>
    <w:rsid w:val="4EA03826"/>
    <w:rsid w:val="4EA330F5"/>
    <w:rsid w:val="4EA60C58"/>
    <w:rsid w:val="4EA71B98"/>
    <w:rsid w:val="4EA742B3"/>
    <w:rsid w:val="4EA7616C"/>
    <w:rsid w:val="4EAC1FAA"/>
    <w:rsid w:val="4EB2395E"/>
    <w:rsid w:val="4EB64BD7"/>
    <w:rsid w:val="4EB652CE"/>
    <w:rsid w:val="4EB66985"/>
    <w:rsid w:val="4EBB21ED"/>
    <w:rsid w:val="4EC07803"/>
    <w:rsid w:val="4EC15C1A"/>
    <w:rsid w:val="4EC210D8"/>
    <w:rsid w:val="4EC2129C"/>
    <w:rsid w:val="4EC22B3A"/>
    <w:rsid w:val="4EC2494C"/>
    <w:rsid w:val="4EC372F3"/>
    <w:rsid w:val="4EC44363"/>
    <w:rsid w:val="4EC5306C"/>
    <w:rsid w:val="4ECA3267"/>
    <w:rsid w:val="4ECC264C"/>
    <w:rsid w:val="4ECC7F56"/>
    <w:rsid w:val="4ECD20AB"/>
    <w:rsid w:val="4ECD5D6B"/>
    <w:rsid w:val="4ECE0172"/>
    <w:rsid w:val="4ECF3EEA"/>
    <w:rsid w:val="4ED17C62"/>
    <w:rsid w:val="4ED3552C"/>
    <w:rsid w:val="4ED4505D"/>
    <w:rsid w:val="4ED767C8"/>
    <w:rsid w:val="4ED95701"/>
    <w:rsid w:val="4EDA4744"/>
    <w:rsid w:val="4EDA586A"/>
    <w:rsid w:val="4EDB288F"/>
    <w:rsid w:val="4EDB63EB"/>
    <w:rsid w:val="4EDD03B5"/>
    <w:rsid w:val="4EDE59FF"/>
    <w:rsid w:val="4EDF3A83"/>
    <w:rsid w:val="4EE02FF7"/>
    <w:rsid w:val="4EE03A01"/>
    <w:rsid w:val="4EE0713C"/>
    <w:rsid w:val="4EE07EA5"/>
    <w:rsid w:val="4EE22F7C"/>
    <w:rsid w:val="4EE24A9B"/>
    <w:rsid w:val="4EE75D3B"/>
    <w:rsid w:val="4EEB01B7"/>
    <w:rsid w:val="4EEC4E90"/>
    <w:rsid w:val="4EEC5046"/>
    <w:rsid w:val="4EEC684A"/>
    <w:rsid w:val="4EED24BD"/>
    <w:rsid w:val="4EED611E"/>
    <w:rsid w:val="4EF3571C"/>
    <w:rsid w:val="4EF46EAF"/>
    <w:rsid w:val="4EF474AD"/>
    <w:rsid w:val="4EF7020E"/>
    <w:rsid w:val="4EF902B0"/>
    <w:rsid w:val="4EF92D15"/>
    <w:rsid w:val="4EFA0F67"/>
    <w:rsid w:val="4EFA2D21"/>
    <w:rsid w:val="4EFA45AB"/>
    <w:rsid w:val="4EFB766D"/>
    <w:rsid w:val="4EFC6035"/>
    <w:rsid w:val="4F035942"/>
    <w:rsid w:val="4F037CE6"/>
    <w:rsid w:val="4F041DE6"/>
    <w:rsid w:val="4F073684"/>
    <w:rsid w:val="4F075EC3"/>
    <w:rsid w:val="4F0B67EE"/>
    <w:rsid w:val="4F0E2841"/>
    <w:rsid w:val="4F0F42E7"/>
    <w:rsid w:val="4F135B85"/>
    <w:rsid w:val="4F147FCE"/>
    <w:rsid w:val="4F171F7A"/>
    <w:rsid w:val="4F18116B"/>
    <w:rsid w:val="4F18763F"/>
    <w:rsid w:val="4F1D07B2"/>
    <w:rsid w:val="4F1D2EA8"/>
    <w:rsid w:val="4F1D4C56"/>
    <w:rsid w:val="4F1D4E5F"/>
    <w:rsid w:val="4F1E4F93"/>
    <w:rsid w:val="4F1F1461"/>
    <w:rsid w:val="4F204746"/>
    <w:rsid w:val="4F2064F4"/>
    <w:rsid w:val="4F217310"/>
    <w:rsid w:val="4F2272E3"/>
    <w:rsid w:val="4F2449E5"/>
    <w:rsid w:val="4F245FE4"/>
    <w:rsid w:val="4F253B0A"/>
    <w:rsid w:val="4F255F02"/>
    <w:rsid w:val="4F266579"/>
    <w:rsid w:val="4F271630"/>
    <w:rsid w:val="4F272F65"/>
    <w:rsid w:val="4F2935FA"/>
    <w:rsid w:val="4F2A1121"/>
    <w:rsid w:val="4F2C7344"/>
    <w:rsid w:val="4F2D7873"/>
    <w:rsid w:val="4F2F145C"/>
    <w:rsid w:val="4F2F5DB4"/>
    <w:rsid w:val="4F332EB2"/>
    <w:rsid w:val="4F337FD5"/>
    <w:rsid w:val="4F35230A"/>
    <w:rsid w:val="4F355550"/>
    <w:rsid w:val="4F3767BB"/>
    <w:rsid w:val="4F381582"/>
    <w:rsid w:val="4F391364"/>
    <w:rsid w:val="4F3A5808"/>
    <w:rsid w:val="4F3B4D8E"/>
    <w:rsid w:val="4F3E43AC"/>
    <w:rsid w:val="4F3E7910"/>
    <w:rsid w:val="4F413D75"/>
    <w:rsid w:val="4F42290E"/>
    <w:rsid w:val="4F4246BC"/>
    <w:rsid w:val="4F446C74"/>
    <w:rsid w:val="4F451824"/>
    <w:rsid w:val="4F4641AC"/>
    <w:rsid w:val="4F473A81"/>
    <w:rsid w:val="4F47507C"/>
    <w:rsid w:val="4F493920"/>
    <w:rsid w:val="4F4C72E9"/>
    <w:rsid w:val="4F4E41F5"/>
    <w:rsid w:val="4F4E4E0F"/>
    <w:rsid w:val="4F4E4EE9"/>
    <w:rsid w:val="4F4E7EFF"/>
    <w:rsid w:val="4F4F46F4"/>
    <w:rsid w:val="4F50412D"/>
    <w:rsid w:val="4F506DD9"/>
    <w:rsid w:val="4F512B51"/>
    <w:rsid w:val="4F517E50"/>
    <w:rsid w:val="4F521E1C"/>
    <w:rsid w:val="4F5252CE"/>
    <w:rsid w:val="4F53319C"/>
    <w:rsid w:val="4F543775"/>
    <w:rsid w:val="4F551F67"/>
    <w:rsid w:val="4F55619D"/>
    <w:rsid w:val="4F575F9B"/>
    <w:rsid w:val="4F5D5052"/>
    <w:rsid w:val="4F5E6588"/>
    <w:rsid w:val="4F5F11B7"/>
    <w:rsid w:val="4F5F526E"/>
    <w:rsid w:val="4F60078E"/>
    <w:rsid w:val="4F602D94"/>
    <w:rsid w:val="4F6173D5"/>
    <w:rsid w:val="4F62020B"/>
    <w:rsid w:val="4F636E07"/>
    <w:rsid w:val="4F643265"/>
    <w:rsid w:val="4F652159"/>
    <w:rsid w:val="4F6603AB"/>
    <w:rsid w:val="4F697E9B"/>
    <w:rsid w:val="4F6A776F"/>
    <w:rsid w:val="4F6C1739"/>
    <w:rsid w:val="4F6E60DE"/>
    <w:rsid w:val="4F6E725F"/>
    <w:rsid w:val="4F6F4D85"/>
    <w:rsid w:val="4F701229"/>
    <w:rsid w:val="4F702FD7"/>
    <w:rsid w:val="4F7108E5"/>
    <w:rsid w:val="4F710AFD"/>
    <w:rsid w:val="4F714AE4"/>
    <w:rsid w:val="4F714FA1"/>
    <w:rsid w:val="4F717EA3"/>
    <w:rsid w:val="4F732AC8"/>
    <w:rsid w:val="4F735BEC"/>
    <w:rsid w:val="4F764366"/>
    <w:rsid w:val="4F7725B8"/>
    <w:rsid w:val="4F783E1E"/>
    <w:rsid w:val="4F791856"/>
    <w:rsid w:val="4F7B0BB9"/>
    <w:rsid w:val="4F7B197C"/>
    <w:rsid w:val="4F7C7BCE"/>
    <w:rsid w:val="4F7D29CD"/>
    <w:rsid w:val="4F7D74A2"/>
    <w:rsid w:val="4F7E438F"/>
    <w:rsid w:val="4F7F76BE"/>
    <w:rsid w:val="4F813436"/>
    <w:rsid w:val="4F820F5D"/>
    <w:rsid w:val="4F851019"/>
    <w:rsid w:val="4F8545A9"/>
    <w:rsid w:val="4F881DD2"/>
    <w:rsid w:val="4F8A37FF"/>
    <w:rsid w:val="4F8C1F34"/>
    <w:rsid w:val="4F8E345D"/>
    <w:rsid w:val="4F8F40B1"/>
    <w:rsid w:val="4F9071D6"/>
    <w:rsid w:val="4F943823"/>
    <w:rsid w:val="4F9541FD"/>
    <w:rsid w:val="4F9714A0"/>
    <w:rsid w:val="4F974A08"/>
    <w:rsid w:val="4F9D5652"/>
    <w:rsid w:val="4F9D688E"/>
    <w:rsid w:val="4F9F5753"/>
    <w:rsid w:val="4FA15887"/>
    <w:rsid w:val="4FA47125"/>
    <w:rsid w:val="4FA9376F"/>
    <w:rsid w:val="4FA9631D"/>
    <w:rsid w:val="4FAC0CFF"/>
    <w:rsid w:val="4FB044E4"/>
    <w:rsid w:val="4FB05716"/>
    <w:rsid w:val="4FB15F6E"/>
    <w:rsid w:val="4FB20236"/>
    <w:rsid w:val="4FB31116"/>
    <w:rsid w:val="4FB530E0"/>
    <w:rsid w:val="4FB54E8E"/>
    <w:rsid w:val="4FB8672C"/>
    <w:rsid w:val="4FB947AA"/>
    <w:rsid w:val="4FBA24A4"/>
    <w:rsid w:val="4FBA39FD"/>
    <w:rsid w:val="4FBB1BCC"/>
    <w:rsid w:val="4FBC446F"/>
    <w:rsid w:val="4FBF5D0D"/>
    <w:rsid w:val="4FC11A85"/>
    <w:rsid w:val="4FC229D6"/>
    <w:rsid w:val="4FC275AB"/>
    <w:rsid w:val="4FC6067D"/>
    <w:rsid w:val="4FC6107D"/>
    <w:rsid w:val="4FC6709B"/>
    <w:rsid w:val="4FC74BC1"/>
    <w:rsid w:val="4FC95799"/>
    <w:rsid w:val="4FC96B8B"/>
    <w:rsid w:val="4FCA09F6"/>
    <w:rsid w:val="4FCB46B2"/>
    <w:rsid w:val="4FCC09B6"/>
    <w:rsid w:val="4FCC34ED"/>
    <w:rsid w:val="4FCC4A71"/>
    <w:rsid w:val="4FCD4EE7"/>
    <w:rsid w:val="4FCF2B61"/>
    <w:rsid w:val="4FD242E1"/>
    <w:rsid w:val="4FD41305"/>
    <w:rsid w:val="4FD64808"/>
    <w:rsid w:val="4FD749A5"/>
    <w:rsid w:val="4FD80B7D"/>
    <w:rsid w:val="4FDA5E96"/>
    <w:rsid w:val="4FDA7BDB"/>
    <w:rsid w:val="4FDC241B"/>
    <w:rsid w:val="4FDD0D75"/>
    <w:rsid w:val="4FDD6193"/>
    <w:rsid w:val="4FDE59F8"/>
    <w:rsid w:val="4FE319FB"/>
    <w:rsid w:val="4FE70DC0"/>
    <w:rsid w:val="4FE811D3"/>
    <w:rsid w:val="4FEA2B77"/>
    <w:rsid w:val="4FEA67C8"/>
    <w:rsid w:val="4FEB4D54"/>
    <w:rsid w:val="4FF07700"/>
    <w:rsid w:val="4FF46403"/>
    <w:rsid w:val="4FFA3C5B"/>
    <w:rsid w:val="4FFA4F97"/>
    <w:rsid w:val="4FFC0D0F"/>
    <w:rsid w:val="4FFC2ABD"/>
    <w:rsid w:val="4FFE6835"/>
    <w:rsid w:val="4FFF25AD"/>
    <w:rsid w:val="4FFF6109"/>
    <w:rsid w:val="4FFF663D"/>
    <w:rsid w:val="50020B50"/>
    <w:rsid w:val="500243D3"/>
    <w:rsid w:val="50036E81"/>
    <w:rsid w:val="500460B5"/>
    <w:rsid w:val="500600CE"/>
    <w:rsid w:val="50067DD6"/>
    <w:rsid w:val="500A28C8"/>
    <w:rsid w:val="500A305A"/>
    <w:rsid w:val="500C2E3A"/>
    <w:rsid w:val="500F4DC8"/>
    <w:rsid w:val="50146059"/>
    <w:rsid w:val="50190775"/>
    <w:rsid w:val="501A73E7"/>
    <w:rsid w:val="501E4797"/>
    <w:rsid w:val="501F0559"/>
    <w:rsid w:val="501F67AB"/>
    <w:rsid w:val="5023004A"/>
    <w:rsid w:val="50267B3A"/>
    <w:rsid w:val="50282821"/>
    <w:rsid w:val="50285660"/>
    <w:rsid w:val="502B49B8"/>
    <w:rsid w:val="502B5E7F"/>
    <w:rsid w:val="502D0EE7"/>
    <w:rsid w:val="502D2C76"/>
    <w:rsid w:val="502E60F8"/>
    <w:rsid w:val="502E69EF"/>
    <w:rsid w:val="502F60D4"/>
    <w:rsid w:val="502F63C7"/>
    <w:rsid w:val="50306C0B"/>
    <w:rsid w:val="50306FB5"/>
    <w:rsid w:val="503114CC"/>
    <w:rsid w:val="503201EC"/>
    <w:rsid w:val="5032028D"/>
    <w:rsid w:val="5032240E"/>
    <w:rsid w:val="503404A9"/>
    <w:rsid w:val="50342624"/>
    <w:rsid w:val="50377F99"/>
    <w:rsid w:val="50382E2A"/>
    <w:rsid w:val="503B242E"/>
    <w:rsid w:val="503E2F33"/>
    <w:rsid w:val="50454464"/>
    <w:rsid w:val="50470829"/>
    <w:rsid w:val="504925C9"/>
    <w:rsid w:val="504A004A"/>
    <w:rsid w:val="504B57F2"/>
    <w:rsid w:val="504D4962"/>
    <w:rsid w:val="504D50C7"/>
    <w:rsid w:val="505066D1"/>
    <w:rsid w:val="50506965"/>
    <w:rsid w:val="50551558"/>
    <w:rsid w:val="50555CF6"/>
    <w:rsid w:val="50584677"/>
    <w:rsid w:val="50595DB0"/>
    <w:rsid w:val="50597F0F"/>
    <w:rsid w:val="505A06D8"/>
    <w:rsid w:val="505A5A36"/>
    <w:rsid w:val="505C17AE"/>
    <w:rsid w:val="505D2269"/>
    <w:rsid w:val="505E1082"/>
    <w:rsid w:val="505F30B9"/>
    <w:rsid w:val="50632B3C"/>
    <w:rsid w:val="50634B0E"/>
    <w:rsid w:val="506404D5"/>
    <w:rsid w:val="50646DEB"/>
    <w:rsid w:val="5066184B"/>
    <w:rsid w:val="50665128"/>
    <w:rsid w:val="506863A4"/>
    <w:rsid w:val="50690F68"/>
    <w:rsid w:val="506D7517"/>
    <w:rsid w:val="506E22C3"/>
    <w:rsid w:val="50713DA2"/>
    <w:rsid w:val="50762693"/>
    <w:rsid w:val="5076286F"/>
    <w:rsid w:val="50770396"/>
    <w:rsid w:val="50782EB7"/>
    <w:rsid w:val="50795EBC"/>
    <w:rsid w:val="507C62DD"/>
    <w:rsid w:val="507F03F4"/>
    <w:rsid w:val="50811F77"/>
    <w:rsid w:val="508129B8"/>
    <w:rsid w:val="5082250C"/>
    <w:rsid w:val="50854950"/>
    <w:rsid w:val="508551C2"/>
    <w:rsid w:val="508608D4"/>
    <w:rsid w:val="5086682B"/>
    <w:rsid w:val="50877A97"/>
    <w:rsid w:val="50897C3C"/>
    <w:rsid w:val="50897E78"/>
    <w:rsid w:val="508A00C9"/>
    <w:rsid w:val="508B7960"/>
    <w:rsid w:val="508C2093"/>
    <w:rsid w:val="508F5475"/>
    <w:rsid w:val="508F7316"/>
    <w:rsid w:val="50937B6E"/>
    <w:rsid w:val="50940F47"/>
    <w:rsid w:val="50970A38"/>
    <w:rsid w:val="509727E6"/>
    <w:rsid w:val="50974594"/>
    <w:rsid w:val="509870E0"/>
    <w:rsid w:val="509951CC"/>
    <w:rsid w:val="509B0528"/>
    <w:rsid w:val="509B22D6"/>
    <w:rsid w:val="509E4251"/>
    <w:rsid w:val="50A0169A"/>
    <w:rsid w:val="50A218B6"/>
    <w:rsid w:val="50A2578C"/>
    <w:rsid w:val="50A37FE0"/>
    <w:rsid w:val="50A50DD3"/>
    <w:rsid w:val="50AC1D83"/>
    <w:rsid w:val="50AC6291"/>
    <w:rsid w:val="50AD3DB7"/>
    <w:rsid w:val="50AF5D81"/>
    <w:rsid w:val="50B14A21"/>
    <w:rsid w:val="50B56011"/>
    <w:rsid w:val="50B71807"/>
    <w:rsid w:val="50B73AFE"/>
    <w:rsid w:val="50B74C36"/>
    <w:rsid w:val="50B9287D"/>
    <w:rsid w:val="50BB2978"/>
    <w:rsid w:val="50BE68C4"/>
    <w:rsid w:val="50C00855"/>
    <w:rsid w:val="50C53BB8"/>
    <w:rsid w:val="50C54111"/>
    <w:rsid w:val="50C57353"/>
    <w:rsid w:val="50C62A36"/>
    <w:rsid w:val="50C86E43"/>
    <w:rsid w:val="50CA2BBB"/>
    <w:rsid w:val="50CA4969"/>
    <w:rsid w:val="50CB189D"/>
    <w:rsid w:val="50CB623F"/>
    <w:rsid w:val="50CC06E1"/>
    <w:rsid w:val="50CC731F"/>
    <w:rsid w:val="50CD1D3A"/>
    <w:rsid w:val="50CE7A68"/>
    <w:rsid w:val="50CF01D2"/>
    <w:rsid w:val="50CF1F80"/>
    <w:rsid w:val="50D10C2C"/>
    <w:rsid w:val="50D21A70"/>
    <w:rsid w:val="50D41659"/>
    <w:rsid w:val="50D43A3A"/>
    <w:rsid w:val="50D52BFC"/>
    <w:rsid w:val="50D531EC"/>
    <w:rsid w:val="50D533E0"/>
    <w:rsid w:val="50D650BC"/>
    <w:rsid w:val="50D715FA"/>
    <w:rsid w:val="50D85BF8"/>
    <w:rsid w:val="50DB3A34"/>
    <w:rsid w:val="50DC04EE"/>
    <w:rsid w:val="50DC23A1"/>
    <w:rsid w:val="50DC25B1"/>
    <w:rsid w:val="50DC2FF2"/>
    <w:rsid w:val="50DD1804"/>
    <w:rsid w:val="50DD28EE"/>
    <w:rsid w:val="50DF45F3"/>
    <w:rsid w:val="50DF55B6"/>
    <w:rsid w:val="50E12FE7"/>
    <w:rsid w:val="50E517A3"/>
    <w:rsid w:val="50E52CE1"/>
    <w:rsid w:val="50E579F5"/>
    <w:rsid w:val="50E64FAC"/>
    <w:rsid w:val="50E958F2"/>
    <w:rsid w:val="50E96826"/>
    <w:rsid w:val="50EA5B3B"/>
    <w:rsid w:val="50EA6DB9"/>
    <w:rsid w:val="50EC2B32"/>
    <w:rsid w:val="50EC3E2B"/>
    <w:rsid w:val="50ED1318"/>
    <w:rsid w:val="50F0342F"/>
    <w:rsid w:val="50F25F5F"/>
    <w:rsid w:val="50F47C38"/>
    <w:rsid w:val="50F54C60"/>
    <w:rsid w:val="50F639B0"/>
    <w:rsid w:val="50F70BD7"/>
    <w:rsid w:val="50F80838"/>
    <w:rsid w:val="50F814D6"/>
    <w:rsid w:val="50F96FFC"/>
    <w:rsid w:val="50FA25E7"/>
    <w:rsid w:val="50FC089B"/>
    <w:rsid w:val="50FD6AED"/>
    <w:rsid w:val="50FD7AEE"/>
    <w:rsid w:val="51004D18"/>
    <w:rsid w:val="51010D79"/>
    <w:rsid w:val="51020E71"/>
    <w:rsid w:val="51022209"/>
    <w:rsid w:val="51025EB1"/>
    <w:rsid w:val="51034114"/>
    <w:rsid w:val="51043488"/>
    <w:rsid w:val="51043EAF"/>
    <w:rsid w:val="51062CAA"/>
    <w:rsid w:val="51071EFE"/>
    <w:rsid w:val="51073809"/>
    <w:rsid w:val="51077140"/>
    <w:rsid w:val="5107796B"/>
    <w:rsid w:val="51082AE6"/>
    <w:rsid w:val="51084A80"/>
    <w:rsid w:val="510936E3"/>
    <w:rsid w:val="51095E03"/>
    <w:rsid w:val="5109750B"/>
    <w:rsid w:val="510A745C"/>
    <w:rsid w:val="510C32BB"/>
    <w:rsid w:val="510D2AA8"/>
    <w:rsid w:val="510D474B"/>
    <w:rsid w:val="510D4856"/>
    <w:rsid w:val="510D4A44"/>
    <w:rsid w:val="510E0CFA"/>
    <w:rsid w:val="510F05CE"/>
    <w:rsid w:val="510F4A72"/>
    <w:rsid w:val="510F7A16"/>
    <w:rsid w:val="511300BE"/>
    <w:rsid w:val="51142088"/>
    <w:rsid w:val="511677DA"/>
    <w:rsid w:val="51167BAE"/>
    <w:rsid w:val="51172D37"/>
    <w:rsid w:val="51172EEC"/>
    <w:rsid w:val="511856D5"/>
    <w:rsid w:val="511B1920"/>
    <w:rsid w:val="51200A2D"/>
    <w:rsid w:val="51214495"/>
    <w:rsid w:val="512322CB"/>
    <w:rsid w:val="5124051D"/>
    <w:rsid w:val="512419C7"/>
    <w:rsid w:val="51254295"/>
    <w:rsid w:val="512651A9"/>
    <w:rsid w:val="51271DBC"/>
    <w:rsid w:val="512841B5"/>
    <w:rsid w:val="512978E2"/>
    <w:rsid w:val="512A5408"/>
    <w:rsid w:val="512A76B9"/>
    <w:rsid w:val="512C2063"/>
    <w:rsid w:val="512E279E"/>
    <w:rsid w:val="51316796"/>
    <w:rsid w:val="513242BC"/>
    <w:rsid w:val="513444D8"/>
    <w:rsid w:val="51360251"/>
    <w:rsid w:val="513756A7"/>
    <w:rsid w:val="51382590"/>
    <w:rsid w:val="513B0F0A"/>
    <w:rsid w:val="513D513B"/>
    <w:rsid w:val="513F1C75"/>
    <w:rsid w:val="513F5357"/>
    <w:rsid w:val="51413E72"/>
    <w:rsid w:val="514230C5"/>
    <w:rsid w:val="514946EA"/>
    <w:rsid w:val="514B26B0"/>
    <w:rsid w:val="514D2F6E"/>
    <w:rsid w:val="514E0A28"/>
    <w:rsid w:val="514E10F6"/>
    <w:rsid w:val="514F30C0"/>
    <w:rsid w:val="51505DC3"/>
    <w:rsid w:val="515240B8"/>
    <w:rsid w:val="51590CC2"/>
    <w:rsid w:val="515B3458"/>
    <w:rsid w:val="51600054"/>
    <w:rsid w:val="5160707C"/>
    <w:rsid w:val="51646B6C"/>
    <w:rsid w:val="5165415A"/>
    <w:rsid w:val="51667545"/>
    <w:rsid w:val="516721B8"/>
    <w:rsid w:val="516B5D29"/>
    <w:rsid w:val="516C77CE"/>
    <w:rsid w:val="516E7A5C"/>
    <w:rsid w:val="516F7027"/>
    <w:rsid w:val="51722469"/>
    <w:rsid w:val="51734070"/>
    <w:rsid w:val="51776B62"/>
    <w:rsid w:val="51797438"/>
    <w:rsid w:val="517A1653"/>
    <w:rsid w:val="517D19DC"/>
    <w:rsid w:val="517D3175"/>
    <w:rsid w:val="517D7C2E"/>
    <w:rsid w:val="517F39A6"/>
    <w:rsid w:val="517F61AE"/>
    <w:rsid w:val="51802646"/>
    <w:rsid w:val="5180327A"/>
    <w:rsid w:val="5181771E"/>
    <w:rsid w:val="51825244"/>
    <w:rsid w:val="518333EE"/>
    <w:rsid w:val="51861D6F"/>
    <w:rsid w:val="51870AAC"/>
    <w:rsid w:val="518A3649"/>
    <w:rsid w:val="518B234A"/>
    <w:rsid w:val="518C0982"/>
    <w:rsid w:val="518C66BB"/>
    <w:rsid w:val="518D1C42"/>
    <w:rsid w:val="518E3BE9"/>
    <w:rsid w:val="518E5997"/>
    <w:rsid w:val="51932FAD"/>
    <w:rsid w:val="5194203F"/>
    <w:rsid w:val="519448B3"/>
    <w:rsid w:val="51954F77"/>
    <w:rsid w:val="51965F7A"/>
    <w:rsid w:val="51984141"/>
    <w:rsid w:val="51984A67"/>
    <w:rsid w:val="519901E5"/>
    <w:rsid w:val="519A07DF"/>
    <w:rsid w:val="519C4558"/>
    <w:rsid w:val="519E2DF3"/>
    <w:rsid w:val="519E2FEC"/>
    <w:rsid w:val="519F42C1"/>
    <w:rsid w:val="51A258E6"/>
    <w:rsid w:val="51AC0513"/>
    <w:rsid w:val="51AC22C1"/>
    <w:rsid w:val="51AD0F0D"/>
    <w:rsid w:val="51B3363E"/>
    <w:rsid w:val="51B3364F"/>
    <w:rsid w:val="51B549B9"/>
    <w:rsid w:val="51B56C43"/>
    <w:rsid w:val="51B636B6"/>
    <w:rsid w:val="51BA49DE"/>
    <w:rsid w:val="51BB2504"/>
    <w:rsid w:val="51BC69A8"/>
    <w:rsid w:val="51BD002A"/>
    <w:rsid w:val="51BD627C"/>
    <w:rsid w:val="51C11A2D"/>
    <w:rsid w:val="51C328F2"/>
    <w:rsid w:val="51C4760A"/>
    <w:rsid w:val="51C55131"/>
    <w:rsid w:val="51C63383"/>
    <w:rsid w:val="51CB0999"/>
    <w:rsid w:val="51CB1BE4"/>
    <w:rsid w:val="51CB6BEB"/>
    <w:rsid w:val="51CC64BF"/>
    <w:rsid w:val="51D05FAF"/>
    <w:rsid w:val="51D11D27"/>
    <w:rsid w:val="51D27F79"/>
    <w:rsid w:val="51D32C9A"/>
    <w:rsid w:val="51D35A9F"/>
    <w:rsid w:val="51D3784E"/>
    <w:rsid w:val="51D44D6E"/>
    <w:rsid w:val="51D57A6A"/>
    <w:rsid w:val="51D727A4"/>
    <w:rsid w:val="51D81308"/>
    <w:rsid w:val="51DA6E2E"/>
    <w:rsid w:val="51DD3FF8"/>
    <w:rsid w:val="51DF2696"/>
    <w:rsid w:val="51DF65A7"/>
    <w:rsid w:val="51E000E1"/>
    <w:rsid w:val="51E33768"/>
    <w:rsid w:val="51E47CAD"/>
    <w:rsid w:val="51E7154B"/>
    <w:rsid w:val="51E8779D"/>
    <w:rsid w:val="51E90E1F"/>
    <w:rsid w:val="51E93115"/>
    <w:rsid w:val="51E952C3"/>
    <w:rsid w:val="51EA5DB2"/>
    <w:rsid w:val="51ED3AED"/>
    <w:rsid w:val="51ED4DB3"/>
    <w:rsid w:val="51EE06FB"/>
    <w:rsid w:val="51F056AF"/>
    <w:rsid w:val="51F24178"/>
    <w:rsid w:val="51F31E36"/>
    <w:rsid w:val="51F6353C"/>
    <w:rsid w:val="51F837D1"/>
    <w:rsid w:val="51F85506"/>
    <w:rsid w:val="51F958FC"/>
    <w:rsid w:val="51FD48CA"/>
    <w:rsid w:val="51FE20C6"/>
    <w:rsid w:val="51FF6894"/>
    <w:rsid w:val="52001D2A"/>
    <w:rsid w:val="5202112E"/>
    <w:rsid w:val="52023EE3"/>
    <w:rsid w:val="52043EAB"/>
    <w:rsid w:val="52067C23"/>
    <w:rsid w:val="52081BED"/>
    <w:rsid w:val="520914C1"/>
    <w:rsid w:val="52092C50"/>
    <w:rsid w:val="52097713"/>
    <w:rsid w:val="520A30CD"/>
    <w:rsid w:val="520B348B"/>
    <w:rsid w:val="520C7FC4"/>
    <w:rsid w:val="520D25AA"/>
    <w:rsid w:val="520D7203"/>
    <w:rsid w:val="520E0886"/>
    <w:rsid w:val="521045FE"/>
    <w:rsid w:val="52114FB5"/>
    <w:rsid w:val="52140592"/>
    <w:rsid w:val="52141834"/>
    <w:rsid w:val="5216182E"/>
    <w:rsid w:val="5217598C"/>
    <w:rsid w:val="521A722A"/>
    <w:rsid w:val="521B041D"/>
    <w:rsid w:val="521F0ECA"/>
    <w:rsid w:val="521F2A93"/>
    <w:rsid w:val="521F6F37"/>
    <w:rsid w:val="52210A27"/>
    <w:rsid w:val="522143CD"/>
    <w:rsid w:val="5224454D"/>
    <w:rsid w:val="522527EE"/>
    <w:rsid w:val="52252DD4"/>
    <w:rsid w:val="522740A3"/>
    <w:rsid w:val="5227638C"/>
    <w:rsid w:val="522916A8"/>
    <w:rsid w:val="52291B63"/>
    <w:rsid w:val="522B7B4F"/>
    <w:rsid w:val="522E0F28"/>
    <w:rsid w:val="522E2CD6"/>
    <w:rsid w:val="522E717A"/>
    <w:rsid w:val="522F48DD"/>
    <w:rsid w:val="52301165"/>
    <w:rsid w:val="52306A4E"/>
    <w:rsid w:val="5231162F"/>
    <w:rsid w:val="523209F0"/>
    <w:rsid w:val="52320A18"/>
    <w:rsid w:val="5235345C"/>
    <w:rsid w:val="52370B11"/>
    <w:rsid w:val="52377DDC"/>
    <w:rsid w:val="52391DA6"/>
    <w:rsid w:val="523A6D37"/>
    <w:rsid w:val="523A78CD"/>
    <w:rsid w:val="523C5624"/>
    <w:rsid w:val="523D116B"/>
    <w:rsid w:val="523D6212"/>
    <w:rsid w:val="523E2B05"/>
    <w:rsid w:val="523E73BD"/>
    <w:rsid w:val="523F1279"/>
    <w:rsid w:val="524349D3"/>
    <w:rsid w:val="5243507E"/>
    <w:rsid w:val="52460CB1"/>
    <w:rsid w:val="52462715"/>
    <w:rsid w:val="52484953"/>
    <w:rsid w:val="52497B10"/>
    <w:rsid w:val="524A3FB4"/>
    <w:rsid w:val="524B3888"/>
    <w:rsid w:val="524D0D70"/>
    <w:rsid w:val="524D13AE"/>
    <w:rsid w:val="524E5126"/>
    <w:rsid w:val="52522E68"/>
    <w:rsid w:val="52546633"/>
    <w:rsid w:val="52546BE0"/>
    <w:rsid w:val="52552958"/>
    <w:rsid w:val="52554706"/>
    <w:rsid w:val="52557EDD"/>
    <w:rsid w:val="525F10E1"/>
    <w:rsid w:val="52614E59"/>
    <w:rsid w:val="52634E37"/>
    <w:rsid w:val="52650D16"/>
    <w:rsid w:val="52650DED"/>
    <w:rsid w:val="526606C2"/>
    <w:rsid w:val="526712BE"/>
    <w:rsid w:val="526B63A8"/>
    <w:rsid w:val="526D3D56"/>
    <w:rsid w:val="526E1706"/>
    <w:rsid w:val="526F3904"/>
    <w:rsid w:val="52727066"/>
    <w:rsid w:val="52735D42"/>
    <w:rsid w:val="5276149A"/>
    <w:rsid w:val="527641DA"/>
    <w:rsid w:val="52783526"/>
    <w:rsid w:val="527949B6"/>
    <w:rsid w:val="527A4A5C"/>
    <w:rsid w:val="527A5F1B"/>
    <w:rsid w:val="527B23BF"/>
    <w:rsid w:val="527D47C7"/>
    <w:rsid w:val="527E1EAF"/>
    <w:rsid w:val="527E4DA2"/>
    <w:rsid w:val="527E5404"/>
    <w:rsid w:val="527E7D25"/>
    <w:rsid w:val="52807674"/>
    <w:rsid w:val="52835CF8"/>
    <w:rsid w:val="52840BEF"/>
    <w:rsid w:val="52855B8B"/>
    <w:rsid w:val="528707C1"/>
    <w:rsid w:val="528A2602"/>
    <w:rsid w:val="528B4014"/>
    <w:rsid w:val="528B637A"/>
    <w:rsid w:val="528D5C4E"/>
    <w:rsid w:val="528F7C18"/>
    <w:rsid w:val="5290006C"/>
    <w:rsid w:val="5294522F"/>
    <w:rsid w:val="52950FA7"/>
    <w:rsid w:val="52963172"/>
    <w:rsid w:val="52990A97"/>
    <w:rsid w:val="529A65BD"/>
    <w:rsid w:val="529C40E3"/>
    <w:rsid w:val="529D2670"/>
    <w:rsid w:val="529E42FF"/>
    <w:rsid w:val="529F1132"/>
    <w:rsid w:val="52A0149C"/>
    <w:rsid w:val="52A01D28"/>
    <w:rsid w:val="52A01E26"/>
    <w:rsid w:val="52A116FA"/>
    <w:rsid w:val="52AB0169"/>
    <w:rsid w:val="52AE78A0"/>
    <w:rsid w:val="52AF0B08"/>
    <w:rsid w:val="52AF18EF"/>
    <w:rsid w:val="52AF3E17"/>
    <w:rsid w:val="52AF3E2F"/>
    <w:rsid w:val="52B551A5"/>
    <w:rsid w:val="52B61649"/>
    <w:rsid w:val="52B6200C"/>
    <w:rsid w:val="52B633F7"/>
    <w:rsid w:val="52B67CD5"/>
    <w:rsid w:val="52B76009"/>
    <w:rsid w:val="52B7716F"/>
    <w:rsid w:val="52BB6C5F"/>
    <w:rsid w:val="52BD34BD"/>
    <w:rsid w:val="52BE6086"/>
    <w:rsid w:val="52C005DB"/>
    <w:rsid w:val="52C9120E"/>
    <w:rsid w:val="52CF1594"/>
    <w:rsid w:val="52CF6267"/>
    <w:rsid w:val="52D4387D"/>
    <w:rsid w:val="52D62801"/>
    <w:rsid w:val="52D67374"/>
    <w:rsid w:val="52D7511B"/>
    <w:rsid w:val="52D84F6A"/>
    <w:rsid w:val="52D90E94"/>
    <w:rsid w:val="52D93AE7"/>
    <w:rsid w:val="52DA0DAF"/>
    <w:rsid w:val="52DA377C"/>
    <w:rsid w:val="52DC6BD6"/>
    <w:rsid w:val="52DE46FC"/>
    <w:rsid w:val="52E02222"/>
    <w:rsid w:val="52E15F9A"/>
    <w:rsid w:val="52E36117"/>
    <w:rsid w:val="52E57838"/>
    <w:rsid w:val="52E66442"/>
    <w:rsid w:val="52EB4CD8"/>
    <w:rsid w:val="52EC506B"/>
    <w:rsid w:val="52ED079D"/>
    <w:rsid w:val="52ED43B9"/>
    <w:rsid w:val="52EE2BF7"/>
    <w:rsid w:val="52EE7DCB"/>
    <w:rsid w:val="52F04997"/>
    <w:rsid w:val="52F12681"/>
    <w:rsid w:val="52F15371"/>
    <w:rsid w:val="52F21F55"/>
    <w:rsid w:val="52F263F9"/>
    <w:rsid w:val="52F42171"/>
    <w:rsid w:val="52F45CCD"/>
    <w:rsid w:val="52F65EE9"/>
    <w:rsid w:val="52F703CB"/>
    <w:rsid w:val="52FB3500"/>
    <w:rsid w:val="52FE08FA"/>
    <w:rsid w:val="52FE6B4C"/>
    <w:rsid w:val="530052C6"/>
    <w:rsid w:val="530219FE"/>
    <w:rsid w:val="5303212F"/>
    <w:rsid w:val="53061A90"/>
    <w:rsid w:val="530644F0"/>
    <w:rsid w:val="53077AB1"/>
    <w:rsid w:val="53095C1D"/>
    <w:rsid w:val="530B0DCC"/>
    <w:rsid w:val="530C3017"/>
    <w:rsid w:val="530F1F27"/>
    <w:rsid w:val="530F40D3"/>
    <w:rsid w:val="531225F7"/>
    <w:rsid w:val="531350A9"/>
    <w:rsid w:val="53136173"/>
    <w:rsid w:val="531445C2"/>
    <w:rsid w:val="531620E8"/>
    <w:rsid w:val="53162691"/>
    <w:rsid w:val="531639E1"/>
    <w:rsid w:val="53181F32"/>
    <w:rsid w:val="531A366F"/>
    <w:rsid w:val="531A6615"/>
    <w:rsid w:val="531B76FE"/>
    <w:rsid w:val="531E71EE"/>
    <w:rsid w:val="53206AC2"/>
    <w:rsid w:val="53207C76"/>
    <w:rsid w:val="5321043D"/>
    <w:rsid w:val="5321090F"/>
    <w:rsid w:val="53220A8C"/>
    <w:rsid w:val="53231056"/>
    <w:rsid w:val="53234805"/>
    <w:rsid w:val="53242390"/>
    <w:rsid w:val="532540D9"/>
    <w:rsid w:val="53275046"/>
    <w:rsid w:val="53277E51"/>
    <w:rsid w:val="532820A9"/>
    <w:rsid w:val="53285977"/>
    <w:rsid w:val="532A21E4"/>
    <w:rsid w:val="532C5467"/>
    <w:rsid w:val="532D11DF"/>
    <w:rsid w:val="532D346D"/>
    <w:rsid w:val="532D7D83"/>
    <w:rsid w:val="532F31A9"/>
    <w:rsid w:val="532F73AB"/>
    <w:rsid w:val="53302189"/>
    <w:rsid w:val="53334A48"/>
    <w:rsid w:val="5334256E"/>
    <w:rsid w:val="53346A12"/>
    <w:rsid w:val="5336033B"/>
    <w:rsid w:val="53364538"/>
    <w:rsid w:val="53397B84"/>
    <w:rsid w:val="533D49EA"/>
    <w:rsid w:val="533D4A63"/>
    <w:rsid w:val="533E4B1C"/>
    <w:rsid w:val="533E53A8"/>
    <w:rsid w:val="53407165"/>
    <w:rsid w:val="53411E8B"/>
    <w:rsid w:val="53422EDD"/>
    <w:rsid w:val="534303F2"/>
    <w:rsid w:val="5343196D"/>
    <w:rsid w:val="53462B68"/>
    <w:rsid w:val="53476745"/>
    <w:rsid w:val="53484FFE"/>
    <w:rsid w:val="534B6AD2"/>
    <w:rsid w:val="534D68B8"/>
    <w:rsid w:val="534E6702"/>
    <w:rsid w:val="534E7AD3"/>
    <w:rsid w:val="534F55FA"/>
    <w:rsid w:val="534F6994"/>
    <w:rsid w:val="53504128"/>
    <w:rsid w:val="53517393"/>
    <w:rsid w:val="535350EA"/>
    <w:rsid w:val="53545E36"/>
    <w:rsid w:val="5354676C"/>
    <w:rsid w:val="53591FD4"/>
    <w:rsid w:val="535C0B74"/>
    <w:rsid w:val="535E58BA"/>
    <w:rsid w:val="535E75EB"/>
    <w:rsid w:val="53606C6E"/>
    <w:rsid w:val="53615A44"/>
    <w:rsid w:val="53634C01"/>
    <w:rsid w:val="536469DC"/>
    <w:rsid w:val="53660ED9"/>
    <w:rsid w:val="53670B95"/>
    <w:rsid w:val="53690469"/>
    <w:rsid w:val="536A2433"/>
    <w:rsid w:val="536B2AC5"/>
    <w:rsid w:val="536C23EF"/>
    <w:rsid w:val="536E7B06"/>
    <w:rsid w:val="536F35A6"/>
    <w:rsid w:val="536F7A4A"/>
    <w:rsid w:val="53723E9A"/>
    <w:rsid w:val="537312E8"/>
    <w:rsid w:val="53735520"/>
    <w:rsid w:val="53794425"/>
    <w:rsid w:val="537D158C"/>
    <w:rsid w:val="537D3F15"/>
    <w:rsid w:val="538057B3"/>
    <w:rsid w:val="53844015"/>
    <w:rsid w:val="538452A3"/>
    <w:rsid w:val="53874D93"/>
    <w:rsid w:val="538928BA"/>
    <w:rsid w:val="538B1D34"/>
    <w:rsid w:val="538C4158"/>
    <w:rsid w:val="538E6122"/>
    <w:rsid w:val="5394300C"/>
    <w:rsid w:val="53973F28"/>
    <w:rsid w:val="53982AFD"/>
    <w:rsid w:val="539A4AC7"/>
    <w:rsid w:val="539B09D8"/>
    <w:rsid w:val="539B202B"/>
    <w:rsid w:val="539D713D"/>
    <w:rsid w:val="539E1985"/>
    <w:rsid w:val="539E248C"/>
    <w:rsid w:val="53A25729"/>
    <w:rsid w:val="53A4547B"/>
    <w:rsid w:val="53A5604D"/>
    <w:rsid w:val="53A56FC8"/>
    <w:rsid w:val="53A72D40"/>
    <w:rsid w:val="53A94D0A"/>
    <w:rsid w:val="53A96AB8"/>
    <w:rsid w:val="53AE0840"/>
    <w:rsid w:val="53AE2320"/>
    <w:rsid w:val="53B042EA"/>
    <w:rsid w:val="53B14ECD"/>
    <w:rsid w:val="53B33E09"/>
    <w:rsid w:val="53B35B89"/>
    <w:rsid w:val="53B36EAB"/>
    <w:rsid w:val="53B4646A"/>
    <w:rsid w:val="53B611D5"/>
    <w:rsid w:val="53B65679"/>
    <w:rsid w:val="53B8319F"/>
    <w:rsid w:val="53B84F4D"/>
    <w:rsid w:val="53B92A73"/>
    <w:rsid w:val="53BC2E44"/>
    <w:rsid w:val="53BD6600"/>
    <w:rsid w:val="53BD6A07"/>
    <w:rsid w:val="53BF1070"/>
    <w:rsid w:val="53BF452D"/>
    <w:rsid w:val="53C102A5"/>
    <w:rsid w:val="53C40496"/>
    <w:rsid w:val="53C4685F"/>
    <w:rsid w:val="53C72B28"/>
    <w:rsid w:val="53CA50A0"/>
    <w:rsid w:val="53CC489B"/>
    <w:rsid w:val="53CF137C"/>
    <w:rsid w:val="53CF57CD"/>
    <w:rsid w:val="53D03945"/>
    <w:rsid w:val="53D17AAE"/>
    <w:rsid w:val="53D224B3"/>
    <w:rsid w:val="53D22A0C"/>
    <w:rsid w:val="53D2648C"/>
    <w:rsid w:val="53D37FD9"/>
    <w:rsid w:val="53D8114B"/>
    <w:rsid w:val="53D81522"/>
    <w:rsid w:val="53D81DB5"/>
    <w:rsid w:val="53D8739D"/>
    <w:rsid w:val="53D9371F"/>
    <w:rsid w:val="53DA0B8E"/>
    <w:rsid w:val="53DC03DE"/>
    <w:rsid w:val="53DC57B7"/>
    <w:rsid w:val="53DF24DA"/>
    <w:rsid w:val="53E427EB"/>
    <w:rsid w:val="53E4465E"/>
    <w:rsid w:val="53E45333"/>
    <w:rsid w:val="53E45D42"/>
    <w:rsid w:val="53E667F9"/>
    <w:rsid w:val="53E775E0"/>
    <w:rsid w:val="53E932F1"/>
    <w:rsid w:val="53E93358"/>
    <w:rsid w:val="53EC14F6"/>
    <w:rsid w:val="53EC7EA7"/>
    <w:rsid w:val="53ED0E1F"/>
    <w:rsid w:val="53EE096F"/>
    <w:rsid w:val="53EF775F"/>
    <w:rsid w:val="53F046E7"/>
    <w:rsid w:val="53F266B1"/>
    <w:rsid w:val="53F42A19"/>
    <w:rsid w:val="53F438E8"/>
    <w:rsid w:val="53F52FD5"/>
    <w:rsid w:val="53F7115E"/>
    <w:rsid w:val="53F8359B"/>
    <w:rsid w:val="53F870C0"/>
    <w:rsid w:val="53FB3968"/>
    <w:rsid w:val="53FD32A8"/>
    <w:rsid w:val="53FD6E04"/>
    <w:rsid w:val="53FE2659"/>
    <w:rsid w:val="54011ADF"/>
    <w:rsid w:val="5403433C"/>
    <w:rsid w:val="540463E4"/>
    <w:rsid w:val="54051FE4"/>
    <w:rsid w:val="54055682"/>
    <w:rsid w:val="54060FA4"/>
    <w:rsid w:val="54071A30"/>
    <w:rsid w:val="54091C4C"/>
    <w:rsid w:val="540D125C"/>
    <w:rsid w:val="540E54DF"/>
    <w:rsid w:val="541008E5"/>
    <w:rsid w:val="54102FDB"/>
    <w:rsid w:val="54105DF7"/>
    <w:rsid w:val="541128AF"/>
    <w:rsid w:val="541250CE"/>
    <w:rsid w:val="541303D5"/>
    <w:rsid w:val="5413655E"/>
    <w:rsid w:val="541479EE"/>
    <w:rsid w:val="5417546D"/>
    <w:rsid w:val="54181E8F"/>
    <w:rsid w:val="541977FF"/>
    <w:rsid w:val="541A1764"/>
    <w:rsid w:val="541A5E66"/>
    <w:rsid w:val="541B7A0B"/>
    <w:rsid w:val="541F599B"/>
    <w:rsid w:val="54224885"/>
    <w:rsid w:val="54224ABC"/>
    <w:rsid w:val="542406F9"/>
    <w:rsid w:val="54265D9C"/>
    <w:rsid w:val="54274C37"/>
    <w:rsid w:val="542815A5"/>
    <w:rsid w:val="542E2322"/>
    <w:rsid w:val="54314DB2"/>
    <w:rsid w:val="54332F77"/>
    <w:rsid w:val="54336CC9"/>
    <w:rsid w:val="54352A41"/>
    <w:rsid w:val="54356834"/>
    <w:rsid w:val="543755E9"/>
    <w:rsid w:val="54387385"/>
    <w:rsid w:val="54387E3C"/>
    <w:rsid w:val="543A1E06"/>
    <w:rsid w:val="543D5452"/>
    <w:rsid w:val="543D5D65"/>
    <w:rsid w:val="543F741C"/>
    <w:rsid w:val="54403A4F"/>
    <w:rsid w:val="5442417F"/>
    <w:rsid w:val="5443314E"/>
    <w:rsid w:val="54436F0C"/>
    <w:rsid w:val="54442C85"/>
    <w:rsid w:val="544468CB"/>
    <w:rsid w:val="5445760F"/>
    <w:rsid w:val="54465292"/>
    <w:rsid w:val="544662A6"/>
    <w:rsid w:val="54475C4D"/>
    <w:rsid w:val="544B5DC1"/>
    <w:rsid w:val="544D38E7"/>
    <w:rsid w:val="544E5B1C"/>
    <w:rsid w:val="54505185"/>
    <w:rsid w:val="54517EE5"/>
    <w:rsid w:val="545339F1"/>
    <w:rsid w:val="5454111A"/>
    <w:rsid w:val="545478BA"/>
    <w:rsid w:val="545509EE"/>
    <w:rsid w:val="5455702E"/>
    <w:rsid w:val="54580892"/>
    <w:rsid w:val="545A1DB5"/>
    <w:rsid w:val="545A6B19"/>
    <w:rsid w:val="545C3B2A"/>
    <w:rsid w:val="545D0C30"/>
    <w:rsid w:val="545D78A2"/>
    <w:rsid w:val="545E33A4"/>
    <w:rsid w:val="545E3D46"/>
    <w:rsid w:val="545F207B"/>
    <w:rsid w:val="54612FF9"/>
    <w:rsid w:val="5461351A"/>
    <w:rsid w:val="5463180B"/>
    <w:rsid w:val="54641DA5"/>
    <w:rsid w:val="546569FC"/>
    <w:rsid w:val="546931E9"/>
    <w:rsid w:val="54694499"/>
    <w:rsid w:val="546A01E4"/>
    <w:rsid w:val="546B0211"/>
    <w:rsid w:val="546B1FBF"/>
    <w:rsid w:val="546C2DDA"/>
    <w:rsid w:val="546D21DB"/>
    <w:rsid w:val="546D5D37"/>
    <w:rsid w:val="546E05F9"/>
    <w:rsid w:val="546E7AD7"/>
    <w:rsid w:val="546E7D01"/>
    <w:rsid w:val="547075D6"/>
    <w:rsid w:val="54722B2B"/>
    <w:rsid w:val="54723AC7"/>
    <w:rsid w:val="547370C6"/>
    <w:rsid w:val="547411E7"/>
    <w:rsid w:val="54751090"/>
    <w:rsid w:val="54754BEC"/>
    <w:rsid w:val="5476492D"/>
    <w:rsid w:val="54790B80"/>
    <w:rsid w:val="5479570C"/>
    <w:rsid w:val="547B54A6"/>
    <w:rsid w:val="547B77C6"/>
    <w:rsid w:val="547C5F7A"/>
    <w:rsid w:val="547E6196"/>
    <w:rsid w:val="548337AD"/>
    <w:rsid w:val="54836970"/>
    <w:rsid w:val="54856E67"/>
    <w:rsid w:val="548703FD"/>
    <w:rsid w:val="54892EFC"/>
    <w:rsid w:val="548C26F2"/>
    <w:rsid w:val="548C2AFB"/>
    <w:rsid w:val="548C7821"/>
    <w:rsid w:val="548D0188"/>
    <w:rsid w:val="548D63DA"/>
    <w:rsid w:val="548D7640"/>
    <w:rsid w:val="548E0C37"/>
    <w:rsid w:val="548F0560"/>
    <w:rsid w:val="54921C42"/>
    <w:rsid w:val="549459BA"/>
    <w:rsid w:val="54946A24"/>
    <w:rsid w:val="549C03CB"/>
    <w:rsid w:val="549F2C45"/>
    <w:rsid w:val="549F7EBB"/>
    <w:rsid w:val="54A11688"/>
    <w:rsid w:val="54A159E1"/>
    <w:rsid w:val="54A23856"/>
    <w:rsid w:val="54A43723"/>
    <w:rsid w:val="54A43851"/>
    <w:rsid w:val="54A61249"/>
    <w:rsid w:val="54A930AA"/>
    <w:rsid w:val="54AC77F1"/>
    <w:rsid w:val="54AD3AEF"/>
    <w:rsid w:val="54AD4386"/>
    <w:rsid w:val="54AF45A2"/>
    <w:rsid w:val="54B25E40"/>
    <w:rsid w:val="54B2672F"/>
    <w:rsid w:val="54B27EE3"/>
    <w:rsid w:val="54B576DE"/>
    <w:rsid w:val="54BA6AA3"/>
    <w:rsid w:val="54BB09E8"/>
    <w:rsid w:val="54BB1814"/>
    <w:rsid w:val="54BC0A6D"/>
    <w:rsid w:val="54BE2A37"/>
    <w:rsid w:val="54BE5581"/>
    <w:rsid w:val="54BE6593"/>
    <w:rsid w:val="54C0102B"/>
    <w:rsid w:val="54C058A0"/>
    <w:rsid w:val="54C120D0"/>
    <w:rsid w:val="54C33BA9"/>
    <w:rsid w:val="54C443D3"/>
    <w:rsid w:val="54C735ED"/>
    <w:rsid w:val="54CB07B2"/>
    <w:rsid w:val="54CB198F"/>
    <w:rsid w:val="54CD67D6"/>
    <w:rsid w:val="54CE480A"/>
    <w:rsid w:val="54CF254E"/>
    <w:rsid w:val="54D04518"/>
    <w:rsid w:val="54D062C6"/>
    <w:rsid w:val="54D37E9A"/>
    <w:rsid w:val="54D44008"/>
    <w:rsid w:val="54D47B64"/>
    <w:rsid w:val="54D60869"/>
    <w:rsid w:val="54D656F3"/>
    <w:rsid w:val="54D74AFC"/>
    <w:rsid w:val="54D779D0"/>
    <w:rsid w:val="54D933CD"/>
    <w:rsid w:val="54D95840"/>
    <w:rsid w:val="54DC110F"/>
    <w:rsid w:val="54DE4E87"/>
    <w:rsid w:val="54E3424B"/>
    <w:rsid w:val="54E56216"/>
    <w:rsid w:val="54E57FC4"/>
    <w:rsid w:val="54E63D3C"/>
    <w:rsid w:val="54E85221"/>
    <w:rsid w:val="54EA382C"/>
    <w:rsid w:val="54EC22E2"/>
    <w:rsid w:val="54ED6E78"/>
    <w:rsid w:val="54F00716"/>
    <w:rsid w:val="54F04DBD"/>
    <w:rsid w:val="54F37E42"/>
    <w:rsid w:val="54F40B54"/>
    <w:rsid w:val="54F509F0"/>
    <w:rsid w:val="54F64071"/>
    <w:rsid w:val="54F66036"/>
    <w:rsid w:val="54F770D8"/>
    <w:rsid w:val="54FC5522"/>
    <w:rsid w:val="54FE2E33"/>
    <w:rsid w:val="54FE4996"/>
    <w:rsid w:val="54FF3EA3"/>
    <w:rsid w:val="55004DFD"/>
    <w:rsid w:val="55005A82"/>
    <w:rsid w:val="550146D2"/>
    <w:rsid w:val="55014E8B"/>
    <w:rsid w:val="5503669C"/>
    <w:rsid w:val="55055F70"/>
    <w:rsid w:val="55097B6F"/>
    <w:rsid w:val="550A5C7C"/>
    <w:rsid w:val="550C1CC1"/>
    <w:rsid w:val="550C7E08"/>
    <w:rsid w:val="550F4998"/>
    <w:rsid w:val="550F6DEF"/>
    <w:rsid w:val="550F7B88"/>
    <w:rsid w:val="55113871"/>
    <w:rsid w:val="55115959"/>
    <w:rsid w:val="551162B8"/>
    <w:rsid w:val="5512014A"/>
    <w:rsid w:val="55124B31"/>
    <w:rsid w:val="551507E3"/>
    <w:rsid w:val="551558BC"/>
    <w:rsid w:val="55164266"/>
    <w:rsid w:val="55180399"/>
    <w:rsid w:val="551B39E5"/>
    <w:rsid w:val="551C0B8D"/>
    <w:rsid w:val="551C6D0B"/>
    <w:rsid w:val="551E21B0"/>
    <w:rsid w:val="551E6B2A"/>
    <w:rsid w:val="551F1098"/>
    <w:rsid w:val="55214D74"/>
    <w:rsid w:val="55222FC6"/>
    <w:rsid w:val="55254496"/>
    <w:rsid w:val="5526593F"/>
    <w:rsid w:val="55270F76"/>
    <w:rsid w:val="55286102"/>
    <w:rsid w:val="552B2743"/>
    <w:rsid w:val="552C4101"/>
    <w:rsid w:val="552D1A7A"/>
    <w:rsid w:val="552D3F4B"/>
    <w:rsid w:val="552F2E36"/>
    <w:rsid w:val="552F6604"/>
    <w:rsid w:val="552F7491"/>
    <w:rsid w:val="55300100"/>
    <w:rsid w:val="5531145B"/>
    <w:rsid w:val="55316C29"/>
    <w:rsid w:val="5534335D"/>
    <w:rsid w:val="55344223"/>
    <w:rsid w:val="5536095F"/>
    <w:rsid w:val="553700F3"/>
    <w:rsid w:val="55392F87"/>
    <w:rsid w:val="55393E6B"/>
    <w:rsid w:val="553A1BC4"/>
    <w:rsid w:val="553F0A97"/>
    <w:rsid w:val="554051FA"/>
    <w:rsid w:val="554239C6"/>
    <w:rsid w:val="5543118E"/>
    <w:rsid w:val="554341E0"/>
    <w:rsid w:val="55434CEA"/>
    <w:rsid w:val="55452810"/>
    <w:rsid w:val="55461E67"/>
    <w:rsid w:val="554A6079"/>
    <w:rsid w:val="554B69BD"/>
    <w:rsid w:val="554B7041"/>
    <w:rsid w:val="554B71F7"/>
    <w:rsid w:val="555117EE"/>
    <w:rsid w:val="55525286"/>
    <w:rsid w:val="55530D99"/>
    <w:rsid w:val="55530F5D"/>
    <w:rsid w:val="55540CA5"/>
    <w:rsid w:val="555667CB"/>
    <w:rsid w:val="55575E7C"/>
    <w:rsid w:val="55591EF4"/>
    <w:rsid w:val="555B0462"/>
    <w:rsid w:val="555B2034"/>
    <w:rsid w:val="555C7B5A"/>
    <w:rsid w:val="555D56E4"/>
    <w:rsid w:val="555E317E"/>
    <w:rsid w:val="5561087C"/>
    <w:rsid w:val="55656729"/>
    <w:rsid w:val="55676060"/>
    <w:rsid w:val="556829A3"/>
    <w:rsid w:val="556B22FC"/>
    <w:rsid w:val="556C2493"/>
    <w:rsid w:val="556C350E"/>
    <w:rsid w:val="556C3BA6"/>
    <w:rsid w:val="556C4241"/>
    <w:rsid w:val="556C6C12"/>
    <w:rsid w:val="556F1128"/>
    <w:rsid w:val="55704ABA"/>
    <w:rsid w:val="55713605"/>
    <w:rsid w:val="55717AA9"/>
    <w:rsid w:val="55723669"/>
    <w:rsid w:val="55735DDC"/>
    <w:rsid w:val="55742765"/>
    <w:rsid w:val="5577389C"/>
    <w:rsid w:val="55801A9A"/>
    <w:rsid w:val="55812FA7"/>
    <w:rsid w:val="5584168C"/>
    <w:rsid w:val="5586238A"/>
    <w:rsid w:val="558639E2"/>
    <w:rsid w:val="5587107B"/>
    <w:rsid w:val="5588094F"/>
    <w:rsid w:val="558859E4"/>
    <w:rsid w:val="55886BA1"/>
    <w:rsid w:val="558A46C7"/>
    <w:rsid w:val="558C6691"/>
    <w:rsid w:val="558D41B7"/>
    <w:rsid w:val="559030DD"/>
    <w:rsid w:val="55913CA7"/>
    <w:rsid w:val="559341D4"/>
    <w:rsid w:val="55937A20"/>
    <w:rsid w:val="559572D8"/>
    <w:rsid w:val="55966835"/>
    <w:rsid w:val="55967510"/>
    <w:rsid w:val="55991424"/>
    <w:rsid w:val="55A334C5"/>
    <w:rsid w:val="55A34AEC"/>
    <w:rsid w:val="55A51501"/>
    <w:rsid w:val="55A55633"/>
    <w:rsid w:val="55A701EC"/>
    <w:rsid w:val="55A734CB"/>
    <w:rsid w:val="55A80C91"/>
    <w:rsid w:val="55A90FF1"/>
    <w:rsid w:val="55AA2FBB"/>
    <w:rsid w:val="55AC3437"/>
    <w:rsid w:val="55AF05D2"/>
    <w:rsid w:val="55B0753C"/>
    <w:rsid w:val="55B13259"/>
    <w:rsid w:val="55B16389"/>
    <w:rsid w:val="55B33C1E"/>
    <w:rsid w:val="55B44704"/>
    <w:rsid w:val="55B47996"/>
    <w:rsid w:val="55B6370E"/>
    <w:rsid w:val="55B87486"/>
    <w:rsid w:val="55B913DC"/>
    <w:rsid w:val="55B96A08"/>
    <w:rsid w:val="55BA2143"/>
    <w:rsid w:val="55BB6F76"/>
    <w:rsid w:val="55BE25C3"/>
    <w:rsid w:val="55BF6A67"/>
    <w:rsid w:val="55C10F0F"/>
    <w:rsid w:val="55C220B3"/>
    <w:rsid w:val="55C40E60"/>
    <w:rsid w:val="55C53F67"/>
    <w:rsid w:val="55CB540B"/>
    <w:rsid w:val="55CE6CAA"/>
    <w:rsid w:val="55D23211"/>
    <w:rsid w:val="55D549F2"/>
    <w:rsid w:val="55D57AC8"/>
    <w:rsid w:val="55D63DB0"/>
    <w:rsid w:val="55D90C66"/>
    <w:rsid w:val="55D930C2"/>
    <w:rsid w:val="55DA1048"/>
    <w:rsid w:val="55DB7B79"/>
    <w:rsid w:val="55DC6A61"/>
    <w:rsid w:val="55DD513F"/>
    <w:rsid w:val="55DF40A3"/>
    <w:rsid w:val="55DF4A13"/>
    <w:rsid w:val="55E02539"/>
    <w:rsid w:val="55E24503"/>
    <w:rsid w:val="55E41916"/>
    <w:rsid w:val="55E55977"/>
    <w:rsid w:val="55E6075F"/>
    <w:rsid w:val="55E62245"/>
    <w:rsid w:val="55E738C7"/>
    <w:rsid w:val="55E77D6B"/>
    <w:rsid w:val="55E93AE3"/>
    <w:rsid w:val="55E944A7"/>
    <w:rsid w:val="55EA4E82"/>
    <w:rsid w:val="55EC03E1"/>
    <w:rsid w:val="55EC65BF"/>
    <w:rsid w:val="55EE4C56"/>
    <w:rsid w:val="55EF09CE"/>
    <w:rsid w:val="55EF15FA"/>
    <w:rsid w:val="55F45FE4"/>
    <w:rsid w:val="55F84B33"/>
    <w:rsid w:val="55FE1C3C"/>
    <w:rsid w:val="55FE41C5"/>
    <w:rsid w:val="56024BA5"/>
    <w:rsid w:val="56040631"/>
    <w:rsid w:val="560519C8"/>
    <w:rsid w:val="56066443"/>
    <w:rsid w:val="560721BC"/>
    <w:rsid w:val="56082842"/>
    <w:rsid w:val="5608544B"/>
    <w:rsid w:val="56085601"/>
    <w:rsid w:val="56095F34"/>
    <w:rsid w:val="560A3896"/>
    <w:rsid w:val="560C1580"/>
    <w:rsid w:val="56104E9F"/>
    <w:rsid w:val="561127B8"/>
    <w:rsid w:val="56114DE8"/>
    <w:rsid w:val="5612303A"/>
    <w:rsid w:val="561346BC"/>
    <w:rsid w:val="56151416"/>
    <w:rsid w:val="561665C1"/>
    <w:rsid w:val="56170651"/>
    <w:rsid w:val="561A3C9D"/>
    <w:rsid w:val="561D553B"/>
    <w:rsid w:val="561F12B3"/>
    <w:rsid w:val="5621298D"/>
    <w:rsid w:val="56242D6E"/>
    <w:rsid w:val="56261D2F"/>
    <w:rsid w:val="56262642"/>
    <w:rsid w:val="562736B5"/>
    <w:rsid w:val="56290384"/>
    <w:rsid w:val="562A50DE"/>
    <w:rsid w:val="562B40FC"/>
    <w:rsid w:val="562B4FF8"/>
    <w:rsid w:val="562C1C22"/>
    <w:rsid w:val="562E7748"/>
    <w:rsid w:val="5630526E"/>
    <w:rsid w:val="5632548A"/>
    <w:rsid w:val="56334D5F"/>
    <w:rsid w:val="56364FE0"/>
    <w:rsid w:val="56385948"/>
    <w:rsid w:val="563A433F"/>
    <w:rsid w:val="563A5E08"/>
    <w:rsid w:val="563A7E9B"/>
    <w:rsid w:val="563D3E2F"/>
    <w:rsid w:val="563F1955"/>
    <w:rsid w:val="563F54B2"/>
    <w:rsid w:val="5640122A"/>
    <w:rsid w:val="56404CD3"/>
    <w:rsid w:val="564505F2"/>
    <w:rsid w:val="56451768"/>
    <w:rsid w:val="56464A92"/>
    <w:rsid w:val="5647080A"/>
    <w:rsid w:val="564A004F"/>
    <w:rsid w:val="564B3E56"/>
    <w:rsid w:val="564E304F"/>
    <w:rsid w:val="564F1D64"/>
    <w:rsid w:val="56503B63"/>
    <w:rsid w:val="565076BF"/>
    <w:rsid w:val="565203AE"/>
    <w:rsid w:val="56521689"/>
    <w:rsid w:val="56535401"/>
    <w:rsid w:val="565430EE"/>
    <w:rsid w:val="5654477C"/>
    <w:rsid w:val="56545C38"/>
    <w:rsid w:val="56592DF1"/>
    <w:rsid w:val="565C5AA9"/>
    <w:rsid w:val="565F5B54"/>
    <w:rsid w:val="56603C0D"/>
    <w:rsid w:val="566118CC"/>
    <w:rsid w:val="5663166A"/>
    <w:rsid w:val="566470A3"/>
    <w:rsid w:val="5666031A"/>
    <w:rsid w:val="56660C90"/>
    <w:rsid w:val="566969D2"/>
    <w:rsid w:val="566B0279"/>
    <w:rsid w:val="566B7DFC"/>
    <w:rsid w:val="566D6636"/>
    <w:rsid w:val="566D6EC2"/>
    <w:rsid w:val="566E5D97"/>
    <w:rsid w:val="566F2249"/>
    <w:rsid w:val="566F5D92"/>
    <w:rsid w:val="56705FB3"/>
    <w:rsid w:val="56727B89"/>
    <w:rsid w:val="56732580"/>
    <w:rsid w:val="56732AC8"/>
    <w:rsid w:val="56734218"/>
    <w:rsid w:val="56772E9D"/>
    <w:rsid w:val="567A0BDF"/>
    <w:rsid w:val="567C0587"/>
    <w:rsid w:val="567D25B5"/>
    <w:rsid w:val="56813D1C"/>
    <w:rsid w:val="568140A3"/>
    <w:rsid w:val="56815ACA"/>
    <w:rsid w:val="56826D71"/>
    <w:rsid w:val="568341A1"/>
    <w:rsid w:val="56847368"/>
    <w:rsid w:val="5685430E"/>
    <w:rsid w:val="56855007"/>
    <w:rsid w:val="568630E0"/>
    <w:rsid w:val="56867584"/>
    <w:rsid w:val="56877B05"/>
    <w:rsid w:val="568A2F88"/>
    <w:rsid w:val="568A4A64"/>
    <w:rsid w:val="568B4B9B"/>
    <w:rsid w:val="568B6949"/>
    <w:rsid w:val="568D446F"/>
    <w:rsid w:val="568D50A0"/>
    <w:rsid w:val="56902DE6"/>
    <w:rsid w:val="56903F5F"/>
    <w:rsid w:val="56927CD7"/>
    <w:rsid w:val="569357FD"/>
    <w:rsid w:val="56987D9F"/>
    <w:rsid w:val="569912FC"/>
    <w:rsid w:val="569B6EDB"/>
    <w:rsid w:val="569D364E"/>
    <w:rsid w:val="569F41A2"/>
    <w:rsid w:val="56A06D80"/>
    <w:rsid w:val="56A45C5C"/>
    <w:rsid w:val="56A61397"/>
    <w:rsid w:val="56A619D5"/>
    <w:rsid w:val="56A66BBF"/>
    <w:rsid w:val="56A778AA"/>
    <w:rsid w:val="56A77D1E"/>
    <w:rsid w:val="56A821FF"/>
    <w:rsid w:val="56A874FB"/>
    <w:rsid w:val="56AB18AC"/>
    <w:rsid w:val="56AB2B47"/>
    <w:rsid w:val="56AB7432"/>
    <w:rsid w:val="56AE2637"/>
    <w:rsid w:val="56B060EF"/>
    <w:rsid w:val="56B345CB"/>
    <w:rsid w:val="56B45E9F"/>
    <w:rsid w:val="56B934B6"/>
    <w:rsid w:val="56BA38F4"/>
    <w:rsid w:val="56BC3A5C"/>
    <w:rsid w:val="56BC6B02"/>
    <w:rsid w:val="56C1680E"/>
    <w:rsid w:val="56C34335"/>
    <w:rsid w:val="56C65908"/>
    <w:rsid w:val="56C65940"/>
    <w:rsid w:val="56C8194B"/>
    <w:rsid w:val="56C879C4"/>
    <w:rsid w:val="56C9121F"/>
    <w:rsid w:val="56CC2791"/>
    <w:rsid w:val="56CD4470"/>
    <w:rsid w:val="56CE6835"/>
    <w:rsid w:val="56D05FA4"/>
    <w:rsid w:val="56D27D41"/>
    <w:rsid w:val="56D36A74"/>
    <w:rsid w:val="56D93B58"/>
    <w:rsid w:val="56DA167E"/>
    <w:rsid w:val="56DA744F"/>
    <w:rsid w:val="56DC53F6"/>
    <w:rsid w:val="56DE0AFD"/>
    <w:rsid w:val="56E04EE6"/>
    <w:rsid w:val="56E12A0D"/>
    <w:rsid w:val="56E16569"/>
    <w:rsid w:val="56E23ACD"/>
    <w:rsid w:val="56E30533"/>
    <w:rsid w:val="56E31118"/>
    <w:rsid w:val="56E3499B"/>
    <w:rsid w:val="56E36785"/>
    <w:rsid w:val="56E46059"/>
    <w:rsid w:val="56E542AB"/>
    <w:rsid w:val="56E57FF1"/>
    <w:rsid w:val="56E9366F"/>
    <w:rsid w:val="56E968A5"/>
    <w:rsid w:val="56EA18C1"/>
    <w:rsid w:val="56EA7B13"/>
    <w:rsid w:val="56F11165"/>
    <w:rsid w:val="56FC15F5"/>
    <w:rsid w:val="56FC33A3"/>
    <w:rsid w:val="56FC58A6"/>
    <w:rsid w:val="56FD4106"/>
    <w:rsid w:val="56FE536D"/>
    <w:rsid w:val="56FF7082"/>
    <w:rsid w:val="57014E5D"/>
    <w:rsid w:val="57016089"/>
    <w:rsid w:val="57073816"/>
    <w:rsid w:val="57087F99"/>
    <w:rsid w:val="570A0F13"/>
    <w:rsid w:val="570B1AB1"/>
    <w:rsid w:val="570D1A54"/>
    <w:rsid w:val="570F1328"/>
    <w:rsid w:val="570F30D6"/>
    <w:rsid w:val="571132F2"/>
    <w:rsid w:val="5711443D"/>
    <w:rsid w:val="5714693E"/>
    <w:rsid w:val="57154464"/>
    <w:rsid w:val="571670D4"/>
    <w:rsid w:val="571C25CE"/>
    <w:rsid w:val="571C7B48"/>
    <w:rsid w:val="571E5A0F"/>
    <w:rsid w:val="571E77BD"/>
    <w:rsid w:val="57202AA2"/>
    <w:rsid w:val="57203535"/>
    <w:rsid w:val="57212E09"/>
    <w:rsid w:val="572172AD"/>
    <w:rsid w:val="57225297"/>
    <w:rsid w:val="57236B81"/>
    <w:rsid w:val="5726041F"/>
    <w:rsid w:val="57271230"/>
    <w:rsid w:val="572A730E"/>
    <w:rsid w:val="572C1045"/>
    <w:rsid w:val="572C3A40"/>
    <w:rsid w:val="572E39BC"/>
    <w:rsid w:val="572F3778"/>
    <w:rsid w:val="57316401"/>
    <w:rsid w:val="57323268"/>
    <w:rsid w:val="57335763"/>
    <w:rsid w:val="573941DB"/>
    <w:rsid w:val="573945F7"/>
    <w:rsid w:val="573E602B"/>
    <w:rsid w:val="573F7E85"/>
    <w:rsid w:val="574159E3"/>
    <w:rsid w:val="57420238"/>
    <w:rsid w:val="57421B0C"/>
    <w:rsid w:val="57435475"/>
    <w:rsid w:val="574358C1"/>
    <w:rsid w:val="57437223"/>
    <w:rsid w:val="574511ED"/>
    <w:rsid w:val="574540B4"/>
    <w:rsid w:val="57460AC2"/>
    <w:rsid w:val="57480577"/>
    <w:rsid w:val="57482A8C"/>
    <w:rsid w:val="574A45CE"/>
    <w:rsid w:val="574D3BFE"/>
    <w:rsid w:val="574E13B2"/>
    <w:rsid w:val="574F3973"/>
    <w:rsid w:val="574F7976"/>
    <w:rsid w:val="575B631B"/>
    <w:rsid w:val="575C2093"/>
    <w:rsid w:val="575C3751"/>
    <w:rsid w:val="575E405D"/>
    <w:rsid w:val="575E6A88"/>
    <w:rsid w:val="57600001"/>
    <w:rsid w:val="57601B83"/>
    <w:rsid w:val="57623B4D"/>
    <w:rsid w:val="576378C6"/>
    <w:rsid w:val="57664CA5"/>
    <w:rsid w:val="57664DCE"/>
    <w:rsid w:val="57671164"/>
    <w:rsid w:val="57672F12"/>
    <w:rsid w:val="576A0C54"/>
    <w:rsid w:val="576F0018"/>
    <w:rsid w:val="576F626A"/>
    <w:rsid w:val="5772234A"/>
    <w:rsid w:val="57727B09"/>
    <w:rsid w:val="57730079"/>
    <w:rsid w:val="57743881"/>
    <w:rsid w:val="57765CAD"/>
    <w:rsid w:val="577675F9"/>
    <w:rsid w:val="57776ECD"/>
    <w:rsid w:val="57790E97"/>
    <w:rsid w:val="57792C45"/>
    <w:rsid w:val="577949F3"/>
    <w:rsid w:val="577B076B"/>
    <w:rsid w:val="578137B9"/>
    <w:rsid w:val="5782519E"/>
    <w:rsid w:val="5783121E"/>
    <w:rsid w:val="578730E0"/>
    <w:rsid w:val="57897141"/>
    <w:rsid w:val="578A21C3"/>
    <w:rsid w:val="578A2893"/>
    <w:rsid w:val="578B3481"/>
    <w:rsid w:val="578B5303"/>
    <w:rsid w:val="578B5B97"/>
    <w:rsid w:val="578C0BCA"/>
    <w:rsid w:val="578C2978"/>
    <w:rsid w:val="5791443C"/>
    <w:rsid w:val="57922F7B"/>
    <w:rsid w:val="57925AB5"/>
    <w:rsid w:val="57926B51"/>
    <w:rsid w:val="5793283F"/>
    <w:rsid w:val="5797131D"/>
    <w:rsid w:val="57990C47"/>
    <w:rsid w:val="57995095"/>
    <w:rsid w:val="579D0773"/>
    <w:rsid w:val="57A06022"/>
    <w:rsid w:val="57A079DD"/>
    <w:rsid w:val="57A35F14"/>
    <w:rsid w:val="57A40A94"/>
    <w:rsid w:val="57A6419E"/>
    <w:rsid w:val="57AA1051"/>
    <w:rsid w:val="57AB6007"/>
    <w:rsid w:val="57AC7534"/>
    <w:rsid w:val="57AD0F6C"/>
    <w:rsid w:val="57AD745F"/>
    <w:rsid w:val="57AE0B41"/>
    <w:rsid w:val="57AE108B"/>
    <w:rsid w:val="57AF466A"/>
    <w:rsid w:val="57B317F1"/>
    <w:rsid w:val="57B8376D"/>
    <w:rsid w:val="57B90B52"/>
    <w:rsid w:val="57BC0417"/>
    <w:rsid w:val="57BD3192"/>
    <w:rsid w:val="57BF0D05"/>
    <w:rsid w:val="57BF1DE0"/>
    <w:rsid w:val="57C14700"/>
    <w:rsid w:val="57C245EC"/>
    <w:rsid w:val="57C33EC0"/>
    <w:rsid w:val="57C55C52"/>
    <w:rsid w:val="57C70572"/>
    <w:rsid w:val="57C71C02"/>
    <w:rsid w:val="57C96761"/>
    <w:rsid w:val="57C9715E"/>
    <w:rsid w:val="57CA524F"/>
    <w:rsid w:val="57CA61FB"/>
    <w:rsid w:val="57CC546B"/>
    <w:rsid w:val="57CC7219"/>
    <w:rsid w:val="57CF2865"/>
    <w:rsid w:val="57CF6D09"/>
    <w:rsid w:val="57D13845"/>
    <w:rsid w:val="57D305A7"/>
    <w:rsid w:val="57D336B2"/>
    <w:rsid w:val="57D6232E"/>
    <w:rsid w:val="57D82C38"/>
    <w:rsid w:val="57D8796C"/>
    <w:rsid w:val="57DD1426"/>
    <w:rsid w:val="57DE4AC2"/>
    <w:rsid w:val="57E9601D"/>
    <w:rsid w:val="57E97DCB"/>
    <w:rsid w:val="57EE718F"/>
    <w:rsid w:val="57F222CC"/>
    <w:rsid w:val="57F4051E"/>
    <w:rsid w:val="57F83A65"/>
    <w:rsid w:val="57F95B34"/>
    <w:rsid w:val="57FA1FD8"/>
    <w:rsid w:val="57FA5C11"/>
    <w:rsid w:val="57FA5FD2"/>
    <w:rsid w:val="57FC0A59"/>
    <w:rsid w:val="57FF75EE"/>
    <w:rsid w:val="58002419"/>
    <w:rsid w:val="58021570"/>
    <w:rsid w:val="5802753E"/>
    <w:rsid w:val="58036FF1"/>
    <w:rsid w:val="5808324B"/>
    <w:rsid w:val="58085D3D"/>
    <w:rsid w:val="580908A0"/>
    <w:rsid w:val="58093FC9"/>
    <w:rsid w:val="580C3AB9"/>
    <w:rsid w:val="580C5867"/>
    <w:rsid w:val="580C6CA6"/>
    <w:rsid w:val="580D12B3"/>
    <w:rsid w:val="580E15DF"/>
    <w:rsid w:val="581076B3"/>
    <w:rsid w:val="581110D0"/>
    <w:rsid w:val="5814471C"/>
    <w:rsid w:val="58145286"/>
    <w:rsid w:val="58155C60"/>
    <w:rsid w:val="581A3E7B"/>
    <w:rsid w:val="581F16FE"/>
    <w:rsid w:val="58226E39"/>
    <w:rsid w:val="5822790B"/>
    <w:rsid w:val="58242BB1"/>
    <w:rsid w:val="582708F3"/>
    <w:rsid w:val="58296419"/>
    <w:rsid w:val="582C2EAF"/>
    <w:rsid w:val="582C5F09"/>
    <w:rsid w:val="582C6358"/>
    <w:rsid w:val="582E1523"/>
    <w:rsid w:val="583152CE"/>
    <w:rsid w:val="583446B4"/>
    <w:rsid w:val="583475F3"/>
    <w:rsid w:val="58353010"/>
    <w:rsid w:val="58366D88"/>
    <w:rsid w:val="583C5053"/>
    <w:rsid w:val="583E16A2"/>
    <w:rsid w:val="583F0740"/>
    <w:rsid w:val="583F0AAB"/>
    <w:rsid w:val="583F0C61"/>
    <w:rsid w:val="583F79EB"/>
    <w:rsid w:val="584119B5"/>
    <w:rsid w:val="58421289"/>
    <w:rsid w:val="5842572D"/>
    <w:rsid w:val="5844018D"/>
    <w:rsid w:val="58443253"/>
    <w:rsid w:val="584A6390"/>
    <w:rsid w:val="584B107F"/>
    <w:rsid w:val="584C4139"/>
    <w:rsid w:val="584D65AC"/>
    <w:rsid w:val="584E40D2"/>
    <w:rsid w:val="584F3614"/>
    <w:rsid w:val="585039A6"/>
    <w:rsid w:val="585316E8"/>
    <w:rsid w:val="58533496"/>
    <w:rsid w:val="585A28EC"/>
    <w:rsid w:val="585B1212"/>
    <w:rsid w:val="585D2567"/>
    <w:rsid w:val="585E3377"/>
    <w:rsid w:val="58615BB3"/>
    <w:rsid w:val="5862288E"/>
    <w:rsid w:val="58624ECF"/>
    <w:rsid w:val="58647451"/>
    <w:rsid w:val="58660B1F"/>
    <w:rsid w:val="5866766D"/>
    <w:rsid w:val="58676D16"/>
    <w:rsid w:val="58682355"/>
    <w:rsid w:val="586B1A7D"/>
    <w:rsid w:val="586C6A02"/>
    <w:rsid w:val="5870229A"/>
    <w:rsid w:val="58704048"/>
    <w:rsid w:val="587177C3"/>
    <w:rsid w:val="58725E54"/>
    <w:rsid w:val="587363AB"/>
    <w:rsid w:val="5874602B"/>
    <w:rsid w:val="587826B4"/>
    <w:rsid w:val="5878703E"/>
    <w:rsid w:val="5879186B"/>
    <w:rsid w:val="587A07F0"/>
    <w:rsid w:val="587A6C75"/>
    <w:rsid w:val="587B0A01"/>
    <w:rsid w:val="587B64D4"/>
    <w:rsid w:val="587C3438"/>
    <w:rsid w:val="587D0513"/>
    <w:rsid w:val="587D49B7"/>
    <w:rsid w:val="58813029"/>
    <w:rsid w:val="58825949"/>
    <w:rsid w:val="58831FCD"/>
    <w:rsid w:val="58845D45"/>
    <w:rsid w:val="58846F67"/>
    <w:rsid w:val="58871392"/>
    <w:rsid w:val="58892FCD"/>
    <w:rsid w:val="58896FC3"/>
    <w:rsid w:val="588A450B"/>
    <w:rsid w:val="588B4158"/>
    <w:rsid w:val="588D58A4"/>
    <w:rsid w:val="588E0972"/>
    <w:rsid w:val="588F1522"/>
    <w:rsid w:val="58906498"/>
    <w:rsid w:val="58922210"/>
    <w:rsid w:val="58931AE5"/>
    <w:rsid w:val="589579DA"/>
    <w:rsid w:val="58975E80"/>
    <w:rsid w:val="58977827"/>
    <w:rsid w:val="5898534D"/>
    <w:rsid w:val="589A2C5A"/>
    <w:rsid w:val="589F0489"/>
    <w:rsid w:val="589F672C"/>
    <w:rsid w:val="58A253FD"/>
    <w:rsid w:val="58A50CE3"/>
    <w:rsid w:val="58A9755A"/>
    <w:rsid w:val="58A97DBC"/>
    <w:rsid w:val="58AB4B55"/>
    <w:rsid w:val="58AE4B70"/>
    <w:rsid w:val="58AE4C17"/>
    <w:rsid w:val="58B06B3A"/>
    <w:rsid w:val="58B303D9"/>
    <w:rsid w:val="58B54896"/>
    <w:rsid w:val="58B71C77"/>
    <w:rsid w:val="58B8779D"/>
    <w:rsid w:val="58BA3515"/>
    <w:rsid w:val="58BD4DB3"/>
    <w:rsid w:val="58BD6B62"/>
    <w:rsid w:val="58BD6F6A"/>
    <w:rsid w:val="58C12AF6"/>
    <w:rsid w:val="58C14000"/>
    <w:rsid w:val="58C15B38"/>
    <w:rsid w:val="58C24F41"/>
    <w:rsid w:val="58C3686E"/>
    <w:rsid w:val="58C46142"/>
    <w:rsid w:val="58C779E0"/>
    <w:rsid w:val="58C83E84"/>
    <w:rsid w:val="58CF5213"/>
    <w:rsid w:val="58D11441"/>
    <w:rsid w:val="58D43D59"/>
    <w:rsid w:val="58D72319"/>
    <w:rsid w:val="58D75E75"/>
    <w:rsid w:val="58DA7713"/>
    <w:rsid w:val="58DC16DE"/>
    <w:rsid w:val="58DC2378"/>
    <w:rsid w:val="58DE1D8C"/>
    <w:rsid w:val="58DE3534"/>
    <w:rsid w:val="58DF4D2A"/>
    <w:rsid w:val="58E13419"/>
    <w:rsid w:val="58E14F46"/>
    <w:rsid w:val="58E2665F"/>
    <w:rsid w:val="58E30C85"/>
    <w:rsid w:val="58E30CBE"/>
    <w:rsid w:val="58E31E69"/>
    <w:rsid w:val="58E32A6C"/>
    <w:rsid w:val="58E37FE6"/>
    <w:rsid w:val="58E45D8D"/>
    <w:rsid w:val="58E93DFA"/>
    <w:rsid w:val="58F00CE5"/>
    <w:rsid w:val="58F10387"/>
    <w:rsid w:val="58F307D5"/>
    <w:rsid w:val="58F419FA"/>
    <w:rsid w:val="58F44C79"/>
    <w:rsid w:val="58F46A27"/>
    <w:rsid w:val="58F5082B"/>
    <w:rsid w:val="58F509F1"/>
    <w:rsid w:val="58F72073"/>
    <w:rsid w:val="58F85DEC"/>
    <w:rsid w:val="58FB15A0"/>
    <w:rsid w:val="58FC1D80"/>
    <w:rsid w:val="58FE1654"/>
    <w:rsid w:val="58FF1E58"/>
    <w:rsid w:val="58FF625A"/>
    <w:rsid w:val="58FF717A"/>
    <w:rsid w:val="59011144"/>
    <w:rsid w:val="590133D1"/>
    <w:rsid w:val="59017396"/>
    <w:rsid w:val="59044790"/>
    <w:rsid w:val="59060650"/>
    <w:rsid w:val="59061D13"/>
    <w:rsid w:val="5906675A"/>
    <w:rsid w:val="590A14DD"/>
    <w:rsid w:val="590A3278"/>
    <w:rsid w:val="590C3600"/>
    <w:rsid w:val="590D1C40"/>
    <w:rsid w:val="59146777"/>
    <w:rsid w:val="59151B75"/>
    <w:rsid w:val="5915699E"/>
    <w:rsid w:val="59162E41"/>
    <w:rsid w:val="5919711C"/>
    <w:rsid w:val="591C41D0"/>
    <w:rsid w:val="591E0896"/>
    <w:rsid w:val="591F7797"/>
    <w:rsid w:val="59215342"/>
    <w:rsid w:val="59232271"/>
    <w:rsid w:val="59253085"/>
    <w:rsid w:val="59264A99"/>
    <w:rsid w:val="59266203"/>
    <w:rsid w:val="59267244"/>
    <w:rsid w:val="59282B75"/>
    <w:rsid w:val="59294AF3"/>
    <w:rsid w:val="592A2449"/>
    <w:rsid w:val="592B4413"/>
    <w:rsid w:val="592C7D58"/>
    <w:rsid w:val="592F06C5"/>
    <w:rsid w:val="592F3F03"/>
    <w:rsid w:val="592F5CB1"/>
    <w:rsid w:val="5932549A"/>
    <w:rsid w:val="593307DD"/>
    <w:rsid w:val="59341051"/>
    <w:rsid w:val="5934151A"/>
    <w:rsid w:val="59345076"/>
    <w:rsid w:val="59350ABE"/>
    <w:rsid w:val="5936196D"/>
    <w:rsid w:val="593626CC"/>
    <w:rsid w:val="5939654B"/>
    <w:rsid w:val="593E5EF4"/>
    <w:rsid w:val="593E7CA2"/>
    <w:rsid w:val="594159E5"/>
    <w:rsid w:val="59433972"/>
    <w:rsid w:val="59452339"/>
    <w:rsid w:val="59461742"/>
    <w:rsid w:val="594A3E93"/>
    <w:rsid w:val="594D25DB"/>
    <w:rsid w:val="594D2DC3"/>
    <w:rsid w:val="594D6137"/>
    <w:rsid w:val="59520911"/>
    <w:rsid w:val="59525A79"/>
    <w:rsid w:val="59525F99"/>
    <w:rsid w:val="59527BF2"/>
    <w:rsid w:val="59590F80"/>
    <w:rsid w:val="595A2602"/>
    <w:rsid w:val="595B6AA6"/>
    <w:rsid w:val="595D3D97"/>
    <w:rsid w:val="595E182C"/>
    <w:rsid w:val="596040BD"/>
    <w:rsid w:val="596077FA"/>
    <w:rsid w:val="59611F88"/>
    <w:rsid w:val="59617D35"/>
    <w:rsid w:val="596271CE"/>
    <w:rsid w:val="59635888"/>
    <w:rsid w:val="59635E70"/>
    <w:rsid w:val="596404E6"/>
    <w:rsid w:val="596516D3"/>
    <w:rsid w:val="59693298"/>
    <w:rsid w:val="59697F43"/>
    <w:rsid w:val="596A0A97"/>
    <w:rsid w:val="596A4F3B"/>
    <w:rsid w:val="596C096E"/>
    <w:rsid w:val="596D0588"/>
    <w:rsid w:val="596D2336"/>
    <w:rsid w:val="59701E26"/>
    <w:rsid w:val="59704E92"/>
    <w:rsid w:val="59710078"/>
    <w:rsid w:val="597265D0"/>
    <w:rsid w:val="597436C4"/>
    <w:rsid w:val="597731B4"/>
    <w:rsid w:val="5979517E"/>
    <w:rsid w:val="597B0EF6"/>
    <w:rsid w:val="597C74F6"/>
    <w:rsid w:val="59802754"/>
    <w:rsid w:val="5981135B"/>
    <w:rsid w:val="59830822"/>
    <w:rsid w:val="59831B59"/>
    <w:rsid w:val="59851E84"/>
    <w:rsid w:val="598647CE"/>
    <w:rsid w:val="59864BB0"/>
    <w:rsid w:val="5987558A"/>
    <w:rsid w:val="59875AED"/>
    <w:rsid w:val="5987789B"/>
    <w:rsid w:val="5988716F"/>
    <w:rsid w:val="59897866"/>
    <w:rsid w:val="598A738C"/>
    <w:rsid w:val="598D5E93"/>
    <w:rsid w:val="598D6AF8"/>
    <w:rsid w:val="599018A5"/>
    <w:rsid w:val="59933B19"/>
    <w:rsid w:val="599563C7"/>
    <w:rsid w:val="59960F02"/>
    <w:rsid w:val="59965D30"/>
    <w:rsid w:val="59973856"/>
    <w:rsid w:val="5999312B"/>
    <w:rsid w:val="599B0D47"/>
    <w:rsid w:val="599D70BF"/>
    <w:rsid w:val="599E4BE5"/>
    <w:rsid w:val="599E6821"/>
    <w:rsid w:val="59A06E6C"/>
    <w:rsid w:val="59A541C5"/>
    <w:rsid w:val="59A55F73"/>
    <w:rsid w:val="59A74B39"/>
    <w:rsid w:val="59A75355"/>
    <w:rsid w:val="59A815C0"/>
    <w:rsid w:val="59A815FE"/>
    <w:rsid w:val="59AC0D97"/>
    <w:rsid w:val="59AC1815"/>
    <w:rsid w:val="59AD307A"/>
    <w:rsid w:val="59AF2530"/>
    <w:rsid w:val="59AF294E"/>
    <w:rsid w:val="59AF6DF2"/>
    <w:rsid w:val="59B12B6A"/>
    <w:rsid w:val="59B14918"/>
    <w:rsid w:val="59B150A2"/>
    <w:rsid w:val="59B30318"/>
    <w:rsid w:val="59B44408"/>
    <w:rsid w:val="59B82C7A"/>
    <w:rsid w:val="59B85B4B"/>
    <w:rsid w:val="59B9510A"/>
    <w:rsid w:val="59BB12F3"/>
    <w:rsid w:val="59BB5797"/>
    <w:rsid w:val="59BD784B"/>
    <w:rsid w:val="59BE4D82"/>
    <w:rsid w:val="59BE5287"/>
    <w:rsid w:val="59BF5379"/>
    <w:rsid w:val="59C00EBB"/>
    <w:rsid w:val="59C02DAD"/>
    <w:rsid w:val="59C12681"/>
    <w:rsid w:val="59C22B16"/>
    <w:rsid w:val="59C3464B"/>
    <w:rsid w:val="59C57C40"/>
    <w:rsid w:val="59C70173"/>
    <w:rsid w:val="59C77C98"/>
    <w:rsid w:val="59C812C8"/>
    <w:rsid w:val="59C97EB4"/>
    <w:rsid w:val="59CF2E66"/>
    <w:rsid w:val="59D14497"/>
    <w:rsid w:val="59D217EB"/>
    <w:rsid w:val="59D32AE1"/>
    <w:rsid w:val="59D35957"/>
    <w:rsid w:val="59D40607"/>
    <w:rsid w:val="59D423B5"/>
    <w:rsid w:val="59D52950"/>
    <w:rsid w:val="59D708D6"/>
    <w:rsid w:val="59D85847"/>
    <w:rsid w:val="59D94E1E"/>
    <w:rsid w:val="59D95C1D"/>
    <w:rsid w:val="59DB1C90"/>
    <w:rsid w:val="59DD409B"/>
    <w:rsid w:val="59DD5910"/>
    <w:rsid w:val="59E051FD"/>
    <w:rsid w:val="59E3084A"/>
    <w:rsid w:val="59E36A9C"/>
    <w:rsid w:val="59E37BAC"/>
    <w:rsid w:val="59E53CAA"/>
    <w:rsid w:val="59E74F14"/>
    <w:rsid w:val="59E768A5"/>
    <w:rsid w:val="59E817EF"/>
    <w:rsid w:val="59EA4C93"/>
    <w:rsid w:val="59EA607C"/>
    <w:rsid w:val="59EC5950"/>
    <w:rsid w:val="59EC7AB2"/>
    <w:rsid w:val="59ED3476"/>
    <w:rsid w:val="59EE16C8"/>
    <w:rsid w:val="59EF3692"/>
    <w:rsid w:val="59EF71EF"/>
    <w:rsid w:val="59F1740B"/>
    <w:rsid w:val="59F3611C"/>
    <w:rsid w:val="59F667CF"/>
    <w:rsid w:val="59F842F5"/>
    <w:rsid w:val="59FA28A1"/>
    <w:rsid w:val="59FB2037"/>
    <w:rsid w:val="59FB5DFE"/>
    <w:rsid w:val="59FB70D5"/>
    <w:rsid w:val="59FE7432"/>
    <w:rsid w:val="59FF38D6"/>
    <w:rsid w:val="5A020049"/>
    <w:rsid w:val="5A032C9A"/>
    <w:rsid w:val="5A056A12"/>
    <w:rsid w:val="5A06172F"/>
    <w:rsid w:val="5A0626FA"/>
    <w:rsid w:val="5A063515"/>
    <w:rsid w:val="5A0709DC"/>
    <w:rsid w:val="5A074538"/>
    <w:rsid w:val="5A0752CB"/>
    <w:rsid w:val="5A0A6864"/>
    <w:rsid w:val="5A0D28C9"/>
    <w:rsid w:val="5A0E3B19"/>
    <w:rsid w:val="5A0E58C7"/>
    <w:rsid w:val="5A122803"/>
    <w:rsid w:val="5A137381"/>
    <w:rsid w:val="5A166E71"/>
    <w:rsid w:val="5A1844DE"/>
    <w:rsid w:val="5A185B07"/>
    <w:rsid w:val="5A1B4488"/>
    <w:rsid w:val="5A1B6236"/>
    <w:rsid w:val="5A201118"/>
    <w:rsid w:val="5A2055FA"/>
    <w:rsid w:val="5A2068C3"/>
    <w:rsid w:val="5A221372"/>
    <w:rsid w:val="5A24333C"/>
    <w:rsid w:val="5A2570B4"/>
    <w:rsid w:val="5A276988"/>
    <w:rsid w:val="5A2E0C74"/>
    <w:rsid w:val="5A2E5F69"/>
    <w:rsid w:val="5A2E6C0D"/>
    <w:rsid w:val="5A2E7D17"/>
    <w:rsid w:val="5A2F3A8F"/>
    <w:rsid w:val="5A3023B2"/>
    <w:rsid w:val="5A315A59"/>
    <w:rsid w:val="5A332B7D"/>
    <w:rsid w:val="5A33532D"/>
    <w:rsid w:val="5A355C07"/>
    <w:rsid w:val="5A364E1D"/>
    <w:rsid w:val="5A366BCB"/>
    <w:rsid w:val="5A3910C8"/>
    <w:rsid w:val="5A3A1C71"/>
    <w:rsid w:val="5A3A2B60"/>
    <w:rsid w:val="5A3A7F15"/>
    <w:rsid w:val="5A3C31EA"/>
    <w:rsid w:val="5A3E3CD2"/>
    <w:rsid w:val="5A425322"/>
    <w:rsid w:val="5A427C66"/>
    <w:rsid w:val="5A461504"/>
    <w:rsid w:val="5A4724D4"/>
    <w:rsid w:val="5A484022"/>
    <w:rsid w:val="5A490FF5"/>
    <w:rsid w:val="5A4E03B9"/>
    <w:rsid w:val="5A4E7FD5"/>
    <w:rsid w:val="5A5233BE"/>
    <w:rsid w:val="5A533C21"/>
    <w:rsid w:val="5A5453FD"/>
    <w:rsid w:val="5A5534F6"/>
    <w:rsid w:val="5A571431"/>
    <w:rsid w:val="5A581029"/>
    <w:rsid w:val="5A582FE6"/>
    <w:rsid w:val="5A584D94"/>
    <w:rsid w:val="5A5879DD"/>
    <w:rsid w:val="5A5937F3"/>
    <w:rsid w:val="5A5A0B0C"/>
    <w:rsid w:val="5A5A6D5E"/>
    <w:rsid w:val="5A5B08EE"/>
    <w:rsid w:val="5A5B776D"/>
    <w:rsid w:val="5A5D5FAA"/>
    <w:rsid w:val="5A600155"/>
    <w:rsid w:val="5A601E9A"/>
    <w:rsid w:val="5A662370"/>
    <w:rsid w:val="5A663955"/>
    <w:rsid w:val="5A665EAB"/>
    <w:rsid w:val="5A680140"/>
    <w:rsid w:val="5A680661"/>
    <w:rsid w:val="5A686DF4"/>
    <w:rsid w:val="5A6951C3"/>
    <w:rsid w:val="5A6B5717"/>
    <w:rsid w:val="5A6C75D8"/>
    <w:rsid w:val="5A6D3ECB"/>
    <w:rsid w:val="5A6E45B7"/>
    <w:rsid w:val="5A73314A"/>
    <w:rsid w:val="5A737E20"/>
    <w:rsid w:val="5A744438"/>
    <w:rsid w:val="5A7476F4"/>
    <w:rsid w:val="5A755946"/>
    <w:rsid w:val="5A767910"/>
    <w:rsid w:val="5A771EDB"/>
    <w:rsid w:val="5A7957D3"/>
    <w:rsid w:val="5A7A2F5C"/>
    <w:rsid w:val="5A7C4F26"/>
    <w:rsid w:val="5A7F4A16"/>
    <w:rsid w:val="5A7F67C4"/>
    <w:rsid w:val="5A802498"/>
    <w:rsid w:val="5A8042EB"/>
    <w:rsid w:val="5A8416D8"/>
    <w:rsid w:val="5A842F53"/>
    <w:rsid w:val="5A856531"/>
    <w:rsid w:val="5A866761"/>
    <w:rsid w:val="5A875679"/>
    <w:rsid w:val="5A8B33BB"/>
    <w:rsid w:val="5A8B6F17"/>
    <w:rsid w:val="5A8C2C8F"/>
    <w:rsid w:val="5A9000B3"/>
    <w:rsid w:val="5A9009D2"/>
    <w:rsid w:val="5A920839"/>
    <w:rsid w:val="5A932E77"/>
    <w:rsid w:val="5A985AD8"/>
    <w:rsid w:val="5A9A061F"/>
    <w:rsid w:val="5A9A53AC"/>
    <w:rsid w:val="5A9C7376"/>
    <w:rsid w:val="5A9D29CF"/>
    <w:rsid w:val="5A9F0C15"/>
    <w:rsid w:val="5A9F4E2E"/>
    <w:rsid w:val="5A9F6E67"/>
    <w:rsid w:val="5AA12BDF"/>
    <w:rsid w:val="5AA12E61"/>
    <w:rsid w:val="5AA13D98"/>
    <w:rsid w:val="5AA2241F"/>
    <w:rsid w:val="5AA314BD"/>
    <w:rsid w:val="5AA4447D"/>
    <w:rsid w:val="5AA71877"/>
    <w:rsid w:val="5AAB1367"/>
    <w:rsid w:val="5AAB19BE"/>
    <w:rsid w:val="5AAC3332"/>
    <w:rsid w:val="5AAC5686"/>
    <w:rsid w:val="5AAE0E58"/>
    <w:rsid w:val="5AB04526"/>
    <w:rsid w:val="5AB22733"/>
    <w:rsid w:val="5AB32552"/>
    <w:rsid w:val="5AB346C0"/>
    <w:rsid w:val="5AB53F94"/>
    <w:rsid w:val="5AB6785F"/>
    <w:rsid w:val="5AB741B0"/>
    <w:rsid w:val="5AB7558E"/>
    <w:rsid w:val="5AB87F28"/>
    <w:rsid w:val="5AB908D4"/>
    <w:rsid w:val="5ABA15AB"/>
    <w:rsid w:val="5ABA3CE7"/>
    <w:rsid w:val="5ABB539F"/>
    <w:rsid w:val="5ABD553F"/>
    <w:rsid w:val="5ABD7CBF"/>
    <w:rsid w:val="5ABE3BC9"/>
    <w:rsid w:val="5ABE7C65"/>
    <w:rsid w:val="5ABF12B7"/>
    <w:rsid w:val="5AC14805"/>
    <w:rsid w:val="5AC24903"/>
    <w:rsid w:val="5AC32B55"/>
    <w:rsid w:val="5AC33B31"/>
    <w:rsid w:val="5AC5238C"/>
    <w:rsid w:val="5AC70954"/>
    <w:rsid w:val="5AC73942"/>
    <w:rsid w:val="5AC8016B"/>
    <w:rsid w:val="5AC81FAD"/>
    <w:rsid w:val="5AC82171"/>
    <w:rsid w:val="5AC97A40"/>
    <w:rsid w:val="5ACB37B8"/>
    <w:rsid w:val="5ACC12DE"/>
    <w:rsid w:val="5ACD5782"/>
    <w:rsid w:val="5ACE2385"/>
    <w:rsid w:val="5ACF4493"/>
    <w:rsid w:val="5AD14B46"/>
    <w:rsid w:val="5AD20FEA"/>
    <w:rsid w:val="5AD34C11"/>
    <w:rsid w:val="5AD6449F"/>
    <w:rsid w:val="5AD7215D"/>
    <w:rsid w:val="5ADA39FB"/>
    <w:rsid w:val="5ADA7E9F"/>
    <w:rsid w:val="5ADD29F0"/>
    <w:rsid w:val="5AE107FB"/>
    <w:rsid w:val="5AE14981"/>
    <w:rsid w:val="5AE605F2"/>
    <w:rsid w:val="5AE8158A"/>
    <w:rsid w:val="5AE8436A"/>
    <w:rsid w:val="5AE85BC7"/>
    <w:rsid w:val="5AEA62E5"/>
    <w:rsid w:val="5AEA649A"/>
    <w:rsid w:val="5AEB18AD"/>
    <w:rsid w:val="5AEB44B6"/>
    <w:rsid w:val="5AEB5C08"/>
    <w:rsid w:val="5AEC590E"/>
    <w:rsid w:val="5AEC6705"/>
    <w:rsid w:val="5AED1980"/>
    <w:rsid w:val="5AEE6011"/>
    <w:rsid w:val="5AF01470"/>
    <w:rsid w:val="5AF0571F"/>
    <w:rsid w:val="5AF11533"/>
    <w:rsid w:val="5AF209B8"/>
    <w:rsid w:val="5AF2100E"/>
    <w:rsid w:val="5AF2343A"/>
    <w:rsid w:val="5AF34ABD"/>
    <w:rsid w:val="5AF50835"/>
    <w:rsid w:val="5AF56A87"/>
    <w:rsid w:val="5AF65594"/>
    <w:rsid w:val="5AF745AD"/>
    <w:rsid w:val="5AF97D15"/>
    <w:rsid w:val="5AFA5E4B"/>
    <w:rsid w:val="5AFD12A8"/>
    <w:rsid w:val="5AFF3EBE"/>
    <w:rsid w:val="5B0069DA"/>
    <w:rsid w:val="5B01367D"/>
    <w:rsid w:val="5B016286"/>
    <w:rsid w:val="5B016D02"/>
    <w:rsid w:val="5B0445C2"/>
    <w:rsid w:val="5B046CCA"/>
    <w:rsid w:val="5B06622A"/>
    <w:rsid w:val="5B073DE6"/>
    <w:rsid w:val="5B084A0C"/>
    <w:rsid w:val="5B0942E0"/>
    <w:rsid w:val="5B0C41F8"/>
    <w:rsid w:val="5B0D5B7E"/>
    <w:rsid w:val="5B100C49"/>
    <w:rsid w:val="5B101B12"/>
    <w:rsid w:val="5B1038C0"/>
    <w:rsid w:val="5B110CC7"/>
    <w:rsid w:val="5B113E9E"/>
    <w:rsid w:val="5B141042"/>
    <w:rsid w:val="5B154B1A"/>
    <w:rsid w:val="5B166108"/>
    <w:rsid w:val="5B173D60"/>
    <w:rsid w:val="5B1769FD"/>
    <w:rsid w:val="5B183850"/>
    <w:rsid w:val="5B1C32AC"/>
    <w:rsid w:val="5B1D473C"/>
    <w:rsid w:val="5B1F1D55"/>
    <w:rsid w:val="5B1F1DFE"/>
    <w:rsid w:val="5B2004EC"/>
    <w:rsid w:val="5B2010E2"/>
    <w:rsid w:val="5B24111A"/>
    <w:rsid w:val="5B24736C"/>
    <w:rsid w:val="5B252F9E"/>
    <w:rsid w:val="5B255706"/>
    <w:rsid w:val="5B2B06FA"/>
    <w:rsid w:val="5B2D4472"/>
    <w:rsid w:val="5B2F01EA"/>
    <w:rsid w:val="5B30343D"/>
    <w:rsid w:val="5B316CA1"/>
    <w:rsid w:val="5B321A89"/>
    <w:rsid w:val="5B3439B1"/>
    <w:rsid w:val="5B344779"/>
    <w:rsid w:val="5B350A06"/>
    <w:rsid w:val="5B351AD4"/>
    <w:rsid w:val="5B353327"/>
    <w:rsid w:val="5B391E7F"/>
    <w:rsid w:val="5B3A4F19"/>
    <w:rsid w:val="5B3B6725"/>
    <w:rsid w:val="5B3C2CA6"/>
    <w:rsid w:val="5B3D18AF"/>
    <w:rsid w:val="5B3E042E"/>
    <w:rsid w:val="5B3F1217"/>
    <w:rsid w:val="5B4044D2"/>
    <w:rsid w:val="5B433C96"/>
    <w:rsid w:val="5B436457"/>
    <w:rsid w:val="5B4377F2"/>
    <w:rsid w:val="5B44356A"/>
    <w:rsid w:val="5B4516CD"/>
    <w:rsid w:val="5B455E20"/>
    <w:rsid w:val="5B45748A"/>
    <w:rsid w:val="5B4612B7"/>
    <w:rsid w:val="5B4669BF"/>
    <w:rsid w:val="5B466B83"/>
    <w:rsid w:val="5B486848"/>
    <w:rsid w:val="5B486DE4"/>
    <w:rsid w:val="5B4A2E93"/>
    <w:rsid w:val="5B4B66A7"/>
    <w:rsid w:val="5B4C57D4"/>
    <w:rsid w:val="5B4C6D34"/>
    <w:rsid w:val="5B4D0671"/>
    <w:rsid w:val="5B4F43E9"/>
    <w:rsid w:val="5B503CBD"/>
    <w:rsid w:val="5B50627E"/>
    <w:rsid w:val="5B5063B8"/>
    <w:rsid w:val="5B514F34"/>
    <w:rsid w:val="5B5163B3"/>
    <w:rsid w:val="5B5277F7"/>
    <w:rsid w:val="5B547C51"/>
    <w:rsid w:val="5B553F40"/>
    <w:rsid w:val="5B557525"/>
    <w:rsid w:val="5B565675"/>
    <w:rsid w:val="5B572E88"/>
    <w:rsid w:val="5B57329D"/>
    <w:rsid w:val="5B574F50"/>
    <w:rsid w:val="5B58794A"/>
    <w:rsid w:val="5B5A5164"/>
    <w:rsid w:val="5B5A608F"/>
    <w:rsid w:val="5B5C12F2"/>
    <w:rsid w:val="5B5D61DB"/>
    <w:rsid w:val="5B5E462C"/>
    <w:rsid w:val="5B5F2152"/>
    <w:rsid w:val="5B615ECA"/>
    <w:rsid w:val="5B635BBA"/>
    <w:rsid w:val="5B647768"/>
    <w:rsid w:val="5B683EE7"/>
    <w:rsid w:val="5B6854AA"/>
    <w:rsid w:val="5B6918B3"/>
    <w:rsid w:val="5B6A2FD1"/>
    <w:rsid w:val="5B6B09E7"/>
    <w:rsid w:val="5B6B0AF7"/>
    <w:rsid w:val="5B6C2BA5"/>
    <w:rsid w:val="5B6C7509"/>
    <w:rsid w:val="5B6E20A4"/>
    <w:rsid w:val="5B6E240F"/>
    <w:rsid w:val="5B721297"/>
    <w:rsid w:val="5B72240C"/>
    <w:rsid w:val="5B731AE1"/>
    <w:rsid w:val="5B737973"/>
    <w:rsid w:val="5B744166"/>
    <w:rsid w:val="5B745285"/>
    <w:rsid w:val="5B745BFD"/>
    <w:rsid w:val="5B765E19"/>
    <w:rsid w:val="5B767BC7"/>
    <w:rsid w:val="5B773940"/>
    <w:rsid w:val="5B7839DE"/>
    <w:rsid w:val="5B7A6F8C"/>
    <w:rsid w:val="5B7C2D04"/>
    <w:rsid w:val="5B7C4A37"/>
    <w:rsid w:val="5B7D4360"/>
    <w:rsid w:val="5B7F2D91"/>
    <w:rsid w:val="5B7F45A2"/>
    <w:rsid w:val="5B826821"/>
    <w:rsid w:val="5B835E40"/>
    <w:rsid w:val="5B87667C"/>
    <w:rsid w:val="5B8816A9"/>
    <w:rsid w:val="5B89006B"/>
    <w:rsid w:val="5B8A3673"/>
    <w:rsid w:val="5B8D335F"/>
    <w:rsid w:val="5B8D4F11"/>
    <w:rsid w:val="5B8F1689"/>
    <w:rsid w:val="5B904A5E"/>
    <w:rsid w:val="5B94004E"/>
    <w:rsid w:val="5B9601D2"/>
    <w:rsid w:val="5B971648"/>
    <w:rsid w:val="5B983FD5"/>
    <w:rsid w:val="5B9900F2"/>
    <w:rsid w:val="5B9938B6"/>
    <w:rsid w:val="5B9A0A8F"/>
    <w:rsid w:val="5B9A45E1"/>
    <w:rsid w:val="5B9B13DC"/>
    <w:rsid w:val="5B9B5880"/>
    <w:rsid w:val="5B9D7062"/>
    <w:rsid w:val="5BA109BC"/>
    <w:rsid w:val="5BA242CD"/>
    <w:rsid w:val="5BA261E3"/>
    <w:rsid w:val="5BA30291"/>
    <w:rsid w:val="5BA504AD"/>
    <w:rsid w:val="5BA54009"/>
    <w:rsid w:val="5BA67D81"/>
    <w:rsid w:val="5BA741CE"/>
    <w:rsid w:val="5BAC35E9"/>
    <w:rsid w:val="5BAC5489"/>
    <w:rsid w:val="5BAE3877"/>
    <w:rsid w:val="5BB10BFF"/>
    <w:rsid w:val="5BB11054"/>
    <w:rsid w:val="5BB16E51"/>
    <w:rsid w:val="5BB25227"/>
    <w:rsid w:val="5BB4249E"/>
    <w:rsid w:val="5BB57FC4"/>
    <w:rsid w:val="5BB6514A"/>
    <w:rsid w:val="5BB95D06"/>
    <w:rsid w:val="5BBA55DA"/>
    <w:rsid w:val="5BC07095"/>
    <w:rsid w:val="5BC112B7"/>
    <w:rsid w:val="5BC112B9"/>
    <w:rsid w:val="5BC16969"/>
    <w:rsid w:val="5BC30933"/>
    <w:rsid w:val="5BC522BB"/>
    <w:rsid w:val="5BC53F6F"/>
    <w:rsid w:val="5BC546AB"/>
    <w:rsid w:val="5BC6799A"/>
    <w:rsid w:val="5BCA7FDA"/>
    <w:rsid w:val="5BCC3C8B"/>
    <w:rsid w:val="5BCC6A4F"/>
    <w:rsid w:val="5BCF552A"/>
    <w:rsid w:val="5BD043CD"/>
    <w:rsid w:val="5BD14DA8"/>
    <w:rsid w:val="5BD14DFE"/>
    <w:rsid w:val="5BD20B76"/>
    <w:rsid w:val="5BD25946"/>
    <w:rsid w:val="5BD32F24"/>
    <w:rsid w:val="5BD42B40"/>
    <w:rsid w:val="5BD84FE4"/>
    <w:rsid w:val="5BD9769A"/>
    <w:rsid w:val="5BDA3C8D"/>
    <w:rsid w:val="5BDC5080"/>
    <w:rsid w:val="5BDC74A3"/>
    <w:rsid w:val="5BDE5985"/>
    <w:rsid w:val="5BDF0B13"/>
    <w:rsid w:val="5BDF79BF"/>
    <w:rsid w:val="5BE32D83"/>
    <w:rsid w:val="5BE3427E"/>
    <w:rsid w:val="5BE37393"/>
    <w:rsid w:val="5BE61DF0"/>
    <w:rsid w:val="5BE80399"/>
    <w:rsid w:val="5BEA5EBF"/>
    <w:rsid w:val="5BEB1E5A"/>
    <w:rsid w:val="5BEC60DC"/>
    <w:rsid w:val="5BEE6D28"/>
    <w:rsid w:val="5BEF0C8B"/>
    <w:rsid w:val="5BF157DE"/>
    <w:rsid w:val="5BF16316"/>
    <w:rsid w:val="5BF25889"/>
    <w:rsid w:val="5BF40AEC"/>
    <w:rsid w:val="5BF768E4"/>
    <w:rsid w:val="5BF7739A"/>
    <w:rsid w:val="5BFB3A80"/>
    <w:rsid w:val="5BFE382E"/>
    <w:rsid w:val="5BFE5E0F"/>
    <w:rsid w:val="5BFF4746"/>
    <w:rsid w:val="5C001B87"/>
    <w:rsid w:val="5C0025B7"/>
    <w:rsid w:val="5C03363F"/>
    <w:rsid w:val="5C050F4B"/>
    <w:rsid w:val="5C052A04"/>
    <w:rsid w:val="5C074CC3"/>
    <w:rsid w:val="5C0827EA"/>
    <w:rsid w:val="5C0A0310"/>
    <w:rsid w:val="5C0C22DA"/>
    <w:rsid w:val="5C0E2225"/>
    <w:rsid w:val="5C11209A"/>
    <w:rsid w:val="5C120900"/>
    <w:rsid w:val="5C133668"/>
    <w:rsid w:val="5C145A54"/>
    <w:rsid w:val="5C182A2D"/>
    <w:rsid w:val="5C1967A5"/>
    <w:rsid w:val="5C1A18C6"/>
    <w:rsid w:val="5C1B0081"/>
    <w:rsid w:val="5C1B782B"/>
    <w:rsid w:val="5C1D55FB"/>
    <w:rsid w:val="5C21481C"/>
    <w:rsid w:val="5C2238AB"/>
    <w:rsid w:val="5C245875"/>
    <w:rsid w:val="5C2855D3"/>
    <w:rsid w:val="5C292E8C"/>
    <w:rsid w:val="5C2A6C04"/>
    <w:rsid w:val="5C2C2C43"/>
    <w:rsid w:val="5C2F5FC8"/>
    <w:rsid w:val="5C317F92"/>
    <w:rsid w:val="5C355E41"/>
    <w:rsid w:val="5C3564CD"/>
    <w:rsid w:val="5C3655A9"/>
    <w:rsid w:val="5C36718D"/>
    <w:rsid w:val="5C37035E"/>
    <w:rsid w:val="5C3746EE"/>
    <w:rsid w:val="5C3830CF"/>
    <w:rsid w:val="5C390BF5"/>
    <w:rsid w:val="5C3D2493"/>
    <w:rsid w:val="5C3F445D"/>
    <w:rsid w:val="5C4557EC"/>
    <w:rsid w:val="5C45759A"/>
    <w:rsid w:val="5C471564"/>
    <w:rsid w:val="5C473312"/>
    <w:rsid w:val="5C4750C0"/>
    <w:rsid w:val="5C475EAA"/>
    <w:rsid w:val="5C484BDD"/>
    <w:rsid w:val="5C484F48"/>
    <w:rsid w:val="5C49708A"/>
    <w:rsid w:val="5C4D676A"/>
    <w:rsid w:val="5C4E068B"/>
    <w:rsid w:val="5C4F21C6"/>
    <w:rsid w:val="5C503C25"/>
    <w:rsid w:val="5C5150CA"/>
    <w:rsid w:val="5C533A65"/>
    <w:rsid w:val="5C550BA8"/>
    <w:rsid w:val="5C566F47"/>
    <w:rsid w:val="5C5958C8"/>
    <w:rsid w:val="5C5C535F"/>
    <w:rsid w:val="5C5E4398"/>
    <w:rsid w:val="5C5F5108"/>
    <w:rsid w:val="5C6043D4"/>
    <w:rsid w:val="5C61531C"/>
    <w:rsid w:val="5C621EFA"/>
    <w:rsid w:val="5C62639E"/>
    <w:rsid w:val="5C66288B"/>
    <w:rsid w:val="5C663F1D"/>
    <w:rsid w:val="5C670ED4"/>
    <w:rsid w:val="5C6739B4"/>
    <w:rsid w:val="5C6953BD"/>
    <w:rsid w:val="5C6A49BE"/>
    <w:rsid w:val="5C6A5252"/>
    <w:rsid w:val="5C6C0FCA"/>
    <w:rsid w:val="5C6C4B26"/>
    <w:rsid w:val="5C6C6ABA"/>
    <w:rsid w:val="5C6E7D9F"/>
    <w:rsid w:val="5C71323B"/>
    <w:rsid w:val="5C72548C"/>
    <w:rsid w:val="5C7A173B"/>
    <w:rsid w:val="5C7D6D34"/>
    <w:rsid w:val="5C7E6D7D"/>
    <w:rsid w:val="5C7F0CFE"/>
    <w:rsid w:val="5C8005D2"/>
    <w:rsid w:val="5C82610F"/>
    <w:rsid w:val="5C826B51"/>
    <w:rsid w:val="5C8271B2"/>
    <w:rsid w:val="5C853455"/>
    <w:rsid w:val="5C86208C"/>
    <w:rsid w:val="5C8949A7"/>
    <w:rsid w:val="5C8E2CEF"/>
    <w:rsid w:val="5C922CA1"/>
    <w:rsid w:val="5C951968"/>
    <w:rsid w:val="5C95407D"/>
    <w:rsid w:val="5C97682F"/>
    <w:rsid w:val="5C983B6D"/>
    <w:rsid w:val="5C986EF9"/>
    <w:rsid w:val="5C9A1694"/>
    <w:rsid w:val="5C9B365E"/>
    <w:rsid w:val="5C9D1184"/>
    <w:rsid w:val="5C9D48B8"/>
    <w:rsid w:val="5C9E402C"/>
    <w:rsid w:val="5C9F314E"/>
    <w:rsid w:val="5CA00C74"/>
    <w:rsid w:val="5CA80969"/>
    <w:rsid w:val="5CA93FCD"/>
    <w:rsid w:val="5CA97B29"/>
    <w:rsid w:val="5CAB1AF3"/>
    <w:rsid w:val="5CAC2DD4"/>
    <w:rsid w:val="5CAD5F7D"/>
    <w:rsid w:val="5CAD6132"/>
    <w:rsid w:val="5CAE4E65"/>
    <w:rsid w:val="5CAF2C65"/>
    <w:rsid w:val="5CB22E1D"/>
    <w:rsid w:val="5CB337F7"/>
    <w:rsid w:val="5CB35043"/>
    <w:rsid w:val="5CB45ED9"/>
    <w:rsid w:val="5CB647FF"/>
    <w:rsid w:val="5CB70498"/>
    <w:rsid w:val="5CB87D6C"/>
    <w:rsid w:val="5CB97A26"/>
    <w:rsid w:val="5CBB0FE6"/>
    <w:rsid w:val="5CBB4232"/>
    <w:rsid w:val="5CBD1826"/>
    <w:rsid w:val="5CBD7F70"/>
    <w:rsid w:val="5CBE34B8"/>
    <w:rsid w:val="5CBF0E96"/>
    <w:rsid w:val="5CBF0F39"/>
    <w:rsid w:val="5CBF47F4"/>
    <w:rsid w:val="5CC04E72"/>
    <w:rsid w:val="5CC11316"/>
    <w:rsid w:val="5CC15D6D"/>
    <w:rsid w:val="5CC26747"/>
    <w:rsid w:val="5CC26E3C"/>
    <w:rsid w:val="5CC44887"/>
    <w:rsid w:val="5CC44962"/>
    <w:rsid w:val="5CC44E2E"/>
    <w:rsid w:val="5CC46711"/>
    <w:rsid w:val="5CC76201"/>
    <w:rsid w:val="5CC84698"/>
    <w:rsid w:val="5CCD6007"/>
    <w:rsid w:val="5CCD7D10"/>
    <w:rsid w:val="5CD10E2D"/>
    <w:rsid w:val="5CD50504"/>
    <w:rsid w:val="5CD5091E"/>
    <w:rsid w:val="5CD54512"/>
    <w:rsid w:val="5CD54DC2"/>
    <w:rsid w:val="5CDA167E"/>
    <w:rsid w:val="5CDC1CAC"/>
    <w:rsid w:val="5CDC7EFE"/>
    <w:rsid w:val="5CE0366C"/>
    <w:rsid w:val="5CE05C01"/>
    <w:rsid w:val="5CE36871"/>
    <w:rsid w:val="5CE60D7D"/>
    <w:rsid w:val="5CE639D8"/>
    <w:rsid w:val="5CE842FC"/>
    <w:rsid w:val="5CE84AF5"/>
    <w:rsid w:val="5CE86853"/>
    <w:rsid w:val="5CE95E77"/>
    <w:rsid w:val="5CE96177"/>
    <w:rsid w:val="5CEC1DF1"/>
    <w:rsid w:val="5CEC5C67"/>
    <w:rsid w:val="5CED6182"/>
    <w:rsid w:val="5CF21813"/>
    <w:rsid w:val="5CF241B7"/>
    <w:rsid w:val="5CF27722"/>
    <w:rsid w:val="5CF43966"/>
    <w:rsid w:val="5CF54B1C"/>
    <w:rsid w:val="5CF70654"/>
    <w:rsid w:val="5CF75C4C"/>
    <w:rsid w:val="5CF76AE6"/>
    <w:rsid w:val="5CF8285E"/>
    <w:rsid w:val="5CF83777"/>
    <w:rsid w:val="5CF90734"/>
    <w:rsid w:val="5CFD7E74"/>
    <w:rsid w:val="5CFF1E3E"/>
    <w:rsid w:val="5CFF708F"/>
    <w:rsid w:val="5D014829"/>
    <w:rsid w:val="5D015BB7"/>
    <w:rsid w:val="5D023E8F"/>
    <w:rsid w:val="5D035061"/>
    <w:rsid w:val="5D096819"/>
    <w:rsid w:val="5D101956"/>
    <w:rsid w:val="5D107BA8"/>
    <w:rsid w:val="5D136571"/>
    <w:rsid w:val="5D1458EA"/>
    <w:rsid w:val="5D15428C"/>
    <w:rsid w:val="5D170F36"/>
    <w:rsid w:val="5D1C02FB"/>
    <w:rsid w:val="5D1C654D"/>
    <w:rsid w:val="5D1D22C5"/>
    <w:rsid w:val="5D1F428F"/>
    <w:rsid w:val="5D213664"/>
    <w:rsid w:val="5D227959"/>
    <w:rsid w:val="5D236733"/>
    <w:rsid w:val="5D23755F"/>
    <w:rsid w:val="5D243F4A"/>
    <w:rsid w:val="5D24642F"/>
    <w:rsid w:val="5D253757"/>
    <w:rsid w:val="5D2654E3"/>
    <w:rsid w:val="5D26635F"/>
    <w:rsid w:val="5D274D42"/>
    <w:rsid w:val="5D28166C"/>
    <w:rsid w:val="5D2B21CE"/>
    <w:rsid w:val="5D2F6C90"/>
    <w:rsid w:val="5D312F4D"/>
    <w:rsid w:val="5D350B78"/>
    <w:rsid w:val="5D363DD9"/>
    <w:rsid w:val="5D372FDE"/>
    <w:rsid w:val="5D37777A"/>
    <w:rsid w:val="5D3A3112"/>
    <w:rsid w:val="5D3B49BA"/>
    <w:rsid w:val="5D3B6F2A"/>
    <w:rsid w:val="5D3C0503"/>
    <w:rsid w:val="5D3C6783"/>
    <w:rsid w:val="5D3E04F6"/>
    <w:rsid w:val="5D3F048D"/>
    <w:rsid w:val="5D3F47CB"/>
    <w:rsid w:val="5D3F66DF"/>
    <w:rsid w:val="5D445AA3"/>
    <w:rsid w:val="5D447851"/>
    <w:rsid w:val="5D450961"/>
    <w:rsid w:val="5D4567E9"/>
    <w:rsid w:val="5D46181B"/>
    <w:rsid w:val="5D467388"/>
    <w:rsid w:val="5D467BE5"/>
    <w:rsid w:val="5D49044E"/>
    <w:rsid w:val="5D4A130C"/>
    <w:rsid w:val="5D4D0C02"/>
    <w:rsid w:val="5D503F20"/>
    <w:rsid w:val="5D5339AB"/>
    <w:rsid w:val="5D543F38"/>
    <w:rsid w:val="5D544A35"/>
    <w:rsid w:val="5D546CA2"/>
    <w:rsid w:val="5D557CB0"/>
    <w:rsid w:val="5D5639DD"/>
    <w:rsid w:val="5D5757D7"/>
    <w:rsid w:val="5D5850AB"/>
    <w:rsid w:val="5D597CC6"/>
    <w:rsid w:val="5D5A0E23"/>
    <w:rsid w:val="5D5A13D3"/>
    <w:rsid w:val="5D5C1168"/>
    <w:rsid w:val="5D5E6B65"/>
    <w:rsid w:val="5D6172C5"/>
    <w:rsid w:val="5D635F29"/>
    <w:rsid w:val="5D641CA2"/>
    <w:rsid w:val="5D645228"/>
    <w:rsid w:val="5D647EF4"/>
    <w:rsid w:val="5D663C6C"/>
    <w:rsid w:val="5D6677C8"/>
    <w:rsid w:val="5D6879E4"/>
    <w:rsid w:val="5D694C13"/>
    <w:rsid w:val="5D6972B8"/>
    <w:rsid w:val="5D6B1052"/>
    <w:rsid w:val="5D6B326F"/>
    <w:rsid w:val="5D6D4FFA"/>
    <w:rsid w:val="5D6E4AE7"/>
    <w:rsid w:val="5D6F17B3"/>
    <w:rsid w:val="5D720862"/>
    <w:rsid w:val="5D743EE0"/>
    <w:rsid w:val="5D757C05"/>
    <w:rsid w:val="5D7706E8"/>
    <w:rsid w:val="5D7719D5"/>
    <w:rsid w:val="5D796643"/>
    <w:rsid w:val="5D796F08"/>
    <w:rsid w:val="5D7B6683"/>
    <w:rsid w:val="5D7C32DD"/>
    <w:rsid w:val="5D7C523D"/>
    <w:rsid w:val="5D7E2D63"/>
    <w:rsid w:val="5D804D2D"/>
    <w:rsid w:val="5D83481E"/>
    <w:rsid w:val="5D845EA0"/>
    <w:rsid w:val="5D850596"/>
    <w:rsid w:val="5D852344"/>
    <w:rsid w:val="5D866F60"/>
    <w:rsid w:val="5D891708"/>
    <w:rsid w:val="5D8A5BAC"/>
    <w:rsid w:val="5D8B232B"/>
    <w:rsid w:val="5D8D321C"/>
    <w:rsid w:val="5D8D744A"/>
    <w:rsid w:val="5D8E4A8A"/>
    <w:rsid w:val="5D8F05AD"/>
    <w:rsid w:val="5D904324"/>
    <w:rsid w:val="5D9057B4"/>
    <w:rsid w:val="5D92222A"/>
    <w:rsid w:val="5D92643E"/>
    <w:rsid w:val="5D92680F"/>
    <w:rsid w:val="5D930F11"/>
    <w:rsid w:val="5D971AA4"/>
    <w:rsid w:val="5D975399"/>
    <w:rsid w:val="5D9E1657"/>
    <w:rsid w:val="5D9E3405"/>
    <w:rsid w:val="5D9F0F2C"/>
    <w:rsid w:val="5D9F27A5"/>
    <w:rsid w:val="5D9F6ABC"/>
    <w:rsid w:val="5DA14CA4"/>
    <w:rsid w:val="5DA30A1C"/>
    <w:rsid w:val="5DA46C2D"/>
    <w:rsid w:val="5DA479AA"/>
    <w:rsid w:val="5DA54CC3"/>
    <w:rsid w:val="5DA64068"/>
    <w:rsid w:val="5DA84284"/>
    <w:rsid w:val="5DA90DAF"/>
    <w:rsid w:val="5DAD15E7"/>
    <w:rsid w:val="5DAF116F"/>
    <w:rsid w:val="5DAF73C1"/>
    <w:rsid w:val="5DB03139"/>
    <w:rsid w:val="5DB20C8E"/>
    <w:rsid w:val="5DB25F7C"/>
    <w:rsid w:val="5DB26EB1"/>
    <w:rsid w:val="5DB41AAE"/>
    <w:rsid w:val="5DB42C29"/>
    <w:rsid w:val="5DB6074F"/>
    <w:rsid w:val="5DB669A1"/>
    <w:rsid w:val="5DB70023"/>
    <w:rsid w:val="5DB744C7"/>
    <w:rsid w:val="5DB76275"/>
    <w:rsid w:val="5DB91FED"/>
    <w:rsid w:val="5DBA0DD1"/>
    <w:rsid w:val="5DC10EA2"/>
    <w:rsid w:val="5DC170F4"/>
    <w:rsid w:val="5DC314AD"/>
    <w:rsid w:val="5DC34C1A"/>
    <w:rsid w:val="5DC54774"/>
    <w:rsid w:val="5DCA41FA"/>
    <w:rsid w:val="5DCF35BF"/>
    <w:rsid w:val="5DD017B6"/>
    <w:rsid w:val="5DD2630F"/>
    <w:rsid w:val="5DD3131E"/>
    <w:rsid w:val="5DD4044E"/>
    <w:rsid w:val="5DD80B1B"/>
    <w:rsid w:val="5DD874B9"/>
    <w:rsid w:val="5DD91686"/>
    <w:rsid w:val="5DD961EC"/>
    <w:rsid w:val="5DDB1F64"/>
    <w:rsid w:val="5DDB4E6C"/>
    <w:rsid w:val="5DDB68C9"/>
    <w:rsid w:val="5DDC11E9"/>
    <w:rsid w:val="5DDC2B1A"/>
    <w:rsid w:val="5DDD2180"/>
    <w:rsid w:val="5DDE6FA2"/>
    <w:rsid w:val="5DE03A1E"/>
    <w:rsid w:val="5DE1497B"/>
    <w:rsid w:val="5DE27796"/>
    <w:rsid w:val="5DE51034"/>
    <w:rsid w:val="5DE77B30"/>
    <w:rsid w:val="5DE80B25"/>
    <w:rsid w:val="5DEA21A7"/>
    <w:rsid w:val="5DEB4E23"/>
    <w:rsid w:val="5DEC1CA0"/>
    <w:rsid w:val="5DEE3610"/>
    <w:rsid w:val="5DEF3C61"/>
    <w:rsid w:val="5DF0015B"/>
    <w:rsid w:val="5DF272AD"/>
    <w:rsid w:val="5DF92A29"/>
    <w:rsid w:val="5DFB2606"/>
    <w:rsid w:val="5DFD25B8"/>
    <w:rsid w:val="5DFE3EA4"/>
    <w:rsid w:val="5DFE5C52"/>
    <w:rsid w:val="5E002A7D"/>
    <w:rsid w:val="5E005E6E"/>
    <w:rsid w:val="5E007C1C"/>
    <w:rsid w:val="5E021BE6"/>
    <w:rsid w:val="5E03770C"/>
    <w:rsid w:val="5E082F75"/>
    <w:rsid w:val="5E086AD1"/>
    <w:rsid w:val="5E0A0A9B"/>
    <w:rsid w:val="5E0A2849"/>
    <w:rsid w:val="5E0A62C7"/>
    <w:rsid w:val="5E0C65C1"/>
    <w:rsid w:val="5E1436C8"/>
    <w:rsid w:val="5E145476"/>
    <w:rsid w:val="5E1611EE"/>
    <w:rsid w:val="5E1653BF"/>
    <w:rsid w:val="5E174F66"/>
    <w:rsid w:val="5E196F30"/>
    <w:rsid w:val="5E1973BD"/>
    <w:rsid w:val="5E197DFF"/>
    <w:rsid w:val="5E1B2CA8"/>
    <w:rsid w:val="5E257683"/>
    <w:rsid w:val="5E261F22"/>
    <w:rsid w:val="5E280F21"/>
    <w:rsid w:val="5E285BAD"/>
    <w:rsid w:val="5E2C54B4"/>
    <w:rsid w:val="5E2E5787"/>
    <w:rsid w:val="5E2F22B0"/>
    <w:rsid w:val="5E316028"/>
    <w:rsid w:val="5E360964"/>
    <w:rsid w:val="5E363E56"/>
    <w:rsid w:val="5E3830F0"/>
    <w:rsid w:val="5E39312E"/>
    <w:rsid w:val="5E3B2A02"/>
    <w:rsid w:val="5E3C677A"/>
    <w:rsid w:val="5E3D2C1E"/>
    <w:rsid w:val="5E3D49CC"/>
    <w:rsid w:val="5E3E6996"/>
    <w:rsid w:val="5E413D91"/>
    <w:rsid w:val="5E451AD3"/>
    <w:rsid w:val="5E453280"/>
    <w:rsid w:val="5E453881"/>
    <w:rsid w:val="5E4562C8"/>
    <w:rsid w:val="5E45647E"/>
    <w:rsid w:val="5E4618E9"/>
    <w:rsid w:val="5E473A9D"/>
    <w:rsid w:val="5E482FBE"/>
    <w:rsid w:val="5E4B1CBE"/>
    <w:rsid w:val="5E4C006B"/>
    <w:rsid w:val="5E4C10B3"/>
    <w:rsid w:val="5E4D0988"/>
    <w:rsid w:val="5E4D1421"/>
    <w:rsid w:val="5E4D2736"/>
    <w:rsid w:val="5E4F64AE"/>
    <w:rsid w:val="5E50299B"/>
    <w:rsid w:val="5E51429A"/>
    <w:rsid w:val="5E523871"/>
    <w:rsid w:val="5E526B1C"/>
    <w:rsid w:val="5E541D16"/>
    <w:rsid w:val="5E550596"/>
    <w:rsid w:val="5E554891"/>
    <w:rsid w:val="5E563FA0"/>
    <w:rsid w:val="5E587A58"/>
    <w:rsid w:val="5E596C5B"/>
    <w:rsid w:val="5E597785"/>
    <w:rsid w:val="5E5B12F6"/>
    <w:rsid w:val="5E5B4E53"/>
    <w:rsid w:val="5E622685"/>
    <w:rsid w:val="5E6463FD"/>
    <w:rsid w:val="5E652175"/>
    <w:rsid w:val="5E68028B"/>
    <w:rsid w:val="5E685A72"/>
    <w:rsid w:val="5E6912A0"/>
    <w:rsid w:val="5E693A13"/>
    <w:rsid w:val="5E6B75A3"/>
    <w:rsid w:val="5E6F08FE"/>
    <w:rsid w:val="5E710B1A"/>
    <w:rsid w:val="5E761C8C"/>
    <w:rsid w:val="5E7802BC"/>
    <w:rsid w:val="5E781EA8"/>
    <w:rsid w:val="5E7A44C7"/>
    <w:rsid w:val="5E7D150A"/>
    <w:rsid w:val="5E7E0913"/>
    <w:rsid w:val="5E7E0FE9"/>
    <w:rsid w:val="5E7F0087"/>
    <w:rsid w:val="5E7F3237"/>
    <w:rsid w:val="5E7F7A73"/>
    <w:rsid w:val="5E8029C8"/>
    <w:rsid w:val="5E802B0B"/>
    <w:rsid w:val="5E835C83"/>
    <w:rsid w:val="5E8467E7"/>
    <w:rsid w:val="5E8545C5"/>
    <w:rsid w:val="5E875A92"/>
    <w:rsid w:val="5E8819C0"/>
    <w:rsid w:val="5E8C0439"/>
    <w:rsid w:val="5E8C75FF"/>
    <w:rsid w:val="5E8C7702"/>
    <w:rsid w:val="5E8E5228"/>
    <w:rsid w:val="5E8E6FD6"/>
    <w:rsid w:val="5E906BC9"/>
    <w:rsid w:val="5E914D18"/>
    <w:rsid w:val="5E930A90"/>
    <w:rsid w:val="5E940365"/>
    <w:rsid w:val="5E943373"/>
    <w:rsid w:val="5E9465B6"/>
    <w:rsid w:val="5E98510F"/>
    <w:rsid w:val="5E99597B"/>
    <w:rsid w:val="5E9A3517"/>
    <w:rsid w:val="5E9A503B"/>
    <w:rsid w:val="5E9A6159"/>
    <w:rsid w:val="5E9B16F3"/>
    <w:rsid w:val="5E9B4495"/>
    <w:rsid w:val="5E9B53AC"/>
    <w:rsid w:val="5E9B5B97"/>
    <w:rsid w:val="5E9B617F"/>
    <w:rsid w:val="5E9C444A"/>
    <w:rsid w:val="5EA06D09"/>
    <w:rsid w:val="5EA16CB4"/>
    <w:rsid w:val="5EA22A81"/>
    <w:rsid w:val="5EA26F25"/>
    <w:rsid w:val="5EA372BD"/>
    <w:rsid w:val="5EA5368C"/>
    <w:rsid w:val="5EA54320"/>
    <w:rsid w:val="5EAA5DDA"/>
    <w:rsid w:val="5EAB402C"/>
    <w:rsid w:val="5EAB4A36"/>
    <w:rsid w:val="5EAC1B52"/>
    <w:rsid w:val="5EAE1426"/>
    <w:rsid w:val="5EAE58CA"/>
    <w:rsid w:val="5EAE7678"/>
    <w:rsid w:val="5EAF0D83"/>
    <w:rsid w:val="5EB17168"/>
    <w:rsid w:val="5EB427B5"/>
    <w:rsid w:val="5EB804F7"/>
    <w:rsid w:val="5EB91099"/>
    <w:rsid w:val="5EBA0DC9"/>
    <w:rsid w:val="5EBE461E"/>
    <w:rsid w:val="5EBF1885"/>
    <w:rsid w:val="5EC01983"/>
    <w:rsid w:val="5EC23124"/>
    <w:rsid w:val="5EC82C7F"/>
    <w:rsid w:val="5EC92704"/>
    <w:rsid w:val="5EC92914"/>
    <w:rsid w:val="5ECA1FD8"/>
    <w:rsid w:val="5ECA5D7B"/>
    <w:rsid w:val="5ECB4020"/>
    <w:rsid w:val="5ECB5E31"/>
    <w:rsid w:val="5ECC3FA2"/>
    <w:rsid w:val="5ECC54B0"/>
    <w:rsid w:val="5ED014C1"/>
    <w:rsid w:val="5ED502B1"/>
    <w:rsid w:val="5ED5133B"/>
    <w:rsid w:val="5ED56E00"/>
    <w:rsid w:val="5ED7628F"/>
    <w:rsid w:val="5ED903A7"/>
    <w:rsid w:val="5ED93565"/>
    <w:rsid w:val="5EDB13E6"/>
    <w:rsid w:val="5EDC2437"/>
    <w:rsid w:val="5EDE56B0"/>
    <w:rsid w:val="5EDF5C29"/>
    <w:rsid w:val="5EE017FC"/>
    <w:rsid w:val="5EE17A4E"/>
    <w:rsid w:val="5EE21288"/>
    <w:rsid w:val="5EE30DFC"/>
    <w:rsid w:val="5EE41FF6"/>
    <w:rsid w:val="5EE55937"/>
    <w:rsid w:val="5EE65104"/>
    <w:rsid w:val="5EE70DDC"/>
    <w:rsid w:val="5EEB267A"/>
    <w:rsid w:val="5EEB49C6"/>
    <w:rsid w:val="5EEC5DE8"/>
    <w:rsid w:val="5EF01A3F"/>
    <w:rsid w:val="5EF157B7"/>
    <w:rsid w:val="5EF3152F"/>
    <w:rsid w:val="5EF414B4"/>
    <w:rsid w:val="5EF52F7B"/>
    <w:rsid w:val="5EF7101F"/>
    <w:rsid w:val="5EF77271"/>
    <w:rsid w:val="5EF95C2F"/>
    <w:rsid w:val="5EFC4888"/>
    <w:rsid w:val="5EFD5F0A"/>
    <w:rsid w:val="5EFF6126"/>
    <w:rsid w:val="5F011E9E"/>
    <w:rsid w:val="5F015B56"/>
    <w:rsid w:val="5F017E47"/>
    <w:rsid w:val="5F0454EA"/>
    <w:rsid w:val="5F0751B6"/>
    <w:rsid w:val="5F096FA4"/>
    <w:rsid w:val="5F0A5107"/>
    <w:rsid w:val="5F0B0627"/>
    <w:rsid w:val="5F0B4827"/>
    <w:rsid w:val="5F0B6879"/>
    <w:rsid w:val="5F0C439F"/>
    <w:rsid w:val="5F0D5FE5"/>
    <w:rsid w:val="5F0E6369"/>
    <w:rsid w:val="5F0F7FC7"/>
    <w:rsid w:val="5F1020E1"/>
    <w:rsid w:val="5F117C07"/>
    <w:rsid w:val="5F131BD1"/>
    <w:rsid w:val="5F16521D"/>
    <w:rsid w:val="5F1B26CC"/>
    <w:rsid w:val="5F1C0311"/>
    <w:rsid w:val="5F1C2834"/>
    <w:rsid w:val="5F1D25F2"/>
    <w:rsid w:val="5F204545"/>
    <w:rsid w:val="5F21609C"/>
    <w:rsid w:val="5F217E4A"/>
    <w:rsid w:val="5F221E14"/>
    <w:rsid w:val="5F225970"/>
    <w:rsid w:val="5F230066"/>
    <w:rsid w:val="5F236821"/>
    <w:rsid w:val="5F246A95"/>
    <w:rsid w:val="5F257D99"/>
    <w:rsid w:val="5F261904"/>
    <w:rsid w:val="5F272D94"/>
    <w:rsid w:val="5F2913F5"/>
    <w:rsid w:val="5F2961E2"/>
    <w:rsid w:val="5F296CFF"/>
    <w:rsid w:val="5F2C07EB"/>
    <w:rsid w:val="5F2C5541"/>
    <w:rsid w:val="5F2C67EF"/>
    <w:rsid w:val="5F2D41D5"/>
    <w:rsid w:val="5F2D4A41"/>
    <w:rsid w:val="5F2E2567"/>
    <w:rsid w:val="5F2F17E4"/>
    <w:rsid w:val="5F30008D"/>
    <w:rsid w:val="5F305928"/>
    <w:rsid w:val="5F3066E1"/>
    <w:rsid w:val="5F3202A9"/>
    <w:rsid w:val="5F3215AC"/>
    <w:rsid w:val="5F32711A"/>
    <w:rsid w:val="5F327BF7"/>
    <w:rsid w:val="5F344365"/>
    <w:rsid w:val="5F351B48"/>
    <w:rsid w:val="5F374E01"/>
    <w:rsid w:val="5F3758C0"/>
    <w:rsid w:val="5F3969AE"/>
    <w:rsid w:val="5F3B67FC"/>
    <w:rsid w:val="5F3E6137"/>
    <w:rsid w:val="5F3F4700"/>
    <w:rsid w:val="5F42525F"/>
    <w:rsid w:val="5F443B39"/>
    <w:rsid w:val="5F4658D7"/>
    <w:rsid w:val="5F4A1345"/>
    <w:rsid w:val="5F4E49B7"/>
    <w:rsid w:val="5F4F0E5B"/>
    <w:rsid w:val="5F5244A8"/>
    <w:rsid w:val="5F526965"/>
    <w:rsid w:val="5F530220"/>
    <w:rsid w:val="5F546472"/>
    <w:rsid w:val="5F5523D4"/>
    <w:rsid w:val="5F581BC0"/>
    <w:rsid w:val="5F5854AC"/>
    <w:rsid w:val="5F597808"/>
    <w:rsid w:val="5F597F1C"/>
    <w:rsid w:val="5F5A217E"/>
    <w:rsid w:val="5F5A335C"/>
    <w:rsid w:val="5F5B6E34"/>
    <w:rsid w:val="5F5B7A6F"/>
    <w:rsid w:val="5F5E475F"/>
    <w:rsid w:val="5F643CE5"/>
    <w:rsid w:val="5F6B1E1C"/>
    <w:rsid w:val="5F6E5699"/>
    <w:rsid w:val="5F702B80"/>
    <w:rsid w:val="5F70492E"/>
    <w:rsid w:val="5F751F44"/>
    <w:rsid w:val="5F7563E8"/>
    <w:rsid w:val="5F7761D6"/>
    <w:rsid w:val="5F781A34"/>
    <w:rsid w:val="5F7F1015"/>
    <w:rsid w:val="5F7F1523"/>
    <w:rsid w:val="5F81136B"/>
    <w:rsid w:val="5F8215E5"/>
    <w:rsid w:val="5F824661"/>
    <w:rsid w:val="5F8328B3"/>
    <w:rsid w:val="5F8332B9"/>
    <w:rsid w:val="5F85487D"/>
    <w:rsid w:val="5F864BEF"/>
    <w:rsid w:val="5F866165"/>
    <w:rsid w:val="5F8A052F"/>
    <w:rsid w:val="5F8A29A8"/>
    <w:rsid w:val="5F8B0825"/>
    <w:rsid w:val="5F8D4A8E"/>
    <w:rsid w:val="5F8E1258"/>
    <w:rsid w:val="5F8E5468"/>
    <w:rsid w:val="5F8F28CB"/>
    <w:rsid w:val="5F904FD0"/>
    <w:rsid w:val="5F925054"/>
    <w:rsid w:val="5F973E98"/>
    <w:rsid w:val="5F995DE3"/>
    <w:rsid w:val="5F9F3465"/>
    <w:rsid w:val="5F9F5213"/>
    <w:rsid w:val="5FA0576E"/>
    <w:rsid w:val="5FA158DC"/>
    <w:rsid w:val="5FA26564"/>
    <w:rsid w:val="5FA56CCD"/>
    <w:rsid w:val="5FA665A1"/>
    <w:rsid w:val="5FA863FE"/>
    <w:rsid w:val="5FAB3BB8"/>
    <w:rsid w:val="5FAC34CC"/>
    <w:rsid w:val="5FAC4FC0"/>
    <w:rsid w:val="5FAD5B82"/>
    <w:rsid w:val="5FAF18FA"/>
    <w:rsid w:val="5FAF68D7"/>
    <w:rsid w:val="5FB05672"/>
    <w:rsid w:val="5FB17F4F"/>
    <w:rsid w:val="5FB213EA"/>
    <w:rsid w:val="5FB24D17"/>
    <w:rsid w:val="5FB54A36"/>
    <w:rsid w:val="5FB567E4"/>
    <w:rsid w:val="5FB60B33"/>
    <w:rsid w:val="5FB62D8C"/>
    <w:rsid w:val="5FB86698"/>
    <w:rsid w:val="5FB92779"/>
    <w:rsid w:val="5FB94527"/>
    <w:rsid w:val="5FBC7B73"/>
    <w:rsid w:val="5FBE3A3F"/>
    <w:rsid w:val="5FC1162D"/>
    <w:rsid w:val="5FC405DC"/>
    <w:rsid w:val="5FC44C79"/>
    <w:rsid w:val="5FC522DF"/>
    <w:rsid w:val="5FC64F55"/>
    <w:rsid w:val="5FC70B37"/>
    <w:rsid w:val="5FCB6008"/>
    <w:rsid w:val="5FCD1D80"/>
    <w:rsid w:val="5FCF6E51"/>
    <w:rsid w:val="5FD01870"/>
    <w:rsid w:val="5FD0361E"/>
    <w:rsid w:val="5FD17AC2"/>
    <w:rsid w:val="5FD21144"/>
    <w:rsid w:val="5FD51606"/>
    <w:rsid w:val="5FD72B7F"/>
    <w:rsid w:val="5FD72BFF"/>
    <w:rsid w:val="5FDC5117"/>
    <w:rsid w:val="5FDC6467"/>
    <w:rsid w:val="5FDD6B34"/>
    <w:rsid w:val="5FDE3F8D"/>
    <w:rsid w:val="5FDF112B"/>
    <w:rsid w:val="5FE01AB3"/>
    <w:rsid w:val="5FE13491"/>
    <w:rsid w:val="5FE315A4"/>
    <w:rsid w:val="5FE554BE"/>
    <w:rsid w:val="5FE95175"/>
    <w:rsid w:val="5FEC48FC"/>
    <w:rsid w:val="5FED2422"/>
    <w:rsid w:val="5FEE201F"/>
    <w:rsid w:val="5FF05A6E"/>
    <w:rsid w:val="5FF217E7"/>
    <w:rsid w:val="5FF437B1"/>
    <w:rsid w:val="5FF52D97"/>
    <w:rsid w:val="5FF53085"/>
    <w:rsid w:val="5FF615BD"/>
    <w:rsid w:val="5FF67529"/>
    <w:rsid w:val="5FF867B6"/>
    <w:rsid w:val="5FF94923"/>
    <w:rsid w:val="5FFA3783"/>
    <w:rsid w:val="5FFC2665"/>
    <w:rsid w:val="5FFC3909"/>
    <w:rsid w:val="5FFF5CB2"/>
    <w:rsid w:val="6003539B"/>
    <w:rsid w:val="6005151A"/>
    <w:rsid w:val="60076B58"/>
    <w:rsid w:val="6007774F"/>
    <w:rsid w:val="60081B61"/>
    <w:rsid w:val="600B26C3"/>
    <w:rsid w:val="600D4872"/>
    <w:rsid w:val="6010496B"/>
    <w:rsid w:val="60107EBF"/>
    <w:rsid w:val="60122426"/>
    <w:rsid w:val="6015244D"/>
    <w:rsid w:val="601614EA"/>
    <w:rsid w:val="60161979"/>
    <w:rsid w:val="60163727"/>
    <w:rsid w:val="601724EB"/>
    <w:rsid w:val="60172FFB"/>
    <w:rsid w:val="60193217"/>
    <w:rsid w:val="60194FC5"/>
    <w:rsid w:val="601B6F8F"/>
    <w:rsid w:val="601C5968"/>
    <w:rsid w:val="60200102"/>
    <w:rsid w:val="60243B12"/>
    <w:rsid w:val="60244EEA"/>
    <w:rsid w:val="60266CCC"/>
    <w:rsid w:val="60283014"/>
    <w:rsid w:val="60286B2B"/>
    <w:rsid w:val="602C1292"/>
    <w:rsid w:val="602C409E"/>
    <w:rsid w:val="602D1FF5"/>
    <w:rsid w:val="602F11FC"/>
    <w:rsid w:val="60323AD2"/>
    <w:rsid w:val="603242D9"/>
    <w:rsid w:val="6032665A"/>
    <w:rsid w:val="60327E35"/>
    <w:rsid w:val="60341DFF"/>
    <w:rsid w:val="603618B0"/>
    <w:rsid w:val="6036401A"/>
    <w:rsid w:val="60364863"/>
    <w:rsid w:val="6037369D"/>
    <w:rsid w:val="6037544B"/>
    <w:rsid w:val="603B318E"/>
    <w:rsid w:val="604016C3"/>
    <w:rsid w:val="60402552"/>
    <w:rsid w:val="60423096"/>
    <w:rsid w:val="60430294"/>
    <w:rsid w:val="60436DBD"/>
    <w:rsid w:val="60485BB9"/>
    <w:rsid w:val="604A1623"/>
    <w:rsid w:val="604B6664"/>
    <w:rsid w:val="604B6F0C"/>
    <w:rsid w:val="604D1FAD"/>
    <w:rsid w:val="604E1113"/>
    <w:rsid w:val="604F09E7"/>
    <w:rsid w:val="604F0DD1"/>
    <w:rsid w:val="604F450B"/>
    <w:rsid w:val="604F5912"/>
    <w:rsid w:val="60507B10"/>
    <w:rsid w:val="60522285"/>
    <w:rsid w:val="60536729"/>
    <w:rsid w:val="60561D75"/>
    <w:rsid w:val="60566219"/>
    <w:rsid w:val="60583E35"/>
    <w:rsid w:val="6058457E"/>
    <w:rsid w:val="6058575B"/>
    <w:rsid w:val="60596221"/>
    <w:rsid w:val="605B5EA1"/>
    <w:rsid w:val="605D4A27"/>
    <w:rsid w:val="605E50CE"/>
    <w:rsid w:val="605E6E7C"/>
    <w:rsid w:val="60600AC9"/>
    <w:rsid w:val="60602BF4"/>
    <w:rsid w:val="606034EB"/>
    <w:rsid w:val="606062EF"/>
    <w:rsid w:val="606103C9"/>
    <w:rsid w:val="60627D45"/>
    <w:rsid w:val="60634492"/>
    <w:rsid w:val="6063655F"/>
    <w:rsid w:val="6065020A"/>
    <w:rsid w:val="60651F0E"/>
    <w:rsid w:val="60673F83"/>
    <w:rsid w:val="60681AA9"/>
    <w:rsid w:val="606D5D70"/>
    <w:rsid w:val="606D6F96"/>
    <w:rsid w:val="606E2944"/>
    <w:rsid w:val="606E5AE9"/>
    <w:rsid w:val="606F2E37"/>
    <w:rsid w:val="606F4BE5"/>
    <w:rsid w:val="6071095D"/>
    <w:rsid w:val="607246D5"/>
    <w:rsid w:val="607301CC"/>
    <w:rsid w:val="6074165C"/>
    <w:rsid w:val="607544CD"/>
    <w:rsid w:val="60791F08"/>
    <w:rsid w:val="607B63D6"/>
    <w:rsid w:val="607D0810"/>
    <w:rsid w:val="60805044"/>
    <w:rsid w:val="60806DF2"/>
    <w:rsid w:val="60806E07"/>
    <w:rsid w:val="60813B63"/>
    <w:rsid w:val="60822B6A"/>
    <w:rsid w:val="60844B35"/>
    <w:rsid w:val="6085265B"/>
    <w:rsid w:val="60854409"/>
    <w:rsid w:val="60866B32"/>
    <w:rsid w:val="60867FEA"/>
    <w:rsid w:val="60883EF9"/>
    <w:rsid w:val="6089214B"/>
    <w:rsid w:val="608C23DE"/>
    <w:rsid w:val="608D07DE"/>
    <w:rsid w:val="608D150F"/>
    <w:rsid w:val="608D72C8"/>
    <w:rsid w:val="608E48FA"/>
    <w:rsid w:val="609076F3"/>
    <w:rsid w:val="60913B18"/>
    <w:rsid w:val="609303FD"/>
    <w:rsid w:val="60960285"/>
    <w:rsid w:val="609603C4"/>
    <w:rsid w:val="609805E0"/>
    <w:rsid w:val="60980E01"/>
    <w:rsid w:val="609B32A8"/>
    <w:rsid w:val="609D5BF6"/>
    <w:rsid w:val="609D7C10"/>
    <w:rsid w:val="609F196E"/>
    <w:rsid w:val="60A67B8D"/>
    <w:rsid w:val="60A710C0"/>
    <w:rsid w:val="60A779AC"/>
    <w:rsid w:val="60A919DB"/>
    <w:rsid w:val="60A9459B"/>
    <w:rsid w:val="60A96349"/>
    <w:rsid w:val="60AC0902"/>
    <w:rsid w:val="60AC7BE7"/>
    <w:rsid w:val="60AF11AF"/>
    <w:rsid w:val="60AF1486"/>
    <w:rsid w:val="60AF592A"/>
    <w:rsid w:val="60B13F1F"/>
    <w:rsid w:val="60B151FE"/>
    <w:rsid w:val="60B30F76"/>
    <w:rsid w:val="60B5389D"/>
    <w:rsid w:val="60B620AE"/>
    <w:rsid w:val="60B62264"/>
    <w:rsid w:val="60B62814"/>
    <w:rsid w:val="60B8658C"/>
    <w:rsid w:val="60B91067"/>
    <w:rsid w:val="60B92304"/>
    <w:rsid w:val="60B95007"/>
    <w:rsid w:val="60BB2D0B"/>
    <w:rsid w:val="60BB7E2A"/>
    <w:rsid w:val="60BC38AA"/>
    <w:rsid w:val="60BF3DBF"/>
    <w:rsid w:val="60BF5B6D"/>
    <w:rsid w:val="60BF5FB9"/>
    <w:rsid w:val="60C43183"/>
    <w:rsid w:val="60C473C9"/>
    <w:rsid w:val="60C56EFB"/>
    <w:rsid w:val="60C70A54"/>
    <w:rsid w:val="60C73F1D"/>
    <w:rsid w:val="60C969EB"/>
    <w:rsid w:val="60CC05C6"/>
    <w:rsid w:val="60CD6FD5"/>
    <w:rsid w:val="60CE2E46"/>
    <w:rsid w:val="60CF38D6"/>
    <w:rsid w:val="60D14E42"/>
    <w:rsid w:val="60D1523C"/>
    <w:rsid w:val="60D6106E"/>
    <w:rsid w:val="60D61108"/>
    <w:rsid w:val="60D71179"/>
    <w:rsid w:val="60D73D7F"/>
    <w:rsid w:val="60D96503"/>
    <w:rsid w:val="60DA0BF8"/>
    <w:rsid w:val="60DC0E0C"/>
    <w:rsid w:val="60DC2E87"/>
    <w:rsid w:val="60E05AE3"/>
    <w:rsid w:val="60E2185B"/>
    <w:rsid w:val="60E43825"/>
    <w:rsid w:val="60E530F9"/>
    <w:rsid w:val="60E62582"/>
    <w:rsid w:val="60E76E71"/>
    <w:rsid w:val="60EA00CC"/>
    <w:rsid w:val="60EB4BB4"/>
    <w:rsid w:val="60EC092C"/>
    <w:rsid w:val="60EC6236"/>
    <w:rsid w:val="60F11A9E"/>
    <w:rsid w:val="60F12D55"/>
    <w:rsid w:val="60F35361"/>
    <w:rsid w:val="60F35816"/>
    <w:rsid w:val="60F5158E"/>
    <w:rsid w:val="60F77D31"/>
    <w:rsid w:val="60FB291D"/>
    <w:rsid w:val="60FC22A0"/>
    <w:rsid w:val="60FE2972"/>
    <w:rsid w:val="60FE43B8"/>
    <w:rsid w:val="60FF065F"/>
    <w:rsid w:val="61001CE1"/>
    <w:rsid w:val="61007F33"/>
    <w:rsid w:val="61025A59"/>
    <w:rsid w:val="610572F8"/>
    <w:rsid w:val="610619ED"/>
    <w:rsid w:val="61063C34"/>
    <w:rsid w:val="61073070"/>
    <w:rsid w:val="61084750"/>
    <w:rsid w:val="6109328C"/>
    <w:rsid w:val="61094D40"/>
    <w:rsid w:val="610B5D8F"/>
    <w:rsid w:val="610E007A"/>
    <w:rsid w:val="610E7639"/>
    <w:rsid w:val="610F0880"/>
    <w:rsid w:val="611319A3"/>
    <w:rsid w:val="611418BF"/>
    <w:rsid w:val="61154C74"/>
    <w:rsid w:val="61155001"/>
    <w:rsid w:val="61165E8B"/>
    <w:rsid w:val="61176028"/>
    <w:rsid w:val="61181721"/>
    <w:rsid w:val="611A2A5C"/>
    <w:rsid w:val="611B3C25"/>
    <w:rsid w:val="611D471D"/>
    <w:rsid w:val="611D6D37"/>
    <w:rsid w:val="611E4CE6"/>
    <w:rsid w:val="611F0BCF"/>
    <w:rsid w:val="61235266"/>
    <w:rsid w:val="6124191F"/>
    <w:rsid w:val="61265BEC"/>
    <w:rsid w:val="6126635F"/>
    <w:rsid w:val="612754C0"/>
    <w:rsid w:val="61293077"/>
    <w:rsid w:val="612B3202"/>
    <w:rsid w:val="612B495E"/>
    <w:rsid w:val="612C0D28"/>
    <w:rsid w:val="612C6F7A"/>
    <w:rsid w:val="613146C1"/>
    <w:rsid w:val="6131633F"/>
    <w:rsid w:val="613320B7"/>
    <w:rsid w:val="61357BDD"/>
    <w:rsid w:val="61380409"/>
    <w:rsid w:val="6138591F"/>
    <w:rsid w:val="613A51F3"/>
    <w:rsid w:val="613C71BD"/>
    <w:rsid w:val="613F280A"/>
    <w:rsid w:val="61404326"/>
    <w:rsid w:val="61410DD1"/>
    <w:rsid w:val="61412A26"/>
    <w:rsid w:val="614222FA"/>
    <w:rsid w:val="61436338"/>
    <w:rsid w:val="61440565"/>
    <w:rsid w:val="614442C4"/>
    <w:rsid w:val="61471C84"/>
    <w:rsid w:val="61472510"/>
    <w:rsid w:val="6147532E"/>
    <w:rsid w:val="614C3178"/>
    <w:rsid w:val="614C5323"/>
    <w:rsid w:val="614C769B"/>
    <w:rsid w:val="614D13CA"/>
    <w:rsid w:val="61500EBB"/>
    <w:rsid w:val="61504A17"/>
    <w:rsid w:val="6155027F"/>
    <w:rsid w:val="61573FF7"/>
    <w:rsid w:val="61582304"/>
    <w:rsid w:val="61585C3E"/>
    <w:rsid w:val="615A312F"/>
    <w:rsid w:val="615C160D"/>
    <w:rsid w:val="61637227"/>
    <w:rsid w:val="61646714"/>
    <w:rsid w:val="61655970"/>
    <w:rsid w:val="616561FC"/>
    <w:rsid w:val="61665FE8"/>
    <w:rsid w:val="616843A5"/>
    <w:rsid w:val="61691F7C"/>
    <w:rsid w:val="616A18E2"/>
    <w:rsid w:val="616A3A91"/>
    <w:rsid w:val="616A70CA"/>
    <w:rsid w:val="616C3E03"/>
    <w:rsid w:val="616C3F4F"/>
    <w:rsid w:val="616C473C"/>
    <w:rsid w:val="61705965"/>
    <w:rsid w:val="61730705"/>
    <w:rsid w:val="61750921"/>
    <w:rsid w:val="61783F6D"/>
    <w:rsid w:val="617A0FD8"/>
    <w:rsid w:val="617E7959"/>
    <w:rsid w:val="6182240A"/>
    <w:rsid w:val="61831B7E"/>
    <w:rsid w:val="6183303E"/>
    <w:rsid w:val="61840B64"/>
    <w:rsid w:val="61842912"/>
    <w:rsid w:val="61851C7D"/>
    <w:rsid w:val="61852F70"/>
    <w:rsid w:val="61857110"/>
    <w:rsid w:val="618647B9"/>
    <w:rsid w:val="61880654"/>
    <w:rsid w:val="61881DC6"/>
    <w:rsid w:val="61897F29"/>
    <w:rsid w:val="618C48B8"/>
    <w:rsid w:val="618E4391"/>
    <w:rsid w:val="618F68F6"/>
    <w:rsid w:val="6191468E"/>
    <w:rsid w:val="619167ED"/>
    <w:rsid w:val="61946FF9"/>
    <w:rsid w:val="619509B6"/>
    <w:rsid w:val="61952D71"/>
    <w:rsid w:val="61967070"/>
    <w:rsid w:val="61981F79"/>
    <w:rsid w:val="61987D83"/>
    <w:rsid w:val="61991CD2"/>
    <w:rsid w:val="619E0326"/>
    <w:rsid w:val="61A05E8D"/>
    <w:rsid w:val="61A13A37"/>
    <w:rsid w:val="61A15272"/>
    <w:rsid w:val="61A30FEA"/>
    <w:rsid w:val="61A3723C"/>
    <w:rsid w:val="61A70640"/>
    <w:rsid w:val="61A81485"/>
    <w:rsid w:val="61A82AA5"/>
    <w:rsid w:val="61A860ED"/>
    <w:rsid w:val="61AB67B2"/>
    <w:rsid w:val="61AE5BE1"/>
    <w:rsid w:val="61B34FA6"/>
    <w:rsid w:val="61B56103"/>
    <w:rsid w:val="61B56F70"/>
    <w:rsid w:val="61B66365"/>
    <w:rsid w:val="61B84E22"/>
    <w:rsid w:val="61BD7BD2"/>
    <w:rsid w:val="61C14DFC"/>
    <w:rsid w:val="61C251E9"/>
    <w:rsid w:val="61C3512C"/>
    <w:rsid w:val="61C379E5"/>
    <w:rsid w:val="61C40F61"/>
    <w:rsid w:val="61C471B3"/>
    <w:rsid w:val="61C6117D"/>
    <w:rsid w:val="61C7692C"/>
    <w:rsid w:val="61C77A59"/>
    <w:rsid w:val="61C947C9"/>
    <w:rsid w:val="61CB4DFE"/>
    <w:rsid w:val="61D04F70"/>
    <w:rsid w:val="61D11B21"/>
    <w:rsid w:val="61D2000C"/>
    <w:rsid w:val="61D27B22"/>
    <w:rsid w:val="61D34EB9"/>
    <w:rsid w:val="61D42EEC"/>
    <w:rsid w:val="61D92C5E"/>
    <w:rsid w:val="61D94A0C"/>
    <w:rsid w:val="61DA0784"/>
    <w:rsid w:val="61DB6BD8"/>
    <w:rsid w:val="61DF3FED"/>
    <w:rsid w:val="61E11B13"/>
    <w:rsid w:val="61E12E1B"/>
    <w:rsid w:val="61E433B1"/>
    <w:rsid w:val="61E60EAB"/>
    <w:rsid w:val="61E6665C"/>
    <w:rsid w:val="61E83289"/>
    <w:rsid w:val="61E97A82"/>
    <w:rsid w:val="61EA2617"/>
    <w:rsid w:val="61EC0BB6"/>
    <w:rsid w:val="61EC6729"/>
    <w:rsid w:val="61ED1E4C"/>
    <w:rsid w:val="61EE5FDE"/>
    <w:rsid w:val="61EF4230"/>
    <w:rsid w:val="61F061FA"/>
    <w:rsid w:val="61F2727C"/>
    <w:rsid w:val="61F31470"/>
    <w:rsid w:val="61F353FB"/>
    <w:rsid w:val="61F4790D"/>
    <w:rsid w:val="61F47A8C"/>
    <w:rsid w:val="61F60851"/>
    <w:rsid w:val="61F61F5A"/>
    <w:rsid w:val="61F65C1C"/>
    <w:rsid w:val="61F734FF"/>
    <w:rsid w:val="61FA0441"/>
    <w:rsid w:val="61FF5B43"/>
    <w:rsid w:val="620079D8"/>
    <w:rsid w:val="6203135B"/>
    <w:rsid w:val="62031A89"/>
    <w:rsid w:val="620353C5"/>
    <w:rsid w:val="62040764"/>
    <w:rsid w:val="62057C97"/>
    <w:rsid w:val="62061579"/>
    <w:rsid w:val="62083543"/>
    <w:rsid w:val="62086E62"/>
    <w:rsid w:val="620A72BB"/>
    <w:rsid w:val="620C71E5"/>
    <w:rsid w:val="620D2908"/>
    <w:rsid w:val="62103631"/>
    <w:rsid w:val="62121B84"/>
    <w:rsid w:val="62141908"/>
    <w:rsid w:val="62141EE8"/>
    <w:rsid w:val="62143C96"/>
    <w:rsid w:val="621748AF"/>
    <w:rsid w:val="621859F6"/>
    <w:rsid w:val="621B3277"/>
    <w:rsid w:val="621C3904"/>
    <w:rsid w:val="621D2C31"/>
    <w:rsid w:val="621E2D67"/>
    <w:rsid w:val="621E76E6"/>
    <w:rsid w:val="62205FAA"/>
    <w:rsid w:val="622070EB"/>
    <w:rsid w:val="62216AEC"/>
    <w:rsid w:val="6223037D"/>
    <w:rsid w:val="622540F5"/>
    <w:rsid w:val="62274BFD"/>
    <w:rsid w:val="622814F0"/>
    <w:rsid w:val="622D4D58"/>
    <w:rsid w:val="622D723D"/>
    <w:rsid w:val="622E2928"/>
    <w:rsid w:val="622F287E"/>
    <w:rsid w:val="622F6D22"/>
    <w:rsid w:val="62302A4E"/>
    <w:rsid w:val="623065F6"/>
    <w:rsid w:val="623759AE"/>
    <w:rsid w:val="62375BD7"/>
    <w:rsid w:val="623A2184"/>
    <w:rsid w:val="623B56C7"/>
    <w:rsid w:val="623D6281"/>
    <w:rsid w:val="623E0D13"/>
    <w:rsid w:val="624571FC"/>
    <w:rsid w:val="62487DE4"/>
    <w:rsid w:val="624A6E1D"/>
    <w:rsid w:val="624A76B8"/>
    <w:rsid w:val="624B3430"/>
    <w:rsid w:val="624C4995"/>
    <w:rsid w:val="624C5D09"/>
    <w:rsid w:val="624E1B54"/>
    <w:rsid w:val="624E291A"/>
    <w:rsid w:val="624F1172"/>
    <w:rsid w:val="624F6F55"/>
    <w:rsid w:val="625075FB"/>
    <w:rsid w:val="625152A3"/>
    <w:rsid w:val="62522A10"/>
    <w:rsid w:val="62540537"/>
    <w:rsid w:val="625642AF"/>
    <w:rsid w:val="62586279"/>
    <w:rsid w:val="625B68E6"/>
    <w:rsid w:val="625B69E4"/>
    <w:rsid w:val="625C694F"/>
    <w:rsid w:val="625E018B"/>
    <w:rsid w:val="625E3532"/>
    <w:rsid w:val="62616A4C"/>
    <w:rsid w:val="626324CF"/>
    <w:rsid w:val="62634C1E"/>
    <w:rsid w:val="62675B5F"/>
    <w:rsid w:val="626926CD"/>
    <w:rsid w:val="62697E18"/>
    <w:rsid w:val="626A0316"/>
    <w:rsid w:val="626A5FAC"/>
    <w:rsid w:val="626A7D5A"/>
    <w:rsid w:val="626B7BBE"/>
    <w:rsid w:val="626D15F8"/>
    <w:rsid w:val="626D784A"/>
    <w:rsid w:val="627110E9"/>
    <w:rsid w:val="62724E61"/>
    <w:rsid w:val="62731D94"/>
    <w:rsid w:val="62757F11"/>
    <w:rsid w:val="62774225"/>
    <w:rsid w:val="627961EF"/>
    <w:rsid w:val="627B1F67"/>
    <w:rsid w:val="627B5AC3"/>
    <w:rsid w:val="627E55B4"/>
    <w:rsid w:val="627E7362"/>
    <w:rsid w:val="6280036F"/>
    <w:rsid w:val="62801F3C"/>
    <w:rsid w:val="628030DA"/>
    <w:rsid w:val="62840A77"/>
    <w:rsid w:val="628472D5"/>
    <w:rsid w:val="62853BC4"/>
    <w:rsid w:val="6288451B"/>
    <w:rsid w:val="62894684"/>
    <w:rsid w:val="628964F1"/>
    <w:rsid w:val="628A03FC"/>
    <w:rsid w:val="628C1A7E"/>
    <w:rsid w:val="628F5A13"/>
    <w:rsid w:val="6292559B"/>
    <w:rsid w:val="62943029"/>
    <w:rsid w:val="62946B85"/>
    <w:rsid w:val="629B43B7"/>
    <w:rsid w:val="629D0130"/>
    <w:rsid w:val="629D1EDE"/>
    <w:rsid w:val="62A0195F"/>
    <w:rsid w:val="62A019CE"/>
    <w:rsid w:val="62A212A2"/>
    <w:rsid w:val="62A32B16"/>
    <w:rsid w:val="62A35132"/>
    <w:rsid w:val="62A56FE4"/>
    <w:rsid w:val="62A768B8"/>
    <w:rsid w:val="62AC3ECF"/>
    <w:rsid w:val="62AF39BF"/>
    <w:rsid w:val="62B17737"/>
    <w:rsid w:val="62B44FFF"/>
    <w:rsid w:val="62B65FED"/>
    <w:rsid w:val="62B84A84"/>
    <w:rsid w:val="62B861C5"/>
    <w:rsid w:val="62B9483E"/>
    <w:rsid w:val="62BA3381"/>
    <w:rsid w:val="62BB05B6"/>
    <w:rsid w:val="62C05BCC"/>
    <w:rsid w:val="62C075B0"/>
    <w:rsid w:val="62C21041"/>
    <w:rsid w:val="62C31218"/>
    <w:rsid w:val="62C3746A"/>
    <w:rsid w:val="62C45016"/>
    <w:rsid w:val="62C45792"/>
    <w:rsid w:val="62C751AC"/>
    <w:rsid w:val="62C76F5B"/>
    <w:rsid w:val="62C92CD3"/>
    <w:rsid w:val="62CA6A4B"/>
    <w:rsid w:val="62CB0C48"/>
    <w:rsid w:val="62CD298F"/>
    <w:rsid w:val="62CE03EB"/>
    <w:rsid w:val="62CF16B7"/>
    <w:rsid w:val="62CF5E0F"/>
    <w:rsid w:val="62CF7BBD"/>
    <w:rsid w:val="62D17DD9"/>
    <w:rsid w:val="62D665B5"/>
    <w:rsid w:val="62DD677E"/>
    <w:rsid w:val="62DE6052"/>
    <w:rsid w:val="62E278F0"/>
    <w:rsid w:val="62E33669"/>
    <w:rsid w:val="62E83B63"/>
    <w:rsid w:val="62EA0E9B"/>
    <w:rsid w:val="62EB3A54"/>
    <w:rsid w:val="62EE763B"/>
    <w:rsid w:val="62EF5687"/>
    <w:rsid w:val="62F34922"/>
    <w:rsid w:val="62F41A14"/>
    <w:rsid w:val="62F454C1"/>
    <w:rsid w:val="62F67840"/>
    <w:rsid w:val="62F81F17"/>
    <w:rsid w:val="62FA10DE"/>
    <w:rsid w:val="62FD00A5"/>
    <w:rsid w:val="62FD0BCE"/>
    <w:rsid w:val="62FD472A"/>
    <w:rsid w:val="62FD68B3"/>
    <w:rsid w:val="62FE04A2"/>
    <w:rsid w:val="62FE2826"/>
    <w:rsid w:val="62FF1978"/>
    <w:rsid w:val="63006119"/>
    <w:rsid w:val="63082288"/>
    <w:rsid w:val="630A235D"/>
    <w:rsid w:val="630A5C0D"/>
    <w:rsid w:val="630E06E5"/>
    <w:rsid w:val="630E086F"/>
    <w:rsid w:val="63100901"/>
    <w:rsid w:val="631018DF"/>
    <w:rsid w:val="631031D9"/>
    <w:rsid w:val="63104DE2"/>
    <w:rsid w:val="63133F4E"/>
    <w:rsid w:val="631344F6"/>
    <w:rsid w:val="63147CC6"/>
    <w:rsid w:val="63150AD1"/>
    <w:rsid w:val="63151451"/>
    <w:rsid w:val="63165E53"/>
    <w:rsid w:val="63180913"/>
    <w:rsid w:val="631928C8"/>
    <w:rsid w:val="631A3E21"/>
    <w:rsid w:val="631B2082"/>
    <w:rsid w:val="631B2E02"/>
    <w:rsid w:val="631B52B1"/>
    <w:rsid w:val="631E2E29"/>
    <w:rsid w:val="631E69AA"/>
    <w:rsid w:val="632048BD"/>
    <w:rsid w:val="63253C81"/>
    <w:rsid w:val="632B573B"/>
    <w:rsid w:val="632C14B3"/>
    <w:rsid w:val="632E0D88"/>
    <w:rsid w:val="6330170C"/>
    <w:rsid w:val="63312626"/>
    <w:rsid w:val="63320109"/>
    <w:rsid w:val="633220A8"/>
    <w:rsid w:val="63351E52"/>
    <w:rsid w:val="633678D4"/>
    <w:rsid w:val="63367C3C"/>
    <w:rsid w:val="63381C06"/>
    <w:rsid w:val="633914DA"/>
    <w:rsid w:val="633B16F7"/>
    <w:rsid w:val="633D747A"/>
    <w:rsid w:val="63414F5F"/>
    <w:rsid w:val="634265E1"/>
    <w:rsid w:val="634347F2"/>
    <w:rsid w:val="634405AB"/>
    <w:rsid w:val="634467FD"/>
    <w:rsid w:val="63481F22"/>
    <w:rsid w:val="634B3FF6"/>
    <w:rsid w:val="634B6320"/>
    <w:rsid w:val="634E0140"/>
    <w:rsid w:val="634F41A1"/>
    <w:rsid w:val="63511D57"/>
    <w:rsid w:val="63515EFF"/>
    <w:rsid w:val="63522979"/>
    <w:rsid w:val="63556314"/>
    <w:rsid w:val="635710DF"/>
    <w:rsid w:val="635A392B"/>
    <w:rsid w:val="635D78BF"/>
    <w:rsid w:val="635E38F3"/>
    <w:rsid w:val="635F3637"/>
    <w:rsid w:val="63604CB9"/>
    <w:rsid w:val="63636DBE"/>
    <w:rsid w:val="63660521"/>
    <w:rsid w:val="63665109"/>
    <w:rsid w:val="63667E18"/>
    <w:rsid w:val="63671A75"/>
    <w:rsid w:val="63673250"/>
    <w:rsid w:val="636B5B38"/>
    <w:rsid w:val="636C365E"/>
    <w:rsid w:val="636E22FB"/>
    <w:rsid w:val="636F2951"/>
    <w:rsid w:val="63701F0F"/>
    <w:rsid w:val="637048DB"/>
    <w:rsid w:val="63716A7D"/>
    <w:rsid w:val="63730E90"/>
    <w:rsid w:val="63744A2C"/>
    <w:rsid w:val="63773C10"/>
    <w:rsid w:val="6377613F"/>
    <w:rsid w:val="63792AF7"/>
    <w:rsid w:val="63793840"/>
    <w:rsid w:val="637E4A58"/>
    <w:rsid w:val="637E5ADD"/>
    <w:rsid w:val="63802963"/>
    <w:rsid w:val="63851DC5"/>
    <w:rsid w:val="63866E40"/>
    <w:rsid w:val="63870498"/>
    <w:rsid w:val="638906B4"/>
    <w:rsid w:val="63892ADC"/>
    <w:rsid w:val="63894210"/>
    <w:rsid w:val="638B442C"/>
    <w:rsid w:val="638E6D3A"/>
    <w:rsid w:val="638F6418"/>
    <w:rsid w:val="63957059"/>
    <w:rsid w:val="63984453"/>
    <w:rsid w:val="639B1BC7"/>
    <w:rsid w:val="639C40D8"/>
    <w:rsid w:val="639D203B"/>
    <w:rsid w:val="63A04204"/>
    <w:rsid w:val="63A21851"/>
    <w:rsid w:val="63A36518"/>
    <w:rsid w:val="63A55CDA"/>
    <w:rsid w:val="63A57B87"/>
    <w:rsid w:val="63A63014"/>
    <w:rsid w:val="63A728E8"/>
    <w:rsid w:val="63A9455A"/>
    <w:rsid w:val="63AA3623"/>
    <w:rsid w:val="63AA37AD"/>
    <w:rsid w:val="63AB4186"/>
    <w:rsid w:val="63AC1FBF"/>
    <w:rsid w:val="63AC3B05"/>
    <w:rsid w:val="63AE604C"/>
    <w:rsid w:val="63B15515"/>
    <w:rsid w:val="63B33763"/>
    <w:rsid w:val="63B57440"/>
    <w:rsid w:val="63B85F8A"/>
    <w:rsid w:val="63B87F15"/>
    <w:rsid w:val="63BA086D"/>
    <w:rsid w:val="63BA4CBD"/>
    <w:rsid w:val="63BC6393"/>
    <w:rsid w:val="63BE035D"/>
    <w:rsid w:val="63BF5E84"/>
    <w:rsid w:val="63C03FB5"/>
    <w:rsid w:val="63C40AF9"/>
    <w:rsid w:val="63C60FC0"/>
    <w:rsid w:val="63C67212"/>
    <w:rsid w:val="63CB4828"/>
    <w:rsid w:val="63CC234F"/>
    <w:rsid w:val="63CE5F83"/>
    <w:rsid w:val="63D57455"/>
    <w:rsid w:val="63D77671"/>
    <w:rsid w:val="63D80CF3"/>
    <w:rsid w:val="63D96214"/>
    <w:rsid w:val="63DC07E4"/>
    <w:rsid w:val="63DF6868"/>
    <w:rsid w:val="63E1229E"/>
    <w:rsid w:val="63E44975"/>
    <w:rsid w:val="63E657E1"/>
    <w:rsid w:val="63E94CAF"/>
    <w:rsid w:val="63EB4ECB"/>
    <w:rsid w:val="63ED29F1"/>
    <w:rsid w:val="63ED479F"/>
    <w:rsid w:val="63EE0517"/>
    <w:rsid w:val="63EE37FF"/>
    <w:rsid w:val="63F36F9C"/>
    <w:rsid w:val="63F375BD"/>
    <w:rsid w:val="63F45E84"/>
    <w:rsid w:val="63F47351"/>
    <w:rsid w:val="63F568B1"/>
    <w:rsid w:val="63F60B61"/>
    <w:rsid w:val="63F7561D"/>
    <w:rsid w:val="63F97CEC"/>
    <w:rsid w:val="63FA3360"/>
    <w:rsid w:val="63FB6B7E"/>
    <w:rsid w:val="63FC2C34"/>
    <w:rsid w:val="63FC70D8"/>
    <w:rsid w:val="63FE0403"/>
    <w:rsid w:val="63FF44D2"/>
    <w:rsid w:val="640040C4"/>
    <w:rsid w:val="6401192F"/>
    <w:rsid w:val="64032214"/>
    <w:rsid w:val="6403757A"/>
    <w:rsid w:val="64055F8C"/>
    <w:rsid w:val="64074D9B"/>
    <w:rsid w:val="640C320C"/>
    <w:rsid w:val="640C55D8"/>
    <w:rsid w:val="640E2967"/>
    <w:rsid w:val="640F462D"/>
    <w:rsid w:val="64135C82"/>
    <w:rsid w:val="64144421"/>
    <w:rsid w:val="64151D68"/>
    <w:rsid w:val="64151F48"/>
    <w:rsid w:val="6417181C"/>
    <w:rsid w:val="641726EB"/>
    <w:rsid w:val="64184303"/>
    <w:rsid w:val="6418674C"/>
    <w:rsid w:val="641B630F"/>
    <w:rsid w:val="642040AF"/>
    <w:rsid w:val="64204F45"/>
    <w:rsid w:val="642373A2"/>
    <w:rsid w:val="64240A08"/>
    <w:rsid w:val="64265F03"/>
    <w:rsid w:val="642672F2"/>
    <w:rsid w:val="64283A29"/>
    <w:rsid w:val="64286BCF"/>
    <w:rsid w:val="6429154F"/>
    <w:rsid w:val="642A357A"/>
    <w:rsid w:val="642E206A"/>
    <w:rsid w:val="642E78D8"/>
    <w:rsid w:val="64316F73"/>
    <w:rsid w:val="64340620"/>
    <w:rsid w:val="64357D9A"/>
    <w:rsid w:val="64373621"/>
    <w:rsid w:val="64373C6C"/>
    <w:rsid w:val="64374988"/>
    <w:rsid w:val="64376A16"/>
    <w:rsid w:val="64394B9A"/>
    <w:rsid w:val="643A375C"/>
    <w:rsid w:val="643F2F47"/>
    <w:rsid w:val="64410F8F"/>
    <w:rsid w:val="64414AEB"/>
    <w:rsid w:val="64426EE7"/>
    <w:rsid w:val="6443458E"/>
    <w:rsid w:val="644545DB"/>
    <w:rsid w:val="64467619"/>
    <w:rsid w:val="644A1BF1"/>
    <w:rsid w:val="644A6A0A"/>
    <w:rsid w:val="644B4371"/>
    <w:rsid w:val="644D348F"/>
    <w:rsid w:val="644D3E0F"/>
    <w:rsid w:val="644E7F5C"/>
    <w:rsid w:val="644F46F3"/>
    <w:rsid w:val="645111D2"/>
    <w:rsid w:val="64522996"/>
    <w:rsid w:val="64535B33"/>
    <w:rsid w:val="645541F9"/>
    <w:rsid w:val="64567117"/>
    <w:rsid w:val="645706A8"/>
    <w:rsid w:val="64590086"/>
    <w:rsid w:val="645967E3"/>
    <w:rsid w:val="645C60CA"/>
    <w:rsid w:val="645C7B76"/>
    <w:rsid w:val="645E744B"/>
    <w:rsid w:val="64610CE9"/>
    <w:rsid w:val="64654FB0"/>
    <w:rsid w:val="64656A2B"/>
    <w:rsid w:val="646627A3"/>
    <w:rsid w:val="64675204"/>
    <w:rsid w:val="64680B03"/>
    <w:rsid w:val="646945F5"/>
    <w:rsid w:val="646A5DEF"/>
    <w:rsid w:val="646A5FF4"/>
    <w:rsid w:val="646D768E"/>
    <w:rsid w:val="646F46AB"/>
    <w:rsid w:val="64722EF6"/>
    <w:rsid w:val="64734DC2"/>
    <w:rsid w:val="647549DD"/>
    <w:rsid w:val="64772F11"/>
    <w:rsid w:val="647749B0"/>
    <w:rsid w:val="64776D55"/>
    <w:rsid w:val="647B0DFA"/>
    <w:rsid w:val="647C1FC7"/>
    <w:rsid w:val="647C2A0B"/>
    <w:rsid w:val="647E5D3F"/>
    <w:rsid w:val="647F062C"/>
    <w:rsid w:val="64801AB7"/>
    <w:rsid w:val="64813139"/>
    <w:rsid w:val="64834489"/>
    <w:rsid w:val="64846B72"/>
    <w:rsid w:val="64880BC5"/>
    <w:rsid w:val="648844C8"/>
    <w:rsid w:val="648A00DC"/>
    <w:rsid w:val="648B3FB8"/>
    <w:rsid w:val="649015CE"/>
    <w:rsid w:val="6490473E"/>
    <w:rsid w:val="64942E6C"/>
    <w:rsid w:val="649474DD"/>
    <w:rsid w:val="64963088"/>
    <w:rsid w:val="6497295D"/>
    <w:rsid w:val="64976216"/>
    <w:rsid w:val="649864A1"/>
    <w:rsid w:val="649966D5"/>
    <w:rsid w:val="649B069F"/>
    <w:rsid w:val="649B7207"/>
    <w:rsid w:val="649D4417"/>
    <w:rsid w:val="64A043B8"/>
    <w:rsid w:val="64A05CB5"/>
    <w:rsid w:val="64A357A5"/>
    <w:rsid w:val="64A37553"/>
    <w:rsid w:val="64A5212A"/>
    <w:rsid w:val="64A81D34"/>
    <w:rsid w:val="64A92A42"/>
    <w:rsid w:val="64A93EF7"/>
    <w:rsid w:val="64AA6B34"/>
    <w:rsid w:val="64AB56D3"/>
    <w:rsid w:val="64AD5FC5"/>
    <w:rsid w:val="64B10710"/>
    <w:rsid w:val="64B17048"/>
    <w:rsid w:val="64B60A0D"/>
    <w:rsid w:val="64B66E59"/>
    <w:rsid w:val="64B67287"/>
    <w:rsid w:val="64B70CC9"/>
    <w:rsid w:val="64B74DAD"/>
    <w:rsid w:val="64B81251"/>
    <w:rsid w:val="64B96D77"/>
    <w:rsid w:val="64BB179B"/>
    <w:rsid w:val="64BB440C"/>
    <w:rsid w:val="64BC16FB"/>
    <w:rsid w:val="64BE3ED7"/>
    <w:rsid w:val="64BE5FF1"/>
    <w:rsid w:val="64C00105"/>
    <w:rsid w:val="64C01EB3"/>
    <w:rsid w:val="64C06765"/>
    <w:rsid w:val="64CC0AE3"/>
    <w:rsid w:val="64D051A2"/>
    <w:rsid w:val="64D0549B"/>
    <w:rsid w:val="64D150F6"/>
    <w:rsid w:val="64D272F5"/>
    <w:rsid w:val="64D53390"/>
    <w:rsid w:val="64D63485"/>
    <w:rsid w:val="64D67929"/>
    <w:rsid w:val="64D81563"/>
    <w:rsid w:val="64D8544F"/>
    <w:rsid w:val="64D92F75"/>
    <w:rsid w:val="64DD062F"/>
    <w:rsid w:val="64DD0CB7"/>
    <w:rsid w:val="64DD2A65"/>
    <w:rsid w:val="64DD4813"/>
    <w:rsid w:val="64DE058B"/>
    <w:rsid w:val="64E02555"/>
    <w:rsid w:val="64E262CE"/>
    <w:rsid w:val="64E33DF4"/>
    <w:rsid w:val="64E35BA2"/>
    <w:rsid w:val="64E5191A"/>
    <w:rsid w:val="64E52D76"/>
    <w:rsid w:val="64E77440"/>
    <w:rsid w:val="64EB52A1"/>
    <w:rsid w:val="64EB71D9"/>
    <w:rsid w:val="64EF09EB"/>
    <w:rsid w:val="64F01879"/>
    <w:rsid w:val="64F14763"/>
    <w:rsid w:val="64F2474D"/>
    <w:rsid w:val="64F52E5B"/>
    <w:rsid w:val="64F743B2"/>
    <w:rsid w:val="64F766B4"/>
    <w:rsid w:val="64F90154"/>
    <w:rsid w:val="64FD59C8"/>
    <w:rsid w:val="64FE478A"/>
    <w:rsid w:val="64FF335C"/>
    <w:rsid w:val="64FF6BAD"/>
    <w:rsid w:val="650049A6"/>
    <w:rsid w:val="650224CC"/>
    <w:rsid w:val="65051FBC"/>
    <w:rsid w:val="65075999"/>
    <w:rsid w:val="65085608"/>
    <w:rsid w:val="65091AAC"/>
    <w:rsid w:val="650A312E"/>
    <w:rsid w:val="650C334B"/>
    <w:rsid w:val="650E5BEE"/>
    <w:rsid w:val="650F0B97"/>
    <w:rsid w:val="650F4BE9"/>
    <w:rsid w:val="651144BD"/>
    <w:rsid w:val="65114B98"/>
    <w:rsid w:val="651207D5"/>
    <w:rsid w:val="65130235"/>
    <w:rsid w:val="651346D9"/>
    <w:rsid w:val="651352A3"/>
    <w:rsid w:val="65136487"/>
    <w:rsid w:val="65143FAD"/>
    <w:rsid w:val="65154289"/>
    <w:rsid w:val="65167D25"/>
    <w:rsid w:val="65176055"/>
    <w:rsid w:val="65181CEF"/>
    <w:rsid w:val="65193FCE"/>
    <w:rsid w:val="651D5558"/>
    <w:rsid w:val="651E5486"/>
    <w:rsid w:val="65206C7A"/>
    <w:rsid w:val="65207A42"/>
    <w:rsid w:val="65211E78"/>
    <w:rsid w:val="652203B7"/>
    <w:rsid w:val="652341F0"/>
    <w:rsid w:val="65243266"/>
    <w:rsid w:val="6525440C"/>
    <w:rsid w:val="65257F68"/>
    <w:rsid w:val="65262EA9"/>
    <w:rsid w:val="65297AAD"/>
    <w:rsid w:val="652D7C77"/>
    <w:rsid w:val="65314B5F"/>
    <w:rsid w:val="6533366C"/>
    <w:rsid w:val="65340C45"/>
    <w:rsid w:val="653463FD"/>
    <w:rsid w:val="6535464F"/>
    <w:rsid w:val="6536289C"/>
    <w:rsid w:val="65387F11"/>
    <w:rsid w:val="653A1C66"/>
    <w:rsid w:val="653D52B2"/>
    <w:rsid w:val="653D5C48"/>
    <w:rsid w:val="65402FF4"/>
    <w:rsid w:val="65404DA2"/>
    <w:rsid w:val="654241CF"/>
    <w:rsid w:val="6542497B"/>
    <w:rsid w:val="65426D6C"/>
    <w:rsid w:val="65436640"/>
    <w:rsid w:val="654650B5"/>
    <w:rsid w:val="654878D6"/>
    <w:rsid w:val="65491EA9"/>
    <w:rsid w:val="654A5C21"/>
    <w:rsid w:val="654B3E73"/>
    <w:rsid w:val="654D6345"/>
    <w:rsid w:val="65501489"/>
    <w:rsid w:val="65506B62"/>
    <w:rsid w:val="65515201"/>
    <w:rsid w:val="65530F79"/>
    <w:rsid w:val="65533C99"/>
    <w:rsid w:val="65534AD5"/>
    <w:rsid w:val="655440FA"/>
    <w:rsid w:val="65556322"/>
    <w:rsid w:val="655645C6"/>
    <w:rsid w:val="655A40B6"/>
    <w:rsid w:val="655B0B17"/>
    <w:rsid w:val="655B4BDA"/>
    <w:rsid w:val="655C1705"/>
    <w:rsid w:val="655D7E7A"/>
    <w:rsid w:val="655E1A15"/>
    <w:rsid w:val="655E1D80"/>
    <w:rsid w:val="655F347A"/>
    <w:rsid w:val="65622F6B"/>
    <w:rsid w:val="65624D19"/>
    <w:rsid w:val="65640A91"/>
    <w:rsid w:val="65641A43"/>
    <w:rsid w:val="656767D3"/>
    <w:rsid w:val="65685D4E"/>
    <w:rsid w:val="656942F9"/>
    <w:rsid w:val="656A1E1F"/>
    <w:rsid w:val="656B0071"/>
    <w:rsid w:val="656C5B97"/>
    <w:rsid w:val="656E284E"/>
    <w:rsid w:val="657038D9"/>
    <w:rsid w:val="65705687"/>
    <w:rsid w:val="65725E42"/>
    <w:rsid w:val="65731720"/>
    <w:rsid w:val="657469FA"/>
    <w:rsid w:val="6578278E"/>
    <w:rsid w:val="657A4758"/>
    <w:rsid w:val="657A4FA6"/>
    <w:rsid w:val="657A6EF0"/>
    <w:rsid w:val="657B402C"/>
    <w:rsid w:val="65821581"/>
    <w:rsid w:val="65824B61"/>
    <w:rsid w:val="65826D65"/>
    <w:rsid w:val="65834F1A"/>
    <w:rsid w:val="65842EE1"/>
    <w:rsid w:val="65855276"/>
    <w:rsid w:val="65870C23"/>
    <w:rsid w:val="658748E7"/>
    <w:rsid w:val="658904F7"/>
    <w:rsid w:val="658A024A"/>
    <w:rsid w:val="658A4348"/>
    <w:rsid w:val="658A4BFB"/>
    <w:rsid w:val="658B0713"/>
    <w:rsid w:val="658C1FA6"/>
    <w:rsid w:val="658E1FB1"/>
    <w:rsid w:val="658E74F0"/>
    <w:rsid w:val="658F77B8"/>
    <w:rsid w:val="6590084E"/>
    <w:rsid w:val="65902389"/>
    <w:rsid w:val="659214C0"/>
    <w:rsid w:val="65921AA2"/>
    <w:rsid w:val="65950F90"/>
    <w:rsid w:val="659624F7"/>
    <w:rsid w:val="659770B8"/>
    <w:rsid w:val="659868BE"/>
    <w:rsid w:val="659C24C3"/>
    <w:rsid w:val="659D3FA3"/>
    <w:rsid w:val="65A25C2E"/>
    <w:rsid w:val="65A45331"/>
    <w:rsid w:val="65A672FB"/>
    <w:rsid w:val="65A74CE3"/>
    <w:rsid w:val="65A76BCF"/>
    <w:rsid w:val="65A92947"/>
    <w:rsid w:val="65AB2B63"/>
    <w:rsid w:val="65B0017A"/>
    <w:rsid w:val="65B03CD6"/>
    <w:rsid w:val="65B043D2"/>
    <w:rsid w:val="65B32646"/>
    <w:rsid w:val="65B430D3"/>
    <w:rsid w:val="65B5026D"/>
    <w:rsid w:val="65B512EC"/>
    <w:rsid w:val="65B5753E"/>
    <w:rsid w:val="65B57D4C"/>
    <w:rsid w:val="65B76353"/>
    <w:rsid w:val="65BA6903"/>
    <w:rsid w:val="65BC08CD"/>
    <w:rsid w:val="65C20A3D"/>
    <w:rsid w:val="65C41932"/>
    <w:rsid w:val="65C56462"/>
    <w:rsid w:val="65C6799D"/>
    <w:rsid w:val="65C7198A"/>
    <w:rsid w:val="65CA0A9A"/>
    <w:rsid w:val="65CC0E9B"/>
    <w:rsid w:val="65CE1B16"/>
    <w:rsid w:val="65D379C4"/>
    <w:rsid w:val="65D57BE0"/>
    <w:rsid w:val="65D604E0"/>
    <w:rsid w:val="65D61888"/>
    <w:rsid w:val="65D75707"/>
    <w:rsid w:val="65D91D7C"/>
    <w:rsid w:val="65DA0D53"/>
    <w:rsid w:val="65DA6FA5"/>
    <w:rsid w:val="65DC0F6F"/>
    <w:rsid w:val="65DC21F7"/>
    <w:rsid w:val="65DD4B49"/>
    <w:rsid w:val="65DF0A5F"/>
    <w:rsid w:val="65DF28FC"/>
    <w:rsid w:val="65E010B5"/>
    <w:rsid w:val="65E0586F"/>
    <w:rsid w:val="65E10333"/>
    <w:rsid w:val="65E258D7"/>
    <w:rsid w:val="65E330C1"/>
    <w:rsid w:val="65E47E23"/>
    <w:rsid w:val="65E6594A"/>
    <w:rsid w:val="65E676F8"/>
    <w:rsid w:val="65E87914"/>
    <w:rsid w:val="65ED5196"/>
    <w:rsid w:val="65EF15EA"/>
    <w:rsid w:val="65F1102F"/>
    <w:rsid w:val="65F314C5"/>
    <w:rsid w:val="65F31E15"/>
    <w:rsid w:val="65F55B8D"/>
    <w:rsid w:val="65F71905"/>
    <w:rsid w:val="65F74ED9"/>
    <w:rsid w:val="65F91B21"/>
    <w:rsid w:val="65FA1348"/>
    <w:rsid w:val="65FC6F1B"/>
    <w:rsid w:val="65FE2AFA"/>
    <w:rsid w:val="65FE3386"/>
    <w:rsid w:val="66005C9D"/>
    <w:rsid w:val="6604282F"/>
    <w:rsid w:val="6605058E"/>
    <w:rsid w:val="6605645B"/>
    <w:rsid w:val="66060EC6"/>
    <w:rsid w:val="660758C0"/>
    <w:rsid w:val="66081D64"/>
    <w:rsid w:val="660951F0"/>
    <w:rsid w:val="660957E7"/>
    <w:rsid w:val="660A13E2"/>
    <w:rsid w:val="660A5ADC"/>
    <w:rsid w:val="660B3602"/>
    <w:rsid w:val="660B53B0"/>
    <w:rsid w:val="660C5ECE"/>
    <w:rsid w:val="660D4F6C"/>
    <w:rsid w:val="660E238F"/>
    <w:rsid w:val="660E6C4E"/>
    <w:rsid w:val="660F2580"/>
    <w:rsid w:val="66100001"/>
    <w:rsid w:val="66100F87"/>
    <w:rsid w:val="66106E6A"/>
    <w:rsid w:val="66107265"/>
    <w:rsid w:val="661528F6"/>
    <w:rsid w:val="66157FDD"/>
    <w:rsid w:val="661701F9"/>
    <w:rsid w:val="66173D55"/>
    <w:rsid w:val="6618187B"/>
    <w:rsid w:val="66187ACD"/>
    <w:rsid w:val="661C75BD"/>
    <w:rsid w:val="661E50E3"/>
    <w:rsid w:val="66214BD4"/>
    <w:rsid w:val="66215D1D"/>
    <w:rsid w:val="662445B5"/>
    <w:rsid w:val="662756A8"/>
    <w:rsid w:val="66287D10"/>
    <w:rsid w:val="662D3578"/>
    <w:rsid w:val="662E109F"/>
    <w:rsid w:val="662E541A"/>
    <w:rsid w:val="663331E5"/>
    <w:rsid w:val="66341457"/>
    <w:rsid w:val="66342B59"/>
    <w:rsid w:val="663446CD"/>
    <w:rsid w:val="663526E8"/>
    <w:rsid w:val="66384703"/>
    <w:rsid w:val="66384FBC"/>
    <w:rsid w:val="6639016F"/>
    <w:rsid w:val="66391F1D"/>
    <w:rsid w:val="66394BC8"/>
    <w:rsid w:val="664204BE"/>
    <w:rsid w:val="66476654"/>
    <w:rsid w:val="66485366"/>
    <w:rsid w:val="664A412A"/>
    <w:rsid w:val="664B1C51"/>
    <w:rsid w:val="664B25CB"/>
    <w:rsid w:val="664D4C51"/>
    <w:rsid w:val="664F25AA"/>
    <w:rsid w:val="6650290C"/>
    <w:rsid w:val="665054B9"/>
    <w:rsid w:val="66513968"/>
    <w:rsid w:val="665148A1"/>
    <w:rsid w:val="66551CC6"/>
    <w:rsid w:val="6655487D"/>
    <w:rsid w:val="6656023A"/>
    <w:rsid w:val="6656075B"/>
    <w:rsid w:val="66565FB4"/>
    <w:rsid w:val="66567D19"/>
    <w:rsid w:val="66575932"/>
    <w:rsid w:val="66583FA2"/>
    <w:rsid w:val="6659611C"/>
    <w:rsid w:val="665A5FA0"/>
    <w:rsid w:val="665C68CF"/>
    <w:rsid w:val="665D0B44"/>
    <w:rsid w:val="665E09E7"/>
    <w:rsid w:val="665F74AA"/>
    <w:rsid w:val="6660348D"/>
    <w:rsid w:val="66623AFC"/>
    <w:rsid w:val="666351EC"/>
    <w:rsid w:val="66642BCD"/>
    <w:rsid w:val="666557B4"/>
    <w:rsid w:val="66656BF0"/>
    <w:rsid w:val="66696111"/>
    <w:rsid w:val="666A0E45"/>
    <w:rsid w:val="666D166A"/>
    <w:rsid w:val="666E7CEA"/>
    <w:rsid w:val="667B50FD"/>
    <w:rsid w:val="667D11B5"/>
    <w:rsid w:val="667E3DD4"/>
    <w:rsid w:val="66811B16"/>
    <w:rsid w:val="66833198"/>
    <w:rsid w:val="668524C1"/>
    <w:rsid w:val="66857CF8"/>
    <w:rsid w:val="66860EDB"/>
    <w:rsid w:val="66862210"/>
    <w:rsid w:val="66867929"/>
    <w:rsid w:val="66883A5A"/>
    <w:rsid w:val="668A09CB"/>
    <w:rsid w:val="668C53CC"/>
    <w:rsid w:val="668D2269"/>
    <w:rsid w:val="668F41BE"/>
    <w:rsid w:val="6690037F"/>
    <w:rsid w:val="66910A64"/>
    <w:rsid w:val="66990C0E"/>
    <w:rsid w:val="669B6734"/>
    <w:rsid w:val="669C4F76"/>
    <w:rsid w:val="669E0035"/>
    <w:rsid w:val="66A001EE"/>
    <w:rsid w:val="66A00B1A"/>
    <w:rsid w:val="66A01F9C"/>
    <w:rsid w:val="66A02C7C"/>
    <w:rsid w:val="66A31A8D"/>
    <w:rsid w:val="66A3383B"/>
    <w:rsid w:val="66A355E9"/>
    <w:rsid w:val="66A36957"/>
    <w:rsid w:val="66A4436F"/>
    <w:rsid w:val="66A517EB"/>
    <w:rsid w:val="66A562F6"/>
    <w:rsid w:val="66A6332B"/>
    <w:rsid w:val="66A979FF"/>
    <w:rsid w:val="66AA03D9"/>
    <w:rsid w:val="66AB0941"/>
    <w:rsid w:val="66AE352B"/>
    <w:rsid w:val="66AE560F"/>
    <w:rsid w:val="66AF0431"/>
    <w:rsid w:val="66B06886"/>
    <w:rsid w:val="66B0770C"/>
    <w:rsid w:val="66B37AF6"/>
    <w:rsid w:val="66B477F6"/>
    <w:rsid w:val="66B6044A"/>
    <w:rsid w:val="66BB0B84"/>
    <w:rsid w:val="66BC0157"/>
    <w:rsid w:val="66BD5E1B"/>
    <w:rsid w:val="66BE0674"/>
    <w:rsid w:val="66C11F13"/>
    <w:rsid w:val="66C832A1"/>
    <w:rsid w:val="66C95C25"/>
    <w:rsid w:val="66CD097F"/>
    <w:rsid w:val="66CD24A8"/>
    <w:rsid w:val="66CD6B09"/>
    <w:rsid w:val="66D02362"/>
    <w:rsid w:val="66D42207"/>
    <w:rsid w:val="66D439F4"/>
    <w:rsid w:val="66D460EA"/>
    <w:rsid w:val="66D47E98"/>
    <w:rsid w:val="66D61BF9"/>
    <w:rsid w:val="66D76900"/>
    <w:rsid w:val="66D9725C"/>
    <w:rsid w:val="66DB1226"/>
    <w:rsid w:val="66DC6D4D"/>
    <w:rsid w:val="66DE2AC5"/>
    <w:rsid w:val="66DE60D0"/>
    <w:rsid w:val="66DF6F38"/>
    <w:rsid w:val="66E02E1B"/>
    <w:rsid w:val="66E0683D"/>
    <w:rsid w:val="66E14AAB"/>
    <w:rsid w:val="66E31E89"/>
    <w:rsid w:val="66E33F23"/>
    <w:rsid w:val="66E548C7"/>
    <w:rsid w:val="66E70059"/>
    <w:rsid w:val="66E71979"/>
    <w:rsid w:val="66E77BCB"/>
    <w:rsid w:val="66E856D7"/>
    <w:rsid w:val="66EA3A8A"/>
    <w:rsid w:val="66EA6A9E"/>
    <w:rsid w:val="66EB050D"/>
    <w:rsid w:val="66EC51E2"/>
    <w:rsid w:val="66ED0F5A"/>
    <w:rsid w:val="66EE2624"/>
    <w:rsid w:val="66EE541F"/>
    <w:rsid w:val="66EF6A80"/>
    <w:rsid w:val="66F0766F"/>
    <w:rsid w:val="66F52E78"/>
    <w:rsid w:val="66F64DF0"/>
    <w:rsid w:val="66F71181"/>
    <w:rsid w:val="66F75934"/>
    <w:rsid w:val="66FD1A98"/>
    <w:rsid w:val="66FD73EF"/>
    <w:rsid w:val="67000C8D"/>
    <w:rsid w:val="670047E9"/>
    <w:rsid w:val="67010561"/>
    <w:rsid w:val="670215DF"/>
    <w:rsid w:val="6703252B"/>
    <w:rsid w:val="67042B58"/>
    <w:rsid w:val="67044A5E"/>
    <w:rsid w:val="67044C14"/>
    <w:rsid w:val="6706285B"/>
    <w:rsid w:val="670D5DDA"/>
    <w:rsid w:val="670F2122"/>
    <w:rsid w:val="670F70F3"/>
    <w:rsid w:val="67120036"/>
    <w:rsid w:val="6712234E"/>
    <w:rsid w:val="6715319B"/>
    <w:rsid w:val="67154518"/>
    <w:rsid w:val="67177D85"/>
    <w:rsid w:val="67184FB0"/>
    <w:rsid w:val="671B58CC"/>
    <w:rsid w:val="671B5AC7"/>
    <w:rsid w:val="671D5367"/>
    <w:rsid w:val="671E0AF6"/>
    <w:rsid w:val="671E1113"/>
    <w:rsid w:val="671E2DBD"/>
    <w:rsid w:val="672002AE"/>
    <w:rsid w:val="672020EF"/>
    <w:rsid w:val="67226E55"/>
    <w:rsid w:val="67235885"/>
    <w:rsid w:val="67247CA3"/>
    <w:rsid w:val="67283D40"/>
    <w:rsid w:val="672957C5"/>
    <w:rsid w:val="672C1A82"/>
    <w:rsid w:val="672F2593"/>
    <w:rsid w:val="67312A07"/>
    <w:rsid w:val="67320AA5"/>
    <w:rsid w:val="67345C23"/>
    <w:rsid w:val="67346C27"/>
    <w:rsid w:val="6735657C"/>
    <w:rsid w:val="67364560"/>
    <w:rsid w:val="67380427"/>
    <w:rsid w:val="67386679"/>
    <w:rsid w:val="67395F4D"/>
    <w:rsid w:val="673B1534"/>
    <w:rsid w:val="673B22E5"/>
    <w:rsid w:val="673B3A73"/>
    <w:rsid w:val="673B646A"/>
    <w:rsid w:val="673D3C8F"/>
    <w:rsid w:val="673E0C66"/>
    <w:rsid w:val="673F51E4"/>
    <w:rsid w:val="67401345"/>
    <w:rsid w:val="6740552D"/>
    <w:rsid w:val="67424E02"/>
    <w:rsid w:val="674520EC"/>
    <w:rsid w:val="67452B44"/>
    <w:rsid w:val="674768BC"/>
    <w:rsid w:val="67492634"/>
    <w:rsid w:val="674B61CB"/>
    <w:rsid w:val="674C7A2E"/>
    <w:rsid w:val="674D31A1"/>
    <w:rsid w:val="675114E9"/>
    <w:rsid w:val="67530DBD"/>
    <w:rsid w:val="6753700F"/>
    <w:rsid w:val="675608AD"/>
    <w:rsid w:val="67573B25"/>
    <w:rsid w:val="6759214B"/>
    <w:rsid w:val="675B2BFF"/>
    <w:rsid w:val="675C1913"/>
    <w:rsid w:val="675D1C3B"/>
    <w:rsid w:val="675E427E"/>
    <w:rsid w:val="675E7762"/>
    <w:rsid w:val="67602F68"/>
    <w:rsid w:val="67606039"/>
    <w:rsid w:val="67634DA9"/>
    <w:rsid w:val="67694F1E"/>
    <w:rsid w:val="676A25AA"/>
    <w:rsid w:val="676B36AE"/>
    <w:rsid w:val="676B6FB9"/>
    <w:rsid w:val="676F7BC1"/>
    <w:rsid w:val="67713AF5"/>
    <w:rsid w:val="67727B79"/>
    <w:rsid w:val="6773145F"/>
    <w:rsid w:val="6773320D"/>
    <w:rsid w:val="677551D7"/>
    <w:rsid w:val="677671A1"/>
    <w:rsid w:val="677718E6"/>
    <w:rsid w:val="67787E6E"/>
    <w:rsid w:val="67795127"/>
    <w:rsid w:val="677A5055"/>
    <w:rsid w:val="677B0314"/>
    <w:rsid w:val="677E1BB2"/>
    <w:rsid w:val="677F41DA"/>
    <w:rsid w:val="677F5C59"/>
    <w:rsid w:val="67833E18"/>
    <w:rsid w:val="67845130"/>
    <w:rsid w:val="678673E4"/>
    <w:rsid w:val="67874F0A"/>
    <w:rsid w:val="6789494D"/>
    <w:rsid w:val="6789568A"/>
    <w:rsid w:val="678E44EB"/>
    <w:rsid w:val="678F4E88"/>
    <w:rsid w:val="679030DF"/>
    <w:rsid w:val="67931B01"/>
    <w:rsid w:val="6794136B"/>
    <w:rsid w:val="679636D1"/>
    <w:rsid w:val="67966EFB"/>
    <w:rsid w:val="679A4C3E"/>
    <w:rsid w:val="679B4282"/>
    <w:rsid w:val="679C0B0D"/>
    <w:rsid w:val="679D4253"/>
    <w:rsid w:val="679D64DC"/>
    <w:rsid w:val="679E194A"/>
    <w:rsid w:val="67A17DE5"/>
    <w:rsid w:val="67A26CDE"/>
    <w:rsid w:val="67A36984"/>
    <w:rsid w:val="67A47F2F"/>
    <w:rsid w:val="67A54D96"/>
    <w:rsid w:val="67A91325"/>
    <w:rsid w:val="67AB0BF9"/>
    <w:rsid w:val="67AC2705"/>
    <w:rsid w:val="67AC671F"/>
    <w:rsid w:val="67AD2A6F"/>
    <w:rsid w:val="67AF051E"/>
    <w:rsid w:val="67B0620F"/>
    <w:rsid w:val="67B101D9"/>
    <w:rsid w:val="67B143CB"/>
    <w:rsid w:val="67B33F51"/>
    <w:rsid w:val="67B51A77"/>
    <w:rsid w:val="67B6134C"/>
    <w:rsid w:val="67B64DFA"/>
    <w:rsid w:val="67B766A0"/>
    <w:rsid w:val="67B84804"/>
    <w:rsid w:val="67B850C4"/>
    <w:rsid w:val="67B912C2"/>
    <w:rsid w:val="67B918F5"/>
    <w:rsid w:val="67BC1846"/>
    <w:rsid w:val="67BC5ABE"/>
    <w:rsid w:val="67BF46A4"/>
    <w:rsid w:val="67C10D6B"/>
    <w:rsid w:val="67C219E5"/>
    <w:rsid w:val="67C43A69"/>
    <w:rsid w:val="67C46F43"/>
    <w:rsid w:val="67C5345F"/>
    <w:rsid w:val="67C615F0"/>
    <w:rsid w:val="67CB129B"/>
    <w:rsid w:val="67CB33AB"/>
    <w:rsid w:val="67CC581F"/>
    <w:rsid w:val="67CE2B39"/>
    <w:rsid w:val="67CF7924"/>
    <w:rsid w:val="67D13E57"/>
    <w:rsid w:val="67D60969"/>
    <w:rsid w:val="67D72CA3"/>
    <w:rsid w:val="67D77C40"/>
    <w:rsid w:val="67D9705F"/>
    <w:rsid w:val="67DD4B2A"/>
    <w:rsid w:val="67DE460B"/>
    <w:rsid w:val="67DF62C5"/>
    <w:rsid w:val="67E049F9"/>
    <w:rsid w:val="67E27BEE"/>
    <w:rsid w:val="67E4410B"/>
    <w:rsid w:val="67E71F3C"/>
    <w:rsid w:val="67E759A9"/>
    <w:rsid w:val="67E867F8"/>
    <w:rsid w:val="67E934CF"/>
    <w:rsid w:val="67E96AB2"/>
    <w:rsid w:val="67EB5179"/>
    <w:rsid w:val="67EB5499"/>
    <w:rsid w:val="67EB7247"/>
    <w:rsid w:val="67EC2B21"/>
    <w:rsid w:val="67ED7463"/>
    <w:rsid w:val="67EE03D0"/>
    <w:rsid w:val="67EE0AA6"/>
    <w:rsid w:val="67F438F2"/>
    <w:rsid w:val="67F73530"/>
    <w:rsid w:val="67F820A0"/>
    <w:rsid w:val="67F87BB6"/>
    <w:rsid w:val="67FA4408"/>
    <w:rsid w:val="67FD6F7B"/>
    <w:rsid w:val="67FE42A5"/>
    <w:rsid w:val="67FF0F45"/>
    <w:rsid w:val="67FF2CF3"/>
    <w:rsid w:val="68002D30"/>
    <w:rsid w:val="68040309"/>
    <w:rsid w:val="680447AD"/>
    <w:rsid w:val="68053E8D"/>
    <w:rsid w:val="68077CFA"/>
    <w:rsid w:val="680D1544"/>
    <w:rsid w:val="680D18B3"/>
    <w:rsid w:val="680D716C"/>
    <w:rsid w:val="680E64F1"/>
    <w:rsid w:val="681317B4"/>
    <w:rsid w:val="6817628E"/>
    <w:rsid w:val="68182006"/>
    <w:rsid w:val="681900A2"/>
    <w:rsid w:val="681A18DB"/>
    <w:rsid w:val="681A53F7"/>
    <w:rsid w:val="681A5D7E"/>
    <w:rsid w:val="681D13CB"/>
    <w:rsid w:val="681D761D"/>
    <w:rsid w:val="681E0008"/>
    <w:rsid w:val="681F5DA5"/>
    <w:rsid w:val="682054F9"/>
    <w:rsid w:val="68211994"/>
    <w:rsid w:val="682140F7"/>
    <w:rsid w:val="682269E1"/>
    <w:rsid w:val="68232E85"/>
    <w:rsid w:val="68237D7F"/>
    <w:rsid w:val="68260162"/>
    <w:rsid w:val="68260326"/>
    <w:rsid w:val="68262975"/>
    <w:rsid w:val="682664D1"/>
    <w:rsid w:val="68275FF8"/>
    <w:rsid w:val="682A7CEC"/>
    <w:rsid w:val="682B7F8C"/>
    <w:rsid w:val="683010FE"/>
    <w:rsid w:val="68351F05"/>
    <w:rsid w:val="683530B2"/>
    <w:rsid w:val="68354966"/>
    <w:rsid w:val="683706DE"/>
    <w:rsid w:val="683926A8"/>
    <w:rsid w:val="683A1F7D"/>
    <w:rsid w:val="683D187A"/>
    <w:rsid w:val="683D4DCE"/>
    <w:rsid w:val="683F57E5"/>
    <w:rsid w:val="68420A03"/>
    <w:rsid w:val="684352D5"/>
    <w:rsid w:val="68437083"/>
    <w:rsid w:val="68442FC0"/>
    <w:rsid w:val="684969A7"/>
    <w:rsid w:val="684C04B5"/>
    <w:rsid w:val="684C37A9"/>
    <w:rsid w:val="684D1CB0"/>
    <w:rsid w:val="684D75AC"/>
    <w:rsid w:val="684E251E"/>
    <w:rsid w:val="684E2DD5"/>
    <w:rsid w:val="684F3BC4"/>
    <w:rsid w:val="685017A0"/>
    <w:rsid w:val="685221B2"/>
    <w:rsid w:val="68524682"/>
    <w:rsid w:val="68525518"/>
    <w:rsid w:val="68556DB7"/>
    <w:rsid w:val="68594AF9"/>
    <w:rsid w:val="685C0145"/>
    <w:rsid w:val="685F19E3"/>
    <w:rsid w:val="685F3791"/>
    <w:rsid w:val="686139AD"/>
    <w:rsid w:val="686314D3"/>
    <w:rsid w:val="68644EA1"/>
    <w:rsid w:val="6864524C"/>
    <w:rsid w:val="68682EB7"/>
    <w:rsid w:val="686A495D"/>
    <w:rsid w:val="686B0388"/>
    <w:rsid w:val="686D23BF"/>
    <w:rsid w:val="686E1C26"/>
    <w:rsid w:val="686F60CA"/>
    <w:rsid w:val="6870599E"/>
    <w:rsid w:val="68706054"/>
    <w:rsid w:val="68725BBA"/>
    <w:rsid w:val="68727968"/>
    <w:rsid w:val="6874526D"/>
    <w:rsid w:val="68752292"/>
    <w:rsid w:val="68752FB5"/>
    <w:rsid w:val="68772494"/>
    <w:rsid w:val="68792AA5"/>
    <w:rsid w:val="687966E8"/>
    <w:rsid w:val="687C07E7"/>
    <w:rsid w:val="687C2D48"/>
    <w:rsid w:val="687D22F9"/>
    <w:rsid w:val="687E0F07"/>
    <w:rsid w:val="68802085"/>
    <w:rsid w:val="68852377"/>
    <w:rsid w:val="688651C2"/>
    <w:rsid w:val="68866F70"/>
    <w:rsid w:val="68880F3A"/>
    <w:rsid w:val="688D47A2"/>
    <w:rsid w:val="688D5C0C"/>
    <w:rsid w:val="688F051A"/>
    <w:rsid w:val="6890131A"/>
    <w:rsid w:val="68906041"/>
    <w:rsid w:val="68921DB9"/>
    <w:rsid w:val="6893581B"/>
    <w:rsid w:val="6894168D"/>
    <w:rsid w:val="68945B31"/>
    <w:rsid w:val="68953657"/>
    <w:rsid w:val="689618A9"/>
    <w:rsid w:val="6898534D"/>
    <w:rsid w:val="68994EF5"/>
    <w:rsid w:val="68996CA3"/>
    <w:rsid w:val="689A0C6D"/>
    <w:rsid w:val="689A13DC"/>
    <w:rsid w:val="689A2B1D"/>
    <w:rsid w:val="689A76AB"/>
    <w:rsid w:val="689A7AE0"/>
    <w:rsid w:val="689C2C37"/>
    <w:rsid w:val="689C6793"/>
    <w:rsid w:val="689D6175"/>
    <w:rsid w:val="689F6284"/>
    <w:rsid w:val="68A1024E"/>
    <w:rsid w:val="68A467A0"/>
    <w:rsid w:val="68A479EC"/>
    <w:rsid w:val="68A51AEC"/>
    <w:rsid w:val="68A55A3C"/>
    <w:rsid w:val="68A65864"/>
    <w:rsid w:val="68A67612"/>
    <w:rsid w:val="68AA017E"/>
    <w:rsid w:val="68AA1941"/>
    <w:rsid w:val="68AD6BF3"/>
    <w:rsid w:val="68B10DAA"/>
    <w:rsid w:val="68B200BE"/>
    <w:rsid w:val="68B55FE4"/>
    <w:rsid w:val="68B63CF9"/>
    <w:rsid w:val="68B82E7C"/>
    <w:rsid w:val="68B910F3"/>
    <w:rsid w:val="68B94451"/>
    <w:rsid w:val="68B97345"/>
    <w:rsid w:val="68B97536"/>
    <w:rsid w:val="68BB30BE"/>
    <w:rsid w:val="68BB3E64"/>
    <w:rsid w:val="68BB5C1D"/>
    <w:rsid w:val="68BD6421"/>
    <w:rsid w:val="68BE2BAE"/>
    <w:rsid w:val="68BF0C34"/>
    <w:rsid w:val="68C11AE9"/>
    <w:rsid w:val="68C11E75"/>
    <w:rsid w:val="68C12AE0"/>
    <w:rsid w:val="68C217C3"/>
    <w:rsid w:val="68C61A62"/>
    <w:rsid w:val="68C63810"/>
    <w:rsid w:val="68C84D72"/>
    <w:rsid w:val="68CA13F3"/>
    <w:rsid w:val="68CC3BA9"/>
    <w:rsid w:val="68CD426B"/>
    <w:rsid w:val="68CE6246"/>
    <w:rsid w:val="68CF4DBB"/>
    <w:rsid w:val="68D137AF"/>
    <w:rsid w:val="68D14682"/>
    <w:rsid w:val="68D2550C"/>
    <w:rsid w:val="68D27221"/>
    <w:rsid w:val="68D370B4"/>
    <w:rsid w:val="68DD679C"/>
    <w:rsid w:val="68E24AEE"/>
    <w:rsid w:val="68E32614"/>
    <w:rsid w:val="68E76631"/>
    <w:rsid w:val="68E777AA"/>
    <w:rsid w:val="68E82B1D"/>
    <w:rsid w:val="68E85E7D"/>
    <w:rsid w:val="68E9504B"/>
    <w:rsid w:val="68EB3277"/>
    <w:rsid w:val="68ED6FEF"/>
    <w:rsid w:val="68EF2D67"/>
    <w:rsid w:val="68EF3803"/>
    <w:rsid w:val="68EF4566"/>
    <w:rsid w:val="68F148CF"/>
    <w:rsid w:val="68F337B7"/>
    <w:rsid w:val="68F4037D"/>
    <w:rsid w:val="68F640F6"/>
    <w:rsid w:val="68F760C0"/>
    <w:rsid w:val="68F77E6E"/>
    <w:rsid w:val="68F95994"/>
    <w:rsid w:val="68FB5BB0"/>
    <w:rsid w:val="68FD5E21"/>
    <w:rsid w:val="68FE11FC"/>
    <w:rsid w:val="68FE2FAA"/>
    <w:rsid w:val="690031C6"/>
    <w:rsid w:val="69024B11"/>
    <w:rsid w:val="69026F3E"/>
    <w:rsid w:val="69036813"/>
    <w:rsid w:val="690507DD"/>
    <w:rsid w:val="6905258B"/>
    <w:rsid w:val="690802CD"/>
    <w:rsid w:val="690B6DDE"/>
    <w:rsid w:val="690C1B6B"/>
    <w:rsid w:val="690C6AFD"/>
    <w:rsid w:val="690F3409"/>
    <w:rsid w:val="690F51B7"/>
    <w:rsid w:val="690F6BEF"/>
    <w:rsid w:val="69112CDD"/>
    <w:rsid w:val="69117139"/>
    <w:rsid w:val="69135570"/>
    <w:rsid w:val="69151320"/>
    <w:rsid w:val="69154B20"/>
    <w:rsid w:val="691722BE"/>
    <w:rsid w:val="6917406C"/>
    <w:rsid w:val="69180510"/>
    <w:rsid w:val="691926A0"/>
    <w:rsid w:val="691959FB"/>
    <w:rsid w:val="691A347C"/>
    <w:rsid w:val="691E1E82"/>
    <w:rsid w:val="691E53FA"/>
    <w:rsid w:val="691F21A2"/>
    <w:rsid w:val="69220889"/>
    <w:rsid w:val="692213C1"/>
    <w:rsid w:val="69224EEB"/>
    <w:rsid w:val="692364F5"/>
    <w:rsid w:val="69255898"/>
    <w:rsid w:val="69280027"/>
    <w:rsid w:val="692C4887"/>
    <w:rsid w:val="692C5576"/>
    <w:rsid w:val="692C58E1"/>
    <w:rsid w:val="692C5D69"/>
    <w:rsid w:val="69310CD2"/>
    <w:rsid w:val="69313380"/>
    <w:rsid w:val="6931512E"/>
    <w:rsid w:val="6933534A"/>
    <w:rsid w:val="69360996"/>
    <w:rsid w:val="69362744"/>
    <w:rsid w:val="693764BC"/>
    <w:rsid w:val="69382960"/>
    <w:rsid w:val="693A3851"/>
    <w:rsid w:val="693A7F09"/>
    <w:rsid w:val="693B58BC"/>
    <w:rsid w:val="693F6A4B"/>
    <w:rsid w:val="69430DBD"/>
    <w:rsid w:val="69447204"/>
    <w:rsid w:val="69452BA9"/>
    <w:rsid w:val="69472BA3"/>
    <w:rsid w:val="694766FF"/>
    <w:rsid w:val="694B014B"/>
    <w:rsid w:val="694F1A58"/>
    <w:rsid w:val="69513A22"/>
    <w:rsid w:val="695157D0"/>
    <w:rsid w:val="69531548"/>
    <w:rsid w:val="69564B94"/>
    <w:rsid w:val="695732E1"/>
    <w:rsid w:val="6958090C"/>
    <w:rsid w:val="69584DB0"/>
    <w:rsid w:val="69586B5E"/>
    <w:rsid w:val="69592E49"/>
    <w:rsid w:val="695967E4"/>
    <w:rsid w:val="695B3372"/>
    <w:rsid w:val="695B664F"/>
    <w:rsid w:val="695D23C7"/>
    <w:rsid w:val="695D4175"/>
    <w:rsid w:val="695D5F23"/>
    <w:rsid w:val="69601EB7"/>
    <w:rsid w:val="69632D9E"/>
    <w:rsid w:val="69635503"/>
    <w:rsid w:val="69643755"/>
    <w:rsid w:val="6965127B"/>
    <w:rsid w:val="69670B4F"/>
    <w:rsid w:val="696A4AE4"/>
    <w:rsid w:val="696B783B"/>
    <w:rsid w:val="696C085C"/>
    <w:rsid w:val="69706409"/>
    <w:rsid w:val="69715F8B"/>
    <w:rsid w:val="69717C20"/>
    <w:rsid w:val="69735904"/>
    <w:rsid w:val="6973738E"/>
    <w:rsid w:val="697414BE"/>
    <w:rsid w:val="697438D6"/>
    <w:rsid w:val="69763B96"/>
    <w:rsid w:val="697F058F"/>
    <w:rsid w:val="697F0C22"/>
    <w:rsid w:val="69801C11"/>
    <w:rsid w:val="69807E63"/>
    <w:rsid w:val="69821E2D"/>
    <w:rsid w:val="698425E0"/>
    <w:rsid w:val="6984294B"/>
    <w:rsid w:val="69852B2B"/>
    <w:rsid w:val="69852CC0"/>
    <w:rsid w:val="69877444"/>
    <w:rsid w:val="69884B3C"/>
    <w:rsid w:val="69886D18"/>
    <w:rsid w:val="698A0CE2"/>
    <w:rsid w:val="698A2A90"/>
    <w:rsid w:val="698C05B6"/>
    <w:rsid w:val="698C6808"/>
    <w:rsid w:val="698E07D2"/>
    <w:rsid w:val="698F7899"/>
    <w:rsid w:val="69913E1E"/>
    <w:rsid w:val="6991693E"/>
    <w:rsid w:val="69925649"/>
    <w:rsid w:val="69935DE8"/>
    <w:rsid w:val="69953DA0"/>
    <w:rsid w:val="69955386"/>
    <w:rsid w:val="69955974"/>
    <w:rsid w:val="699566D7"/>
    <w:rsid w:val="69961435"/>
    <w:rsid w:val="69977C50"/>
    <w:rsid w:val="699833FF"/>
    <w:rsid w:val="699A1372"/>
    <w:rsid w:val="699B4C9D"/>
    <w:rsid w:val="699D27C3"/>
    <w:rsid w:val="699D46DC"/>
    <w:rsid w:val="699D5FD4"/>
    <w:rsid w:val="699E5C54"/>
    <w:rsid w:val="699F1BBD"/>
    <w:rsid w:val="69A2427D"/>
    <w:rsid w:val="69A2602B"/>
    <w:rsid w:val="69A26117"/>
    <w:rsid w:val="69A26D0E"/>
    <w:rsid w:val="69A47FF6"/>
    <w:rsid w:val="69A73642"/>
    <w:rsid w:val="69A753F0"/>
    <w:rsid w:val="69A9560C"/>
    <w:rsid w:val="69AC62C8"/>
    <w:rsid w:val="69AC6EAA"/>
    <w:rsid w:val="69AE49D0"/>
    <w:rsid w:val="69AE677E"/>
    <w:rsid w:val="69AE67E4"/>
    <w:rsid w:val="69AF73BD"/>
    <w:rsid w:val="69B01336"/>
    <w:rsid w:val="69B0190F"/>
    <w:rsid w:val="69B10F9A"/>
    <w:rsid w:val="69B144C0"/>
    <w:rsid w:val="69B1626F"/>
    <w:rsid w:val="69B33D95"/>
    <w:rsid w:val="69BA15C7"/>
    <w:rsid w:val="69BD10B7"/>
    <w:rsid w:val="69BD2E65"/>
    <w:rsid w:val="69BF6BDD"/>
    <w:rsid w:val="69C02956"/>
    <w:rsid w:val="69C17F22"/>
    <w:rsid w:val="69C35833"/>
    <w:rsid w:val="69C51D1A"/>
    <w:rsid w:val="69C75A92"/>
    <w:rsid w:val="69C839FD"/>
    <w:rsid w:val="69C917BA"/>
    <w:rsid w:val="69CA4C6F"/>
    <w:rsid w:val="69CA7330"/>
    <w:rsid w:val="69CB581E"/>
    <w:rsid w:val="69CC12FA"/>
    <w:rsid w:val="69CC2657"/>
    <w:rsid w:val="69CC5244"/>
    <w:rsid w:val="69CC74F2"/>
    <w:rsid w:val="69CD079E"/>
    <w:rsid w:val="69CE5517"/>
    <w:rsid w:val="69CF536E"/>
    <w:rsid w:val="69D467B8"/>
    <w:rsid w:val="69D72179"/>
    <w:rsid w:val="69D81A4D"/>
    <w:rsid w:val="69D87C9F"/>
    <w:rsid w:val="69D87D83"/>
    <w:rsid w:val="69DA1D9A"/>
    <w:rsid w:val="69DC09B1"/>
    <w:rsid w:val="69DD324F"/>
    <w:rsid w:val="69DD764A"/>
    <w:rsid w:val="69DD786A"/>
    <w:rsid w:val="69DF2DDC"/>
    <w:rsid w:val="69E01FE1"/>
    <w:rsid w:val="69E14DA6"/>
    <w:rsid w:val="69E41123"/>
    <w:rsid w:val="69E93C5A"/>
    <w:rsid w:val="69EA352F"/>
    <w:rsid w:val="69EA4DEB"/>
    <w:rsid w:val="69EC2519"/>
    <w:rsid w:val="69ED00DF"/>
    <w:rsid w:val="69EF08CB"/>
    <w:rsid w:val="69F3315F"/>
    <w:rsid w:val="69F640E4"/>
    <w:rsid w:val="69F66377"/>
    <w:rsid w:val="69F764C9"/>
    <w:rsid w:val="69FA7C16"/>
    <w:rsid w:val="69FC4283"/>
    <w:rsid w:val="69FD521F"/>
    <w:rsid w:val="69FE05CE"/>
    <w:rsid w:val="69FE3D41"/>
    <w:rsid w:val="6A010FA4"/>
    <w:rsid w:val="6A0171F6"/>
    <w:rsid w:val="6A0445F0"/>
    <w:rsid w:val="6A0960AB"/>
    <w:rsid w:val="6A0A1458"/>
    <w:rsid w:val="6A0C7949"/>
    <w:rsid w:val="6A0E1913"/>
    <w:rsid w:val="6A10026E"/>
    <w:rsid w:val="6A1011E7"/>
    <w:rsid w:val="6A103D8E"/>
    <w:rsid w:val="6A103F81"/>
    <w:rsid w:val="6A107439"/>
    <w:rsid w:val="6A130CD7"/>
    <w:rsid w:val="6A143118"/>
    <w:rsid w:val="6A1660FF"/>
    <w:rsid w:val="6A1707C7"/>
    <w:rsid w:val="6A174619"/>
    <w:rsid w:val="6A186A78"/>
    <w:rsid w:val="6A1A02B8"/>
    <w:rsid w:val="6A1C4030"/>
    <w:rsid w:val="6A1C5DDE"/>
    <w:rsid w:val="6A1C6771"/>
    <w:rsid w:val="6A1D1B56"/>
    <w:rsid w:val="6A1D43F7"/>
    <w:rsid w:val="6A1D56B2"/>
    <w:rsid w:val="6A1F3D5D"/>
    <w:rsid w:val="6A22716C"/>
    <w:rsid w:val="6A242416"/>
    <w:rsid w:val="6A243F51"/>
    <w:rsid w:val="6A2447DD"/>
    <w:rsid w:val="6A246A40"/>
    <w:rsid w:val="6A284B97"/>
    <w:rsid w:val="6A2A598F"/>
    <w:rsid w:val="6A2C1D99"/>
    <w:rsid w:val="6A2E3D63"/>
    <w:rsid w:val="6A303B47"/>
    <w:rsid w:val="6A30461D"/>
    <w:rsid w:val="6A316CA8"/>
    <w:rsid w:val="6A333E70"/>
    <w:rsid w:val="6A334ED5"/>
    <w:rsid w:val="6A36072D"/>
    <w:rsid w:val="6A3950E6"/>
    <w:rsid w:val="6A39656C"/>
    <w:rsid w:val="6A3A061E"/>
    <w:rsid w:val="6A3A2708"/>
    <w:rsid w:val="6A3A56A8"/>
    <w:rsid w:val="6A3C0286"/>
    <w:rsid w:val="6A3D1DC1"/>
    <w:rsid w:val="6A3D5D54"/>
    <w:rsid w:val="6A3F7D1E"/>
    <w:rsid w:val="6A401CB8"/>
    <w:rsid w:val="6A4129DB"/>
    <w:rsid w:val="6A413A96"/>
    <w:rsid w:val="6A420314"/>
    <w:rsid w:val="6A425119"/>
    <w:rsid w:val="6A440E91"/>
    <w:rsid w:val="6A4610AD"/>
    <w:rsid w:val="6A4728D8"/>
    <w:rsid w:val="6A49288A"/>
    <w:rsid w:val="6A493FCB"/>
    <w:rsid w:val="6A4B66C3"/>
    <w:rsid w:val="6A4D243B"/>
    <w:rsid w:val="6A4D41E9"/>
    <w:rsid w:val="6A4E3ABD"/>
    <w:rsid w:val="6A4E644F"/>
    <w:rsid w:val="6A500068"/>
    <w:rsid w:val="6A5034F9"/>
    <w:rsid w:val="6A503851"/>
    <w:rsid w:val="6A507835"/>
    <w:rsid w:val="6A510F7A"/>
    <w:rsid w:val="6A527A52"/>
    <w:rsid w:val="6A5437CA"/>
    <w:rsid w:val="6A5512F0"/>
    <w:rsid w:val="6A575068"/>
    <w:rsid w:val="6A577A5F"/>
    <w:rsid w:val="6A59526A"/>
    <w:rsid w:val="6A5B7038"/>
    <w:rsid w:val="6A5D63E6"/>
    <w:rsid w:val="6A5D6C72"/>
    <w:rsid w:val="6A5E3A74"/>
    <w:rsid w:val="6A5E63F6"/>
    <w:rsid w:val="6A5F488C"/>
    <w:rsid w:val="6A6432E1"/>
    <w:rsid w:val="6A6479E3"/>
    <w:rsid w:val="6A655226"/>
    <w:rsid w:val="6A667059"/>
    <w:rsid w:val="6A687275"/>
    <w:rsid w:val="6A68794A"/>
    <w:rsid w:val="6A694D9B"/>
    <w:rsid w:val="6A6A2D76"/>
    <w:rsid w:val="6A6C0337"/>
    <w:rsid w:val="6A6C75A6"/>
    <w:rsid w:val="6A6D73D5"/>
    <w:rsid w:val="6A6E2AA9"/>
    <w:rsid w:val="6A6F12EE"/>
    <w:rsid w:val="6A701C86"/>
    <w:rsid w:val="6A703DAE"/>
    <w:rsid w:val="6A70612A"/>
    <w:rsid w:val="6A7177BA"/>
    <w:rsid w:val="6A723C50"/>
    <w:rsid w:val="6A753740"/>
    <w:rsid w:val="6A7772F2"/>
    <w:rsid w:val="6A787BEC"/>
    <w:rsid w:val="6A791969"/>
    <w:rsid w:val="6A794AE6"/>
    <w:rsid w:val="6A794FDE"/>
    <w:rsid w:val="6A7A0D56"/>
    <w:rsid w:val="6A7B295E"/>
    <w:rsid w:val="6A7B707A"/>
    <w:rsid w:val="6A7B7546"/>
    <w:rsid w:val="6A7C4ACE"/>
    <w:rsid w:val="6A7D43A3"/>
    <w:rsid w:val="6A7D6CB0"/>
    <w:rsid w:val="6A7E25F5"/>
    <w:rsid w:val="6A7F5888"/>
    <w:rsid w:val="6A7F636D"/>
    <w:rsid w:val="6A8107DE"/>
    <w:rsid w:val="6A8120E5"/>
    <w:rsid w:val="6A81400C"/>
    <w:rsid w:val="6A824822"/>
    <w:rsid w:val="6A8355EC"/>
    <w:rsid w:val="6A835E5D"/>
    <w:rsid w:val="6A837C0B"/>
    <w:rsid w:val="6A88588B"/>
    <w:rsid w:val="6A892D47"/>
    <w:rsid w:val="6A8959C7"/>
    <w:rsid w:val="6A8A4A65"/>
    <w:rsid w:val="6A8B3277"/>
    <w:rsid w:val="6A8B394D"/>
    <w:rsid w:val="6A8B3B03"/>
    <w:rsid w:val="6A9042E2"/>
    <w:rsid w:val="6A906F5C"/>
    <w:rsid w:val="6A941E18"/>
    <w:rsid w:val="6A9701A5"/>
    <w:rsid w:val="6A997812"/>
    <w:rsid w:val="6A9A5533"/>
    <w:rsid w:val="6A9C6F1F"/>
    <w:rsid w:val="6A9E4A45"/>
    <w:rsid w:val="6A9E67F3"/>
    <w:rsid w:val="6A9E7803"/>
    <w:rsid w:val="6A9F24BD"/>
    <w:rsid w:val="6A9F256B"/>
    <w:rsid w:val="6AA06A0F"/>
    <w:rsid w:val="6AA10091"/>
    <w:rsid w:val="6AA14535"/>
    <w:rsid w:val="6AA45DD3"/>
    <w:rsid w:val="6AA60986"/>
    <w:rsid w:val="6AA67D9D"/>
    <w:rsid w:val="6AAF0D2D"/>
    <w:rsid w:val="6AAF6C52"/>
    <w:rsid w:val="6AB06526"/>
    <w:rsid w:val="6AB06666"/>
    <w:rsid w:val="6AB2229E"/>
    <w:rsid w:val="6AB269FE"/>
    <w:rsid w:val="6AB53E91"/>
    <w:rsid w:val="6AB62F7E"/>
    <w:rsid w:val="6AB630E4"/>
    <w:rsid w:val="6AB97AD1"/>
    <w:rsid w:val="6ABC136F"/>
    <w:rsid w:val="6ABE009D"/>
    <w:rsid w:val="6ABF6769"/>
    <w:rsid w:val="6AC45A77"/>
    <w:rsid w:val="6AC54412"/>
    <w:rsid w:val="6AC65D4A"/>
    <w:rsid w:val="6ACB15B2"/>
    <w:rsid w:val="6ACC7244"/>
    <w:rsid w:val="6ACE0429"/>
    <w:rsid w:val="6AD11522"/>
    <w:rsid w:val="6AD22940"/>
    <w:rsid w:val="6AD246EE"/>
    <w:rsid w:val="6AD30254"/>
    <w:rsid w:val="6AD62431"/>
    <w:rsid w:val="6AD824D8"/>
    <w:rsid w:val="6AD9782B"/>
    <w:rsid w:val="6ADA35A3"/>
    <w:rsid w:val="6ADF3591"/>
    <w:rsid w:val="6AE10DD5"/>
    <w:rsid w:val="6AE2497F"/>
    <w:rsid w:val="6AE52674"/>
    <w:rsid w:val="6AEB755E"/>
    <w:rsid w:val="6AEF704E"/>
    <w:rsid w:val="6AF02DC7"/>
    <w:rsid w:val="6AF07B7F"/>
    <w:rsid w:val="6AF24D91"/>
    <w:rsid w:val="6AF503DD"/>
    <w:rsid w:val="6AF92B4D"/>
    <w:rsid w:val="6AF95F01"/>
    <w:rsid w:val="6AFE1987"/>
    <w:rsid w:val="6AFE414A"/>
    <w:rsid w:val="6AFE54E3"/>
    <w:rsid w:val="6AFF300A"/>
    <w:rsid w:val="6AFF4E74"/>
    <w:rsid w:val="6B014FD4"/>
    <w:rsid w:val="6B056872"/>
    <w:rsid w:val="6B0A66B2"/>
    <w:rsid w:val="6B0D0EFB"/>
    <w:rsid w:val="6B0E7FA3"/>
    <w:rsid w:val="6B0F4184"/>
    <w:rsid w:val="6B0F76F1"/>
    <w:rsid w:val="6B104226"/>
    <w:rsid w:val="6B1571C4"/>
    <w:rsid w:val="6B160A7F"/>
    <w:rsid w:val="6B1854C0"/>
    <w:rsid w:val="6B1940CB"/>
    <w:rsid w:val="6B1B7378"/>
    <w:rsid w:val="6B1B7E43"/>
    <w:rsid w:val="6B1C1E0E"/>
    <w:rsid w:val="6B1D005F"/>
    <w:rsid w:val="6B1D66F9"/>
    <w:rsid w:val="6B20545A"/>
    <w:rsid w:val="6B223851"/>
    <w:rsid w:val="6B2370D5"/>
    <w:rsid w:val="6B2415A6"/>
    <w:rsid w:val="6B250CC2"/>
    <w:rsid w:val="6B252A70"/>
    <w:rsid w:val="6B2778AB"/>
    <w:rsid w:val="6B282560"/>
    <w:rsid w:val="6B2B4786"/>
    <w:rsid w:val="6B2C2051"/>
    <w:rsid w:val="6B2E09FC"/>
    <w:rsid w:val="6B2E5B70"/>
    <w:rsid w:val="6B306F2E"/>
    <w:rsid w:val="6B3260E4"/>
    <w:rsid w:val="6B326417"/>
    <w:rsid w:val="6B3322F6"/>
    <w:rsid w:val="6B3706EA"/>
    <w:rsid w:val="6B39476E"/>
    <w:rsid w:val="6B3C600C"/>
    <w:rsid w:val="6B3D3100"/>
    <w:rsid w:val="6B3D425E"/>
    <w:rsid w:val="6B405AFC"/>
    <w:rsid w:val="6B413622"/>
    <w:rsid w:val="6B43739A"/>
    <w:rsid w:val="6B460C38"/>
    <w:rsid w:val="6B4725E4"/>
    <w:rsid w:val="6B47278C"/>
    <w:rsid w:val="6B4C1F3D"/>
    <w:rsid w:val="6B4C31BC"/>
    <w:rsid w:val="6B4D72A6"/>
    <w:rsid w:val="6B513865"/>
    <w:rsid w:val="6B5222C8"/>
    <w:rsid w:val="6B5259F4"/>
    <w:rsid w:val="6B527886"/>
    <w:rsid w:val="6B53068C"/>
    <w:rsid w:val="6B53250E"/>
    <w:rsid w:val="6B543355"/>
    <w:rsid w:val="6B546F6D"/>
    <w:rsid w:val="6B555B6C"/>
    <w:rsid w:val="6B572E46"/>
    <w:rsid w:val="6B59565D"/>
    <w:rsid w:val="6B5C5C1E"/>
    <w:rsid w:val="6B5D66AE"/>
    <w:rsid w:val="6B5E5F82"/>
    <w:rsid w:val="6B5F73CB"/>
    <w:rsid w:val="6B60619E"/>
    <w:rsid w:val="6B607DA5"/>
    <w:rsid w:val="6B607F4C"/>
    <w:rsid w:val="6B6123A4"/>
    <w:rsid w:val="6B615E0F"/>
    <w:rsid w:val="6B631EBD"/>
    <w:rsid w:val="6B63499D"/>
    <w:rsid w:val="6B642897"/>
    <w:rsid w:val="6B673089"/>
    <w:rsid w:val="6B67752D"/>
    <w:rsid w:val="6B680BAF"/>
    <w:rsid w:val="6B6A0DCB"/>
    <w:rsid w:val="6B6B19DF"/>
    <w:rsid w:val="6B6C005A"/>
    <w:rsid w:val="6B6C68F1"/>
    <w:rsid w:val="6B6D2669"/>
    <w:rsid w:val="6B6F1F3D"/>
    <w:rsid w:val="6B6F4633"/>
    <w:rsid w:val="6B737C7F"/>
    <w:rsid w:val="6B740221"/>
    <w:rsid w:val="6B792D2F"/>
    <w:rsid w:val="6B795473"/>
    <w:rsid w:val="6B7E5CE7"/>
    <w:rsid w:val="6B814CC9"/>
    <w:rsid w:val="6B820CC0"/>
    <w:rsid w:val="6B822971"/>
    <w:rsid w:val="6B832849"/>
    <w:rsid w:val="6B833C3B"/>
    <w:rsid w:val="6B835717"/>
    <w:rsid w:val="6B8816F8"/>
    <w:rsid w:val="6B884E2A"/>
    <w:rsid w:val="6B8A6C42"/>
    <w:rsid w:val="6B8B761C"/>
    <w:rsid w:val="6B9145AA"/>
    <w:rsid w:val="6B947EFF"/>
    <w:rsid w:val="6B96396E"/>
    <w:rsid w:val="6B99331C"/>
    <w:rsid w:val="6BA0712C"/>
    <w:rsid w:val="6BA21BA1"/>
    <w:rsid w:val="6BA237CD"/>
    <w:rsid w:val="6BA347F6"/>
    <w:rsid w:val="6BA50055"/>
    <w:rsid w:val="6BA51E03"/>
    <w:rsid w:val="6BA8793F"/>
    <w:rsid w:val="6BA936A1"/>
    <w:rsid w:val="6BAA42A1"/>
    <w:rsid w:val="6BAA566B"/>
    <w:rsid w:val="6BAE0B4D"/>
    <w:rsid w:val="6BB037D1"/>
    <w:rsid w:val="6BB107A8"/>
    <w:rsid w:val="6BB15296"/>
    <w:rsid w:val="6BB32772"/>
    <w:rsid w:val="6BB42046"/>
    <w:rsid w:val="6BB70D17"/>
    <w:rsid w:val="6BBA58AE"/>
    <w:rsid w:val="6BBB30C2"/>
    <w:rsid w:val="6BBB5DF6"/>
    <w:rsid w:val="6BBC143D"/>
    <w:rsid w:val="6BBD539F"/>
    <w:rsid w:val="6BBF5BB4"/>
    <w:rsid w:val="6BC01063"/>
    <w:rsid w:val="6BC02799"/>
    <w:rsid w:val="6BC06C3D"/>
    <w:rsid w:val="6BC229B5"/>
    <w:rsid w:val="6BC24763"/>
    <w:rsid w:val="6BC35959"/>
    <w:rsid w:val="6BC41DB9"/>
    <w:rsid w:val="6BC8789F"/>
    <w:rsid w:val="6BC90CA9"/>
    <w:rsid w:val="6BC923FB"/>
    <w:rsid w:val="6BC93D43"/>
    <w:rsid w:val="6BCA6012"/>
    <w:rsid w:val="6BCB3485"/>
    <w:rsid w:val="6BCB63A3"/>
    <w:rsid w:val="6BCD0D7C"/>
    <w:rsid w:val="6BD3071E"/>
    <w:rsid w:val="6BD32229"/>
    <w:rsid w:val="6BDA7CFF"/>
    <w:rsid w:val="6BDB3A77"/>
    <w:rsid w:val="6BDB7CDE"/>
    <w:rsid w:val="6BDD334B"/>
    <w:rsid w:val="6BE02E3B"/>
    <w:rsid w:val="6BE04BE9"/>
    <w:rsid w:val="6BE04F09"/>
    <w:rsid w:val="6BE4292B"/>
    <w:rsid w:val="6BE566A3"/>
    <w:rsid w:val="6BE57454"/>
    <w:rsid w:val="6BE91C61"/>
    <w:rsid w:val="6BEA0F14"/>
    <w:rsid w:val="6BEB1F0C"/>
    <w:rsid w:val="6BEC5112"/>
    <w:rsid w:val="6BED74D5"/>
    <w:rsid w:val="6BEE00B5"/>
    <w:rsid w:val="6BEE7306"/>
    <w:rsid w:val="6BEE7AA2"/>
    <w:rsid w:val="6BF1329A"/>
    <w:rsid w:val="6BF15048"/>
    <w:rsid w:val="6BF16DF6"/>
    <w:rsid w:val="6BF56C52"/>
    <w:rsid w:val="6BF6440D"/>
    <w:rsid w:val="6BFB1AB8"/>
    <w:rsid w:val="6BFC0521"/>
    <w:rsid w:val="6BFE20FA"/>
    <w:rsid w:val="6BFF3BDC"/>
    <w:rsid w:val="6BFF59B7"/>
    <w:rsid w:val="6C0233D3"/>
    <w:rsid w:val="6C037DFF"/>
    <w:rsid w:val="6C0409ED"/>
    <w:rsid w:val="6C042FCD"/>
    <w:rsid w:val="6C057DF6"/>
    <w:rsid w:val="6C060AF4"/>
    <w:rsid w:val="6C060F0D"/>
    <w:rsid w:val="6C066D46"/>
    <w:rsid w:val="6C075CA6"/>
    <w:rsid w:val="6C084DC9"/>
    <w:rsid w:val="6C0B610A"/>
    <w:rsid w:val="6C0C59DE"/>
    <w:rsid w:val="6C0D4741"/>
    <w:rsid w:val="6C0E79A8"/>
    <w:rsid w:val="6C1163E1"/>
    <w:rsid w:val="6C117498"/>
    <w:rsid w:val="6C120F5B"/>
    <w:rsid w:val="6C136D6D"/>
    <w:rsid w:val="6C156F89"/>
    <w:rsid w:val="6C182CE8"/>
    <w:rsid w:val="6C1A634D"/>
    <w:rsid w:val="6C1C0317"/>
    <w:rsid w:val="6C1E7194"/>
    <w:rsid w:val="6C1E7E9E"/>
    <w:rsid w:val="6C2529EB"/>
    <w:rsid w:val="6C264DB7"/>
    <w:rsid w:val="6C2709F3"/>
    <w:rsid w:val="6C277C1D"/>
    <w:rsid w:val="6C290B81"/>
    <w:rsid w:val="6C2A1812"/>
    <w:rsid w:val="6C2B2308"/>
    <w:rsid w:val="6C2D29B7"/>
    <w:rsid w:val="6C2D2B4F"/>
    <w:rsid w:val="6C2D6CB2"/>
    <w:rsid w:val="6C2E35A5"/>
    <w:rsid w:val="6C2F0185"/>
    <w:rsid w:val="6C2F630D"/>
    <w:rsid w:val="6C30660C"/>
    <w:rsid w:val="6C316D02"/>
    <w:rsid w:val="6C316EB7"/>
    <w:rsid w:val="6C330499"/>
    <w:rsid w:val="6C353187"/>
    <w:rsid w:val="6C356CDB"/>
    <w:rsid w:val="6C382C77"/>
    <w:rsid w:val="6C3867D3"/>
    <w:rsid w:val="6C3B62C3"/>
    <w:rsid w:val="6C3D3DF2"/>
    <w:rsid w:val="6C3E1F20"/>
    <w:rsid w:val="6C3F3B3F"/>
    <w:rsid w:val="6C434291"/>
    <w:rsid w:val="6C467142"/>
    <w:rsid w:val="6C4B29AA"/>
    <w:rsid w:val="6C4C04D0"/>
    <w:rsid w:val="6C4D4027"/>
    <w:rsid w:val="6C533F4A"/>
    <w:rsid w:val="6C537AB1"/>
    <w:rsid w:val="6C553829"/>
    <w:rsid w:val="6C5555D7"/>
    <w:rsid w:val="6C560CAF"/>
    <w:rsid w:val="6C571AC0"/>
    <w:rsid w:val="6C5B4564"/>
    <w:rsid w:val="6C5C35CA"/>
    <w:rsid w:val="6C5E2742"/>
    <w:rsid w:val="6C6121CE"/>
    <w:rsid w:val="6C615D2A"/>
    <w:rsid w:val="6C635F46"/>
    <w:rsid w:val="6C6475C8"/>
    <w:rsid w:val="6C666A61"/>
    <w:rsid w:val="6C6677E4"/>
    <w:rsid w:val="6C692E30"/>
    <w:rsid w:val="6C6A16B7"/>
    <w:rsid w:val="6C6B059F"/>
    <w:rsid w:val="6C6B0755"/>
    <w:rsid w:val="6C6B0957"/>
    <w:rsid w:val="6C6C46CF"/>
    <w:rsid w:val="6C6C7379"/>
    <w:rsid w:val="6C6E48EB"/>
    <w:rsid w:val="6C705F6D"/>
    <w:rsid w:val="6C710F75"/>
    <w:rsid w:val="6C74510B"/>
    <w:rsid w:val="6C78592B"/>
    <w:rsid w:val="6C7926A6"/>
    <w:rsid w:val="6C7A1FD0"/>
    <w:rsid w:val="6C7A24F1"/>
    <w:rsid w:val="6C7E26F9"/>
    <w:rsid w:val="6C812606"/>
    <w:rsid w:val="6C8332D0"/>
    <w:rsid w:val="6C847C6A"/>
    <w:rsid w:val="6C850C61"/>
    <w:rsid w:val="6C865790"/>
    <w:rsid w:val="6C866D48"/>
    <w:rsid w:val="6C895281"/>
    <w:rsid w:val="6C8A3E98"/>
    <w:rsid w:val="6C8D6C83"/>
    <w:rsid w:val="6C8E13A9"/>
    <w:rsid w:val="6C8E3F5A"/>
    <w:rsid w:val="6C9003BD"/>
    <w:rsid w:val="6C917204"/>
    <w:rsid w:val="6C931878"/>
    <w:rsid w:val="6C952DF1"/>
    <w:rsid w:val="6C953C26"/>
    <w:rsid w:val="6C963990"/>
    <w:rsid w:val="6C967660"/>
    <w:rsid w:val="6C985C47"/>
    <w:rsid w:val="6C9B1C56"/>
    <w:rsid w:val="6C9C1458"/>
    <w:rsid w:val="6C9D0D2C"/>
    <w:rsid w:val="6C9F2CF6"/>
    <w:rsid w:val="6CA05869"/>
    <w:rsid w:val="6CA1081C"/>
    <w:rsid w:val="6CA355A5"/>
    <w:rsid w:val="6CA51C88"/>
    <w:rsid w:val="6CA64085"/>
    <w:rsid w:val="6CA9147F"/>
    <w:rsid w:val="6CA95923"/>
    <w:rsid w:val="6CAB51F7"/>
    <w:rsid w:val="6CB22A29"/>
    <w:rsid w:val="6CB561E6"/>
    <w:rsid w:val="6CB63A54"/>
    <w:rsid w:val="6CBA2C58"/>
    <w:rsid w:val="6CBA4774"/>
    <w:rsid w:val="6CBC06AD"/>
    <w:rsid w:val="6CC02282"/>
    <w:rsid w:val="6CC30793"/>
    <w:rsid w:val="6CC3139A"/>
    <w:rsid w:val="6CC664D5"/>
    <w:rsid w:val="6CC77E10"/>
    <w:rsid w:val="6CC83FFB"/>
    <w:rsid w:val="6CC91B21"/>
    <w:rsid w:val="6CCA7D73"/>
    <w:rsid w:val="6CCB71D2"/>
    <w:rsid w:val="6CCD388D"/>
    <w:rsid w:val="6CD00095"/>
    <w:rsid w:val="6CD209D6"/>
    <w:rsid w:val="6CD30C48"/>
    <w:rsid w:val="6CD52274"/>
    <w:rsid w:val="6CD75FEC"/>
    <w:rsid w:val="6CD854A1"/>
    <w:rsid w:val="6CDB2BA3"/>
    <w:rsid w:val="6CDE580B"/>
    <w:rsid w:val="6CDF1345"/>
    <w:rsid w:val="6CDF30F3"/>
    <w:rsid w:val="6CE104E8"/>
    <w:rsid w:val="6CE131BE"/>
    <w:rsid w:val="6CE150BD"/>
    <w:rsid w:val="6CE16E6B"/>
    <w:rsid w:val="6CE54BAD"/>
    <w:rsid w:val="6CEA21C3"/>
    <w:rsid w:val="6CED2F08"/>
    <w:rsid w:val="6CED568C"/>
    <w:rsid w:val="6CEE4F56"/>
    <w:rsid w:val="6CEE52C1"/>
    <w:rsid w:val="6CF01952"/>
    <w:rsid w:val="6CF21078"/>
    <w:rsid w:val="6CF23940"/>
    <w:rsid w:val="6CF30D93"/>
    <w:rsid w:val="6CF43042"/>
    <w:rsid w:val="6CF50EC1"/>
    <w:rsid w:val="6CF6233D"/>
    <w:rsid w:val="6CF9240B"/>
    <w:rsid w:val="6CFB0A01"/>
    <w:rsid w:val="6CFC24C8"/>
    <w:rsid w:val="6CFD43DC"/>
    <w:rsid w:val="6CFE5A50"/>
    <w:rsid w:val="6CFE5C6F"/>
    <w:rsid w:val="6D000B7D"/>
    <w:rsid w:val="6D003795"/>
    <w:rsid w:val="6D022035"/>
    <w:rsid w:val="6D022321"/>
    <w:rsid w:val="6D041684"/>
    <w:rsid w:val="6D05381C"/>
    <w:rsid w:val="6D07276D"/>
    <w:rsid w:val="6D0A2952"/>
    <w:rsid w:val="6D0D1A0E"/>
    <w:rsid w:val="6D0E674A"/>
    <w:rsid w:val="6D0E75BB"/>
    <w:rsid w:val="6D0F4B4D"/>
    <w:rsid w:val="6D1073A3"/>
    <w:rsid w:val="6D122FBA"/>
    <w:rsid w:val="6D17493C"/>
    <w:rsid w:val="6D176058"/>
    <w:rsid w:val="6D194857"/>
    <w:rsid w:val="6D19684D"/>
    <w:rsid w:val="6D1C4347"/>
    <w:rsid w:val="6D1E3A54"/>
    <w:rsid w:val="6D1F3697"/>
    <w:rsid w:val="6D237483"/>
    <w:rsid w:val="6D251D1D"/>
    <w:rsid w:val="6D257FA0"/>
    <w:rsid w:val="6D276982"/>
    <w:rsid w:val="6D2A0812"/>
    <w:rsid w:val="6D2B2A93"/>
    <w:rsid w:val="6D2C009B"/>
    <w:rsid w:val="6D2C52A2"/>
    <w:rsid w:val="6D2D3E5E"/>
    <w:rsid w:val="6D2F29B1"/>
    <w:rsid w:val="6D2F5E28"/>
    <w:rsid w:val="6D2F7BD6"/>
    <w:rsid w:val="6D3056A3"/>
    <w:rsid w:val="6D321474"/>
    <w:rsid w:val="6D341690"/>
    <w:rsid w:val="6D34343E"/>
    <w:rsid w:val="6D347612"/>
    <w:rsid w:val="6D350F65"/>
    <w:rsid w:val="6D367A6D"/>
    <w:rsid w:val="6D371181"/>
    <w:rsid w:val="6D392803"/>
    <w:rsid w:val="6D39533A"/>
    <w:rsid w:val="6D416038"/>
    <w:rsid w:val="6D4312CD"/>
    <w:rsid w:val="6D433682"/>
    <w:rsid w:val="6D452BB7"/>
    <w:rsid w:val="6D452D6D"/>
    <w:rsid w:val="6D463B8B"/>
    <w:rsid w:val="6D464F20"/>
    <w:rsid w:val="6D497313"/>
    <w:rsid w:val="6D4A0334"/>
    <w:rsid w:val="6D4B2FEF"/>
    <w:rsid w:val="6D4C4BC8"/>
    <w:rsid w:val="6D4D2752"/>
    <w:rsid w:val="6D4D5460"/>
    <w:rsid w:val="6D4F0C05"/>
    <w:rsid w:val="6D512242"/>
    <w:rsid w:val="6D513FF0"/>
    <w:rsid w:val="6D521B17"/>
    <w:rsid w:val="6D54763D"/>
    <w:rsid w:val="6D547936"/>
    <w:rsid w:val="6D55050F"/>
    <w:rsid w:val="6D5573B2"/>
    <w:rsid w:val="6D572428"/>
    <w:rsid w:val="6D57537F"/>
    <w:rsid w:val="6D5835D1"/>
    <w:rsid w:val="6D590816"/>
    <w:rsid w:val="6D5B3BEA"/>
    <w:rsid w:val="6D5C2995"/>
    <w:rsid w:val="6D5D0BE7"/>
    <w:rsid w:val="6D5E2269"/>
    <w:rsid w:val="6D5E495F"/>
    <w:rsid w:val="6D5E670D"/>
    <w:rsid w:val="6D5F15C1"/>
    <w:rsid w:val="6D605FE2"/>
    <w:rsid w:val="6D610FF4"/>
    <w:rsid w:val="6D6141DB"/>
    <w:rsid w:val="6D617FAC"/>
    <w:rsid w:val="6D620EC3"/>
    <w:rsid w:val="6D625405"/>
    <w:rsid w:val="6D630918"/>
    <w:rsid w:val="6D64268E"/>
    <w:rsid w:val="6D6467EB"/>
    <w:rsid w:val="6D6655C2"/>
    <w:rsid w:val="6D67538A"/>
    <w:rsid w:val="6D68651B"/>
    <w:rsid w:val="6D69201B"/>
    <w:rsid w:val="6D693A29"/>
    <w:rsid w:val="6D694B83"/>
    <w:rsid w:val="6D6A50B2"/>
    <w:rsid w:val="6D6A6E60"/>
    <w:rsid w:val="6D6C0E2A"/>
    <w:rsid w:val="6D6C4F57"/>
    <w:rsid w:val="6D6C7F13"/>
    <w:rsid w:val="6D6D3E13"/>
    <w:rsid w:val="6D6D4BA2"/>
    <w:rsid w:val="6D6D6574"/>
    <w:rsid w:val="6D6D6950"/>
    <w:rsid w:val="6D6E4BDF"/>
    <w:rsid w:val="6D6E7912"/>
    <w:rsid w:val="6D6F091A"/>
    <w:rsid w:val="6D6F26C8"/>
    <w:rsid w:val="6D6F4850"/>
    <w:rsid w:val="6D7165A7"/>
    <w:rsid w:val="6D7209AD"/>
    <w:rsid w:val="6D7345A7"/>
    <w:rsid w:val="6D7375D5"/>
    <w:rsid w:val="6D742357"/>
    <w:rsid w:val="6D747CDF"/>
    <w:rsid w:val="6D760E66"/>
    <w:rsid w:val="6D761CA9"/>
    <w:rsid w:val="6D782B02"/>
    <w:rsid w:val="6D7A3958"/>
    <w:rsid w:val="6D7B24B5"/>
    <w:rsid w:val="6D7E0B5E"/>
    <w:rsid w:val="6D7F71AD"/>
    <w:rsid w:val="6D806684"/>
    <w:rsid w:val="6D8141AA"/>
    <w:rsid w:val="6D817E8B"/>
    <w:rsid w:val="6D82064E"/>
    <w:rsid w:val="6D8343C6"/>
    <w:rsid w:val="6D83727B"/>
    <w:rsid w:val="6D841E4C"/>
    <w:rsid w:val="6D846F49"/>
    <w:rsid w:val="6D864075"/>
    <w:rsid w:val="6D864406"/>
    <w:rsid w:val="6D893CB3"/>
    <w:rsid w:val="6D8968A8"/>
    <w:rsid w:val="6D8A7502"/>
    <w:rsid w:val="6D8B2ACB"/>
    <w:rsid w:val="6D8B315B"/>
    <w:rsid w:val="6D8B6DC6"/>
    <w:rsid w:val="6D8C5028"/>
    <w:rsid w:val="6D8C78E2"/>
    <w:rsid w:val="6D8D2B4F"/>
    <w:rsid w:val="6D8D3CCB"/>
    <w:rsid w:val="6D8D5B32"/>
    <w:rsid w:val="6D8E63A6"/>
    <w:rsid w:val="6D9003EF"/>
    <w:rsid w:val="6D9143ED"/>
    <w:rsid w:val="6D917E40"/>
    <w:rsid w:val="6D94212F"/>
    <w:rsid w:val="6D97577B"/>
    <w:rsid w:val="6D995269"/>
    <w:rsid w:val="6D995997"/>
    <w:rsid w:val="6D997745"/>
    <w:rsid w:val="6D9E2FAE"/>
    <w:rsid w:val="6DA00AD4"/>
    <w:rsid w:val="6DA02882"/>
    <w:rsid w:val="6DA06D26"/>
    <w:rsid w:val="6DA31EB6"/>
    <w:rsid w:val="6DA53394"/>
    <w:rsid w:val="6DAA5DD9"/>
    <w:rsid w:val="6DAF0D17"/>
    <w:rsid w:val="6DB22058"/>
    <w:rsid w:val="6DB2383E"/>
    <w:rsid w:val="6DB77BCC"/>
    <w:rsid w:val="6DB85E1E"/>
    <w:rsid w:val="6DB86C55"/>
    <w:rsid w:val="6DB909B8"/>
    <w:rsid w:val="6DB91AE6"/>
    <w:rsid w:val="6DB93944"/>
    <w:rsid w:val="6DB95988"/>
    <w:rsid w:val="6DB97DE8"/>
    <w:rsid w:val="6DBD3B0F"/>
    <w:rsid w:val="6DBE0F5A"/>
    <w:rsid w:val="6DBE4C07"/>
    <w:rsid w:val="6DBE59DF"/>
    <w:rsid w:val="6DC04CD2"/>
    <w:rsid w:val="6DC5053A"/>
    <w:rsid w:val="6DC56B21"/>
    <w:rsid w:val="6DC704D0"/>
    <w:rsid w:val="6DC870F0"/>
    <w:rsid w:val="6DCB15B1"/>
    <w:rsid w:val="6DCE0390"/>
    <w:rsid w:val="6DCF3167"/>
    <w:rsid w:val="6DCF4F15"/>
    <w:rsid w:val="6DCF67B5"/>
    <w:rsid w:val="6DCF6A4A"/>
    <w:rsid w:val="6DCF6AFE"/>
    <w:rsid w:val="6DD15131"/>
    <w:rsid w:val="6DD250D8"/>
    <w:rsid w:val="6DD4077E"/>
    <w:rsid w:val="6DDA0547"/>
    <w:rsid w:val="6DDA2634"/>
    <w:rsid w:val="6DDB7D5E"/>
    <w:rsid w:val="6DDC161D"/>
    <w:rsid w:val="6DDD5884"/>
    <w:rsid w:val="6DDE15FC"/>
    <w:rsid w:val="6DDE33AA"/>
    <w:rsid w:val="6DE02F0F"/>
    <w:rsid w:val="6DE07122"/>
    <w:rsid w:val="6DE24C48"/>
    <w:rsid w:val="6DE32C62"/>
    <w:rsid w:val="6DE3690D"/>
    <w:rsid w:val="6DE36C13"/>
    <w:rsid w:val="6DE406B7"/>
    <w:rsid w:val="6DE67BDD"/>
    <w:rsid w:val="6DEA1D4F"/>
    <w:rsid w:val="6DEA61F3"/>
    <w:rsid w:val="6DEF24DD"/>
    <w:rsid w:val="6DEF3809"/>
    <w:rsid w:val="6DEF55B7"/>
    <w:rsid w:val="6DEF5C2B"/>
    <w:rsid w:val="6DEF7365"/>
    <w:rsid w:val="6DF36E56"/>
    <w:rsid w:val="6DF37AB2"/>
    <w:rsid w:val="6DF40E20"/>
    <w:rsid w:val="6DF42BCE"/>
    <w:rsid w:val="6DF777CB"/>
    <w:rsid w:val="6DF9031E"/>
    <w:rsid w:val="6DFD1A82"/>
    <w:rsid w:val="6DFE5138"/>
    <w:rsid w:val="6DFF2319"/>
    <w:rsid w:val="6DFF4B3E"/>
    <w:rsid w:val="6E005A16"/>
    <w:rsid w:val="6E021A03"/>
    <w:rsid w:val="6E02353D"/>
    <w:rsid w:val="6E0252EB"/>
    <w:rsid w:val="6E06488E"/>
    <w:rsid w:val="6E072901"/>
    <w:rsid w:val="6E076DA5"/>
    <w:rsid w:val="6E087D91"/>
    <w:rsid w:val="6E095305"/>
    <w:rsid w:val="6E0E0133"/>
    <w:rsid w:val="6E1374F8"/>
    <w:rsid w:val="6E144E55"/>
    <w:rsid w:val="6E150C55"/>
    <w:rsid w:val="6E153270"/>
    <w:rsid w:val="6E157FEC"/>
    <w:rsid w:val="6E16620A"/>
    <w:rsid w:val="6E1713F2"/>
    <w:rsid w:val="6E1A0886"/>
    <w:rsid w:val="6E1A123E"/>
    <w:rsid w:val="6E1F0431"/>
    <w:rsid w:val="6E1F40EF"/>
    <w:rsid w:val="6E1F7C38"/>
    <w:rsid w:val="6E201C15"/>
    <w:rsid w:val="6E217E67"/>
    <w:rsid w:val="6E24209A"/>
    <w:rsid w:val="6E2434B3"/>
    <w:rsid w:val="6E257782"/>
    <w:rsid w:val="6E273271"/>
    <w:rsid w:val="6E2B2A93"/>
    <w:rsid w:val="6E2B60EC"/>
    <w:rsid w:val="6E2D397D"/>
    <w:rsid w:val="6E2E0238"/>
    <w:rsid w:val="6E300BBD"/>
    <w:rsid w:val="6E313E22"/>
    <w:rsid w:val="6E314E89"/>
    <w:rsid w:val="6E34121C"/>
    <w:rsid w:val="6E366386"/>
    <w:rsid w:val="6E38049E"/>
    <w:rsid w:val="6E385050"/>
    <w:rsid w:val="6E3E277E"/>
    <w:rsid w:val="6E3E3B2E"/>
    <w:rsid w:val="6E421B8B"/>
    <w:rsid w:val="6E424E4A"/>
    <w:rsid w:val="6E4969E0"/>
    <w:rsid w:val="6E4B4EE4"/>
    <w:rsid w:val="6E4B6C92"/>
    <w:rsid w:val="6E4D43F7"/>
    <w:rsid w:val="6E4E5887"/>
    <w:rsid w:val="6E4F3D89"/>
    <w:rsid w:val="6E531FEA"/>
    <w:rsid w:val="6E533D98"/>
    <w:rsid w:val="6E540DCA"/>
    <w:rsid w:val="6E555C92"/>
    <w:rsid w:val="6E5576F0"/>
    <w:rsid w:val="6E57633D"/>
    <w:rsid w:val="6E580AE7"/>
    <w:rsid w:val="6E584131"/>
    <w:rsid w:val="6E5B2C4D"/>
    <w:rsid w:val="6E5C0465"/>
    <w:rsid w:val="6E5D4C17"/>
    <w:rsid w:val="6E5F4023"/>
    <w:rsid w:val="6E5F79C5"/>
    <w:rsid w:val="6E625D89"/>
    <w:rsid w:val="6E632A2A"/>
    <w:rsid w:val="6E672882"/>
    <w:rsid w:val="6E6765D2"/>
    <w:rsid w:val="6E67661B"/>
    <w:rsid w:val="6E6B2E90"/>
    <w:rsid w:val="6E7004A6"/>
    <w:rsid w:val="6E732C64"/>
    <w:rsid w:val="6E7361E8"/>
    <w:rsid w:val="6E755ABD"/>
    <w:rsid w:val="6E77145C"/>
    <w:rsid w:val="6E783D93"/>
    <w:rsid w:val="6E7A7577"/>
    <w:rsid w:val="6E7B6E4B"/>
    <w:rsid w:val="6E7C32EF"/>
    <w:rsid w:val="6E7F06E9"/>
    <w:rsid w:val="6E810905"/>
    <w:rsid w:val="6E823952"/>
    <w:rsid w:val="6E8354DD"/>
    <w:rsid w:val="6E84712D"/>
    <w:rsid w:val="6E851A78"/>
    <w:rsid w:val="6E856725"/>
    <w:rsid w:val="6E885335"/>
    <w:rsid w:val="6E887BE1"/>
    <w:rsid w:val="6E895A0C"/>
    <w:rsid w:val="6E8C1058"/>
    <w:rsid w:val="6E8D72AA"/>
    <w:rsid w:val="6E900B48"/>
    <w:rsid w:val="6E970129"/>
    <w:rsid w:val="6E9817AB"/>
    <w:rsid w:val="6E9879FD"/>
    <w:rsid w:val="6E9A3775"/>
    <w:rsid w:val="6E9B6554"/>
    <w:rsid w:val="6E9C129B"/>
    <w:rsid w:val="6E9D5013"/>
    <w:rsid w:val="6EA03A54"/>
    <w:rsid w:val="6EA14B04"/>
    <w:rsid w:val="6EA25B6B"/>
    <w:rsid w:val="6EA36ACE"/>
    <w:rsid w:val="6EA41295"/>
    <w:rsid w:val="6EA472A9"/>
    <w:rsid w:val="6EA57E47"/>
    <w:rsid w:val="6EA711FC"/>
    <w:rsid w:val="6EA77C40"/>
    <w:rsid w:val="6EA91C0A"/>
    <w:rsid w:val="6EAE5472"/>
    <w:rsid w:val="6EAE5FCA"/>
    <w:rsid w:val="6EAF0BC3"/>
    <w:rsid w:val="6EAF69A4"/>
    <w:rsid w:val="6EB02F99"/>
    <w:rsid w:val="6EB14BEE"/>
    <w:rsid w:val="6EB34837"/>
    <w:rsid w:val="6EB42E26"/>
    <w:rsid w:val="6EB631BE"/>
    <w:rsid w:val="6EB8009F"/>
    <w:rsid w:val="6EBA15CC"/>
    <w:rsid w:val="6EBA25C9"/>
    <w:rsid w:val="6EBA5633"/>
    <w:rsid w:val="6EBA7973"/>
    <w:rsid w:val="6EBC6818"/>
    <w:rsid w:val="6EBE56B6"/>
    <w:rsid w:val="6EBF7581"/>
    <w:rsid w:val="6EC425A0"/>
    <w:rsid w:val="6EC478C9"/>
    <w:rsid w:val="6EC52F1B"/>
    <w:rsid w:val="6EC5724B"/>
    <w:rsid w:val="6EC627BC"/>
    <w:rsid w:val="6EC66E4A"/>
    <w:rsid w:val="6EC86534"/>
    <w:rsid w:val="6ECB392F"/>
    <w:rsid w:val="6ECB3F76"/>
    <w:rsid w:val="6ECC1456"/>
    <w:rsid w:val="6ECD2955"/>
    <w:rsid w:val="6ECE1671"/>
    <w:rsid w:val="6ED0363B"/>
    <w:rsid w:val="6ED30A35"/>
    <w:rsid w:val="6ED722D3"/>
    <w:rsid w:val="6EDC04F7"/>
    <w:rsid w:val="6EDC1FE0"/>
    <w:rsid w:val="6EDD18B4"/>
    <w:rsid w:val="6EDF562C"/>
    <w:rsid w:val="6EDF73DA"/>
    <w:rsid w:val="6EE175F6"/>
    <w:rsid w:val="6EE314B3"/>
    <w:rsid w:val="6EE36372"/>
    <w:rsid w:val="6EE40E94"/>
    <w:rsid w:val="6EE60768"/>
    <w:rsid w:val="6EE92007"/>
    <w:rsid w:val="6EE964AB"/>
    <w:rsid w:val="6EEA46FD"/>
    <w:rsid w:val="6EEA6B63"/>
    <w:rsid w:val="6EEB2223"/>
    <w:rsid w:val="6EEB22DE"/>
    <w:rsid w:val="6EEC3FE5"/>
    <w:rsid w:val="6EED5F9B"/>
    <w:rsid w:val="6EEE586F"/>
    <w:rsid w:val="6EEF0202"/>
    <w:rsid w:val="6EF06C9C"/>
    <w:rsid w:val="6EF174B1"/>
    <w:rsid w:val="6EF233C9"/>
    <w:rsid w:val="6EF50120"/>
    <w:rsid w:val="6EF67A1A"/>
    <w:rsid w:val="6EF72CE4"/>
    <w:rsid w:val="6EF90750"/>
    <w:rsid w:val="6EF90C69"/>
    <w:rsid w:val="6EF90E1F"/>
    <w:rsid w:val="6EFA655B"/>
    <w:rsid w:val="6EFC72F9"/>
    <w:rsid w:val="6EFC7F8C"/>
    <w:rsid w:val="6F011A46"/>
    <w:rsid w:val="6F012A74"/>
    <w:rsid w:val="6F02382D"/>
    <w:rsid w:val="6F050915"/>
    <w:rsid w:val="6F051B39"/>
    <w:rsid w:val="6F06221D"/>
    <w:rsid w:val="6F07403E"/>
    <w:rsid w:val="6F086931"/>
    <w:rsid w:val="6F0914AB"/>
    <w:rsid w:val="6F094457"/>
    <w:rsid w:val="6F0D3F9D"/>
    <w:rsid w:val="6F0F3400"/>
    <w:rsid w:val="6F0F4163"/>
    <w:rsid w:val="6F0F5F11"/>
    <w:rsid w:val="6F11371B"/>
    <w:rsid w:val="6F12155D"/>
    <w:rsid w:val="6F125A01"/>
    <w:rsid w:val="6F141779"/>
    <w:rsid w:val="6F156EF1"/>
    <w:rsid w:val="6F1624CD"/>
    <w:rsid w:val="6F1866F2"/>
    <w:rsid w:val="6F1A2552"/>
    <w:rsid w:val="6F1A3BE3"/>
    <w:rsid w:val="6F1C062E"/>
    <w:rsid w:val="6F1C418A"/>
    <w:rsid w:val="6F234F46"/>
    <w:rsid w:val="6F2463D6"/>
    <w:rsid w:val="6F2968A7"/>
    <w:rsid w:val="6F2A1473"/>
    <w:rsid w:val="6F2A2D4B"/>
    <w:rsid w:val="6F2E750C"/>
    <w:rsid w:val="6F2F210F"/>
    <w:rsid w:val="6F307C36"/>
    <w:rsid w:val="6F3317F0"/>
    <w:rsid w:val="6F332507"/>
    <w:rsid w:val="6F340B5E"/>
    <w:rsid w:val="6F35349E"/>
    <w:rsid w:val="6F3620D6"/>
    <w:rsid w:val="6F3965E2"/>
    <w:rsid w:val="6F3A0AB4"/>
    <w:rsid w:val="6F3C2DD2"/>
    <w:rsid w:val="6F3C65DA"/>
    <w:rsid w:val="6F3E1E02"/>
    <w:rsid w:val="6F416B95"/>
    <w:rsid w:val="6F4214EB"/>
    <w:rsid w:val="6F427DA3"/>
    <w:rsid w:val="6F4638FD"/>
    <w:rsid w:val="6F4831D1"/>
    <w:rsid w:val="6F4A1393"/>
    <w:rsid w:val="6F4B2CC1"/>
    <w:rsid w:val="6F4B4A6F"/>
    <w:rsid w:val="6F4D07E7"/>
    <w:rsid w:val="6F4D6A39"/>
    <w:rsid w:val="6F51652A"/>
    <w:rsid w:val="6F526BC2"/>
    <w:rsid w:val="6F551878"/>
    <w:rsid w:val="6F567B23"/>
    <w:rsid w:val="6F573414"/>
    <w:rsid w:val="6F58297A"/>
    <w:rsid w:val="6F5A2F04"/>
    <w:rsid w:val="6F5D2896"/>
    <w:rsid w:val="6F5E0C47"/>
    <w:rsid w:val="6F601138"/>
    <w:rsid w:val="6F6103D1"/>
    <w:rsid w:val="6F612ABB"/>
    <w:rsid w:val="6F616041"/>
    <w:rsid w:val="6F62324F"/>
    <w:rsid w:val="6F643D83"/>
    <w:rsid w:val="6F651136"/>
    <w:rsid w:val="6F652057"/>
    <w:rsid w:val="6F675D4D"/>
    <w:rsid w:val="6F685621"/>
    <w:rsid w:val="6F6A1399"/>
    <w:rsid w:val="6F6A75EB"/>
    <w:rsid w:val="6F6C1DAC"/>
    <w:rsid w:val="6F6D49E6"/>
    <w:rsid w:val="6F6F69B0"/>
    <w:rsid w:val="6F70004A"/>
    <w:rsid w:val="6F701E0B"/>
    <w:rsid w:val="6F7264A0"/>
    <w:rsid w:val="6F742218"/>
    <w:rsid w:val="6F765F90"/>
    <w:rsid w:val="6F7678FA"/>
    <w:rsid w:val="6F7A7103"/>
    <w:rsid w:val="6F7A7850"/>
    <w:rsid w:val="6F7B6FC4"/>
    <w:rsid w:val="6F7C10CD"/>
    <w:rsid w:val="6F7C5CF6"/>
    <w:rsid w:val="6F7D6439"/>
    <w:rsid w:val="6F7F4719"/>
    <w:rsid w:val="6F8010EF"/>
    <w:rsid w:val="6F822C50"/>
    <w:rsid w:val="6F8275FE"/>
    <w:rsid w:val="6F8306AD"/>
    <w:rsid w:val="6F83245B"/>
    <w:rsid w:val="6F853E06"/>
    <w:rsid w:val="6F855772"/>
    <w:rsid w:val="6F864031"/>
    <w:rsid w:val="6F875CF8"/>
    <w:rsid w:val="6F8B1310"/>
    <w:rsid w:val="6F8C57B4"/>
    <w:rsid w:val="6F8D3156"/>
    <w:rsid w:val="6F8D32DA"/>
    <w:rsid w:val="6F8E2B96"/>
    <w:rsid w:val="6F8F2BAE"/>
    <w:rsid w:val="6F92269E"/>
    <w:rsid w:val="6F926CD5"/>
    <w:rsid w:val="6F9401C4"/>
    <w:rsid w:val="6F96218E"/>
    <w:rsid w:val="6F966D02"/>
    <w:rsid w:val="6F997ED1"/>
    <w:rsid w:val="6F9A7209"/>
    <w:rsid w:val="6F9B2726"/>
    <w:rsid w:val="6F9D6ADC"/>
    <w:rsid w:val="6FA0300D"/>
    <w:rsid w:val="6FA32AFD"/>
    <w:rsid w:val="6FA36659"/>
    <w:rsid w:val="6FA50AB7"/>
    <w:rsid w:val="6FA65D1A"/>
    <w:rsid w:val="6FA67EF8"/>
    <w:rsid w:val="6FA81EC2"/>
    <w:rsid w:val="6FAA4F3F"/>
    <w:rsid w:val="6FB2304E"/>
    <w:rsid w:val="6FB2556F"/>
    <w:rsid w:val="6FB57E20"/>
    <w:rsid w:val="6FB57FD6"/>
    <w:rsid w:val="6FBA17E0"/>
    <w:rsid w:val="6FBB1BF5"/>
    <w:rsid w:val="6FBD59CD"/>
    <w:rsid w:val="6FBE0D36"/>
    <w:rsid w:val="6FBE16E5"/>
    <w:rsid w:val="6FBE212C"/>
    <w:rsid w:val="6FBE55C6"/>
    <w:rsid w:val="6FC0720B"/>
    <w:rsid w:val="6FC32B1E"/>
    <w:rsid w:val="6FC33FD3"/>
    <w:rsid w:val="6FC37383"/>
    <w:rsid w:val="6FC64C41"/>
    <w:rsid w:val="6FC71573"/>
    <w:rsid w:val="6FC735D0"/>
    <w:rsid w:val="6FC96100"/>
    <w:rsid w:val="6FCA008A"/>
    <w:rsid w:val="6FCA1E38"/>
    <w:rsid w:val="6FCC3E02"/>
    <w:rsid w:val="6FD20CED"/>
    <w:rsid w:val="6FD23930"/>
    <w:rsid w:val="6FD24F90"/>
    <w:rsid w:val="6FD35191"/>
    <w:rsid w:val="6FD42CB7"/>
    <w:rsid w:val="6FD54146"/>
    <w:rsid w:val="6FD57803"/>
    <w:rsid w:val="6FD64C81"/>
    <w:rsid w:val="6FD8630F"/>
    <w:rsid w:val="6FD9207B"/>
    <w:rsid w:val="6FDA2CCF"/>
    <w:rsid w:val="6FDB399B"/>
    <w:rsid w:val="6FDE3B35"/>
    <w:rsid w:val="6FE23626"/>
    <w:rsid w:val="6FE27182"/>
    <w:rsid w:val="6FE50A20"/>
    <w:rsid w:val="6FE729EA"/>
    <w:rsid w:val="6FEA072C"/>
    <w:rsid w:val="6FEA4497"/>
    <w:rsid w:val="6FEB702D"/>
    <w:rsid w:val="6FED580B"/>
    <w:rsid w:val="6FEE1FCA"/>
    <w:rsid w:val="6FEE2621"/>
    <w:rsid w:val="6FF2313D"/>
    <w:rsid w:val="6FF869A5"/>
    <w:rsid w:val="6FFA7665"/>
    <w:rsid w:val="6FFB39E9"/>
    <w:rsid w:val="6FFB6495"/>
    <w:rsid w:val="6FFD4572"/>
    <w:rsid w:val="70003AAC"/>
    <w:rsid w:val="700370F8"/>
    <w:rsid w:val="70041EA1"/>
    <w:rsid w:val="700A66D9"/>
    <w:rsid w:val="700E441B"/>
    <w:rsid w:val="700F26E5"/>
    <w:rsid w:val="701256CF"/>
    <w:rsid w:val="70147557"/>
    <w:rsid w:val="70156BD3"/>
    <w:rsid w:val="70180EAF"/>
    <w:rsid w:val="70187047"/>
    <w:rsid w:val="70194DCD"/>
    <w:rsid w:val="7019691C"/>
    <w:rsid w:val="701B08E6"/>
    <w:rsid w:val="701C337F"/>
    <w:rsid w:val="701D1F8B"/>
    <w:rsid w:val="701D6A70"/>
    <w:rsid w:val="701F03D6"/>
    <w:rsid w:val="70210C76"/>
    <w:rsid w:val="70230F84"/>
    <w:rsid w:val="70243E27"/>
    <w:rsid w:val="702552C0"/>
    <w:rsid w:val="702754DC"/>
    <w:rsid w:val="7027728A"/>
    <w:rsid w:val="70293003"/>
    <w:rsid w:val="70293633"/>
    <w:rsid w:val="70294DB1"/>
    <w:rsid w:val="702C664F"/>
    <w:rsid w:val="702F488E"/>
    <w:rsid w:val="703025E3"/>
    <w:rsid w:val="7030723E"/>
    <w:rsid w:val="703419A7"/>
    <w:rsid w:val="70357BF9"/>
    <w:rsid w:val="7036328A"/>
    <w:rsid w:val="703642F5"/>
    <w:rsid w:val="7036571F"/>
    <w:rsid w:val="70387AF2"/>
    <w:rsid w:val="703B482E"/>
    <w:rsid w:val="703C418B"/>
    <w:rsid w:val="703F2826"/>
    <w:rsid w:val="70400CB6"/>
    <w:rsid w:val="7040659E"/>
    <w:rsid w:val="7040714E"/>
    <w:rsid w:val="704158C2"/>
    <w:rsid w:val="70422316"/>
    <w:rsid w:val="70431CCB"/>
    <w:rsid w:val="70455963"/>
    <w:rsid w:val="70455E0A"/>
    <w:rsid w:val="70466F16"/>
    <w:rsid w:val="70495D35"/>
    <w:rsid w:val="70497201"/>
    <w:rsid w:val="704A2F79"/>
    <w:rsid w:val="704A4D27"/>
    <w:rsid w:val="704C7282"/>
    <w:rsid w:val="704E5A4D"/>
    <w:rsid w:val="70534214"/>
    <w:rsid w:val="7054787E"/>
    <w:rsid w:val="7056191E"/>
    <w:rsid w:val="70566149"/>
    <w:rsid w:val="70567B70"/>
    <w:rsid w:val="705A3280"/>
    <w:rsid w:val="705B5186"/>
    <w:rsid w:val="705F6A24"/>
    <w:rsid w:val="7064403B"/>
    <w:rsid w:val="70646777"/>
    <w:rsid w:val="7065300C"/>
    <w:rsid w:val="7066230E"/>
    <w:rsid w:val="70671D7D"/>
    <w:rsid w:val="706933FF"/>
    <w:rsid w:val="706978A3"/>
    <w:rsid w:val="706A52E7"/>
    <w:rsid w:val="706A53C9"/>
    <w:rsid w:val="706B361B"/>
    <w:rsid w:val="706C109B"/>
    <w:rsid w:val="706C4FFD"/>
    <w:rsid w:val="706E0500"/>
    <w:rsid w:val="706F1805"/>
    <w:rsid w:val="706F2B2C"/>
    <w:rsid w:val="707029DF"/>
    <w:rsid w:val="70710506"/>
    <w:rsid w:val="707324D0"/>
    <w:rsid w:val="70735B54"/>
    <w:rsid w:val="707470BA"/>
    <w:rsid w:val="70761FC0"/>
    <w:rsid w:val="707715D2"/>
    <w:rsid w:val="707A2CDA"/>
    <w:rsid w:val="707A385E"/>
    <w:rsid w:val="707B053E"/>
    <w:rsid w:val="707B493C"/>
    <w:rsid w:val="707D165B"/>
    <w:rsid w:val="707D334E"/>
    <w:rsid w:val="708446DD"/>
    <w:rsid w:val="70853FB1"/>
    <w:rsid w:val="70862203"/>
    <w:rsid w:val="708752DE"/>
    <w:rsid w:val="708A2BA0"/>
    <w:rsid w:val="708A7986"/>
    <w:rsid w:val="708B3C5F"/>
    <w:rsid w:val="708B7819"/>
    <w:rsid w:val="70961462"/>
    <w:rsid w:val="709661BE"/>
    <w:rsid w:val="709935E0"/>
    <w:rsid w:val="709A78DB"/>
    <w:rsid w:val="709A7A5C"/>
    <w:rsid w:val="709B2943"/>
    <w:rsid w:val="709B37D5"/>
    <w:rsid w:val="70A1528F"/>
    <w:rsid w:val="70A1703D"/>
    <w:rsid w:val="70A2178C"/>
    <w:rsid w:val="70A32F59"/>
    <w:rsid w:val="70A42689"/>
    <w:rsid w:val="70A47AAD"/>
    <w:rsid w:val="70A6501A"/>
    <w:rsid w:val="70A67126"/>
    <w:rsid w:val="70A72179"/>
    <w:rsid w:val="70A82C64"/>
    <w:rsid w:val="70A94143"/>
    <w:rsid w:val="70A971E8"/>
    <w:rsid w:val="70A97ADA"/>
    <w:rsid w:val="70AC3B98"/>
    <w:rsid w:val="70AC7E34"/>
    <w:rsid w:val="70AD45A1"/>
    <w:rsid w:val="70AE175A"/>
    <w:rsid w:val="70AE4B6D"/>
    <w:rsid w:val="70B14DA6"/>
    <w:rsid w:val="70B36D70"/>
    <w:rsid w:val="70B56644"/>
    <w:rsid w:val="70B825D8"/>
    <w:rsid w:val="70BA245B"/>
    <w:rsid w:val="70BA3C5B"/>
    <w:rsid w:val="70BC3E77"/>
    <w:rsid w:val="70BD199D"/>
    <w:rsid w:val="70BF5715"/>
    <w:rsid w:val="70C034B7"/>
    <w:rsid w:val="70C25205"/>
    <w:rsid w:val="70C426AE"/>
    <w:rsid w:val="70C42D2B"/>
    <w:rsid w:val="70C52258"/>
    <w:rsid w:val="70C60603"/>
    <w:rsid w:val="70C71E93"/>
    <w:rsid w:val="70C8102F"/>
    <w:rsid w:val="70C81FB9"/>
    <w:rsid w:val="70C86012"/>
    <w:rsid w:val="70CC1BE0"/>
    <w:rsid w:val="70CD3A11"/>
    <w:rsid w:val="70CD6084"/>
    <w:rsid w:val="70CD7E32"/>
    <w:rsid w:val="70CE5958"/>
    <w:rsid w:val="70D0347E"/>
    <w:rsid w:val="70D07922"/>
    <w:rsid w:val="70D34D1C"/>
    <w:rsid w:val="70D64C47"/>
    <w:rsid w:val="70DA7783"/>
    <w:rsid w:val="70DE7C09"/>
    <w:rsid w:val="70E138DD"/>
    <w:rsid w:val="70E7076F"/>
    <w:rsid w:val="70EB650A"/>
    <w:rsid w:val="70ED1C4A"/>
    <w:rsid w:val="70EE0E01"/>
    <w:rsid w:val="70EE7DA8"/>
    <w:rsid w:val="70EF1F9B"/>
    <w:rsid w:val="70F03B20"/>
    <w:rsid w:val="70F11DD5"/>
    <w:rsid w:val="70F25AEA"/>
    <w:rsid w:val="70F3716D"/>
    <w:rsid w:val="70F520ED"/>
    <w:rsid w:val="70F53102"/>
    <w:rsid w:val="70F53B43"/>
    <w:rsid w:val="70F57389"/>
    <w:rsid w:val="70F74EAF"/>
    <w:rsid w:val="70F76C5D"/>
    <w:rsid w:val="70F829D5"/>
    <w:rsid w:val="70F960D5"/>
    <w:rsid w:val="70FD0E77"/>
    <w:rsid w:val="70FE448F"/>
    <w:rsid w:val="70FF5B11"/>
    <w:rsid w:val="71017ADB"/>
    <w:rsid w:val="71024EE2"/>
    <w:rsid w:val="7107220E"/>
    <w:rsid w:val="71072D19"/>
    <w:rsid w:val="710870BC"/>
    <w:rsid w:val="710C022E"/>
    <w:rsid w:val="710D4B86"/>
    <w:rsid w:val="710E21F8"/>
    <w:rsid w:val="710E6DE2"/>
    <w:rsid w:val="71121CE9"/>
    <w:rsid w:val="711372C6"/>
    <w:rsid w:val="7113780F"/>
    <w:rsid w:val="71137D38"/>
    <w:rsid w:val="71141A58"/>
    <w:rsid w:val="71145A61"/>
    <w:rsid w:val="71147D94"/>
    <w:rsid w:val="71147F83"/>
    <w:rsid w:val="711517D9"/>
    <w:rsid w:val="71152AE8"/>
    <w:rsid w:val="71184E25"/>
    <w:rsid w:val="71186BD3"/>
    <w:rsid w:val="7119088B"/>
    <w:rsid w:val="711B1D67"/>
    <w:rsid w:val="711B4938"/>
    <w:rsid w:val="711B5EDA"/>
    <w:rsid w:val="711D6AEF"/>
    <w:rsid w:val="711E06A4"/>
    <w:rsid w:val="711E13C9"/>
    <w:rsid w:val="711F4406"/>
    <w:rsid w:val="7121501E"/>
    <w:rsid w:val="71237A52"/>
    <w:rsid w:val="712447AC"/>
    <w:rsid w:val="71262528"/>
    <w:rsid w:val="71267542"/>
    <w:rsid w:val="712A5284"/>
    <w:rsid w:val="712B4B58"/>
    <w:rsid w:val="712D6B22"/>
    <w:rsid w:val="712E4649"/>
    <w:rsid w:val="71311217"/>
    <w:rsid w:val="71325EE7"/>
    <w:rsid w:val="71333A0D"/>
    <w:rsid w:val="71341C5F"/>
    <w:rsid w:val="713734FD"/>
    <w:rsid w:val="71383E60"/>
    <w:rsid w:val="71397275"/>
    <w:rsid w:val="713A2FED"/>
    <w:rsid w:val="713F665A"/>
    <w:rsid w:val="714125CE"/>
    <w:rsid w:val="714300F4"/>
    <w:rsid w:val="71445C1A"/>
    <w:rsid w:val="7146022A"/>
    <w:rsid w:val="71462FB9"/>
    <w:rsid w:val="7148696E"/>
    <w:rsid w:val="714A1482"/>
    <w:rsid w:val="714B637E"/>
    <w:rsid w:val="714C07F7"/>
    <w:rsid w:val="714C1284"/>
    <w:rsid w:val="714C7EEE"/>
    <w:rsid w:val="71551BD5"/>
    <w:rsid w:val="71557E27"/>
    <w:rsid w:val="7157594D"/>
    <w:rsid w:val="715776FB"/>
    <w:rsid w:val="71597917"/>
    <w:rsid w:val="715A71EC"/>
    <w:rsid w:val="715B3690"/>
    <w:rsid w:val="715E4F2E"/>
    <w:rsid w:val="715F3336"/>
    <w:rsid w:val="7161057A"/>
    <w:rsid w:val="7161307A"/>
    <w:rsid w:val="71625915"/>
    <w:rsid w:val="716360A0"/>
    <w:rsid w:val="7163692F"/>
    <w:rsid w:val="7164006A"/>
    <w:rsid w:val="716562BC"/>
    <w:rsid w:val="71662034"/>
    <w:rsid w:val="71696088"/>
    <w:rsid w:val="716B047A"/>
    <w:rsid w:val="716B31A7"/>
    <w:rsid w:val="716B46E4"/>
    <w:rsid w:val="716E26DA"/>
    <w:rsid w:val="716F2C97"/>
    <w:rsid w:val="71704AAF"/>
    <w:rsid w:val="71717AC9"/>
    <w:rsid w:val="71725481"/>
    <w:rsid w:val="717464FF"/>
    <w:rsid w:val="71750978"/>
    <w:rsid w:val="71755DD4"/>
    <w:rsid w:val="71765292"/>
    <w:rsid w:val="71775FF0"/>
    <w:rsid w:val="71777006"/>
    <w:rsid w:val="717804FA"/>
    <w:rsid w:val="717C1858"/>
    <w:rsid w:val="717E737E"/>
    <w:rsid w:val="717F0D55"/>
    <w:rsid w:val="71807A85"/>
    <w:rsid w:val="71816E6E"/>
    <w:rsid w:val="718225C7"/>
    <w:rsid w:val="71836742"/>
    <w:rsid w:val="71840B3E"/>
    <w:rsid w:val="7185070D"/>
    <w:rsid w:val="71853159"/>
    <w:rsid w:val="718801FD"/>
    <w:rsid w:val="71881FAB"/>
    <w:rsid w:val="718C1A9B"/>
    <w:rsid w:val="718D2089"/>
    <w:rsid w:val="718F6E95"/>
    <w:rsid w:val="71933BEE"/>
    <w:rsid w:val="719374FA"/>
    <w:rsid w:val="71940950"/>
    <w:rsid w:val="71946B80"/>
    <w:rsid w:val="719646C8"/>
    <w:rsid w:val="719808DD"/>
    <w:rsid w:val="719A1ED8"/>
    <w:rsid w:val="719A3A8C"/>
    <w:rsid w:val="719B1193"/>
    <w:rsid w:val="719B7F30"/>
    <w:rsid w:val="719C15B2"/>
    <w:rsid w:val="71A00ED1"/>
    <w:rsid w:val="71A05546"/>
    <w:rsid w:val="71A128C0"/>
    <w:rsid w:val="71A165C4"/>
    <w:rsid w:val="71A3699E"/>
    <w:rsid w:val="71A37ADC"/>
    <w:rsid w:val="71A44561"/>
    <w:rsid w:val="71A52B5D"/>
    <w:rsid w:val="71A5490B"/>
    <w:rsid w:val="71A702E8"/>
    <w:rsid w:val="71A80522"/>
    <w:rsid w:val="71A9736A"/>
    <w:rsid w:val="71AB132F"/>
    <w:rsid w:val="71AB7A47"/>
    <w:rsid w:val="71AD37BF"/>
    <w:rsid w:val="71AD7C63"/>
    <w:rsid w:val="71B05423"/>
    <w:rsid w:val="71B11502"/>
    <w:rsid w:val="71B2527A"/>
    <w:rsid w:val="71B26913"/>
    <w:rsid w:val="71B42DA0"/>
    <w:rsid w:val="71B50A2A"/>
    <w:rsid w:val="71B51AB1"/>
    <w:rsid w:val="71B608C6"/>
    <w:rsid w:val="71B63345"/>
    <w:rsid w:val="71B96608"/>
    <w:rsid w:val="71B97C16"/>
    <w:rsid w:val="71BE3C1E"/>
    <w:rsid w:val="71BF21D6"/>
    <w:rsid w:val="71C472E6"/>
    <w:rsid w:val="71C51654"/>
    <w:rsid w:val="71C72AD3"/>
    <w:rsid w:val="71C971CF"/>
    <w:rsid w:val="71CA065E"/>
    <w:rsid w:val="71CA25C3"/>
    <w:rsid w:val="71CD1741"/>
    <w:rsid w:val="71CD5C10"/>
    <w:rsid w:val="71CF3736"/>
    <w:rsid w:val="71CF5C3A"/>
    <w:rsid w:val="71CF5DF0"/>
    <w:rsid w:val="71D051A7"/>
    <w:rsid w:val="71D21478"/>
    <w:rsid w:val="71D46F9E"/>
    <w:rsid w:val="71D50007"/>
    <w:rsid w:val="71D60F68"/>
    <w:rsid w:val="71D62D16"/>
    <w:rsid w:val="71D77D96"/>
    <w:rsid w:val="71DC5E53"/>
    <w:rsid w:val="71DE00AC"/>
    <w:rsid w:val="71DE4D45"/>
    <w:rsid w:val="71DF2930"/>
    <w:rsid w:val="71E06A73"/>
    <w:rsid w:val="71E11004"/>
    <w:rsid w:val="71E24B64"/>
    <w:rsid w:val="71E35433"/>
    <w:rsid w:val="71E7506F"/>
    <w:rsid w:val="71EA4A14"/>
    <w:rsid w:val="71EB3A36"/>
    <w:rsid w:val="71EC129E"/>
    <w:rsid w:val="71EC253A"/>
    <w:rsid w:val="71EC5676"/>
    <w:rsid w:val="71ED3D66"/>
    <w:rsid w:val="71EF3FF7"/>
    <w:rsid w:val="71F1492E"/>
    <w:rsid w:val="71F14AF3"/>
    <w:rsid w:val="71F238C8"/>
    <w:rsid w:val="71F25676"/>
    <w:rsid w:val="71F27DA7"/>
    <w:rsid w:val="71F40A0E"/>
    <w:rsid w:val="71F51F18"/>
    <w:rsid w:val="71F6680B"/>
    <w:rsid w:val="71FC02A3"/>
    <w:rsid w:val="71FC3A2D"/>
    <w:rsid w:val="72001B41"/>
    <w:rsid w:val="720535FB"/>
    <w:rsid w:val="720553A9"/>
    <w:rsid w:val="72071122"/>
    <w:rsid w:val="7208087B"/>
    <w:rsid w:val="720852BA"/>
    <w:rsid w:val="720930EC"/>
    <w:rsid w:val="720A37A4"/>
    <w:rsid w:val="720C45CB"/>
    <w:rsid w:val="720D425E"/>
    <w:rsid w:val="720E0702"/>
    <w:rsid w:val="720E1DF4"/>
    <w:rsid w:val="720F7FD6"/>
    <w:rsid w:val="72111FA0"/>
    <w:rsid w:val="7211683B"/>
    <w:rsid w:val="72121637"/>
    <w:rsid w:val="72126E45"/>
    <w:rsid w:val="72135E5F"/>
    <w:rsid w:val="72141A90"/>
    <w:rsid w:val="721455EC"/>
    <w:rsid w:val="72165809"/>
    <w:rsid w:val="721675B7"/>
    <w:rsid w:val="721726F7"/>
    <w:rsid w:val="72185D15"/>
    <w:rsid w:val="7219208E"/>
    <w:rsid w:val="72194693"/>
    <w:rsid w:val="721A46A2"/>
    <w:rsid w:val="721A5B23"/>
    <w:rsid w:val="721B70F0"/>
    <w:rsid w:val="721D0945"/>
    <w:rsid w:val="721D6B97"/>
    <w:rsid w:val="721E646B"/>
    <w:rsid w:val="721E6481"/>
    <w:rsid w:val="72200435"/>
    <w:rsid w:val="722021E3"/>
    <w:rsid w:val="722241AD"/>
    <w:rsid w:val="722328EB"/>
    <w:rsid w:val="72233A82"/>
    <w:rsid w:val="72245C39"/>
    <w:rsid w:val="72247F25"/>
    <w:rsid w:val="722577FA"/>
    <w:rsid w:val="72275320"/>
    <w:rsid w:val="72275BDF"/>
    <w:rsid w:val="722A3062"/>
    <w:rsid w:val="722B7E58"/>
    <w:rsid w:val="722F2426"/>
    <w:rsid w:val="72323413"/>
    <w:rsid w:val="72347A3D"/>
    <w:rsid w:val="723839D1"/>
    <w:rsid w:val="7239166B"/>
    <w:rsid w:val="723B701D"/>
    <w:rsid w:val="723C4321"/>
    <w:rsid w:val="723C5896"/>
    <w:rsid w:val="723D4B43"/>
    <w:rsid w:val="723E08BB"/>
    <w:rsid w:val="72451C4A"/>
    <w:rsid w:val="72456CFC"/>
    <w:rsid w:val="7249798C"/>
    <w:rsid w:val="724A3FE1"/>
    <w:rsid w:val="724C7E10"/>
    <w:rsid w:val="724F0D1A"/>
    <w:rsid w:val="72504E52"/>
    <w:rsid w:val="725105EF"/>
    <w:rsid w:val="725320D0"/>
    <w:rsid w:val="725400DF"/>
    <w:rsid w:val="7255539E"/>
    <w:rsid w:val="72575D91"/>
    <w:rsid w:val="72587127"/>
    <w:rsid w:val="725956F5"/>
    <w:rsid w:val="725B76BF"/>
    <w:rsid w:val="725C04A6"/>
    <w:rsid w:val="725D0E4E"/>
    <w:rsid w:val="725E716E"/>
    <w:rsid w:val="726371D0"/>
    <w:rsid w:val="726500C8"/>
    <w:rsid w:val="72652BB9"/>
    <w:rsid w:val="726701DA"/>
    <w:rsid w:val="72677E12"/>
    <w:rsid w:val="72693B8A"/>
    <w:rsid w:val="726A16B0"/>
    <w:rsid w:val="726B27F9"/>
    <w:rsid w:val="726C71D7"/>
    <w:rsid w:val="726D5191"/>
    <w:rsid w:val="726D6232"/>
    <w:rsid w:val="726F4F19"/>
    <w:rsid w:val="72712A3F"/>
    <w:rsid w:val="72716128"/>
    <w:rsid w:val="72730565"/>
    <w:rsid w:val="727367B7"/>
    <w:rsid w:val="72755F6B"/>
    <w:rsid w:val="727644F9"/>
    <w:rsid w:val="72765F2F"/>
    <w:rsid w:val="7278201F"/>
    <w:rsid w:val="72796EDC"/>
    <w:rsid w:val="727B0B9F"/>
    <w:rsid w:val="727F074F"/>
    <w:rsid w:val="727F33AE"/>
    <w:rsid w:val="72804CD0"/>
    <w:rsid w:val="72807BA3"/>
    <w:rsid w:val="72810D89"/>
    <w:rsid w:val="72842772"/>
    <w:rsid w:val="72891AC4"/>
    <w:rsid w:val="728C45B8"/>
    <w:rsid w:val="728C5E44"/>
    <w:rsid w:val="728E1843"/>
    <w:rsid w:val="72907369"/>
    <w:rsid w:val="72936E59"/>
    <w:rsid w:val="72960BBB"/>
    <w:rsid w:val="729B6B8D"/>
    <w:rsid w:val="729B7ABC"/>
    <w:rsid w:val="729C3F60"/>
    <w:rsid w:val="729C539E"/>
    <w:rsid w:val="72A00075"/>
    <w:rsid w:val="72A050D2"/>
    <w:rsid w:val="72A06176"/>
    <w:rsid w:val="72A204A0"/>
    <w:rsid w:val="72A42E14"/>
    <w:rsid w:val="72A46970"/>
    <w:rsid w:val="72A66B8C"/>
    <w:rsid w:val="72A72905"/>
    <w:rsid w:val="72A7312D"/>
    <w:rsid w:val="72A74D1D"/>
    <w:rsid w:val="72A90C93"/>
    <w:rsid w:val="72A94B3C"/>
    <w:rsid w:val="72AA009C"/>
    <w:rsid w:val="72AA0407"/>
    <w:rsid w:val="72AC0479"/>
    <w:rsid w:val="72B10269"/>
    <w:rsid w:val="72B131C6"/>
    <w:rsid w:val="72B55021"/>
    <w:rsid w:val="72B56DCF"/>
    <w:rsid w:val="72B64F42"/>
    <w:rsid w:val="72B76C1B"/>
    <w:rsid w:val="72B92290"/>
    <w:rsid w:val="72BA43E6"/>
    <w:rsid w:val="72BC20E7"/>
    <w:rsid w:val="72BD2E4A"/>
    <w:rsid w:val="72BF7C4E"/>
    <w:rsid w:val="72C20A5A"/>
    <w:rsid w:val="72C27654"/>
    <w:rsid w:val="72C27F8C"/>
    <w:rsid w:val="72C45265"/>
    <w:rsid w:val="72C71A5F"/>
    <w:rsid w:val="72C7520C"/>
    <w:rsid w:val="72C92186"/>
    <w:rsid w:val="72C964D9"/>
    <w:rsid w:val="72C97A08"/>
    <w:rsid w:val="72CC236B"/>
    <w:rsid w:val="72CC4119"/>
    <w:rsid w:val="72D32909"/>
    <w:rsid w:val="72D336FA"/>
    <w:rsid w:val="72D354A8"/>
    <w:rsid w:val="72D74F98"/>
    <w:rsid w:val="72DA58DB"/>
    <w:rsid w:val="72DE790B"/>
    <w:rsid w:val="72DF3E4C"/>
    <w:rsid w:val="72E15E16"/>
    <w:rsid w:val="72E4478C"/>
    <w:rsid w:val="72E67F6A"/>
    <w:rsid w:val="72E871A5"/>
    <w:rsid w:val="72E96A79"/>
    <w:rsid w:val="72ED47BB"/>
    <w:rsid w:val="72ED672C"/>
    <w:rsid w:val="72EE5E3E"/>
    <w:rsid w:val="72F0605A"/>
    <w:rsid w:val="72F14938"/>
    <w:rsid w:val="72F22421"/>
    <w:rsid w:val="72F62F44"/>
    <w:rsid w:val="72F76F17"/>
    <w:rsid w:val="72F83160"/>
    <w:rsid w:val="72F87DAD"/>
    <w:rsid w:val="72F922F4"/>
    <w:rsid w:val="72FA21B3"/>
    <w:rsid w:val="72FA2A34"/>
    <w:rsid w:val="72FC1011"/>
    <w:rsid w:val="72FC1840"/>
    <w:rsid w:val="72FD2525"/>
    <w:rsid w:val="72FF44EF"/>
    <w:rsid w:val="73001490"/>
    <w:rsid w:val="73003ABE"/>
    <w:rsid w:val="73007BC2"/>
    <w:rsid w:val="73012015"/>
    <w:rsid w:val="730218E9"/>
    <w:rsid w:val="7306587D"/>
    <w:rsid w:val="730701C4"/>
    <w:rsid w:val="730731B7"/>
    <w:rsid w:val="7309711B"/>
    <w:rsid w:val="730B4C41"/>
    <w:rsid w:val="730D7B4F"/>
    <w:rsid w:val="73100325"/>
    <w:rsid w:val="73104006"/>
    <w:rsid w:val="73106652"/>
    <w:rsid w:val="731426F1"/>
    <w:rsid w:val="731534B1"/>
    <w:rsid w:val="73155AC0"/>
    <w:rsid w:val="73166260"/>
    <w:rsid w:val="7317587D"/>
    <w:rsid w:val="73194C50"/>
    <w:rsid w:val="731A2356"/>
    <w:rsid w:val="731D6723"/>
    <w:rsid w:val="731D777B"/>
    <w:rsid w:val="731F06ED"/>
    <w:rsid w:val="731F39CB"/>
    <w:rsid w:val="731F693F"/>
    <w:rsid w:val="73217FC1"/>
    <w:rsid w:val="73221F8B"/>
    <w:rsid w:val="73223D39"/>
    <w:rsid w:val="73245D03"/>
    <w:rsid w:val="73247A1D"/>
    <w:rsid w:val="73267CCD"/>
    <w:rsid w:val="7327134F"/>
    <w:rsid w:val="732729B1"/>
    <w:rsid w:val="732857F3"/>
    <w:rsid w:val="732A727E"/>
    <w:rsid w:val="732B0E40"/>
    <w:rsid w:val="732D2E0A"/>
    <w:rsid w:val="732F5B05"/>
    <w:rsid w:val="732F685F"/>
    <w:rsid w:val="7333450C"/>
    <w:rsid w:val="73351CBE"/>
    <w:rsid w:val="733817AF"/>
    <w:rsid w:val="73384217"/>
    <w:rsid w:val="733A06B3"/>
    <w:rsid w:val="733A0869"/>
    <w:rsid w:val="733A0F3F"/>
    <w:rsid w:val="733A1083"/>
    <w:rsid w:val="733F3BA1"/>
    <w:rsid w:val="73410663"/>
    <w:rsid w:val="73465C7A"/>
    <w:rsid w:val="73467A28"/>
    <w:rsid w:val="734819F2"/>
    <w:rsid w:val="734A1F2E"/>
    <w:rsid w:val="734B3290"/>
    <w:rsid w:val="734D529E"/>
    <w:rsid w:val="734E2D80"/>
    <w:rsid w:val="734F0FD2"/>
    <w:rsid w:val="734F324C"/>
    <w:rsid w:val="73520AC2"/>
    <w:rsid w:val="73521A35"/>
    <w:rsid w:val="7352461E"/>
    <w:rsid w:val="73532E11"/>
    <w:rsid w:val="73532EBA"/>
    <w:rsid w:val="73561763"/>
    <w:rsid w:val="735A21CD"/>
    <w:rsid w:val="735A6AC0"/>
    <w:rsid w:val="735B7406"/>
    <w:rsid w:val="735D2FC3"/>
    <w:rsid w:val="735D4A53"/>
    <w:rsid w:val="735E1767"/>
    <w:rsid w:val="735F0AE9"/>
    <w:rsid w:val="735F33CB"/>
    <w:rsid w:val="735F5EB4"/>
    <w:rsid w:val="73610D05"/>
    <w:rsid w:val="736153DB"/>
    <w:rsid w:val="73634A7D"/>
    <w:rsid w:val="73634DF7"/>
    <w:rsid w:val="73642743"/>
    <w:rsid w:val="7366631C"/>
    <w:rsid w:val="73667169"/>
    <w:rsid w:val="73667253"/>
    <w:rsid w:val="73683E42"/>
    <w:rsid w:val="73696D7E"/>
    <w:rsid w:val="736B3932"/>
    <w:rsid w:val="736E4DCA"/>
    <w:rsid w:val="736E6F7E"/>
    <w:rsid w:val="736F63C6"/>
    <w:rsid w:val="73700F48"/>
    <w:rsid w:val="73702CF6"/>
    <w:rsid w:val="7372081D"/>
    <w:rsid w:val="73740A39"/>
    <w:rsid w:val="73753308"/>
    <w:rsid w:val="7375627A"/>
    <w:rsid w:val="73766299"/>
    <w:rsid w:val="73774085"/>
    <w:rsid w:val="73781BAB"/>
    <w:rsid w:val="737B3402"/>
    <w:rsid w:val="737C27E7"/>
    <w:rsid w:val="737E3665"/>
    <w:rsid w:val="73800C14"/>
    <w:rsid w:val="738010D1"/>
    <w:rsid w:val="73811C6B"/>
    <w:rsid w:val="73813156"/>
    <w:rsid w:val="738239FA"/>
    <w:rsid w:val="73843460"/>
    <w:rsid w:val="73860A60"/>
    <w:rsid w:val="738642C8"/>
    <w:rsid w:val="73880040"/>
    <w:rsid w:val="7388043F"/>
    <w:rsid w:val="738844E4"/>
    <w:rsid w:val="73886292"/>
    <w:rsid w:val="738A025C"/>
    <w:rsid w:val="738A079E"/>
    <w:rsid w:val="738E13CF"/>
    <w:rsid w:val="738F426F"/>
    <w:rsid w:val="73927DA8"/>
    <w:rsid w:val="739347FA"/>
    <w:rsid w:val="7394197E"/>
    <w:rsid w:val="7395438E"/>
    <w:rsid w:val="73970283"/>
    <w:rsid w:val="739A5FC5"/>
    <w:rsid w:val="739A6D3B"/>
    <w:rsid w:val="739B19B3"/>
    <w:rsid w:val="739B662B"/>
    <w:rsid w:val="739F35DC"/>
    <w:rsid w:val="739F6E93"/>
    <w:rsid w:val="73A0137D"/>
    <w:rsid w:val="73A1552C"/>
    <w:rsid w:val="73A53F5D"/>
    <w:rsid w:val="73A60A98"/>
    <w:rsid w:val="73A63C37"/>
    <w:rsid w:val="73A6484A"/>
    <w:rsid w:val="73AA26AC"/>
    <w:rsid w:val="73AB3D2F"/>
    <w:rsid w:val="73AB4594"/>
    <w:rsid w:val="73AF4698"/>
    <w:rsid w:val="73B01345"/>
    <w:rsid w:val="73B02001"/>
    <w:rsid w:val="73B47087"/>
    <w:rsid w:val="73B50B5A"/>
    <w:rsid w:val="73B52DFF"/>
    <w:rsid w:val="73B61051"/>
    <w:rsid w:val="73B940A9"/>
    <w:rsid w:val="73BC418E"/>
    <w:rsid w:val="73BF42BD"/>
    <w:rsid w:val="73BF77DA"/>
    <w:rsid w:val="73C117A4"/>
    <w:rsid w:val="73C3551C"/>
    <w:rsid w:val="73C35D2F"/>
    <w:rsid w:val="73C47D90"/>
    <w:rsid w:val="73C51294"/>
    <w:rsid w:val="73C61997"/>
    <w:rsid w:val="73C61A83"/>
    <w:rsid w:val="73C80D84"/>
    <w:rsid w:val="73C848E1"/>
    <w:rsid w:val="73CA0659"/>
    <w:rsid w:val="73CC79FC"/>
    <w:rsid w:val="73CD0149"/>
    <w:rsid w:val="73CF4676"/>
    <w:rsid w:val="73CF5C6F"/>
    <w:rsid w:val="73D03795"/>
    <w:rsid w:val="73D2750D"/>
    <w:rsid w:val="73D414D7"/>
    <w:rsid w:val="73D464BF"/>
    <w:rsid w:val="73D56C31"/>
    <w:rsid w:val="73D56FFD"/>
    <w:rsid w:val="73D615D4"/>
    <w:rsid w:val="73D6524F"/>
    <w:rsid w:val="73D72D76"/>
    <w:rsid w:val="73DA0DE8"/>
    <w:rsid w:val="73DA58ED"/>
    <w:rsid w:val="73DC6178"/>
    <w:rsid w:val="73DE5EB2"/>
    <w:rsid w:val="73E01C2A"/>
    <w:rsid w:val="73E3171A"/>
    <w:rsid w:val="73E55492"/>
    <w:rsid w:val="73E56E45"/>
    <w:rsid w:val="73E765D7"/>
    <w:rsid w:val="73E94801"/>
    <w:rsid w:val="73ED2599"/>
    <w:rsid w:val="73EF6311"/>
    <w:rsid w:val="73F02E3E"/>
    <w:rsid w:val="73F25E01"/>
    <w:rsid w:val="73F73350"/>
    <w:rsid w:val="73F863E7"/>
    <w:rsid w:val="73F9496E"/>
    <w:rsid w:val="73F97190"/>
    <w:rsid w:val="73FB6A64"/>
    <w:rsid w:val="73FC0A2E"/>
    <w:rsid w:val="73FC27DC"/>
    <w:rsid w:val="73FE47A6"/>
    <w:rsid w:val="73FF6D76"/>
    <w:rsid w:val="74060BC4"/>
    <w:rsid w:val="74060D79"/>
    <w:rsid w:val="740645C4"/>
    <w:rsid w:val="7407412D"/>
    <w:rsid w:val="74077E17"/>
    <w:rsid w:val="74080A20"/>
    <w:rsid w:val="74081181"/>
    <w:rsid w:val="74086EB5"/>
    <w:rsid w:val="74094463"/>
    <w:rsid w:val="740A6CA7"/>
    <w:rsid w:val="740C0C71"/>
    <w:rsid w:val="740C1244"/>
    <w:rsid w:val="740F250F"/>
    <w:rsid w:val="74100036"/>
    <w:rsid w:val="74106478"/>
    <w:rsid w:val="74123DAE"/>
    <w:rsid w:val="74150381"/>
    <w:rsid w:val="741527AA"/>
    <w:rsid w:val="741713C4"/>
    <w:rsid w:val="74181387"/>
    <w:rsid w:val="74196D2E"/>
    <w:rsid w:val="741B2C62"/>
    <w:rsid w:val="741C4C2C"/>
    <w:rsid w:val="74235EE9"/>
    <w:rsid w:val="7424792A"/>
    <w:rsid w:val="74277859"/>
    <w:rsid w:val="7428537F"/>
    <w:rsid w:val="7428616B"/>
    <w:rsid w:val="742A7349"/>
    <w:rsid w:val="742C1EDE"/>
    <w:rsid w:val="742C30C1"/>
    <w:rsid w:val="742F670E"/>
    <w:rsid w:val="74303F22"/>
    <w:rsid w:val="74312486"/>
    <w:rsid w:val="743130D5"/>
    <w:rsid w:val="743261FE"/>
    <w:rsid w:val="74327764"/>
    <w:rsid w:val="74327CB2"/>
    <w:rsid w:val="7434172B"/>
    <w:rsid w:val="743708F7"/>
    <w:rsid w:val="74381A66"/>
    <w:rsid w:val="7440091B"/>
    <w:rsid w:val="744020F7"/>
    <w:rsid w:val="744124CA"/>
    <w:rsid w:val="744128DD"/>
    <w:rsid w:val="74413F6F"/>
    <w:rsid w:val="74422EB3"/>
    <w:rsid w:val="74424504"/>
    <w:rsid w:val="74432CF9"/>
    <w:rsid w:val="74455F31"/>
    <w:rsid w:val="74482617"/>
    <w:rsid w:val="74485A21"/>
    <w:rsid w:val="744877CF"/>
    <w:rsid w:val="744D017B"/>
    <w:rsid w:val="744D3D5F"/>
    <w:rsid w:val="744E128A"/>
    <w:rsid w:val="744F272C"/>
    <w:rsid w:val="74501DEE"/>
    <w:rsid w:val="745443C6"/>
    <w:rsid w:val="74546174"/>
    <w:rsid w:val="74582108"/>
    <w:rsid w:val="745B7503"/>
    <w:rsid w:val="745D7787"/>
    <w:rsid w:val="745F1A7B"/>
    <w:rsid w:val="745F66ED"/>
    <w:rsid w:val="7461100D"/>
    <w:rsid w:val="7461717C"/>
    <w:rsid w:val="74624D35"/>
    <w:rsid w:val="74627647"/>
    <w:rsid w:val="74650381"/>
    <w:rsid w:val="74652FE8"/>
    <w:rsid w:val="746740F9"/>
    <w:rsid w:val="74684F3B"/>
    <w:rsid w:val="746C1523"/>
    <w:rsid w:val="746C1710"/>
    <w:rsid w:val="746F1C20"/>
    <w:rsid w:val="74744A68"/>
    <w:rsid w:val="7476258E"/>
    <w:rsid w:val="74795BDB"/>
    <w:rsid w:val="747D391D"/>
    <w:rsid w:val="748202E9"/>
    <w:rsid w:val="74850A24"/>
    <w:rsid w:val="74856786"/>
    <w:rsid w:val="7487479C"/>
    <w:rsid w:val="7487654A"/>
    <w:rsid w:val="748864DD"/>
    <w:rsid w:val="748D1686"/>
    <w:rsid w:val="748E78D8"/>
    <w:rsid w:val="748F4EA8"/>
    <w:rsid w:val="7491561A"/>
    <w:rsid w:val="749171A8"/>
    <w:rsid w:val="74942A15"/>
    <w:rsid w:val="74964153"/>
    <w:rsid w:val="74964CEE"/>
    <w:rsid w:val="74982505"/>
    <w:rsid w:val="74983DC6"/>
    <w:rsid w:val="749C3ADE"/>
    <w:rsid w:val="749E5641"/>
    <w:rsid w:val="749F06E5"/>
    <w:rsid w:val="74A013B9"/>
    <w:rsid w:val="74A05010"/>
    <w:rsid w:val="74A05C4F"/>
    <w:rsid w:val="74A0634E"/>
    <w:rsid w:val="74A0760B"/>
    <w:rsid w:val="74A138CF"/>
    <w:rsid w:val="74A15B41"/>
    <w:rsid w:val="74A27702"/>
    <w:rsid w:val="74A40EAA"/>
    <w:rsid w:val="74A61133"/>
    <w:rsid w:val="74A71788"/>
    <w:rsid w:val="74A72748"/>
    <w:rsid w:val="74A91178"/>
    <w:rsid w:val="74AA048A"/>
    <w:rsid w:val="74AC35B3"/>
    <w:rsid w:val="74AC7D5E"/>
    <w:rsid w:val="74AD0101"/>
    <w:rsid w:val="74AE17FA"/>
    <w:rsid w:val="74AE1D28"/>
    <w:rsid w:val="74AE7F7A"/>
    <w:rsid w:val="74AF5AA0"/>
    <w:rsid w:val="74B03CF2"/>
    <w:rsid w:val="74B135C7"/>
    <w:rsid w:val="74B15F95"/>
    <w:rsid w:val="74B325C7"/>
    <w:rsid w:val="74B35591"/>
    <w:rsid w:val="74B44E65"/>
    <w:rsid w:val="74B503C7"/>
    <w:rsid w:val="74B530B7"/>
    <w:rsid w:val="74B81B56"/>
    <w:rsid w:val="74B820FA"/>
    <w:rsid w:val="74B90757"/>
    <w:rsid w:val="74BA308E"/>
    <w:rsid w:val="74BA5BB7"/>
    <w:rsid w:val="74BA691F"/>
    <w:rsid w:val="74BD640F"/>
    <w:rsid w:val="74BF5CE3"/>
    <w:rsid w:val="74C3041D"/>
    <w:rsid w:val="74C4154C"/>
    <w:rsid w:val="74C557E0"/>
    <w:rsid w:val="74C55EC1"/>
    <w:rsid w:val="74C84C15"/>
    <w:rsid w:val="74C973C0"/>
    <w:rsid w:val="74CB28DA"/>
    <w:rsid w:val="74CB6BAB"/>
    <w:rsid w:val="74CC6652"/>
    <w:rsid w:val="74CF5F3E"/>
    <w:rsid w:val="74D01731"/>
    <w:rsid w:val="74D12037"/>
    <w:rsid w:val="74D13E3E"/>
    <w:rsid w:val="74D177C5"/>
    <w:rsid w:val="74D6302D"/>
    <w:rsid w:val="74D70BCA"/>
    <w:rsid w:val="74D8263E"/>
    <w:rsid w:val="74D846CA"/>
    <w:rsid w:val="74DA16B3"/>
    <w:rsid w:val="74DC2119"/>
    <w:rsid w:val="74E05C5A"/>
    <w:rsid w:val="74E102DB"/>
    <w:rsid w:val="74E22761"/>
    <w:rsid w:val="74E26423"/>
    <w:rsid w:val="74E27BD3"/>
    <w:rsid w:val="74E32C94"/>
    <w:rsid w:val="74E53270"/>
    <w:rsid w:val="74EA63D1"/>
    <w:rsid w:val="74EE481B"/>
    <w:rsid w:val="74EE65C9"/>
    <w:rsid w:val="74F160B9"/>
    <w:rsid w:val="74F25D1D"/>
    <w:rsid w:val="74F26168"/>
    <w:rsid w:val="74F57957"/>
    <w:rsid w:val="74F75B59"/>
    <w:rsid w:val="74FD05BA"/>
    <w:rsid w:val="74FD0F42"/>
    <w:rsid w:val="74FD680C"/>
    <w:rsid w:val="750018DF"/>
    <w:rsid w:val="75041948"/>
    <w:rsid w:val="75045DEC"/>
    <w:rsid w:val="750521C8"/>
    <w:rsid w:val="75064EB9"/>
    <w:rsid w:val="75091655"/>
    <w:rsid w:val="750951B1"/>
    <w:rsid w:val="750B717B"/>
    <w:rsid w:val="750C4CA1"/>
    <w:rsid w:val="750D14C0"/>
    <w:rsid w:val="750D281F"/>
    <w:rsid w:val="750D6EB1"/>
    <w:rsid w:val="750E27C7"/>
    <w:rsid w:val="750E6CC7"/>
    <w:rsid w:val="7516167C"/>
    <w:rsid w:val="75175143"/>
    <w:rsid w:val="75192C81"/>
    <w:rsid w:val="75194C26"/>
    <w:rsid w:val="751C328B"/>
    <w:rsid w:val="751D0C5C"/>
    <w:rsid w:val="751F6F00"/>
    <w:rsid w:val="751F7B88"/>
    <w:rsid w:val="752217B8"/>
    <w:rsid w:val="75267B11"/>
    <w:rsid w:val="75287D2D"/>
    <w:rsid w:val="75293C18"/>
    <w:rsid w:val="752A1DC2"/>
    <w:rsid w:val="752A6815"/>
    <w:rsid w:val="752B5C1E"/>
    <w:rsid w:val="753007A1"/>
    <w:rsid w:val="753164B5"/>
    <w:rsid w:val="75322959"/>
    <w:rsid w:val="753366D1"/>
    <w:rsid w:val="75353E32"/>
    <w:rsid w:val="75371BE9"/>
    <w:rsid w:val="753830C2"/>
    <w:rsid w:val="75385A96"/>
    <w:rsid w:val="75385FF7"/>
    <w:rsid w:val="75387745"/>
    <w:rsid w:val="753903FB"/>
    <w:rsid w:val="75397EDA"/>
    <w:rsid w:val="753B04F4"/>
    <w:rsid w:val="753C5586"/>
    <w:rsid w:val="753E6C0A"/>
    <w:rsid w:val="753F177D"/>
    <w:rsid w:val="75403C71"/>
    <w:rsid w:val="75404290"/>
    <w:rsid w:val="75436915"/>
    <w:rsid w:val="75442A1E"/>
    <w:rsid w:val="7544443B"/>
    <w:rsid w:val="754819F8"/>
    <w:rsid w:val="75483F2B"/>
    <w:rsid w:val="75497CA3"/>
    <w:rsid w:val="754A244D"/>
    <w:rsid w:val="754B57C9"/>
    <w:rsid w:val="754C085D"/>
    <w:rsid w:val="754E52B9"/>
    <w:rsid w:val="75504B8E"/>
    <w:rsid w:val="75554DCC"/>
    <w:rsid w:val="75556317"/>
    <w:rsid w:val="75556648"/>
    <w:rsid w:val="75575362"/>
    <w:rsid w:val="75585F01"/>
    <w:rsid w:val="75596138"/>
    <w:rsid w:val="755A7479"/>
    <w:rsid w:val="755E374E"/>
    <w:rsid w:val="755F3023"/>
    <w:rsid w:val="756248C1"/>
    <w:rsid w:val="75630CAA"/>
    <w:rsid w:val="75630D65"/>
    <w:rsid w:val="7564688B"/>
    <w:rsid w:val="756572FA"/>
    <w:rsid w:val="756772A9"/>
    <w:rsid w:val="756B19C7"/>
    <w:rsid w:val="756B3B07"/>
    <w:rsid w:val="756E770A"/>
    <w:rsid w:val="756F1C4B"/>
    <w:rsid w:val="75701CEC"/>
    <w:rsid w:val="75703482"/>
    <w:rsid w:val="75712FAC"/>
    <w:rsid w:val="75720FA8"/>
    <w:rsid w:val="75734D20"/>
    <w:rsid w:val="75750A98"/>
    <w:rsid w:val="75752846"/>
    <w:rsid w:val="757A1C0A"/>
    <w:rsid w:val="757A7E5C"/>
    <w:rsid w:val="757C1E26"/>
    <w:rsid w:val="757C5983"/>
    <w:rsid w:val="757D171F"/>
    <w:rsid w:val="757E5780"/>
    <w:rsid w:val="757E7053"/>
    <w:rsid w:val="757E794D"/>
    <w:rsid w:val="757F36C5"/>
    <w:rsid w:val="7580150C"/>
    <w:rsid w:val="75801B52"/>
    <w:rsid w:val="75812F99"/>
    <w:rsid w:val="758208D8"/>
    <w:rsid w:val="75826134"/>
    <w:rsid w:val="75846316"/>
    <w:rsid w:val="7589009F"/>
    <w:rsid w:val="758919A7"/>
    <w:rsid w:val="758E3908"/>
    <w:rsid w:val="758F1B5A"/>
    <w:rsid w:val="758F6E2D"/>
    <w:rsid w:val="759058D2"/>
    <w:rsid w:val="75937374"/>
    <w:rsid w:val="759C4277"/>
    <w:rsid w:val="759E1D9D"/>
    <w:rsid w:val="759E24FF"/>
    <w:rsid w:val="759F4552"/>
    <w:rsid w:val="759F61FA"/>
    <w:rsid w:val="75A1363B"/>
    <w:rsid w:val="75A31161"/>
    <w:rsid w:val="75A3600B"/>
    <w:rsid w:val="75A373B3"/>
    <w:rsid w:val="75A44ED9"/>
    <w:rsid w:val="75A66CA8"/>
    <w:rsid w:val="75A8275B"/>
    <w:rsid w:val="75A90DBF"/>
    <w:rsid w:val="75AD2CAB"/>
    <w:rsid w:val="75AD3D8E"/>
    <w:rsid w:val="75AD4561"/>
    <w:rsid w:val="75B07D22"/>
    <w:rsid w:val="75B275F6"/>
    <w:rsid w:val="75B35B00"/>
    <w:rsid w:val="75B4357D"/>
    <w:rsid w:val="75B82733"/>
    <w:rsid w:val="75B86DA1"/>
    <w:rsid w:val="75B90985"/>
    <w:rsid w:val="75BA2606"/>
    <w:rsid w:val="75BB6235"/>
    <w:rsid w:val="75BC4F67"/>
    <w:rsid w:val="75BE41ED"/>
    <w:rsid w:val="75BE49D0"/>
    <w:rsid w:val="75BF402B"/>
    <w:rsid w:val="75C31803"/>
    <w:rsid w:val="75C41A80"/>
    <w:rsid w:val="75C4732A"/>
    <w:rsid w:val="75C5557C"/>
    <w:rsid w:val="75C80561"/>
    <w:rsid w:val="75CA6470"/>
    <w:rsid w:val="75CB05D8"/>
    <w:rsid w:val="75CB2679"/>
    <w:rsid w:val="75CD3A2D"/>
    <w:rsid w:val="75CD54D4"/>
    <w:rsid w:val="75CE5CB1"/>
    <w:rsid w:val="75D457BF"/>
    <w:rsid w:val="75D532E5"/>
    <w:rsid w:val="75D53A83"/>
    <w:rsid w:val="75D55156"/>
    <w:rsid w:val="75D73A7B"/>
    <w:rsid w:val="75DA0985"/>
    <w:rsid w:val="75DC0A8A"/>
    <w:rsid w:val="75DC0B17"/>
    <w:rsid w:val="75DE663D"/>
    <w:rsid w:val="75E04B1D"/>
    <w:rsid w:val="75E11C8A"/>
    <w:rsid w:val="75E31EA6"/>
    <w:rsid w:val="75E342E9"/>
    <w:rsid w:val="75E35A02"/>
    <w:rsid w:val="75E42EEE"/>
    <w:rsid w:val="75E43528"/>
    <w:rsid w:val="75E44E88"/>
    <w:rsid w:val="75E50731"/>
    <w:rsid w:val="75E67D8D"/>
    <w:rsid w:val="75E75140"/>
    <w:rsid w:val="75E832AF"/>
    <w:rsid w:val="75EA640D"/>
    <w:rsid w:val="75EB601A"/>
    <w:rsid w:val="75ED062E"/>
    <w:rsid w:val="75ED4AD2"/>
    <w:rsid w:val="75ED4CA4"/>
    <w:rsid w:val="75EF084A"/>
    <w:rsid w:val="75EF1A41"/>
    <w:rsid w:val="75EF25F8"/>
    <w:rsid w:val="75F06371"/>
    <w:rsid w:val="75F10B8C"/>
    <w:rsid w:val="75F1698E"/>
    <w:rsid w:val="75F3396B"/>
    <w:rsid w:val="75F6649A"/>
    <w:rsid w:val="75F666DA"/>
    <w:rsid w:val="75F76759"/>
    <w:rsid w:val="75F776FF"/>
    <w:rsid w:val="75FB53BC"/>
    <w:rsid w:val="75FC2F67"/>
    <w:rsid w:val="75FC3666"/>
    <w:rsid w:val="75FE6CDF"/>
    <w:rsid w:val="7601232C"/>
    <w:rsid w:val="76027B21"/>
    <w:rsid w:val="76041A24"/>
    <w:rsid w:val="76041D8F"/>
    <w:rsid w:val="76045978"/>
    <w:rsid w:val="76050E2C"/>
    <w:rsid w:val="76051E1C"/>
    <w:rsid w:val="7608190C"/>
    <w:rsid w:val="76085468"/>
    <w:rsid w:val="760A7432"/>
    <w:rsid w:val="760D6F22"/>
    <w:rsid w:val="7610431D"/>
    <w:rsid w:val="76115C78"/>
    <w:rsid w:val="761248D7"/>
    <w:rsid w:val="76124DDB"/>
    <w:rsid w:val="76171B4F"/>
    <w:rsid w:val="76172A46"/>
    <w:rsid w:val="76183420"/>
    <w:rsid w:val="761B163F"/>
    <w:rsid w:val="761E4ABF"/>
    <w:rsid w:val="761E6A3A"/>
    <w:rsid w:val="7620086F"/>
    <w:rsid w:val="76221871"/>
    <w:rsid w:val="762253A5"/>
    <w:rsid w:val="762304F4"/>
    <w:rsid w:val="76232CDF"/>
    <w:rsid w:val="76265996"/>
    <w:rsid w:val="762746DC"/>
    <w:rsid w:val="76283D5C"/>
    <w:rsid w:val="762878B8"/>
    <w:rsid w:val="762D1373"/>
    <w:rsid w:val="762E265E"/>
    <w:rsid w:val="763149BF"/>
    <w:rsid w:val="76320737"/>
    <w:rsid w:val="763224E5"/>
    <w:rsid w:val="763371A8"/>
    <w:rsid w:val="76360227"/>
    <w:rsid w:val="76373E1E"/>
    <w:rsid w:val="76373F9F"/>
    <w:rsid w:val="76382839"/>
    <w:rsid w:val="76397D18"/>
    <w:rsid w:val="763B255B"/>
    <w:rsid w:val="763B75EC"/>
    <w:rsid w:val="763D1683"/>
    <w:rsid w:val="763E3477"/>
    <w:rsid w:val="76402E5F"/>
    <w:rsid w:val="76404C02"/>
    <w:rsid w:val="76411A97"/>
    <w:rsid w:val="764510FA"/>
    <w:rsid w:val="764D4CF2"/>
    <w:rsid w:val="764D541F"/>
    <w:rsid w:val="764D731F"/>
    <w:rsid w:val="76522B87"/>
    <w:rsid w:val="76544B51"/>
    <w:rsid w:val="76550D87"/>
    <w:rsid w:val="76571F4C"/>
    <w:rsid w:val="7657311F"/>
    <w:rsid w:val="765860E0"/>
    <w:rsid w:val="765A0431"/>
    <w:rsid w:val="765A079C"/>
    <w:rsid w:val="765C07A3"/>
    <w:rsid w:val="765D1A18"/>
    <w:rsid w:val="765E777E"/>
    <w:rsid w:val="765F75BE"/>
    <w:rsid w:val="766240A3"/>
    <w:rsid w:val="76633FAF"/>
    <w:rsid w:val="76642E13"/>
    <w:rsid w:val="766506E4"/>
    <w:rsid w:val="766528BB"/>
    <w:rsid w:val="76660B4B"/>
    <w:rsid w:val="76663680"/>
    <w:rsid w:val="76672064"/>
    <w:rsid w:val="76676633"/>
    <w:rsid w:val="76697AE9"/>
    <w:rsid w:val="766A1C7F"/>
    <w:rsid w:val="766D7254"/>
    <w:rsid w:val="766E228D"/>
    <w:rsid w:val="766F0B4C"/>
    <w:rsid w:val="76704CDE"/>
    <w:rsid w:val="767201E1"/>
    <w:rsid w:val="76790114"/>
    <w:rsid w:val="76796366"/>
    <w:rsid w:val="767E1BCE"/>
    <w:rsid w:val="767E397C"/>
    <w:rsid w:val="76830F93"/>
    <w:rsid w:val="76832D41"/>
    <w:rsid w:val="76852F5D"/>
    <w:rsid w:val="76853BCC"/>
    <w:rsid w:val="768676A8"/>
    <w:rsid w:val="76872831"/>
    <w:rsid w:val="76876745"/>
    <w:rsid w:val="7688071F"/>
    <w:rsid w:val="76884BB6"/>
    <w:rsid w:val="76885999"/>
    <w:rsid w:val="768A2321"/>
    <w:rsid w:val="768D0F4C"/>
    <w:rsid w:val="769036A0"/>
    <w:rsid w:val="76911902"/>
    <w:rsid w:val="7693003E"/>
    <w:rsid w:val="76934574"/>
    <w:rsid w:val="76937428"/>
    <w:rsid w:val="76944F4E"/>
    <w:rsid w:val="76946CFC"/>
    <w:rsid w:val="769636F2"/>
    <w:rsid w:val="76977734"/>
    <w:rsid w:val="76991F49"/>
    <w:rsid w:val="76992564"/>
    <w:rsid w:val="769A2923"/>
    <w:rsid w:val="769B44D0"/>
    <w:rsid w:val="769B452E"/>
    <w:rsid w:val="769B62DC"/>
    <w:rsid w:val="769D3E02"/>
    <w:rsid w:val="76A01C4E"/>
    <w:rsid w:val="76A038F3"/>
    <w:rsid w:val="76A315AA"/>
    <w:rsid w:val="76A43A24"/>
    <w:rsid w:val="76A64435"/>
    <w:rsid w:val="76A809F9"/>
    <w:rsid w:val="76AA29C3"/>
    <w:rsid w:val="76AA4771"/>
    <w:rsid w:val="76AD4E1A"/>
    <w:rsid w:val="76AD7DBE"/>
    <w:rsid w:val="76AF3B36"/>
    <w:rsid w:val="76B15398"/>
    <w:rsid w:val="76B33626"/>
    <w:rsid w:val="76B4739E"/>
    <w:rsid w:val="76B5193F"/>
    <w:rsid w:val="76B7608F"/>
    <w:rsid w:val="76BA0E58"/>
    <w:rsid w:val="76BB697E"/>
    <w:rsid w:val="76BC01B9"/>
    <w:rsid w:val="76BD2379"/>
    <w:rsid w:val="76BD26F7"/>
    <w:rsid w:val="76C03F95"/>
    <w:rsid w:val="76C05D43"/>
    <w:rsid w:val="76C21ABB"/>
    <w:rsid w:val="76C409DD"/>
    <w:rsid w:val="76C70E7F"/>
    <w:rsid w:val="76C73FA5"/>
    <w:rsid w:val="76C9109B"/>
    <w:rsid w:val="76CB1B74"/>
    <w:rsid w:val="76CB4CC0"/>
    <w:rsid w:val="76CE66B2"/>
    <w:rsid w:val="76D02273"/>
    <w:rsid w:val="76D025F8"/>
    <w:rsid w:val="76D17EB9"/>
    <w:rsid w:val="76D33CC8"/>
    <w:rsid w:val="76D649A4"/>
    <w:rsid w:val="76D77B85"/>
    <w:rsid w:val="76D8093F"/>
    <w:rsid w:val="76D812DE"/>
    <w:rsid w:val="76D858A8"/>
    <w:rsid w:val="76DB2B7D"/>
    <w:rsid w:val="76DB589E"/>
    <w:rsid w:val="76DC6BC7"/>
    <w:rsid w:val="76DD4DE8"/>
    <w:rsid w:val="76DD7184"/>
    <w:rsid w:val="76DE441B"/>
    <w:rsid w:val="76DE48C7"/>
    <w:rsid w:val="76DF3CD0"/>
    <w:rsid w:val="76E12D18"/>
    <w:rsid w:val="76E16AC1"/>
    <w:rsid w:val="76E21061"/>
    <w:rsid w:val="76E62CF0"/>
    <w:rsid w:val="76E72331"/>
    <w:rsid w:val="76E77774"/>
    <w:rsid w:val="76E934EC"/>
    <w:rsid w:val="76E94FCC"/>
    <w:rsid w:val="76EC7AE6"/>
    <w:rsid w:val="76ED456A"/>
    <w:rsid w:val="76EF62A4"/>
    <w:rsid w:val="76F122A0"/>
    <w:rsid w:val="76F3060A"/>
    <w:rsid w:val="76F31C74"/>
    <w:rsid w:val="76F559F8"/>
    <w:rsid w:val="76F679B7"/>
    <w:rsid w:val="76FA1255"/>
    <w:rsid w:val="76FC28D3"/>
    <w:rsid w:val="76FD6F97"/>
    <w:rsid w:val="76FD79BD"/>
    <w:rsid w:val="76FE3F87"/>
    <w:rsid w:val="77004391"/>
    <w:rsid w:val="77040D55"/>
    <w:rsid w:val="77043032"/>
    <w:rsid w:val="770519A8"/>
    <w:rsid w:val="77071BC4"/>
    <w:rsid w:val="77072E6C"/>
    <w:rsid w:val="77073972"/>
    <w:rsid w:val="77091498"/>
    <w:rsid w:val="770B3462"/>
    <w:rsid w:val="770B5411"/>
    <w:rsid w:val="770C71DA"/>
    <w:rsid w:val="770F5481"/>
    <w:rsid w:val="77130569"/>
    <w:rsid w:val="77147E3D"/>
    <w:rsid w:val="7715608F"/>
    <w:rsid w:val="77162CEB"/>
    <w:rsid w:val="77163BB5"/>
    <w:rsid w:val="77165DBC"/>
    <w:rsid w:val="77185B7F"/>
    <w:rsid w:val="7718792D"/>
    <w:rsid w:val="771A460C"/>
    <w:rsid w:val="771C566F"/>
    <w:rsid w:val="771D33A0"/>
    <w:rsid w:val="771D4F43"/>
    <w:rsid w:val="771F2A69"/>
    <w:rsid w:val="771F6A91"/>
    <w:rsid w:val="771F6F0D"/>
    <w:rsid w:val="77244524"/>
    <w:rsid w:val="7726029C"/>
    <w:rsid w:val="7726078D"/>
    <w:rsid w:val="772B58B2"/>
    <w:rsid w:val="77302EC9"/>
    <w:rsid w:val="77316C41"/>
    <w:rsid w:val="77335475"/>
    <w:rsid w:val="77336515"/>
    <w:rsid w:val="7735228D"/>
    <w:rsid w:val="77352F6A"/>
    <w:rsid w:val="77365399"/>
    <w:rsid w:val="773A5AF5"/>
    <w:rsid w:val="773B7AF1"/>
    <w:rsid w:val="773C3B52"/>
    <w:rsid w:val="77400C32"/>
    <w:rsid w:val="774249AA"/>
    <w:rsid w:val="77446974"/>
    <w:rsid w:val="7744774B"/>
    <w:rsid w:val="774626EC"/>
    <w:rsid w:val="77483836"/>
    <w:rsid w:val="774A385E"/>
    <w:rsid w:val="774B06EA"/>
    <w:rsid w:val="774C5829"/>
    <w:rsid w:val="77507AED"/>
    <w:rsid w:val="7751028F"/>
    <w:rsid w:val="775368EB"/>
    <w:rsid w:val="77536C56"/>
    <w:rsid w:val="775556F8"/>
    <w:rsid w:val="7757075A"/>
    <w:rsid w:val="77575D2B"/>
    <w:rsid w:val="775E2934"/>
    <w:rsid w:val="776115E9"/>
    <w:rsid w:val="77617526"/>
    <w:rsid w:val="77660698"/>
    <w:rsid w:val="77660C7B"/>
    <w:rsid w:val="776B2153"/>
    <w:rsid w:val="776B5CAF"/>
    <w:rsid w:val="776C7C79"/>
    <w:rsid w:val="776E39F1"/>
    <w:rsid w:val="776E3ADC"/>
    <w:rsid w:val="776F6DFF"/>
    <w:rsid w:val="77702943"/>
    <w:rsid w:val="77707E71"/>
    <w:rsid w:val="777110D9"/>
    <w:rsid w:val="777234E1"/>
    <w:rsid w:val="77732DB5"/>
    <w:rsid w:val="777803CC"/>
    <w:rsid w:val="777B0693"/>
    <w:rsid w:val="777C159D"/>
    <w:rsid w:val="777D6C79"/>
    <w:rsid w:val="777F175A"/>
    <w:rsid w:val="77806E51"/>
    <w:rsid w:val="778154D2"/>
    <w:rsid w:val="77817001"/>
    <w:rsid w:val="77822286"/>
    <w:rsid w:val="77836040"/>
    <w:rsid w:val="77847C09"/>
    <w:rsid w:val="77862AE9"/>
    <w:rsid w:val="77877839"/>
    <w:rsid w:val="77882D05"/>
    <w:rsid w:val="77894387"/>
    <w:rsid w:val="778E7BEF"/>
    <w:rsid w:val="779104F2"/>
    <w:rsid w:val="7791148D"/>
    <w:rsid w:val="77940F04"/>
    <w:rsid w:val="779506FC"/>
    <w:rsid w:val="7795123D"/>
    <w:rsid w:val="7798281C"/>
    <w:rsid w:val="77996CC0"/>
    <w:rsid w:val="779A170C"/>
    <w:rsid w:val="779C230C"/>
    <w:rsid w:val="779D132A"/>
    <w:rsid w:val="779E1E4A"/>
    <w:rsid w:val="779E34A1"/>
    <w:rsid w:val="779E42D6"/>
    <w:rsid w:val="77A0737F"/>
    <w:rsid w:val="77A6318B"/>
    <w:rsid w:val="77A818D3"/>
    <w:rsid w:val="77A92C7B"/>
    <w:rsid w:val="77AB07A1"/>
    <w:rsid w:val="77AD62C7"/>
    <w:rsid w:val="77B27D81"/>
    <w:rsid w:val="77B37656"/>
    <w:rsid w:val="77B40235"/>
    <w:rsid w:val="77B57CE6"/>
    <w:rsid w:val="77B6216E"/>
    <w:rsid w:val="77B706CD"/>
    <w:rsid w:val="77B75398"/>
    <w:rsid w:val="77B84C6C"/>
    <w:rsid w:val="77BA67F0"/>
    <w:rsid w:val="77BA6C36"/>
    <w:rsid w:val="77BB5095"/>
    <w:rsid w:val="77BF5FFA"/>
    <w:rsid w:val="77C026A0"/>
    <w:rsid w:val="77C13386"/>
    <w:rsid w:val="77C43794"/>
    <w:rsid w:val="77C47AB5"/>
    <w:rsid w:val="77C70B32"/>
    <w:rsid w:val="77C75E84"/>
    <w:rsid w:val="77C81353"/>
    <w:rsid w:val="77C875A5"/>
    <w:rsid w:val="77C9104E"/>
    <w:rsid w:val="77CC3EC2"/>
    <w:rsid w:val="77CE623E"/>
    <w:rsid w:val="77CF345E"/>
    <w:rsid w:val="77D01FB6"/>
    <w:rsid w:val="77D24925"/>
    <w:rsid w:val="77D45F4A"/>
    <w:rsid w:val="77DC4DFE"/>
    <w:rsid w:val="77E048EF"/>
    <w:rsid w:val="77E6341D"/>
    <w:rsid w:val="77E90D1D"/>
    <w:rsid w:val="77E93077"/>
    <w:rsid w:val="77ED0865"/>
    <w:rsid w:val="77EF4B32"/>
    <w:rsid w:val="77F12A2E"/>
    <w:rsid w:val="77F2017E"/>
    <w:rsid w:val="77F2444E"/>
    <w:rsid w:val="77F30D40"/>
    <w:rsid w:val="77F4117B"/>
    <w:rsid w:val="77F437B1"/>
    <w:rsid w:val="77F43EF6"/>
    <w:rsid w:val="77F57C6E"/>
    <w:rsid w:val="77F62B13"/>
    <w:rsid w:val="77F75794"/>
    <w:rsid w:val="77F83CF8"/>
    <w:rsid w:val="77F951E6"/>
    <w:rsid w:val="77FA0DEA"/>
    <w:rsid w:val="77FC64DB"/>
    <w:rsid w:val="77FC74C2"/>
    <w:rsid w:val="77FE6B23"/>
    <w:rsid w:val="77FF2E6B"/>
    <w:rsid w:val="78004D7A"/>
    <w:rsid w:val="78012518"/>
    <w:rsid w:val="78014865"/>
    <w:rsid w:val="780359C1"/>
    <w:rsid w:val="78055809"/>
    <w:rsid w:val="78061E7B"/>
    <w:rsid w:val="780659D7"/>
    <w:rsid w:val="780A4A7F"/>
    <w:rsid w:val="780C6185"/>
    <w:rsid w:val="780D4890"/>
    <w:rsid w:val="780E376B"/>
    <w:rsid w:val="78153E6C"/>
    <w:rsid w:val="78191BAF"/>
    <w:rsid w:val="781B5927"/>
    <w:rsid w:val="781C169F"/>
    <w:rsid w:val="781D06F1"/>
    <w:rsid w:val="781E0F73"/>
    <w:rsid w:val="781E2917"/>
    <w:rsid w:val="781F337D"/>
    <w:rsid w:val="781F6A99"/>
    <w:rsid w:val="78202F3D"/>
    <w:rsid w:val="78221AB3"/>
    <w:rsid w:val="782347DB"/>
    <w:rsid w:val="78250553"/>
    <w:rsid w:val="782642CC"/>
    <w:rsid w:val="78281DF2"/>
    <w:rsid w:val="78291AB0"/>
    <w:rsid w:val="782A3DBC"/>
    <w:rsid w:val="782C1CAF"/>
    <w:rsid w:val="782C1E65"/>
    <w:rsid w:val="782C66D7"/>
    <w:rsid w:val="782E09E2"/>
    <w:rsid w:val="782F5B06"/>
    <w:rsid w:val="783267CC"/>
    <w:rsid w:val="78327197"/>
    <w:rsid w:val="78340796"/>
    <w:rsid w:val="78372035"/>
    <w:rsid w:val="78393538"/>
    <w:rsid w:val="78393BDC"/>
    <w:rsid w:val="783A38D3"/>
    <w:rsid w:val="783B4642"/>
    <w:rsid w:val="783C3A4B"/>
    <w:rsid w:val="783F1DA9"/>
    <w:rsid w:val="78414C61"/>
    <w:rsid w:val="7842260E"/>
    <w:rsid w:val="78440BA6"/>
    <w:rsid w:val="78474D9C"/>
    <w:rsid w:val="78487104"/>
    <w:rsid w:val="784B19A6"/>
    <w:rsid w:val="784C3D32"/>
    <w:rsid w:val="78530456"/>
    <w:rsid w:val="78540376"/>
    <w:rsid w:val="78543284"/>
    <w:rsid w:val="78574485"/>
    <w:rsid w:val="785C1A9B"/>
    <w:rsid w:val="785E1CB7"/>
    <w:rsid w:val="785E75AD"/>
    <w:rsid w:val="786077DD"/>
    <w:rsid w:val="78624946"/>
    <w:rsid w:val="78640611"/>
    <w:rsid w:val="78650950"/>
    <w:rsid w:val="786642FA"/>
    <w:rsid w:val="78676109"/>
    <w:rsid w:val="786848E4"/>
    <w:rsid w:val="78686E6C"/>
    <w:rsid w:val="786C0C1A"/>
    <w:rsid w:val="786D1EFA"/>
    <w:rsid w:val="786D5BDD"/>
    <w:rsid w:val="786F4218"/>
    <w:rsid w:val="78701101"/>
    <w:rsid w:val="78704423"/>
    <w:rsid w:val="7872306D"/>
    <w:rsid w:val="78736FA1"/>
    <w:rsid w:val="78746922"/>
    <w:rsid w:val="78746DE5"/>
    <w:rsid w:val="7878641F"/>
    <w:rsid w:val="78787717"/>
    <w:rsid w:val="787B63C5"/>
    <w:rsid w:val="787D213D"/>
    <w:rsid w:val="787E1A12"/>
    <w:rsid w:val="78811502"/>
    <w:rsid w:val="78820FFD"/>
    <w:rsid w:val="788214B7"/>
    <w:rsid w:val="7883171E"/>
    <w:rsid w:val="78841DF1"/>
    <w:rsid w:val="78856654"/>
    <w:rsid w:val="78857244"/>
    <w:rsid w:val="78866B18"/>
    <w:rsid w:val="78880AE2"/>
    <w:rsid w:val="78882890"/>
    <w:rsid w:val="788A6608"/>
    <w:rsid w:val="788D434B"/>
    <w:rsid w:val="78911745"/>
    <w:rsid w:val="789143F5"/>
    <w:rsid w:val="78917997"/>
    <w:rsid w:val="789456D9"/>
    <w:rsid w:val="78964FAD"/>
    <w:rsid w:val="78970D25"/>
    <w:rsid w:val="7899684C"/>
    <w:rsid w:val="789B05DF"/>
    <w:rsid w:val="789F00F7"/>
    <w:rsid w:val="789F751B"/>
    <w:rsid w:val="78A0407E"/>
    <w:rsid w:val="78A05E2C"/>
    <w:rsid w:val="78A13CF9"/>
    <w:rsid w:val="78A1455F"/>
    <w:rsid w:val="78A14715"/>
    <w:rsid w:val="78A27E89"/>
    <w:rsid w:val="78A3591C"/>
    <w:rsid w:val="78A413DB"/>
    <w:rsid w:val="78A4286B"/>
    <w:rsid w:val="78A70F68"/>
    <w:rsid w:val="78A7540C"/>
    <w:rsid w:val="78A76007"/>
    <w:rsid w:val="78A82F32"/>
    <w:rsid w:val="78A953D3"/>
    <w:rsid w:val="78AD248D"/>
    <w:rsid w:val="78AD4288"/>
    <w:rsid w:val="78AF10BF"/>
    <w:rsid w:val="78B00909"/>
    <w:rsid w:val="78B0681C"/>
    <w:rsid w:val="78B158B9"/>
    <w:rsid w:val="78B24F5D"/>
    <w:rsid w:val="78B2790D"/>
    <w:rsid w:val="78B47B29"/>
    <w:rsid w:val="78B50366"/>
    <w:rsid w:val="78B611AB"/>
    <w:rsid w:val="78B6564F"/>
    <w:rsid w:val="78B83176"/>
    <w:rsid w:val="78B90C9C"/>
    <w:rsid w:val="78BA12BC"/>
    <w:rsid w:val="78BB377B"/>
    <w:rsid w:val="78BB3C7E"/>
    <w:rsid w:val="78C064CE"/>
    <w:rsid w:val="78C11D93"/>
    <w:rsid w:val="78C345EC"/>
    <w:rsid w:val="78C53AE4"/>
    <w:rsid w:val="78C66EBA"/>
    <w:rsid w:val="78C8620E"/>
    <w:rsid w:val="78C95383"/>
    <w:rsid w:val="78CA4409"/>
    <w:rsid w:val="78CB4582"/>
    <w:rsid w:val="78CB7931"/>
    <w:rsid w:val="78CC09CF"/>
    <w:rsid w:val="78CC6C21"/>
    <w:rsid w:val="78CD2184"/>
    <w:rsid w:val="78CD669E"/>
    <w:rsid w:val="78CE0BEB"/>
    <w:rsid w:val="78D178AE"/>
    <w:rsid w:val="78D36201"/>
    <w:rsid w:val="78D855C6"/>
    <w:rsid w:val="78DD0E2E"/>
    <w:rsid w:val="78DD2BDC"/>
    <w:rsid w:val="78E23CA8"/>
    <w:rsid w:val="78E31B7C"/>
    <w:rsid w:val="78E33F6B"/>
    <w:rsid w:val="78E52EC9"/>
    <w:rsid w:val="78E97B0F"/>
    <w:rsid w:val="78EA1B6E"/>
    <w:rsid w:val="78EA70A7"/>
    <w:rsid w:val="78EB75F0"/>
    <w:rsid w:val="78EE6B97"/>
    <w:rsid w:val="78EF290F"/>
    <w:rsid w:val="78EF46BD"/>
    <w:rsid w:val="78F114F9"/>
    <w:rsid w:val="78F26F7B"/>
    <w:rsid w:val="78F30652"/>
    <w:rsid w:val="78F65A4C"/>
    <w:rsid w:val="78F80E84"/>
    <w:rsid w:val="78F84BA3"/>
    <w:rsid w:val="78F9553C"/>
    <w:rsid w:val="78FC2038"/>
    <w:rsid w:val="78FD327E"/>
    <w:rsid w:val="78FD49E8"/>
    <w:rsid w:val="78FD5AF8"/>
    <w:rsid w:val="78FD6DDA"/>
    <w:rsid w:val="79004B1D"/>
    <w:rsid w:val="790074D7"/>
    <w:rsid w:val="79017592"/>
    <w:rsid w:val="79020895"/>
    <w:rsid w:val="790243F1"/>
    <w:rsid w:val="7904460D"/>
    <w:rsid w:val="790742C7"/>
    <w:rsid w:val="79077C59"/>
    <w:rsid w:val="79083BF1"/>
    <w:rsid w:val="79090D34"/>
    <w:rsid w:val="79091C23"/>
    <w:rsid w:val="790970F9"/>
    <w:rsid w:val="790A71ED"/>
    <w:rsid w:val="790F4D60"/>
    <w:rsid w:val="79101597"/>
    <w:rsid w:val="791142A4"/>
    <w:rsid w:val="79116D2A"/>
    <w:rsid w:val="791201AB"/>
    <w:rsid w:val="79121A2E"/>
    <w:rsid w:val="79134850"/>
    <w:rsid w:val="791400DD"/>
    <w:rsid w:val="791660EE"/>
    <w:rsid w:val="791A3E30"/>
    <w:rsid w:val="791C1E80"/>
    <w:rsid w:val="791C338F"/>
    <w:rsid w:val="791C3E2E"/>
    <w:rsid w:val="791D670A"/>
    <w:rsid w:val="79200D1B"/>
    <w:rsid w:val="792151BF"/>
    <w:rsid w:val="79222CE5"/>
    <w:rsid w:val="79227858"/>
    <w:rsid w:val="7923202E"/>
    <w:rsid w:val="79244829"/>
    <w:rsid w:val="7925068A"/>
    <w:rsid w:val="79257FB4"/>
    <w:rsid w:val="792737ED"/>
    <w:rsid w:val="79283BD2"/>
    <w:rsid w:val="79297A7E"/>
    <w:rsid w:val="792A3948"/>
    <w:rsid w:val="792C489C"/>
    <w:rsid w:val="792C5064"/>
    <w:rsid w:val="792C648B"/>
    <w:rsid w:val="792C6CB9"/>
    <w:rsid w:val="792C76C0"/>
    <w:rsid w:val="792E51E6"/>
    <w:rsid w:val="793230AC"/>
    <w:rsid w:val="79332AFC"/>
    <w:rsid w:val="793332E3"/>
    <w:rsid w:val="79336CA0"/>
    <w:rsid w:val="793437F6"/>
    <w:rsid w:val="79345466"/>
    <w:rsid w:val="793622EC"/>
    <w:rsid w:val="79366790"/>
    <w:rsid w:val="79370A36"/>
    <w:rsid w:val="79386064"/>
    <w:rsid w:val="793B39FE"/>
    <w:rsid w:val="793E3D20"/>
    <w:rsid w:val="7940545D"/>
    <w:rsid w:val="79415644"/>
    <w:rsid w:val="79420C91"/>
    <w:rsid w:val="79425135"/>
    <w:rsid w:val="79426EE3"/>
    <w:rsid w:val="79444A09"/>
    <w:rsid w:val="794669D3"/>
    <w:rsid w:val="794A0CC8"/>
    <w:rsid w:val="794C5FB4"/>
    <w:rsid w:val="794E16AD"/>
    <w:rsid w:val="794E3ADA"/>
    <w:rsid w:val="794E780F"/>
    <w:rsid w:val="794F06AD"/>
    <w:rsid w:val="794F0D84"/>
    <w:rsid w:val="7952563E"/>
    <w:rsid w:val="79542997"/>
    <w:rsid w:val="7955121E"/>
    <w:rsid w:val="79554E68"/>
    <w:rsid w:val="79570BE0"/>
    <w:rsid w:val="79572781"/>
    <w:rsid w:val="79586707"/>
    <w:rsid w:val="795C12C1"/>
    <w:rsid w:val="795D3D1D"/>
    <w:rsid w:val="795D5ACB"/>
    <w:rsid w:val="795E5322"/>
    <w:rsid w:val="795F117B"/>
    <w:rsid w:val="795F1B2D"/>
    <w:rsid w:val="795F1D72"/>
    <w:rsid w:val="79646E59"/>
    <w:rsid w:val="79647A53"/>
    <w:rsid w:val="79660E24"/>
    <w:rsid w:val="796719E7"/>
    <w:rsid w:val="7967694A"/>
    <w:rsid w:val="796B468C"/>
    <w:rsid w:val="796B643A"/>
    <w:rsid w:val="796D48BB"/>
    <w:rsid w:val="79711576"/>
    <w:rsid w:val="797177C8"/>
    <w:rsid w:val="797352EE"/>
    <w:rsid w:val="79742119"/>
    <w:rsid w:val="7974376B"/>
    <w:rsid w:val="797572B9"/>
    <w:rsid w:val="79764DDF"/>
    <w:rsid w:val="79771EB0"/>
    <w:rsid w:val="79773031"/>
    <w:rsid w:val="79786DA9"/>
    <w:rsid w:val="797A0365"/>
    <w:rsid w:val="797A48CF"/>
    <w:rsid w:val="797C680C"/>
    <w:rsid w:val="797F0682"/>
    <w:rsid w:val="79815565"/>
    <w:rsid w:val="7984574E"/>
    <w:rsid w:val="79863274"/>
    <w:rsid w:val="79870D9A"/>
    <w:rsid w:val="79872B48"/>
    <w:rsid w:val="79875270"/>
    <w:rsid w:val="798D5A6E"/>
    <w:rsid w:val="798F0F84"/>
    <w:rsid w:val="798F75D9"/>
    <w:rsid w:val="799040F2"/>
    <w:rsid w:val="7993773F"/>
    <w:rsid w:val="799534B7"/>
    <w:rsid w:val="79960FDD"/>
    <w:rsid w:val="799700EE"/>
    <w:rsid w:val="79974DFF"/>
    <w:rsid w:val="79984D55"/>
    <w:rsid w:val="79986942"/>
    <w:rsid w:val="79986B03"/>
    <w:rsid w:val="79991513"/>
    <w:rsid w:val="79992F3A"/>
    <w:rsid w:val="79996610"/>
    <w:rsid w:val="799A0ACD"/>
    <w:rsid w:val="799C4845"/>
    <w:rsid w:val="799D1CF3"/>
    <w:rsid w:val="79A11E5C"/>
    <w:rsid w:val="79A17CD4"/>
    <w:rsid w:val="79A25384"/>
    <w:rsid w:val="79A25BD4"/>
    <w:rsid w:val="79A47B9E"/>
    <w:rsid w:val="79A731EA"/>
    <w:rsid w:val="79A74A1B"/>
    <w:rsid w:val="79A8143C"/>
    <w:rsid w:val="79A8657B"/>
    <w:rsid w:val="79A90D10"/>
    <w:rsid w:val="79A951B4"/>
    <w:rsid w:val="79AA0CC7"/>
    <w:rsid w:val="79AA0D57"/>
    <w:rsid w:val="79AE27CB"/>
    <w:rsid w:val="79AF36AF"/>
    <w:rsid w:val="79B25E17"/>
    <w:rsid w:val="79BD2A0E"/>
    <w:rsid w:val="79BD4007"/>
    <w:rsid w:val="79BF3644"/>
    <w:rsid w:val="79BF6786"/>
    <w:rsid w:val="79C04523"/>
    <w:rsid w:val="79C124FE"/>
    <w:rsid w:val="79C142AC"/>
    <w:rsid w:val="79C30024"/>
    <w:rsid w:val="79C33D0A"/>
    <w:rsid w:val="79C45B4A"/>
    <w:rsid w:val="79C50530"/>
    <w:rsid w:val="79C5785A"/>
    <w:rsid w:val="79C618C2"/>
    <w:rsid w:val="79C773E8"/>
    <w:rsid w:val="79C85419"/>
    <w:rsid w:val="79C85CD9"/>
    <w:rsid w:val="79CB2CD5"/>
    <w:rsid w:val="79CB512B"/>
    <w:rsid w:val="79CC2C61"/>
    <w:rsid w:val="79CC38DF"/>
    <w:rsid w:val="79CC65C1"/>
    <w:rsid w:val="79CF5511"/>
    <w:rsid w:val="79D16A39"/>
    <w:rsid w:val="79D31CFF"/>
    <w:rsid w:val="79D35D8D"/>
    <w:rsid w:val="79D43FC4"/>
    <w:rsid w:val="79D815F5"/>
    <w:rsid w:val="79DA35C0"/>
    <w:rsid w:val="79DA4CFA"/>
    <w:rsid w:val="79DB12C6"/>
    <w:rsid w:val="79DD09BA"/>
    <w:rsid w:val="79DE5AF8"/>
    <w:rsid w:val="79E078FD"/>
    <w:rsid w:val="79E104AA"/>
    <w:rsid w:val="79E179F6"/>
    <w:rsid w:val="79E24222"/>
    <w:rsid w:val="79E24ADD"/>
    <w:rsid w:val="79E32474"/>
    <w:rsid w:val="79E47F9A"/>
    <w:rsid w:val="79E81839"/>
    <w:rsid w:val="79EA2C5F"/>
    <w:rsid w:val="79ED6E4F"/>
    <w:rsid w:val="79EE223C"/>
    <w:rsid w:val="79EF706B"/>
    <w:rsid w:val="79F0693F"/>
    <w:rsid w:val="79F226B7"/>
    <w:rsid w:val="79F503F9"/>
    <w:rsid w:val="79F530BD"/>
    <w:rsid w:val="79F62EF9"/>
    <w:rsid w:val="79F8568C"/>
    <w:rsid w:val="79F91C98"/>
    <w:rsid w:val="79FC1788"/>
    <w:rsid w:val="79FC52E4"/>
    <w:rsid w:val="79FF063F"/>
    <w:rsid w:val="79FF5B24"/>
    <w:rsid w:val="79FF6F80"/>
    <w:rsid w:val="7A0128FA"/>
    <w:rsid w:val="7A044199"/>
    <w:rsid w:val="7A0643B5"/>
    <w:rsid w:val="7A067F11"/>
    <w:rsid w:val="7A080AFF"/>
    <w:rsid w:val="7A087F53"/>
    <w:rsid w:val="7A0A7DAE"/>
    <w:rsid w:val="7A0D6076"/>
    <w:rsid w:val="7A0F58CD"/>
    <w:rsid w:val="7A10646B"/>
    <w:rsid w:val="7A122D59"/>
    <w:rsid w:val="7A124B07"/>
    <w:rsid w:val="7A15269A"/>
    <w:rsid w:val="7A1563A6"/>
    <w:rsid w:val="7A1613D7"/>
    <w:rsid w:val="7A173ECC"/>
    <w:rsid w:val="7A1A1C0E"/>
    <w:rsid w:val="7A1C7585"/>
    <w:rsid w:val="7A1E4029"/>
    <w:rsid w:val="7A1E53F9"/>
    <w:rsid w:val="7A1F11F7"/>
    <w:rsid w:val="7A214D4A"/>
    <w:rsid w:val="7A237236"/>
    <w:rsid w:val="7A24483B"/>
    <w:rsid w:val="7A266805"/>
    <w:rsid w:val="7A2860D9"/>
    <w:rsid w:val="7A291E51"/>
    <w:rsid w:val="7A2A1655"/>
    <w:rsid w:val="7A2B7977"/>
    <w:rsid w:val="7A2C3931"/>
    <w:rsid w:val="7A2D146E"/>
    <w:rsid w:val="7A2E4BCF"/>
    <w:rsid w:val="7A304F8E"/>
    <w:rsid w:val="7A356A48"/>
    <w:rsid w:val="7A3731F1"/>
    <w:rsid w:val="7A39438A"/>
    <w:rsid w:val="7A39453F"/>
    <w:rsid w:val="7A3B22B0"/>
    <w:rsid w:val="7A3E58FC"/>
    <w:rsid w:val="7A3F0D8D"/>
    <w:rsid w:val="7A3F3423"/>
    <w:rsid w:val="7A3F4A1F"/>
    <w:rsid w:val="7A406FE4"/>
    <w:rsid w:val="7A4153ED"/>
    <w:rsid w:val="7A431165"/>
    <w:rsid w:val="7A433E64"/>
    <w:rsid w:val="7A456A0B"/>
    <w:rsid w:val="7A4615F8"/>
    <w:rsid w:val="7A462A03"/>
    <w:rsid w:val="7A4822D7"/>
    <w:rsid w:val="7A4A24F3"/>
    <w:rsid w:val="7A4A42A1"/>
    <w:rsid w:val="7A4C00D1"/>
    <w:rsid w:val="7A4D5B40"/>
    <w:rsid w:val="7A513882"/>
    <w:rsid w:val="7A5275FA"/>
    <w:rsid w:val="7A5330B6"/>
    <w:rsid w:val="7A545B1C"/>
    <w:rsid w:val="7A5A025C"/>
    <w:rsid w:val="7A5C6838"/>
    <w:rsid w:val="7A6115EB"/>
    <w:rsid w:val="7A61783D"/>
    <w:rsid w:val="7A635363"/>
    <w:rsid w:val="7A643B21"/>
    <w:rsid w:val="7A6530E0"/>
    <w:rsid w:val="7A653295"/>
    <w:rsid w:val="7A65396B"/>
    <w:rsid w:val="7A656E5D"/>
    <w:rsid w:val="7A666C01"/>
    <w:rsid w:val="7A6730A5"/>
    <w:rsid w:val="7A695863"/>
    <w:rsid w:val="7A6A04A0"/>
    <w:rsid w:val="7A6A66F1"/>
    <w:rsid w:val="7A6E1CEA"/>
    <w:rsid w:val="7A6F1F5A"/>
    <w:rsid w:val="7A6F776C"/>
    <w:rsid w:val="7A721EC3"/>
    <w:rsid w:val="7A730B94"/>
    <w:rsid w:val="7A735F93"/>
    <w:rsid w:val="7A744793"/>
    <w:rsid w:val="7A747570"/>
    <w:rsid w:val="7A7550F2"/>
    <w:rsid w:val="7A7845A4"/>
    <w:rsid w:val="7A7949A6"/>
    <w:rsid w:val="7A7B26AD"/>
    <w:rsid w:val="7A7E7E32"/>
    <w:rsid w:val="7A80073F"/>
    <w:rsid w:val="7A8022CA"/>
    <w:rsid w:val="7A804167"/>
    <w:rsid w:val="7A8056EE"/>
    <w:rsid w:val="7A805F15"/>
    <w:rsid w:val="7A807CB8"/>
    <w:rsid w:val="7A811C8D"/>
    <w:rsid w:val="7A8157E9"/>
    <w:rsid w:val="7A844CF5"/>
    <w:rsid w:val="7A847CE6"/>
    <w:rsid w:val="7A88301C"/>
    <w:rsid w:val="7A890316"/>
    <w:rsid w:val="7A8A28F0"/>
    <w:rsid w:val="7A8A3D8E"/>
    <w:rsid w:val="7A8B0BA1"/>
    <w:rsid w:val="7A8C48BA"/>
    <w:rsid w:val="7A8C5889"/>
    <w:rsid w:val="7A8E533A"/>
    <w:rsid w:val="7A8F2AD4"/>
    <w:rsid w:val="7A9131A4"/>
    <w:rsid w:val="7A915496"/>
    <w:rsid w:val="7A9279F6"/>
    <w:rsid w:val="7A927D1C"/>
    <w:rsid w:val="7A990D85"/>
    <w:rsid w:val="7A9C1756"/>
    <w:rsid w:val="7A9D6AC7"/>
    <w:rsid w:val="7AA10015"/>
    <w:rsid w:val="7AA21E38"/>
    <w:rsid w:val="7AA27811"/>
    <w:rsid w:val="7AA329D6"/>
    <w:rsid w:val="7AA535C1"/>
    <w:rsid w:val="7AA5597C"/>
    <w:rsid w:val="7AA754C8"/>
    <w:rsid w:val="7AAB0A21"/>
    <w:rsid w:val="7AAC2EAD"/>
    <w:rsid w:val="7AAE426B"/>
    <w:rsid w:val="7AB20098"/>
    <w:rsid w:val="7AB43E11"/>
    <w:rsid w:val="7AB60418"/>
    <w:rsid w:val="7AB65962"/>
    <w:rsid w:val="7ABB480C"/>
    <w:rsid w:val="7ABE07EB"/>
    <w:rsid w:val="7ABF29EE"/>
    <w:rsid w:val="7AC07E9C"/>
    <w:rsid w:val="7AC70C29"/>
    <w:rsid w:val="7AC738D3"/>
    <w:rsid w:val="7AC758F2"/>
    <w:rsid w:val="7AC87AB2"/>
    <w:rsid w:val="7AC97DEB"/>
    <w:rsid w:val="7ACA0249"/>
    <w:rsid w:val="7ACB4CB6"/>
    <w:rsid w:val="7ACE4ED2"/>
    <w:rsid w:val="7ACE757A"/>
    <w:rsid w:val="7ACF47A6"/>
    <w:rsid w:val="7ACF5207"/>
    <w:rsid w:val="7AD225DE"/>
    <w:rsid w:val="7AD45CD9"/>
    <w:rsid w:val="7AD62C51"/>
    <w:rsid w:val="7AD859D6"/>
    <w:rsid w:val="7AD86AA7"/>
    <w:rsid w:val="7AD86E13"/>
    <w:rsid w:val="7AD87AFF"/>
    <w:rsid w:val="7AD93877"/>
    <w:rsid w:val="7AD96066"/>
    <w:rsid w:val="7ADB314B"/>
    <w:rsid w:val="7ADC6EC3"/>
    <w:rsid w:val="7ADD3367"/>
    <w:rsid w:val="7ADD5115"/>
    <w:rsid w:val="7ADF141F"/>
    <w:rsid w:val="7AE00762"/>
    <w:rsid w:val="7AE61CC6"/>
    <w:rsid w:val="7AE715F0"/>
    <w:rsid w:val="7AE83ABA"/>
    <w:rsid w:val="7AEA15E0"/>
    <w:rsid w:val="7AEA3A8B"/>
    <w:rsid w:val="7AEA3AA7"/>
    <w:rsid w:val="7AEC35AA"/>
    <w:rsid w:val="7AEC5358"/>
    <w:rsid w:val="7AED2E7F"/>
    <w:rsid w:val="7AF1471D"/>
    <w:rsid w:val="7AF36105"/>
    <w:rsid w:val="7AF62E6A"/>
    <w:rsid w:val="7AF64429"/>
    <w:rsid w:val="7AF81F4F"/>
    <w:rsid w:val="7AFB43BB"/>
    <w:rsid w:val="7AFB559C"/>
    <w:rsid w:val="7AFC584B"/>
    <w:rsid w:val="7AFD18AC"/>
    <w:rsid w:val="7AFD6CDB"/>
    <w:rsid w:val="7AFE016B"/>
    <w:rsid w:val="7AFE508C"/>
    <w:rsid w:val="7B000EE9"/>
    <w:rsid w:val="7B007056"/>
    <w:rsid w:val="7B022DCE"/>
    <w:rsid w:val="7B046B46"/>
    <w:rsid w:val="7B084A14"/>
    <w:rsid w:val="7B090EB1"/>
    <w:rsid w:val="7B09415C"/>
    <w:rsid w:val="7B095F0A"/>
    <w:rsid w:val="7B0A57DF"/>
    <w:rsid w:val="7B0C59FB"/>
    <w:rsid w:val="7B0F1874"/>
    <w:rsid w:val="7B1041D5"/>
    <w:rsid w:val="7B113011"/>
    <w:rsid w:val="7B1242D4"/>
    <w:rsid w:val="7B136D89"/>
    <w:rsid w:val="7B1448AF"/>
    <w:rsid w:val="7B1810A1"/>
    <w:rsid w:val="7B182183"/>
    <w:rsid w:val="7B187EFC"/>
    <w:rsid w:val="7B1A3C93"/>
    <w:rsid w:val="7B1D5512"/>
    <w:rsid w:val="7B1E52D0"/>
    <w:rsid w:val="7B1E6E81"/>
    <w:rsid w:val="7B22521E"/>
    <w:rsid w:val="7B253A17"/>
    <w:rsid w:val="7B272834"/>
    <w:rsid w:val="7B283FFB"/>
    <w:rsid w:val="7B2B5921"/>
    <w:rsid w:val="7B2E6262"/>
    <w:rsid w:val="7B305576"/>
    <w:rsid w:val="7B313B11"/>
    <w:rsid w:val="7B317F7F"/>
    <w:rsid w:val="7B32696E"/>
    <w:rsid w:val="7B332F87"/>
    <w:rsid w:val="7B33502A"/>
    <w:rsid w:val="7B363DDA"/>
    <w:rsid w:val="7B382ECC"/>
    <w:rsid w:val="7B3867F0"/>
    <w:rsid w:val="7B3A1BF7"/>
    <w:rsid w:val="7B3A24AD"/>
    <w:rsid w:val="7B3B62E0"/>
    <w:rsid w:val="7B3C0C8A"/>
    <w:rsid w:val="7B3E69C5"/>
    <w:rsid w:val="7B417515"/>
    <w:rsid w:val="7B450F0D"/>
    <w:rsid w:val="7B476A33"/>
    <w:rsid w:val="7B4927AB"/>
    <w:rsid w:val="7B4A207F"/>
    <w:rsid w:val="7B4A7247"/>
    <w:rsid w:val="7B4B3A9B"/>
    <w:rsid w:val="7B4B6523"/>
    <w:rsid w:val="7B4B6A48"/>
    <w:rsid w:val="7B4C2625"/>
    <w:rsid w:val="7B4C77FE"/>
    <w:rsid w:val="7B4E6013"/>
    <w:rsid w:val="7B503B39"/>
    <w:rsid w:val="7B51340D"/>
    <w:rsid w:val="7B54425C"/>
    <w:rsid w:val="7B551ADF"/>
    <w:rsid w:val="7B5B4055"/>
    <w:rsid w:val="7B5B603A"/>
    <w:rsid w:val="7B5C32EC"/>
    <w:rsid w:val="7B5F49A4"/>
    <w:rsid w:val="7B5F6826"/>
    <w:rsid w:val="7B6205F9"/>
    <w:rsid w:val="7B63097E"/>
    <w:rsid w:val="7B6435D1"/>
    <w:rsid w:val="7B662D41"/>
    <w:rsid w:val="7B670E83"/>
    <w:rsid w:val="7B68739A"/>
    <w:rsid w:val="7B6875DF"/>
    <w:rsid w:val="7B687795"/>
    <w:rsid w:val="7B6A5D5B"/>
    <w:rsid w:val="7B6B0973"/>
    <w:rsid w:val="7B6B0E8C"/>
    <w:rsid w:val="7B6B280D"/>
    <w:rsid w:val="7B6C46EB"/>
    <w:rsid w:val="7B6E0207"/>
    <w:rsid w:val="7B6E1C07"/>
    <w:rsid w:val="7B6E5D6D"/>
    <w:rsid w:val="7B6F2841"/>
    <w:rsid w:val="7B7244ED"/>
    <w:rsid w:val="7B753A39"/>
    <w:rsid w:val="7B7642FE"/>
    <w:rsid w:val="7B773EF8"/>
    <w:rsid w:val="7B7805CE"/>
    <w:rsid w:val="7B7A5656"/>
    <w:rsid w:val="7B7B492E"/>
    <w:rsid w:val="7B815D95"/>
    <w:rsid w:val="7B84236A"/>
    <w:rsid w:val="7B845591"/>
    <w:rsid w:val="7B847D9A"/>
    <w:rsid w:val="7B86755B"/>
    <w:rsid w:val="7B871525"/>
    <w:rsid w:val="7B8726A6"/>
    <w:rsid w:val="7B876E2F"/>
    <w:rsid w:val="7B882EAC"/>
    <w:rsid w:val="7B89373C"/>
    <w:rsid w:val="7B897EB9"/>
    <w:rsid w:val="7B8B2DC3"/>
    <w:rsid w:val="7B8C6B3B"/>
    <w:rsid w:val="7B8D1D3A"/>
    <w:rsid w:val="7B9003DA"/>
    <w:rsid w:val="7B902188"/>
    <w:rsid w:val="7B902495"/>
    <w:rsid w:val="7B914152"/>
    <w:rsid w:val="7B917CAE"/>
    <w:rsid w:val="7B9233DC"/>
    <w:rsid w:val="7B93399C"/>
    <w:rsid w:val="7B944376"/>
    <w:rsid w:val="7B9559F0"/>
    <w:rsid w:val="7B9A6B62"/>
    <w:rsid w:val="7B9B36C4"/>
    <w:rsid w:val="7B9D0BEA"/>
    <w:rsid w:val="7B9D6653"/>
    <w:rsid w:val="7B9F61A5"/>
    <w:rsid w:val="7B9F63AF"/>
    <w:rsid w:val="7BA07EF1"/>
    <w:rsid w:val="7BA56577"/>
    <w:rsid w:val="7BA74673"/>
    <w:rsid w:val="7BA75723"/>
    <w:rsid w:val="7BA9088D"/>
    <w:rsid w:val="7BA93249"/>
    <w:rsid w:val="7BAB5214"/>
    <w:rsid w:val="7BAC28D0"/>
    <w:rsid w:val="7BAC2D3A"/>
    <w:rsid w:val="7BAE5937"/>
    <w:rsid w:val="7BAF6AA4"/>
    <w:rsid w:val="7BB10350"/>
    <w:rsid w:val="7BB120FE"/>
    <w:rsid w:val="7BB30D54"/>
    <w:rsid w:val="7BB31795"/>
    <w:rsid w:val="7BB55730"/>
    <w:rsid w:val="7BB57E40"/>
    <w:rsid w:val="7BB75966"/>
    <w:rsid w:val="7BB86609"/>
    <w:rsid w:val="7BB96138"/>
    <w:rsid w:val="7BBA4C6E"/>
    <w:rsid w:val="7BBC0D0C"/>
    <w:rsid w:val="7BC13DBD"/>
    <w:rsid w:val="7BC2255D"/>
    <w:rsid w:val="7BC368A3"/>
    <w:rsid w:val="7BC42EEC"/>
    <w:rsid w:val="7BC561A8"/>
    <w:rsid w:val="7BC6204D"/>
    <w:rsid w:val="7BC72716"/>
    <w:rsid w:val="7BC736D0"/>
    <w:rsid w:val="7BC77B74"/>
    <w:rsid w:val="7BC84A7A"/>
    <w:rsid w:val="7BC934FB"/>
    <w:rsid w:val="7BCC0CE6"/>
    <w:rsid w:val="7BCC6F38"/>
    <w:rsid w:val="7BCC7065"/>
    <w:rsid w:val="7BD2043B"/>
    <w:rsid w:val="7BD76009"/>
    <w:rsid w:val="7BD86724"/>
    <w:rsid w:val="7BDA3403"/>
    <w:rsid w:val="7BDA78A7"/>
    <w:rsid w:val="7BDA7B3A"/>
    <w:rsid w:val="7BDB0530"/>
    <w:rsid w:val="7BDC34AC"/>
    <w:rsid w:val="7BDC717B"/>
    <w:rsid w:val="7BDF725C"/>
    <w:rsid w:val="7BE256AE"/>
    <w:rsid w:val="7BE40725"/>
    <w:rsid w:val="7BE61DA8"/>
    <w:rsid w:val="7BE641DB"/>
    <w:rsid w:val="7BE67792"/>
    <w:rsid w:val="7BE73D72"/>
    <w:rsid w:val="7BE75B20"/>
    <w:rsid w:val="7BE911D7"/>
    <w:rsid w:val="7BE91898"/>
    <w:rsid w:val="7BEB3862"/>
    <w:rsid w:val="7BF00E78"/>
    <w:rsid w:val="7BF070CA"/>
    <w:rsid w:val="7BF30969"/>
    <w:rsid w:val="7BF66C24"/>
    <w:rsid w:val="7BF73FB5"/>
    <w:rsid w:val="7BF75F6E"/>
    <w:rsid w:val="7BF81ADB"/>
    <w:rsid w:val="7BF829C2"/>
    <w:rsid w:val="7BFB59C6"/>
    <w:rsid w:val="7BFD3595"/>
    <w:rsid w:val="7BFE1F7B"/>
    <w:rsid w:val="7BFE6C93"/>
    <w:rsid w:val="7BFF2E69"/>
    <w:rsid w:val="7C013D37"/>
    <w:rsid w:val="7C02295A"/>
    <w:rsid w:val="7C046FE3"/>
    <w:rsid w:val="7C050B07"/>
    <w:rsid w:val="7C0641F8"/>
    <w:rsid w:val="7C091EA2"/>
    <w:rsid w:val="7C091F3A"/>
    <w:rsid w:val="7C0E12FE"/>
    <w:rsid w:val="7C0F4CCE"/>
    <w:rsid w:val="7C120DEF"/>
    <w:rsid w:val="7C1305BD"/>
    <w:rsid w:val="7C1423E9"/>
    <w:rsid w:val="7C1424C5"/>
    <w:rsid w:val="7C142DB9"/>
    <w:rsid w:val="7C1538BE"/>
    <w:rsid w:val="7C1873ED"/>
    <w:rsid w:val="7C1A4147"/>
    <w:rsid w:val="7C1A5EF5"/>
    <w:rsid w:val="7C1B48DE"/>
    <w:rsid w:val="7C1C5D6E"/>
    <w:rsid w:val="7C1E59E5"/>
    <w:rsid w:val="7C1F175E"/>
    <w:rsid w:val="7C1F5441"/>
    <w:rsid w:val="7C200750"/>
    <w:rsid w:val="7C224C02"/>
    <w:rsid w:val="7C2253AE"/>
    <w:rsid w:val="7C230DBF"/>
    <w:rsid w:val="7C23124E"/>
    <w:rsid w:val="7C23585B"/>
    <w:rsid w:val="7C253132"/>
    <w:rsid w:val="7C263834"/>
    <w:rsid w:val="7C270CE3"/>
    <w:rsid w:val="7C290372"/>
    <w:rsid w:val="7C29147F"/>
    <w:rsid w:val="7C2B0102"/>
    <w:rsid w:val="7C301F44"/>
    <w:rsid w:val="7C374CF9"/>
    <w:rsid w:val="7C3945CD"/>
    <w:rsid w:val="7C3A0345"/>
    <w:rsid w:val="7C3A20F4"/>
    <w:rsid w:val="7C3A6597"/>
    <w:rsid w:val="7C3D07C3"/>
    <w:rsid w:val="7C3F3BAE"/>
    <w:rsid w:val="7C405ED3"/>
    <w:rsid w:val="7C43369E"/>
    <w:rsid w:val="7C43544C"/>
    <w:rsid w:val="7C4411C4"/>
    <w:rsid w:val="7C4A67DB"/>
    <w:rsid w:val="7C4B59F8"/>
    <w:rsid w:val="7C522D5F"/>
    <w:rsid w:val="7C544A6F"/>
    <w:rsid w:val="7C576127"/>
    <w:rsid w:val="7C5D2B3A"/>
    <w:rsid w:val="7C5F43B2"/>
    <w:rsid w:val="7C605FFE"/>
    <w:rsid w:val="7C613B24"/>
    <w:rsid w:val="7C63789C"/>
    <w:rsid w:val="7C6545D6"/>
    <w:rsid w:val="7C655F22"/>
    <w:rsid w:val="7C682DAA"/>
    <w:rsid w:val="7C686C61"/>
    <w:rsid w:val="7C6F6241"/>
    <w:rsid w:val="7C7074C9"/>
    <w:rsid w:val="7C711D7A"/>
    <w:rsid w:val="7C7302D4"/>
    <w:rsid w:val="7C743857"/>
    <w:rsid w:val="7C75320D"/>
    <w:rsid w:val="7C76154A"/>
    <w:rsid w:val="7C765821"/>
    <w:rsid w:val="7C766D2D"/>
    <w:rsid w:val="7C772D2F"/>
    <w:rsid w:val="7C776EA4"/>
    <w:rsid w:val="7C793174"/>
    <w:rsid w:val="7C7B16F3"/>
    <w:rsid w:val="7C7E0732"/>
    <w:rsid w:val="7C7E1CA6"/>
    <w:rsid w:val="7C7F0014"/>
    <w:rsid w:val="7C7F3FAA"/>
    <w:rsid w:val="7C850E5D"/>
    <w:rsid w:val="7C86358B"/>
    <w:rsid w:val="7C8A0E4F"/>
    <w:rsid w:val="7C8A307B"/>
    <w:rsid w:val="7C8B0BA1"/>
    <w:rsid w:val="7C8B2952"/>
    <w:rsid w:val="7C8D1CE5"/>
    <w:rsid w:val="7C8D2B6B"/>
    <w:rsid w:val="7C8F1F7D"/>
    <w:rsid w:val="7C913580"/>
    <w:rsid w:val="7C917819"/>
    <w:rsid w:val="7C920181"/>
    <w:rsid w:val="7C923CDE"/>
    <w:rsid w:val="7C933D50"/>
    <w:rsid w:val="7C944EF3"/>
    <w:rsid w:val="7C9530B6"/>
    <w:rsid w:val="7C961A20"/>
    <w:rsid w:val="7C98359C"/>
    <w:rsid w:val="7C9A1801"/>
    <w:rsid w:val="7C9F7D65"/>
    <w:rsid w:val="7CA01288"/>
    <w:rsid w:val="7CA169F2"/>
    <w:rsid w:val="7CA35EEB"/>
    <w:rsid w:val="7CA51C63"/>
    <w:rsid w:val="7CA659DB"/>
    <w:rsid w:val="7CA66985"/>
    <w:rsid w:val="7CA81753"/>
    <w:rsid w:val="7CA81807"/>
    <w:rsid w:val="7CA852AF"/>
    <w:rsid w:val="7CA917A9"/>
    <w:rsid w:val="7CAB4D9F"/>
    <w:rsid w:val="7CAB7E05"/>
    <w:rsid w:val="7CAC1243"/>
    <w:rsid w:val="7CAC20C0"/>
    <w:rsid w:val="7CAF663E"/>
    <w:rsid w:val="7CB023B6"/>
    <w:rsid w:val="7CB02B6A"/>
    <w:rsid w:val="7CB04D76"/>
    <w:rsid w:val="7CB14EA9"/>
    <w:rsid w:val="7CB24380"/>
    <w:rsid w:val="7CB43C54"/>
    <w:rsid w:val="7CB4410E"/>
    <w:rsid w:val="7CB73744"/>
    <w:rsid w:val="7CB77BE8"/>
    <w:rsid w:val="7CBE4AD3"/>
    <w:rsid w:val="7CC12815"/>
    <w:rsid w:val="7CC32253"/>
    <w:rsid w:val="7CC3658D"/>
    <w:rsid w:val="7CC66C84"/>
    <w:rsid w:val="7CC67312"/>
    <w:rsid w:val="7CC7607D"/>
    <w:rsid w:val="7CC80845"/>
    <w:rsid w:val="7CC84F74"/>
    <w:rsid w:val="7CCA3477"/>
    <w:rsid w:val="7CCA791B"/>
    <w:rsid w:val="7CCB71F0"/>
    <w:rsid w:val="7CCD4D16"/>
    <w:rsid w:val="7CCF4F32"/>
    <w:rsid w:val="7CD10CAA"/>
    <w:rsid w:val="7CD114F7"/>
    <w:rsid w:val="7CD478C7"/>
    <w:rsid w:val="7CD5595C"/>
    <w:rsid w:val="7CD73DE6"/>
    <w:rsid w:val="7CDD6540"/>
    <w:rsid w:val="7CDF626C"/>
    <w:rsid w:val="7CDF7C7E"/>
    <w:rsid w:val="7CE00EED"/>
    <w:rsid w:val="7CE03B4A"/>
    <w:rsid w:val="7CE04A49"/>
    <w:rsid w:val="7CE24C65"/>
    <w:rsid w:val="7CE333B2"/>
    <w:rsid w:val="7CE34539"/>
    <w:rsid w:val="7CE53FF5"/>
    <w:rsid w:val="7CE54755"/>
    <w:rsid w:val="7CE7227B"/>
    <w:rsid w:val="7CE75426"/>
    <w:rsid w:val="7CEA58C8"/>
    <w:rsid w:val="7CEA6FFD"/>
    <w:rsid w:val="7CEB0AB6"/>
    <w:rsid w:val="7CEB38F0"/>
    <w:rsid w:val="7CEC5AE4"/>
    <w:rsid w:val="7CEC7892"/>
    <w:rsid w:val="7CED360A"/>
    <w:rsid w:val="7CEF1130"/>
    <w:rsid w:val="7CEF2EDE"/>
    <w:rsid w:val="7CF229CE"/>
    <w:rsid w:val="7CF2514D"/>
    <w:rsid w:val="7CF33E80"/>
    <w:rsid w:val="7CF36E72"/>
    <w:rsid w:val="7CF404F4"/>
    <w:rsid w:val="7CF43FC0"/>
    <w:rsid w:val="7CF46DFD"/>
    <w:rsid w:val="7CF60710"/>
    <w:rsid w:val="7CF91FAF"/>
    <w:rsid w:val="7CFB66BA"/>
    <w:rsid w:val="7CFC04AF"/>
    <w:rsid w:val="7CFD1A9F"/>
    <w:rsid w:val="7CFF4918"/>
    <w:rsid w:val="7D0067A0"/>
    <w:rsid w:val="7D020E63"/>
    <w:rsid w:val="7D0270B5"/>
    <w:rsid w:val="7D034BDB"/>
    <w:rsid w:val="7D03724E"/>
    <w:rsid w:val="7D057903"/>
    <w:rsid w:val="7D060228"/>
    <w:rsid w:val="7D061599"/>
    <w:rsid w:val="7D06612B"/>
    <w:rsid w:val="7D0A4EDE"/>
    <w:rsid w:val="7D0C7F34"/>
    <w:rsid w:val="7D0E1936"/>
    <w:rsid w:val="7D0E2628"/>
    <w:rsid w:val="7D0F0259"/>
    <w:rsid w:val="7D0F17D2"/>
    <w:rsid w:val="7D103724"/>
    <w:rsid w:val="7D11554A"/>
    <w:rsid w:val="7D133070"/>
    <w:rsid w:val="7D142945"/>
    <w:rsid w:val="7D146DE8"/>
    <w:rsid w:val="7D1564DB"/>
    <w:rsid w:val="7D1602C2"/>
    <w:rsid w:val="7D1776C0"/>
    <w:rsid w:val="7D1961AD"/>
    <w:rsid w:val="7D1A2C2B"/>
    <w:rsid w:val="7D1C3F44"/>
    <w:rsid w:val="7D1C5607"/>
    <w:rsid w:val="7D1D3EEF"/>
    <w:rsid w:val="7D1D7630"/>
    <w:rsid w:val="7D1E3873"/>
    <w:rsid w:val="7D1F26B5"/>
    <w:rsid w:val="7D206A4F"/>
    <w:rsid w:val="7D221166"/>
    <w:rsid w:val="7D225061"/>
    <w:rsid w:val="7D230DDA"/>
    <w:rsid w:val="7D231EC9"/>
    <w:rsid w:val="7D250FF6"/>
    <w:rsid w:val="7D284642"/>
    <w:rsid w:val="7D2A2E68"/>
    <w:rsid w:val="7D2D1C58"/>
    <w:rsid w:val="7D2D571E"/>
    <w:rsid w:val="7D2F3A6C"/>
    <w:rsid w:val="7D2F491B"/>
    <w:rsid w:val="7D31726E"/>
    <w:rsid w:val="7D326920"/>
    <w:rsid w:val="7D33726F"/>
    <w:rsid w:val="7D347E89"/>
    <w:rsid w:val="7D364B6C"/>
    <w:rsid w:val="7D366D5F"/>
    <w:rsid w:val="7D3B1113"/>
    <w:rsid w:val="7D3B6123"/>
    <w:rsid w:val="7D3D1E9B"/>
    <w:rsid w:val="7D3D633F"/>
    <w:rsid w:val="7D4023B4"/>
    <w:rsid w:val="7D404ACB"/>
    <w:rsid w:val="7D425704"/>
    <w:rsid w:val="7D4274B2"/>
    <w:rsid w:val="7D44147C"/>
    <w:rsid w:val="7D45285A"/>
    <w:rsid w:val="7D454D96"/>
    <w:rsid w:val="7D494CE4"/>
    <w:rsid w:val="7D494D92"/>
    <w:rsid w:val="7D4D5E56"/>
    <w:rsid w:val="7D4F1BCF"/>
    <w:rsid w:val="7D501352"/>
    <w:rsid w:val="7D513B99"/>
    <w:rsid w:val="7D534C0C"/>
    <w:rsid w:val="7D545437"/>
    <w:rsid w:val="7D5457AA"/>
    <w:rsid w:val="7D5464E5"/>
    <w:rsid w:val="7D5471E5"/>
    <w:rsid w:val="7D553689"/>
    <w:rsid w:val="7D5562EE"/>
    <w:rsid w:val="7D565D1B"/>
    <w:rsid w:val="7D5738F9"/>
    <w:rsid w:val="7D584F27"/>
    <w:rsid w:val="7D592A4D"/>
    <w:rsid w:val="7D5947FB"/>
    <w:rsid w:val="7D5B6911"/>
    <w:rsid w:val="7D5D44AD"/>
    <w:rsid w:val="7D6013F3"/>
    <w:rsid w:val="7D623E07"/>
    <w:rsid w:val="7D623E0F"/>
    <w:rsid w:val="7D627B54"/>
    <w:rsid w:val="7D63567A"/>
    <w:rsid w:val="7D641B1E"/>
    <w:rsid w:val="7D6531A0"/>
    <w:rsid w:val="7D68074E"/>
    <w:rsid w:val="7D690EE2"/>
    <w:rsid w:val="7D697134"/>
    <w:rsid w:val="7D6B2EAC"/>
    <w:rsid w:val="7D6B5370"/>
    <w:rsid w:val="7D6C47E8"/>
    <w:rsid w:val="7D6D47D3"/>
    <w:rsid w:val="7D6F5181"/>
    <w:rsid w:val="7D787D79"/>
    <w:rsid w:val="7D7B0C16"/>
    <w:rsid w:val="7D7B29C4"/>
    <w:rsid w:val="7D7D04EA"/>
    <w:rsid w:val="7D7D2BE0"/>
    <w:rsid w:val="7D7F24B4"/>
    <w:rsid w:val="7D80622C"/>
    <w:rsid w:val="7D807FDA"/>
    <w:rsid w:val="7D813925"/>
    <w:rsid w:val="7D8172FD"/>
    <w:rsid w:val="7D817587"/>
    <w:rsid w:val="7D8306B2"/>
    <w:rsid w:val="7D834497"/>
    <w:rsid w:val="7D834B6D"/>
    <w:rsid w:val="7D834D23"/>
    <w:rsid w:val="7D845AEE"/>
    <w:rsid w:val="7D851A94"/>
    <w:rsid w:val="7D85293D"/>
    <w:rsid w:val="7D852AF3"/>
    <w:rsid w:val="7D853842"/>
    <w:rsid w:val="7D8840FD"/>
    <w:rsid w:val="7D895EA9"/>
    <w:rsid w:val="7D8A2C07"/>
    <w:rsid w:val="7D8B3350"/>
    <w:rsid w:val="7D8E26F7"/>
    <w:rsid w:val="7D8E6B9B"/>
    <w:rsid w:val="7D8F2394"/>
    <w:rsid w:val="7D9046C1"/>
    <w:rsid w:val="7D9121E7"/>
    <w:rsid w:val="7D9161BE"/>
    <w:rsid w:val="7D917194"/>
    <w:rsid w:val="7D926FDF"/>
    <w:rsid w:val="7D933791"/>
    <w:rsid w:val="7D943A85"/>
    <w:rsid w:val="7D96764F"/>
    <w:rsid w:val="7D977B7F"/>
    <w:rsid w:val="7D9942C4"/>
    <w:rsid w:val="7D9A2762"/>
    <w:rsid w:val="7D9A469B"/>
    <w:rsid w:val="7D9A48BB"/>
    <w:rsid w:val="7D9B1A74"/>
    <w:rsid w:val="7D9C12B8"/>
    <w:rsid w:val="7D9E4F03"/>
    <w:rsid w:val="7D9E6D2F"/>
    <w:rsid w:val="7DA0067C"/>
    <w:rsid w:val="7DA22646"/>
    <w:rsid w:val="7DA243F4"/>
    <w:rsid w:val="7DA71EB0"/>
    <w:rsid w:val="7DA77C5D"/>
    <w:rsid w:val="7DB00AEC"/>
    <w:rsid w:val="7DB303AF"/>
    <w:rsid w:val="7DBD122E"/>
    <w:rsid w:val="7DBE126B"/>
    <w:rsid w:val="7DBE58DA"/>
    <w:rsid w:val="7DC205F3"/>
    <w:rsid w:val="7DC223A1"/>
    <w:rsid w:val="7DC425BD"/>
    <w:rsid w:val="7DC5580B"/>
    <w:rsid w:val="7DC61607"/>
    <w:rsid w:val="7DC94F6A"/>
    <w:rsid w:val="7DC97BD3"/>
    <w:rsid w:val="7DCD708E"/>
    <w:rsid w:val="7DCF4ABD"/>
    <w:rsid w:val="7DD15C24"/>
    <w:rsid w:val="7DD33735"/>
    <w:rsid w:val="7DD345AE"/>
    <w:rsid w:val="7DD56560"/>
    <w:rsid w:val="7DD57292"/>
    <w:rsid w:val="7DD61EC8"/>
    <w:rsid w:val="7DD722F0"/>
    <w:rsid w:val="7DDA1DE0"/>
    <w:rsid w:val="7DDA5A6B"/>
    <w:rsid w:val="7DDB6351"/>
    <w:rsid w:val="7DDC070D"/>
    <w:rsid w:val="7DDC6C17"/>
    <w:rsid w:val="7DDD367E"/>
    <w:rsid w:val="7DDF19C1"/>
    <w:rsid w:val="7DE06CCB"/>
    <w:rsid w:val="7DE1316F"/>
    <w:rsid w:val="7DE20C95"/>
    <w:rsid w:val="7DE254A3"/>
    <w:rsid w:val="7DE40569"/>
    <w:rsid w:val="7DE44A0D"/>
    <w:rsid w:val="7DE5079C"/>
    <w:rsid w:val="7DE53484"/>
    <w:rsid w:val="7DE95316"/>
    <w:rsid w:val="7DEB2F31"/>
    <w:rsid w:val="7DEC566F"/>
    <w:rsid w:val="7DEE54A3"/>
    <w:rsid w:val="7DEE7D58"/>
    <w:rsid w:val="7DF01890"/>
    <w:rsid w:val="7DF12C86"/>
    <w:rsid w:val="7DF32EA2"/>
    <w:rsid w:val="7DF34C50"/>
    <w:rsid w:val="7DF37A0D"/>
    <w:rsid w:val="7DF509C8"/>
    <w:rsid w:val="7DF77267"/>
    <w:rsid w:val="7DF82266"/>
    <w:rsid w:val="7DF84014"/>
    <w:rsid w:val="7DF86305"/>
    <w:rsid w:val="7DF95C2F"/>
    <w:rsid w:val="7DFA62FA"/>
    <w:rsid w:val="7DFA653C"/>
    <w:rsid w:val="7DFD53BF"/>
    <w:rsid w:val="7DFD5ACF"/>
    <w:rsid w:val="7DFE2E40"/>
    <w:rsid w:val="7E0150C3"/>
    <w:rsid w:val="7E024676"/>
    <w:rsid w:val="7E024E93"/>
    <w:rsid w:val="7E062BD5"/>
    <w:rsid w:val="7E066731"/>
    <w:rsid w:val="7E0724A9"/>
    <w:rsid w:val="7E072BDA"/>
    <w:rsid w:val="7E0763EF"/>
    <w:rsid w:val="7E094473"/>
    <w:rsid w:val="7E0B1F99"/>
    <w:rsid w:val="7E0B4B47"/>
    <w:rsid w:val="7E0D2455"/>
    <w:rsid w:val="7E146EA1"/>
    <w:rsid w:val="7E15247E"/>
    <w:rsid w:val="7E160389"/>
    <w:rsid w:val="7E180234"/>
    <w:rsid w:val="7E1B5075"/>
    <w:rsid w:val="7E1C5F55"/>
    <w:rsid w:val="7E1C706C"/>
    <w:rsid w:val="7E1C763D"/>
    <w:rsid w:val="7E1F3C97"/>
    <w:rsid w:val="7E221091"/>
    <w:rsid w:val="7E2467B8"/>
    <w:rsid w:val="7E260B81"/>
    <w:rsid w:val="7E281E48"/>
    <w:rsid w:val="7E282B4B"/>
    <w:rsid w:val="7E2867A7"/>
    <w:rsid w:val="7E290672"/>
    <w:rsid w:val="7E2968C4"/>
    <w:rsid w:val="7E2A3628"/>
    <w:rsid w:val="7E2C493A"/>
    <w:rsid w:val="7E2E5C88"/>
    <w:rsid w:val="7E302DD3"/>
    <w:rsid w:val="7E3037AE"/>
    <w:rsid w:val="7E32042F"/>
    <w:rsid w:val="7E346720"/>
    <w:rsid w:val="7E3641FA"/>
    <w:rsid w:val="7E3649B0"/>
    <w:rsid w:val="7E3736CB"/>
    <w:rsid w:val="7E374B3D"/>
    <w:rsid w:val="7E39377D"/>
    <w:rsid w:val="7E3A462D"/>
    <w:rsid w:val="7E3E606D"/>
    <w:rsid w:val="7E3F2387"/>
    <w:rsid w:val="7E3F39F1"/>
    <w:rsid w:val="7E40126C"/>
    <w:rsid w:val="7E402F0C"/>
    <w:rsid w:val="7E4159BB"/>
    <w:rsid w:val="7E42141E"/>
    <w:rsid w:val="7E446934"/>
    <w:rsid w:val="7E484F9C"/>
    <w:rsid w:val="7E490D14"/>
    <w:rsid w:val="7E494085"/>
    <w:rsid w:val="7E4C610E"/>
    <w:rsid w:val="7E4D0364"/>
    <w:rsid w:val="7E4D5EDF"/>
    <w:rsid w:val="7E503A45"/>
    <w:rsid w:val="7E5356EF"/>
    <w:rsid w:val="7E53749D"/>
    <w:rsid w:val="7E553079"/>
    <w:rsid w:val="7E56012D"/>
    <w:rsid w:val="7E573431"/>
    <w:rsid w:val="7E595AD8"/>
    <w:rsid w:val="7E5A4CCF"/>
    <w:rsid w:val="7E5A6A7D"/>
    <w:rsid w:val="7E5B6A5D"/>
    <w:rsid w:val="7E5D66DD"/>
    <w:rsid w:val="7E5D7BC6"/>
    <w:rsid w:val="7E5E6C64"/>
    <w:rsid w:val="7E6045A3"/>
    <w:rsid w:val="7E617E0B"/>
    <w:rsid w:val="7E632999"/>
    <w:rsid w:val="7E655B4E"/>
    <w:rsid w:val="7E6802F1"/>
    <w:rsid w:val="7E6A2B1A"/>
    <w:rsid w:val="7E6A4C97"/>
    <w:rsid w:val="7E6B28C4"/>
    <w:rsid w:val="7E6B2A38"/>
    <w:rsid w:val="7E70004F"/>
    <w:rsid w:val="7E730C9D"/>
    <w:rsid w:val="7E7326CC"/>
    <w:rsid w:val="7E7575A0"/>
    <w:rsid w:val="7E7713DD"/>
    <w:rsid w:val="7E78435A"/>
    <w:rsid w:val="7E797790"/>
    <w:rsid w:val="7E7A2C7B"/>
    <w:rsid w:val="7E7C69F3"/>
    <w:rsid w:val="7E7E09BD"/>
    <w:rsid w:val="7E7F0292"/>
    <w:rsid w:val="7E802674"/>
    <w:rsid w:val="7E815F22"/>
    <w:rsid w:val="7E843925"/>
    <w:rsid w:val="7E851D4C"/>
    <w:rsid w:val="7E857F9E"/>
    <w:rsid w:val="7E867872"/>
    <w:rsid w:val="7E870BA6"/>
    <w:rsid w:val="7E890826"/>
    <w:rsid w:val="7E8B290D"/>
    <w:rsid w:val="7E8B5ECB"/>
    <w:rsid w:val="7E8E0395"/>
    <w:rsid w:val="7E8E6727"/>
    <w:rsid w:val="7E8F2BCB"/>
    <w:rsid w:val="7E8F4979"/>
    <w:rsid w:val="7E911E45"/>
    <w:rsid w:val="7E917AA8"/>
    <w:rsid w:val="7E9418B3"/>
    <w:rsid w:val="7E94444F"/>
    <w:rsid w:val="7E951A78"/>
    <w:rsid w:val="7E977CD1"/>
    <w:rsid w:val="7E980C92"/>
    <w:rsid w:val="7E9815D8"/>
    <w:rsid w:val="7E994F8E"/>
    <w:rsid w:val="7E9C3261"/>
    <w:rsid w:val="7E9C5189"/>
    <w:rsid w:val="7E9F0934"/>
    <w:rsid w:val="7EA113CC"/>
    <w:rsid w:val="7EA13DCB"/>
    <w:rsid w:val="7EA67F14"/>
    <w:rsid w:val="7EA86BB7"/>
    <w:rsid w:val="7EAB1087"/>
    <w:rsid w:val="7EAB425E"/>
    <w:rsid w:val="7EAB552B"/>
    <w:rsid w:val="7EAE207D"/>
    <w:rsid w:val="7EAE4A89"/>
    <w:rsid w:val="7EAF6DC9"/>
    <w:rsid w:val="7EB048EF"/>
    <w:rsid w:val="7EB10D93"/>
    <w:rsid w:val="7EB22415"/>
    <w:rsid w:val="7EB25C7A"/>
    <w:rsid w:val="7EB45EFD"/>
    <w:rsid w:val="7EB4748B"/>
    <w:rsid w:val="7EB50157"/>
    <w:rsid w:val="7EB63FAA"/>
    <w:rsid w:val="7EB919F5"/>
    <w:rsid w:val="7EB937A4"/>
    <w:rsid w:val="7EBC7738"/>
    <w:rsid w:val="7EC00FD6"/>
    <w:rsid w:val="7EC02D11"/>
    <w:rsid w:val="7EC363D0"/>
    <w:rsid w:val="7EC42148"/>
    <w:rsid w:val="7EC470A2"/>
    <w:rsid w:val="7EC5039A"/>
    <w:rsid w:val="7EC65EC0"/>
    <w:rsid w:val="7ECB797B"/>
    <w:rsid w:val="7ECD36F3"/>
    <w:rsid w:val="7ECF7356"/>
    <w:rsid w:val="7ED00AED"/>
    <w:rsid w:val="7ED06D3F"/>
    <w:rsid w:val="7ED13111"/>
    <w:rsid w:val="7ED46C5A"/>
    <w:rsid w:val="7ED93E46"/>
    <w:rsid w:val="7ED97EFB"/>
    <w:rsid w:val="7EDB7BBE"/>
    <w:rsid w:val="7EDC7C86"/>
    <w:rsid w:val="7EDC7FBD"/>
    <w:rsid w:val="7EDF247B"/>
    <w:rsid w:val="7EE36A72"/>
    <w:rsid w:val="7EE747B5"/>
    <w:rsid w:val="7EEB5643"/>
    <w:rsid w:val="7EEC78E0"/>
    <w:rsid w:val="7EED5B43"/>
    <w:rsid w:val="7EF05A8C"/>
    <w:rsid w:val="7EF12FA3"/>
    <w:rsid w:val="7EF24F07"/>
    <w:rsid w:val="7EF3557B"/>
    <w:rsid w:val="7EF56893"/>
    <w:rsid w:val="7EF569EC"/>
    <w:rsid w:val="7EF67AE6"/>
    <w:rsid w:val="7EF864D1"/>
    <w:rsid w:val="7EF90044"/>
    <w:rsid w:val="7EFB3DBC"/>
    <w:rsid w:val="7EFC5D86"/>
    <w:rsid w:val="7EFC7B34"/>
    <w:rsid w:val="7EFE38AC"/>
    <w:rsid w:val="7F00043A"/>
    <w:rsid w:val="7F016EF9"/>
    <w:rsid w:val="7F032C71"/>
    <w:rsid w:val="7F041D44"/>
    <w:rsid w:val="7F052E8D"/>
    <w:rsid w:val="7F053C50"/>
    <w:rsid w:val="7F0569E9"/>
    <w:rsid w:val="7F062761"/>
    <w:rsid w:val="7F0645B7"/>
    <w:rsid w:val="7F096F35"/>
    <w:rsid w:val="7F0A04A3"/>
    <w:rsid w:val="7F0A3FFF"/>
    <w:rsid w:val="7F0D3AEF"/>
    <w:rsid w:val="7F126040"/>
    <w:rsid w:val="7F14777D"/>
    <w:rsid w:val="7F1660D5"/>
    <w:rsid w:val="7F196938"/>
    <w:rsid w:val="7F1B3618"/>
    <w:rsid w:val="7F1B445E"/>
    <w:rsid w:val="7F1B620C"/>
    <w:rsid w:val="7F1B7FBA"/>
    <w:rsid w:val="7F1C1F84"/>
    <w:rsid w:val="7F1C3D32"/>
    <w:rsid w:val="7F1E7AAB"/>
    <w:rsid w:val="7F1F568C"/>
    <w:rsid w:val="7F2005B6"/>
    <w:rsid w:val="7F202690"/>
    <w:rsid w:val="7F2257ED"/>
    <w:rsid w:val="7F25385E"/>
    <w:rsid w:val="7F273D4A"/>
    <w:rsid w:val="7F280929"/>
    <w:rsid w:val="7F2826D7"/>
    <w:rsid w:val="7F2A46A1"/>
    <w:rsid w:val="7F2C21C7"/>
    <w:rsid w:val="7F2C64C1"/>
    <w:rsid w:val="7F2D5F40"/>
    <w:rsid w:val="7F2E23E3"/>
    <w:rsid w:val="7F313C82"/>
    <w:rsid w:val="7F314A7F"/>
    <w:rsid w:val="7F314C43"/>
    <w:rsid w:val="7F350DED"/>
    <w:rsid w:val="7F361C43"/>
    <w:rsid w:val="7F363046"/>
    <w:rsid w:val="7F382028"/>
    <w:rsid w:val="7F3948E4"/>
    <w:rsid w:val="7F3B0581"/>
    <w:rsid w:val="7F3B065C"/>
    <w:rsid w:val="7F3B68AE"/>
    <w:rsid w:val="7F3D43D5"/>
    <w:rsid w:val="7F3F1689"/>
    <w:rsid w:val="7F403EC5"/>
    <w:rsid w:val="7F427C3D"/>
    <w:rsid w:val="7F4649BB"/>
    <w:rsid w:val="7F471666"/>
    <w:rsid w:val="7F47412F"/>
    <w:rsid w:val="7F477001"/>
    <w:rsid w:val="7F4A5589"/>
    <w:rsid w:val="7F4A6AF1"/>
    <w:rsid w:val="7F4A728E"/>
    <w:rsid w:val="7F4B5EAA"/>
    <w:rsid w:val="7F4B5F4D"/>
    <w:rsid w:val="7F4F49DA"/>
    <w:rsid w:val="7F510458"/>
    <w:rsid w:val="7F536173"/>
    <w:rsid w:val="7F54171E"/>
    <w:rsid w:val="7F547970"/>
    <w:rsid w:val="7F587BFA"/>
    <w:rsid w:val="7F5C1E83"/>
    <w:rsid w:val="7F5D57C0"/>
    <w:rsid w:val="7F5E72BF"/>
    <w:rsid w:val="7F604567"/>
    <w:rsid w:val="7F6106E9"/>
    <w:rsid w:val="7F621095"/>
    <w:rsid w:val="7F637BB3"/>
    <w:rsid w:val="7F642801"/>
    <w:rsid w:val="7F64440C"/>
    <w:rsid w:val="7F645E05"/>
    <w:rsid w:val="7F654D11"/>
    <w:rsid w:val="7F655E6D"/>
    <w:rsid w:val="7F657745"/>
    <w:rsid w:val="7F673200"/>
    <w:rsid w:val="7F68444C"/>
    <w:rsid w:val="7F69341C"/>
    <w:rsid w:val="7F6D458E"/>
    <w:rsid w:val="7F6E0A32"/>
    <w:rsid w:val="7F6E1D9D"/>
    <w:rsid w:val="7F6F0306"/>
    <w:rsid w:val="7F6F6558"/>
    <w:rsid w:val="7F7122D0"/>
    <w:rsid w:val="7F713C31"/>
    <w:rsid w:val="7F71407E"/>
    <w:rsid w:val="7F7207A3"/>
    <w:rsid w:val="7F721BA4"/>
    <w:rsid w:val="7F721F37"/>
    <w:rsid w:val="7F7320D8"/>
    <w:rsid w:val="7F73429A"/>
    <w:rsid w:val="7F741DC0"/>
    <w:rsid w:val="7F750A95"/>
    <w:rsid w:val="7F7917BB"/>
    <w:rsid w:val="7F7B4D7A"/>
    <w:rsid w:val="7F7C078B"/>
    <w:rsid w:val="7F7C6B34"/>
    <w:rsid w:val="7F7E679B"/>
    <w:rsid w:val="7F807128"/>
    <w:rsid w:val="7F82628B"/>
    <w:rsid w:val="7F842003"/>
    <w:rsid w:val="7F863357"/>
    <w:rsid w:val="7F87354B"/>
    <w:rsid w:val="7F8813C8"/>
    <w:rsid w:val="7F89761A"/>
    <w:rsid w:val="7F8D69DE"/>
    <w:rsid w:val="7F8E172F"/>
    <w:rsid w:val="7F8E4C30"/>
    <w:rsid w:val="7F8F5B55"/>
    <w:rsid w:val="7F9226F7"/>
    <w:rsid w:val="7F930498"/>
    <w:rsid w:val="7F945543"/>
    <w:rsid w:val="7F986823"/>
    <w:rsid w:val="7F9A60E4"/>
    <w:rsid w:val="7F9B3B66"/>
    <w:rsid w:val="7F9C4E6B"/>
    <w:rsid w:val="7F9C7F04"/>
    <w:rsid w:val="7F9D0D00"/>
    <w:rsid w:val="7F9D1317"/>
    <w:rsid w:val="7F9D4E73"/>
    <w:rsid w:val="7F9E0BEB"/>
    <w:rsid w:val="7F9E2999"/>
    <w:rsid w:val="7FA2296F"/>
    <w:rsid w:val="7FA2692E"/>
    <w:rsid w:val="7FA34F2A"/>
    <w:rsid w:val="7FA4324B"/>
    <w:rsid w:val="7FA5183E"/>
    <w:rsid w:val="7FA51F7A"/>
    <w:rsid w:val="7FA56256"/>
    <w:rsid w:val="7FA73CE8"/>
    <w:rsid w:val="7FAC4A8E"/>
    <w:rsid w:val="7FAF2588"/>
    <w:rsid w:val="7FAF4BA7"/>
    <w:rsid w:val="7FB16B71"/>
    <w:rsid w:val="7FB235A8"/>
    <w:rsid w:val="7FB34697"/>
    <w:rsid w:val="7FB4040F"/>
    <w:rsid w:val="7FB55D4B"/>
    <w:rsid w:val="7FB671DB"/>
    <w:rsid w:val="7FB71DAC"/>
    <w:rsid w:val="7FBA726B"/>
    <w:rsid w:val="7FBC5C32"/>
    <w:rsid w:val="7FBD5515"/>
    <w:rsid w:val="7FBE4DEA"/>
    <w:rsid w:val="7FBE66A4"/>
    <w:rsid w:val="7FC00B62"/>
    <w:rsid w:val="7FC06DB4"/>
    <w:rsid w:val="7FC248DA"/>
    <w:rsid w:val="7FC33C0D"/>
    <w:rsid w:val="7FC44D2A"/>
    <w:rsid w:val="7FC543CA"/>
    <w:rsid w:val="7FC56178"/>
    <w:rsid w:val="7FC71EF0"/>
    <w:rsid w:val="7FC91527"/>
    <w:rsid w:val="7FCB7B83"/>
    <w:rsid w:val="7FCE165F"/>
    <w:rsid w:val="7FD05249"/>
    <w:rsid w:val="7FD32DC6"/>
    <w:rsid w:val="7FD5285F"/>
    <w:rsid w:val="7FD604C8"/>
    <w:rsid w:val="7FD74225"/>
    <w:rsid w:val="7FD810E5"/>
    <w:rsid w:val="7FD92360"/>
    <w:rsid w:val="7FDA60C7"/>
    <w:rsid w:val="7FDD50B2"/>
    <w:rsid w:val="7FDF723A"/>
    <w:rsid w:val="7FE0106F"/>
    <w:rsid w:val="7FE02FB2"/>
    <w:rsid w:val="7FE26D2A"/>
    <w:rsid w:val="7FE44850"/>
    <w:rsid w:val="7FE56F9F"/>
    <w:rsid w:val="7FEA4802"/>
    <w:rsid w:val="7FEB5CFB"/>
    <w:rsid w:val="7FED08D2"/>
    <w:rsid w:val="7FED1B70"/>
    <w:rsid w:val="7FEE3921"/>
    <w:rsid w:val="7FEF6E73"/>
    <w:rsid w:val="7FF00A35"/>
    <w:rsid w:val="7FF01447"/>
    <w:rsid w:val="7FF03A5B"/>
    <w:rsid w:val="7FF13411"/>
    <w:rsid w:val="7FF33FBC"/>
    <w:rsid w:val="7FF41029"/>
    <w:rsid w:val="7FF41395"/>
    <w:rsid w:val="7FF57BA6"/>
    <w:rsid w:val="7FF64583"/>
    <w:rsid w:val="7FF66DF9"/>
    <w:rsid w:val="7FF83D57"/>
    <w:rsid w:val="7FFC7B97"/>
    <w:rsid w:val="7FFD3175"/>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utoSpaceDE w:val="0"/>
      <w:autoSpaceDN w:val="0"/>
      <w:adjustRightInd w:val="0"/>
      <w:snapToGrid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39"/>
    <w:autoRedefine/>
    <w:qFormat/>
    <w:uiPriority w:val="0"/>
    <w:pPr>
      <w:keepNext/>
      <w:keepLines/>
      <w:jc w:val="center"/>
      <w:outlineLvl w:val="0"/>
    </w:pPr>
    <w:rPr>
      <w:rFonts w:eastAsia="仿宋_GB2312"/>
      <w:b/>
      <w:kern w:val="44"/>
      <w:sz w:val="32"/>
      <w:szCs w:val="20"/>
    </w:rPr>
  </w:style>
  <w:style w:type="paragraph" w:styleId="4">
    <w:name w:val="heading 2"/>
    <w:basedOn w:val="1"/>
    <w:next w:val="1"/>
    <w:link w:val="38"/>
    <w:autoRedefine/>
    <w:unhideWhenUsed/>
    <w:qFormat/>
    <w:uiPriority w:val="0"/>
    <w:pPr>
      <w:keepNext/>
      <w:keepLines/>
      <w:outlineLvl w:val="1"/>
    </w:pPr>
    <w:rPr>
      <w:rFonts w:ascii="Arial" w:hAnsi="Arial" w:eastAsia="仿宋_GB2312"/>
      <w:b/>
      <w:sz w:val="30"/>
      <w:szCs w:val="20"/>
    </w:rPr>
  </w:style>
  <w:style w:type="paragraph" w:styleId="5">
    <w:name w:val="heading 3"/>
    <w:basedOn w:val="1"/>
    <w:next w:val="1"/>
    <w:link w:val="37"/>
    <w:autoRedefine/>
    <w:semiHidden/>
    <w:unhideWhenUsed/>
    <w:qFormat/>
    <w:uiPriority w:val="0"/>
    <w:pPr>
      <w:keepNext/>
      <w:keepLines/>
      <w:outlineLvl w:val="2"/>
    </w:pPr>
    <w:rPr>
      <w:rFonts w:eastAsia="仿宋_GB2312"/>
      <w:b/>
      <w:sz w:val="24"/>
      <w:szCs w:val="20"/>
    </w:rPr>
  </w:style>
  <w:style w:type="paragraph" w:styleId="6">
    <w:name w:val="heading 4"/>
    <w:basedOn w:val="1"/>
    <w:next w:val="1"/>
    <w:link w:val="36"/>
    <w:autoRedefine/>
    <w:unhideWhenUsed/>
    <w:qFormat/>
    <w:uiPriority w:val="0"/>
    <w:pPr>
      <w:keepNext/>
      <w:keepLines/>
      <w:outlineLvl w:val="3"/>
    </w:pPr>
    <w:rPr>
      <w:rFonts w:ascii="Arial" w:hAnsi="Arial" w:eastAsia="仿宋_GB2312"/>
      <w:b/>
      <w:bCs/>
      <w:sz w:val="24"/>
      <w:szCs w:val="28"/>
    </w:rPr>
  </w:style>
  <w:style w:type="paragraph" w:styleId="7">
    <w:name w:val="heading 5"/>
    <w:basedOn w:val="1"/>
    <w:next w:val="1"/>
    <w:autoRedefine/>
    <w:semiHidden/>
    <w:unhideWhenUsed/>
    <w:qFormat/>
    <w:uiPriority w:val="0"/>
    <w:pPr>
      <w:keepNext/>
      <w:keepLines/>
      <w:numPr>
        <w:ilvl w:val="4"/>
        <w:numId w:val="1"/>
      </w:numPr>
      <w:spacing w:before="280" w:after="290" w:line="372" w:lineRule="auto"/>
      <w:outlineLvl w:val="4"/>
    </w:pPr>
    <w:rPr>
      <w:b/>
      <w:sz w:val="28"/>
    </w:rPr>
  </w:style>
  <w:style w:type="paragraph" w:styleId="8">
    <w:name w:val="heading 6"/>
    <w:basedOn w:val="1"/>
    <w:next w:val="1"/>
    <w:autoRedefine/>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9">
    <w:name w:val="heading 7"/>
    <w:basedOn w:val="1"/>
    <w:next w:val="1"/>
    <w:autoRedefine/>
    <w:semiHidden/>
    <w:unhideWhenUsed/>
    <w:qFormat/>
    <w:uiPriority w:val="0"/>
    <w:pPr>
      <w:keepNext/>
      <w:keepLines/>
      <w:numPr>
        <w:ilvl w:val="6"/>
        <w:numId w:val="1"/>
      </w:numPr>
      <w:spacing w:before="240" w:after="64" w:line="317" w:lineRule="auto"/>
      <w:outlineLvl w:val="6"/>
    </w:pPr>
    <w:rPr>
      <w:b/>
      <w:sz w:val="24"/>
    </w:rPr>
  </w:style>
  <w:style w:type="paragraph" w:styleId="10">
    <w:name w:val="heading 8"/>
    <w:basedOn w:val="1"/>
    <w:next w:val="1"/>
    <w:autoRedefine/>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1">
    <w:name w:val="heading 9"/>
    <w:basedOn w:val="1"/>
    <w:next w:val="1"/>
    <w:autoRedefine/>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customStyle="1" w:styleId="2">
    <w:name w:val="0正文"/>
    <w:basedOn w:val="1"/>
    <w:autoRedefine/>
    <w:qFormat/>
    <w:uiPriority w:val="0"/>
    <w:pPr>
      <w:ind w:firstLine="480"/>
    </w:pPr>
    <w:rPr>
      <w:sz w:val="28"/>
    </w:rPr>
  </w:style>
  <w:style w:type="paragraph" w:styleId="12">
    <w:name w:val="Normal Indent"/>
    <w:basedOn w:val="1"/>
    <w:next w:val="13"/>
    <w:autoRedefine/>
    <w:qFormat/>
    <w:uiPriority w:val="0"/>
    <w:pPr>
      <w:ind w:firstLine="420"/>
    </w:pPr>
    <w:rPr>
      <w:szCs w:val="20"/>
    </w:rPr>
  </w:style>
  <w:style w:type="paragraph" w:customStyle="1" w:styleId="13">
    <w:name w:val="正文首行缩进2个字 Char"/>
    <w:basedOn w:val="1"/>
    <w:autoRedefine/>
    <w:qFormat/>
    <w:uiPriority w:val="0"/>
    <w:pPr>
      <w:ind w:firstLine="480" w:firstLineChars="200"/>
    </w:pPr>
    <w:rPr>
      <w:rFonts w:eastAsia="楷体" w:cs="Times New Roman"/>
      <w:szCs w:val="24"/>
      <w:lang w:val="zh-CN"/>
    </w:rPr>
  </w:style>
  <w:style w:type="paragraph" w:styleId="14">
    <w:name w:val="caption"/>
    <w:basedOn w:val="1"/>
    <w:next w:val="1"/>
    <w:link w:val="98"/>
    <w:autoRedefine/>
    <w:unhideWhenUsed/>
    <w:qFormat/>
    <w:uiPriority w:val="0"/>
    <w:pPr>
      <w:spacing w:before="50" w:beforeLines="50" w:after="50" w:afterLines="50" w:line="240" w:lineRule="auto"/>
      <w:ind w:firstLine="0" w:firstLineChars="0"/>
      <w:jc w:val="center"/>
    </w:pPr>
    <w:rPr>
      <w:rFonts w:ascii="Times New Roman" w:hAnsi="Times New Roman" w:eastAsia="黑体"/>
      <w:color w:val="auto"/>
      <w:szCs w:val="20"/>
      <w:highlight w:val="none"/>
    </w:rPr>
  </w:style>
  <w:style w:type="paragraph" w:styleId="15">
    <w:name w:val="toa heading"/>
    <w:basedOn w:val="1"/>
    <w:next w:val="1"/>
    <w:unhideWhenUsed/>
    <w:qFormat/>
    <w:uiPriority w:val="99"/>
    <w:pPr>
      <w:spacing w:before="120"/>
    </w:pPr>
    <w:rPr>
      <w:rFonts w:ascii="Calibri Light" w:hAnsi="Calibri Light" w:cs="Times New Roman"/>
    </w:rPr>
  </w:style>
  <w:style w:type="paragraph" w:styleId="16">
    <w:name w:val="annotation text"/>
    <w:basedOn w:val="1"/>
    <w:autoRedefine/>
    <w:semiHidden/>
    <w:qFormat/>
    <w:uiPriority w:val="0"/>
  </w:style>
  <w:style w:type="paragraph" w:styleId="17">
    <w:name w:val="Body Text"/>
    <w:basedOn w:val="1"/>
    <w:next w:val="18"/>
    <w:autoRedefine/>
    <w:qFormat/>
    <w:uiPriority w:val="0"/>
    <w:pPr>
      <w:widowControl/>
      <w:snapToGrid w:val="0"/>
      <w:spacing w:before="60" w:after="160" w:line="259" w:lineRule="auto"/>
      <w:ind w:right="113"/>
    </w:pPr>
    <w:rPr>
      <w:kern w:val="0"/>
      <w:sz w:val="18"/>
      <w:szCs w:val="20"/>
    </w:rPr>
  </w:style>
  <w:style w:type="paragraph" w:styleId="18">
    <w:name w:val="List Bullet 5"/>
    <w:basedOn w:val="1"/>
    <w:qFormat/>
    <w:uiPriority w:val="0"/>
    <w:pPr>
      <w:numPr>
        <w:ilvl w:val="0"/>
        <w:numId w:val="2"/>
      </w:numPr>
    </w:pPr>
  </w:style>
  <w:style w:type="paragraph" w:styleId="19">
    <w:name w:val="Block Text"/>
    <w:basedOn w:val="1"/>
    <w:autoRedefine/>
    <w:qFormat/>
    <w:uiPriority w:val="0"/>
    <w:pPr>
      <w:spacing w:line="360" w:lineRule="exact"/>
      <w:ind w:left="-57" w:right="-57" w:firstLine="0" w:firstLineChars="0"/>
      <w:jc w:val="both"/>
    </w:pPr>
    <w:rPr>
      <w:sz w:val="18"/>
      <w:szCs w:val="20"/>
    </w:rPr>
  </w:style>
  <w:style w:type="paragraph" w:styleId="20">
    <w:name w:val="Date"/>
    <w:basedOn w:val="1"/>
    <w:next w:val="1"/>
    <w:link w:val="92"/>
    <w:autoRedefine/>
    <w:qFormat/>
    <w:uiPriority w:val="0"/>
    <w:pPr>
      <w:spacing w:line="240" w:lineRule="auto"/>
      <w:ind w:left="100" w:leftChars="2500" w:firstLine="0" w:firstLineChars="0"/>
      <w:jc w:val="both"/>
    </w:pPr>
    <w:rPr>
      <w:kern w:val="0"/>
      <w:sz w:val="24"/>
      <w:szCs w:val="20"/>
    </w:rPr>
  </w:style>
  <w:style w:type="paragraph" w:styleId="21">
    <w:name w:val="Body Text Indent 2"/>
    <w:basedOn w:val="1"/>
    <w:qFormat/>
    <w:uiPriority w:val="0"/>
    <w:pPr>
      <w:spacing w:after="120" w:line="480" w:lineRule="auto"/>
      <w:ind w:left="420" w:leftChars="200"/>
    </w:pPr>
    <w:rPr>
      <w:szCs w:val="24"/>
    </w:rPr>
  </w:style>
  <w:style w:type="paragraph" w:styleId="22">
    <w:name w:val="footer"/>
    <w:basedOn w:val="1"/>
    <w:autoRedefine/>
    <w:qFormat/>
    <w:uiPriority w:val="99"/>
    <w:pPr>
      <w:tabs>
        <w:tab w:val="center" w:pos="4153"/>
        <w:tab w:val="right" w:pos="8306"/>
      </w:tabs>
      <w:snapToGrid w:val="0"/>
    </w:pPr>
    <w:rPr>
      <w:kern w:val="0"/>
      <w:sz w:val="18"/>
      <w:szCs w:val="20"/>
    </w:rPr>
  </w:style>
  <w:style w:type="paragraph" w:styleId="23">
    <w:name w:val="header"/>
    <w:basedOn w:val="1"/>
    <w:next w:val="17"/>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autoRedefine/>
    <w:qFormat/>
    <w:uiPriority w:val="0"/>
    <w:pPr>
      <w:ind w:firstLine="0" w:firstLineChars="0"/>
    </w:pPr>
    <w:rPr>
      <w:rFonts w:ascii="Times New Roman" w:hAnsi="Times New Roman" w:eastAsia="宋体"/>
    </w:rPr>
  </w:style>
  <w:style w:type="paragraph" w:styleId="25">
    <w:name w:val="Normal (Web)"/>
    <w:basedOn w:val="1"/>
    <w:autoRedefine/>
    <w:qFormat/>
    <w:uiPriority w:val="0"/>
    <w:pPr>
      <w:spacing w:beforeAutospacing="1" w:after="100" w:afterAutospacing="1"/>
    </w:pPr>
    <w:rPr>
      <w:rFonts w:ascii="宋体" w:hAnsi="宋体"/>
      <w:sz w:val="24"/>
    </w:rPr>
  </w:style>
  <w:style w:type="paragraph" w:styleId="26">
    <w:name w:val="Title"/>
    <w:basedOn w:val="1"/>
    <w:next w:val="1"/>
    <w:autoRedefine/>
    <w:qFormat/>
    <w:uiPriority w:val="0"/>
    <w:pPr>
      <w:spacing w:before="240" w:after="60"/>
      <w:jc w:val="center"/>
      <w:outlineLvl w:val="0"/>
    </w:pPr>
    <w:rPr>
      <w:rFonts w:ascii="Cambria" w:hAnsi="Cambria"/>
      <w:b/>
      <w:bCs/>
      <w:sz w:val="32"/>
      <w:szCs w:val="32"/>
    </w:rPr>
  </w:style>
  <w:style w:type="paragraph" w:styleId="27">
    <w:name w:val="Body Text First Indent"/>
    <w:basedOn w:val="17"/>
    <w:next w:val="1"/>
    <w:autoRedefine/>
    <w:qFormat/>
    <w:uiPriority w:val="99"/>
    <w:pPr>
      <w:ind w:firstLine="420" w:firstLineChars="100"/>
    </w:pPr>
    <w:rPr>
      <w:rFonts w:ascii="Calibri" w:hAnsi="Calibri"/>
      <w:szCs w:val="22"/>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page number"/>
    <w:autoRedefine/>
    <w:qFormat/>
    <w:uiPriority w:val="0"/>
  </w:style>
  <w:style w:type="character" w:styleId="33">
    <w:name w:val="Emphasis"/>
    <w:basedOn w:val="30"/>
    <w:qFormat/>
    <w:uiPriority w:val="0"/>
    <w:rPr>
      <w:i/>
    </w:rPr>
  </w:style>
  <w:style w:type="character" w:styleId="34">
    <w:name w:val="Hyperlink"/>
    <w:basedOn w:val="30"/>
    <w:autoRedefine/>
    <w:qFormat/>
    <w:uiPriority w:val="0"/>
    <w:rPr>
      <w:color w:val="0000FF"/>
      <w:u w:val="single"/>
    </w:rPr>
  </w:style>
  <w:style w:type="character" w:styleId="35">
    <w:name w:val="annotation reference"/>
    <w:autoRedefine/>
    <w:semiHidden/>
    <w:qFormat/>
    <w:uiPriority w:val="0"/>
    <w:rPr>
      <w:sz w:val="21"/>
    </w:rPr>
  </w:style>
  <w:style w:type="character" w:customStyle="1" w:styleId="36">
    <w:name w:val="标题 4 字符"/>
    <w:link w:val="6"/>
    <w:autoRedefine/>
    <w:qFormat/>
    <w:uiPriority w:val="0"/>
    <w:rPr>
      <w:rFonts w:ascii="Arial" w:hAnsi="Arial" w:eastAsia="仿宋_GB2312"/>
      <w:b/>
      <w:bCs/>
      <w:kern w:val="2"/>
      <w:sz w:val="24"/>
      <w:szCs w:val="28"/>
      <w:lang w:val="en-US" w:eastAsia="zh-CN" w:bidi="ar-SA"/>
    </w:rPr>
  </w:style>
  <w:style w:type="character" w:customStyle="1" w:styleId="37">
    <w:name w:val="标题 3 字符"/>
    <w:basedOn w:val="30"/>
    <w:link w:val="5"/>
    <w:autoRedefine/>
    <w:qFormat/>
    <w:uiPriority w:val="9"/>
    <w:rPr>
      <w:rFonts w:ascii="Times New Roman" w:hAnsi="Times New Roman" w:eastAsia="仿宋_GB2312" w:cs="Times New Roman"/>
      <w:b/>
      <w:bCs/>
      <w:sz w:val="24"/>
      <w:szCs w:val="32"/>
      <w:lang w:val="zh-CN" w:bidi="zh-CN"/>
    </w:rPr>
  </w:style>
  <w:style w:type="character" w:customStyle="1" w:styleId="38">
    <w:name w:val="标题 2 字符"/>
    <w:basedOn w:val="30"/>
    <w:link w:val="4"/>
    <w:autoRedefine/>
    <w:qFormat/>
    <w:uiPriority w:val="9"/>
    <w:rPr>
      <w:rFonts w:ascii="Arial" w:hAnsi="Arial" w:eastAsia="仿宋_GB2312" w:cstheme="majorBidi"/>
      <w:b/>
      <w:bCs/>
      <w:sz w:val="28"/>
      <w:szCs w:val="32"/>
    </w:rPr>
  </w:style>
  <w:style w:type="character" w:customStyle="1" w:styleId="39">
    <w:name w:val="标题 1 字符"/>
    <w:link w:val="3"/>
    <w:autoRedefine/>
    <w:qFormat/>
    <w:uiPriority w:val="0"/>
    <w:rPr>
      <w:rFonts w:ascii="Times New Roman" w:hAnsi="Times New Roman" w:eastAsia="仿宋_GB2312" w:cs="Times New Roman"/>
      <w:b/>
      <w:kern w:val="44"/>
      <w:sz w:val="30"/>
    </w:rPr>
  </w:style>
  <w:style w:type="paragraph" w:customStyle="1" w:styleId="40">
    <w:name w:val="三级标题-水保"/>
    <w:basedOn w:val="6"/>
    <w:next w:val="1"/>
    <w:autoRedefine/>
    <w:qFormat/>
    <w:uiPriority w:val="0"/>
    <w:pPr>
      <w:keepLines w:val="0"/>
      <w:tabs>
        <w:tab w:val="left" w:pos="360"/>
      </w:tabs>
    </w:pPr>
    <w:rPr>
      <w:rFonts w:ascii="TimesNewRomanPSMT" w:hAnsi="TimesNewRomanPSMT"/>
      <w:color w:val="000000"/>
      <w:kern w:val="0"/>
      <w:szCs w:val="22"/>
      <w:lang w:val="zh-CN" w:bidi="en-US"/>
    </w:rPr>
  </w:style>
  <w:style w:type="paragraph" w:customStyle="1" w:styleId="41">
    <w:name w:val="四级标题-水保"/>
    <w:basedOn w:val="6"/>
    <w:next w:val="1"/>
    <w:autoRedefine/>
    <w:qFormat/>
    <w:uiPriority w:val="0"/>
    <w:pPr>
      <w:keepLines w:val="0"/>
      <w:tabs>
        <w:tab w:val="left" w:pos="360"/>
      </w:tabs>
    </w:pPr>
    <w:rPr>
      <w:rFonts w:ascii="TimesNewRomanPSMT" w:hAnsi="TimesNewRomanPSMT"/>
      <w:color w:val="000000"/>
      <w:kern w:val="0"/>
      <w:szCs w:val="22"/>
      <w:lang w:val="zh-CN" w:bidi="en-US"/>
    </w:rPr>
  </w:style>
  <w:style w:type="paragraph" w:customStyle="1" w:styleId="42">
    <w:name w:val="Default"/>
    <w:basedOn w:val="43"/>
    <w:autoRedefine/>
    <w:qFormat/>
    <w:uiPriority w:val="0"/>
    <w:pPr>
      <w:adjustRightInd w:val="0"/>
    </w:pPr>
    <w:rPr>
      <w:rFonts w:ascii="宋体" w:cs="宋体"/>
      <w:color w:val="000000"/>
      <w:sz w:val="24"/>
      <w:lang w:val="en-US"/>
    </w:rPr>
  </w:style>
  <w:style w:type="paragraph" w:customStyle="1" w:styleId="43">
    <w:name w:val="文本"/>
    <w:basedOn w:val="1"/>
    <w:next w:val="1"/>
    <w:autoRedefine/>
    <w:qFormat/>
    <w:uiPriority w:val="0"/>
    <w:pPr>
      <w:autoSpaceDE w:val="0"/>
      <w:autoSpaceDN w:val="0"/>
      <w:ind w:firstLine="480"/>
    </w:pPr>
    <w:rPr>
      <w:lang w:val="zh-CN"/>
    </w:rPr>
  </w:style>
  <w:style w:type="paragraph" w:customStyle="1" w:styleId="44">
    <w:name w:val="表格"/>
    <w:basedOn w:val="45"/>
    <w:next w:val="1"/>
    <w:autoRedefine/>
    <w:qFormat/>
    <w:uiPriority w:val="0"/>
    <w:pPr>
      <w:adjustRightInd w:val="0"/>
      <w:snapToGrid w:val="0"/>
      <w:jc w:val="center"/>
    </w:pPr>
    <w:rPr>
      <w:rFonts w:ascii="宋体" w:hAnsi="宋体" w:eastAsia="宋体" w:cs="Times New Roman"/>
      <w:sz w:val="21"/>
      <w:lang w:val="en-US" w:eastAsia="zh-CN" w:bidi="ar-SA"/>
    </w:rPr>
  </w:style>
  <w:style w:type="paragraph" w:customStyle="1" w:styleId="45">
    <w:name w:val="正文+首行缩进2字符"/>
    <w:basedOn w:val="46"/>
    <w:autoRedefine/>
    <w:qFormat/>
    <w:uiPriority w:val="0"/>
    <w:pPr>
      <w:ind w:firstLine="480" w:firstLineChars="200"/>
    </w:pPr>
    <w:rPr>
      <w:kern w:val="0"/>
    </w:rPr>
  </w:style>
  <w:style w:type="paragraph" w:customStyle="1" w:styleId="46">
    <w:name w:val="纯文本 正文"/>
    <w:basedOn w:val="1"/>
    <w:autoRedefine/>
    <w:qFormat/>
    <w:uiPriority w:val="0"/>
    <w:pPr>
      <w:ind w:firstLine="200" w:firstLineChars="200"/>
      <w:jc w:val="left"/>
    </w:pPr>
    <w:rPr>
      <w:rFonts w:cs="宋体"/>
      <w:szCs w:val="20"/>
    </w:rPr>
  </w:style>
  <w:style w:type="paragraph" w:customStyle="1" w:styleId="47">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48">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49">
    <w:name w:val="Table Grid_0"/>
    <w:basedOn w:val="28"/>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表格内容"/>
    <w:basedOn w:val="51"/>
    <w:next w:val="1"/>
    <w:autoRedefine/>
    <w:qFormat/>
    <w:uiPriority w:val="0"/>
    <w:pPr>
      <w:widowControl w:val="0"/>
      <w:jc w:val="center"/>
    </w:pPr>
    <w:rPr>
      <w:rFonts w:ascii="Times New Roman" w:hAnsi="Times New Roman" w:eastAsia="宋体" w:cs="Times New Roman"/>
      <w:b/>
      <w:kern w:val="2"/>
      <w:sz w:val="18"/>
      <w:szCs w:val="22"/>
      <w:lang w:val="en-US" w:eastAsia="zh-CN" w:bidi="ar-SA"/>
    </w:rPr>
  </w:style>
  <w:style w:type="paragraph" w:customStyle="1" w:styleId="51">
    <w:name w:val="我的正文"/>
    <w:basedOn w:val="1"/>
    <w:semiHidden/>
    <w:qFormat/>
    <w:uiPriority w:val="0"/>
    <w:pPr>
      <w:widowControl/>
      <w:kinsoku w:val="0"/>
      <w:overflowPunct w:val="0"/>
      <w:autoSpaceDE w:val="0"/>
      <w:autoSpaceDN w:val="0"/>
    </w:pPr>
  </w:style>
  <w:style w:type="paragraph" w:customStyle="1" w:styleId="52">
    <w:name w:val="正文A"/>
    <w:basedOn w:val="1"/>
    <w:link w:val="69"/>
    <w:autoRedefine/>
    <w:qFormat/>
    <w:uiPriority w:val="0"/>
    <w:pPr>
      <w:autoSpaceDE w:val="0"/>
      <w:autoSpaceDN w:val="0"/>
      <w:adjustRightInd w:val="0"/>
      <w:snapToGrid w:val="0"/>
      <w:textAlignment w:val="baseline"/>
    </w:pPr>
    <w:rPr>
      <w:kern w:val="0"/>
      <w:szCs w:val="20"/>
    </w:rPr>
  </w:style>
  <w:style w:type="paragraph" w:customStyle="1" w:styleId="53">
    <w:name w:val="大表格文字"/>
    <w:basedOn w:val="1"/>
    <w:autoRedefine/>
    <w:qFormat/>
    <w:uiPriority w:val="0"/>
    <w:pPr>
      <w:adjustRightInd w:val="0"/>
      <w:snapToGrid w:val="0"/>
      <w:spacing w:line="240" w:lineRule="auto"/>
      <w:ind w:firstLine="0" w:firstLineChars="0"/>
      <w:jc w:val="center"/>
    </w:pPr>
    <w:rPr>
      <w:rFonts w:cs="宋体"/>
      <w:szCs w:val="21"/>
    </w:rPr>
  </w:style>
  <w:style w:type="paragraph" w:customStyle="1" w:styleId="54">
    <w:name w:val="样式 (西文) Times New Roman (中文) 宋体 (符号) 宋体 行距: 固定值 20 磅 首行缩进:  ..."/>
    <w:basedOn w:val="1"/>
    <w:autoRedefine/>
    <w:qFormat/>
    <w:uiPriority w:val="0"/>
    <w:pPr>
      <w:widowControl/>
      <w:spacing w:line="400" w:lineRule="exact"/>
      <w:ind w:firstLine="200"/>
    </w:pPr>
    <w:rPr>
      <w:kern w:val="0"/>
      <w:sz w:val="24"/>
      <w:szCs w:val="21"/>
    </w:rPr>
  </w:style>
  <w:style w:type="paragraph" w:customStyle="1" w:styleId="55">
    <w:name w:val="表头、图号"/>
    <w:basedOn w:val="1"/>
    <w:link w:val="70"/>
    <w:autoRedefine/>
    <w:qFormat/>
    <w:uiPriority w:val="0"/>
    <w:pPr>
      <w:spacing w:line="240" w:lineRule="auto"/>
      <w:ind w:firstLine="0" w:firstLineChars="0"/>
      <w:jc w:val="center"/>
    </w:pPr>
    <w:rPr>
      <w:b/>
    </w:rPr>
  </w:style>
  <w:style w:type="paragraph" w:customStyle="1" w:styleId="56">
    <w:name w:val="表内文字"/>
    <w:basedOn w:val="57"/>
    <w:autoRedefine/>
    <w:qFormat/>
    <w:uiPriority w:val="0"/>
  </w:style>
  <w:style w:type="paragraph" w:customStyle="1" w:styleId="57">
    <w:name w:val="表格文字"/>
    <w:basedOn w:val="17"/>
    <w:next w:val="1"/>
    <w:autoRedefine/>
    <w:qFormat/>
    <w:uiPriority w:val="0"/>
    <w:pPr>
      <w:spacing w:after="0" w:line="240" w:lineRule="auto"/>
      <w:ind w:firstLine="0" w:firstLineChars="0"/>
      <w:jc w:val="center"/>
    </w:pPr>
    <w:rPr>
      <w:sz w:val="21"/>
      <w:szCs w:val="21"/>
    </w:rPr>
  </w:style>
  <w:style w:type="character" w:customStyle="1" w:styleId="58">
    <w:name w:val="font21"/>
    <w:basedOn w:val="30"/>
    <w:autoRedefine/>
    <w:qFormat/>
    <w:uiPriority w:val="0"/>
    <w:rPr>
      <w:rFonts w:hint="eastAsia" w:ascii="宋体" w:hAnsi="宋体" w:eastAsia="宋体" w:cs="宋体"/>
      <w:color w:val="000000"/>
      <w:sz w:val="21"/>
      <w:szCs w:val="21"/>
      <w:u w:val="none"/>
    </w:rPr>
  </w:style>
  <w:style w:type="paragraph" w:customStyle="1" w:styleId="59">
    <w:name w:val="小标题"/>
    <w:basedOn w:val="52"/>
    <w:autoRedefine/>
    <w:qFormat/>
    <w:uiPriority w:val="0"/>
    <w:pPr>
      <w:spacing w:before="163" w:beforeLines="50"/>
      <w:ind w:firstLine="482"/>
    </w:pPr>
    <w:rPr>
      <w:b/>
    </w:rPr>
  </w:style>
  <w:style w:type="character" w:customStyle="1" w:styleId="60">
    <w:name w:val="font11"/>
    <w:basedOn w:val="30"/>
    <w:autoRedefine/>
    <w:qFormat/>
    <w:uiPriority w:val="0"/>
    <w:rPr>
      <w:rFonts w:hint="eastAsia" w:ascii="宋体" w:hAnsi="宋体" w:eastAsia="宋体" w:cs="宋体"/>
      <w:color w:val="000000"/>
      <w:sz w:val="21"/>
      <w:szCs w:val="21"/>
      <w:u w:val="none"/>
    </w:rPr>
  </w:style>
  <w:style w:type="paragraph" w:customStyle="1" w:styleId="61">
    <w:name w:val="+正文"/>
    <w:basedOn w:val="1"/>
    <w:autoRedefine/>
    <w:qFormat/>
    <w:uiPriority w:val="0"/>
    <w:pPr>
      <w:ind w:firstLine="200"/>
    </w:pPr>
    <w:rPr>
      <w:sz w:val="24"/>
      <w:szCs w:val="28"/>
    </w:rPr>
  </w:style>
  <w:style w:type="paragraph" w:customStyle="1" w:styleId="62">
    <w:name w:val="lwx-表内文字"/>
    <w:basedOn w:val="1"/>
    <w:autoRedefine/>
    <w:qFormat/>
    <w:uiPriority w:val="0"/>
    <w:pPr>
      <w:adjustRightInd w:val="0"/>
      <w:snapToGrid w:val="0"/>
      <w:jc w:val="center"/>
    </w:pPr>
    <w:rPr>
      <w:bCs/>
      <w:szCs w:val="21"/>
    </w:rPr>
  </w:style>
  <w:style w:type="paragraph" w:customStyle="1" w:styleId="63">
    <w:name w:val="小表头"/>
    <w:basedOn w:val="44"/>
    <w:next w:val="44"/>
    <w:autoRedefine/>
    <w:qFormat/>
    <w:uiPriority w:val="0"/>
    <w:pPr>
      <w:spacing w:line="400" w:lineRule="exact"/>
    </w:pPr>
    <w:rPr>
      <w:b/>
    </w:rPr>
  </w:style>
  <w:style w:type="paragraph" w:customStyle="1" w:styleId="64">
    <w:name w:val="Table Paragraph"/>
    <w:basedOn w:val="1"/>
    <w:autoRedefine/>
    <w:qFormat/>
    <w:uiPriority w:val="1"/>
    <w:pPr>
      <w:autoSpaceDE w:val="0"/>
      <w:autoSpaceDN w:val="0"/>
      <w:adjustRightInd w:val="0"/>
      <w:spacing w:line="240" w:lineRule="auto"/>
      <w:ind w:firstLine="0" w:firstLineChars="0"/>
      <w:jc w:val="center"/>
    </w:pPr>
    <w:rPr>
      <w:rFonts w:ascii="宋体" w:cs="宋体"/>
      <w:kern w:val="0"/>
      <w:sz w:val="24"/>
    </w:rPr>
  </w:style>
  <w:style w:type="paragraph" w:customStyle="1" w:styleId="65">
    <w:name w:val="样式 正文文本 + 首行缩进:  2 字符"/>
    <w:basedOn w:val="1"/>
    <w:autoRedefine/>
    <w:qFormat/>
    <w:uiPriority w:val="0"/>
    <w:pPr>
      <w:widowControl/>
      <w:spacing w:before="100" w:beforeAutospacing="1" w:after="200" w:line="480" w:lineRule="exact"/>
      <w:ind w:firstLine="480"/>
    </w:pPr>
    <w:rPr>
      <w:rFonts w:eastAsia="微软雅黑"/>
      <w:kern w:val="0"/>
      <w:sz w:val="24"/>
    </w:rPr>
  </w:style>
  <w:style w:type="paragraph" w:customStyle="1" w:styleId="66">
    <w:name w:val="内容"/>
    <w:basedOn w:val="1"/>
    <w:autoRedefine/>
    <w:qFormat/>
    <w:uiPriority w:val="0"/>
    <w:pPr>
      <w:adjustRightInd w:val="0"/>
      <w:snapToGrid w:val="0"/>
      <w:ind w:left="280" w:leftChars="100" w:right="280" w:rightChars="100" w:firstLine="560"/>
    </w:pPr>
    <w:rPr>
      <w:sz w:val="28"/>
      <w:szCs w:val="28"/>
    </w:rPr>
  </w:style>
  <w:style w:type="paragraph" w:customStyle="1" w:styleId="67">
    <w:name w:val="【表内字】"/>
    <w:basedOn w:val="1"/>
    <w:autoRedefine/>
    <w:qFormat/>
    <w:uiPriority w:val="0"/>
    <w:pPr>
      <w:spacing w:line="240" w:lineRule="auto"/>
      <w:ind w:firstLine="0" w:firstLineChars="0"/>
      <w:jc w:val="center"/>
    </w:pPr>
    <w:rPr>
      <w:kern w:val="0"/>
      <w:szCs w:val="20"/>
    </w:rPr>
  </w:style>
  <w:style w:type="paragraph" w:customStyle="1" w:styleId="68">
    <w:name w:val="报告"/>
    <w:basedOn w:val="1"/>
    <w:autoRedefine/>
    <w:qFormat/>
    <w:uiPriority w:val="0"/>
    <w:pPr>
      <w:adjustRightInd w:val="0"/>
      <w:ind w:firstLine="505"/>
      <w:textAlignment w:val="center"/>
    </w:pPr>
    <w:rPr>
      <w:rFonts w:ascii="TimesNewRoman" w:hAnsi="TimesNewRoman"/>
      <w:kern w:val="0"/>
      <w:sz w:val="24"/>
      <w:szCs w:val="20"/>
    </w:rPr>
  </w:style>
  <w:style w:type="character" w:customStyle="1" w:styleId="69">
    <w:name w:val="正文A 字符"/>
    <w:link w:val="52"/>
    <w:autoRedefine/>
    <w:qFormat/>
    <w:uiPriority w:val="0"/>
    <w:rPr>
      <w:rFonts w:cs="Times New Roman"/>
      <w:kern w:val="0"/>
      <w:szCs w:val="20"/>
    </w:rPr>
  </w:style>
  <w:style w:type="character" w:customStyle="1" w:styleId="70">
    <w:name w:val="表头、图号 Char"/>
    <w:link w:val="55"/>
    <w:autoRedefine/>
    <w:qFormat/>
    <w:uiPriority w:val="0"/>
    <w:rPr>
      <w:rFonts w:eastAsia="宋体" w:cs="Times New Roman"/>
      <w:b/>
    </w:rPr>
  </w:style>
  <w:style w:type="paragraph" w:styleId="71">
    <w:name w:val="List Paragraph"/>
    <w:basedOn w:val="1"/>
    <w:autoRedefine/>
    <w:qFormat/>
    <w:uiPriority w:val="1"/>
    <w:pPr>
      <w:ind w:firstLine="420"/>
    </w:pPr>
  </w:style>
  <w:style w:type="paragraph" w:customStyle="1" w:styleId="72">
    <w:name w:val="表格标题-5"/>
    <w:basedOn w:val="1"/>
    <w:next w:val="1"/>
    <w:autoRedefine/>
    <w:qFormat/>
    <w:uiPriority w:val="0"/>
    <w:pPr>
      <w:adjustRightInd w:val="0"/>
      <w:snapToGrid w:val="0"/>
      <w:jc w:val="center"/>
    </w:pPr>
    <w:rPr>
      <w:b/>
    </w:rPr>
  </w:style>
  <w:style w:type="paragraph" w:customStyle="1" w:styleId="73">
    <w:name w:val="表后空格"/>
    <w:basedOn w:val="1"/>
    <w:autoRedefine/>
    <w:qFormat/>
    <w:uiPriority w:val="0"/>
    <w:pPr>
      <w:spacing w:line="240" w:lineRule="exact"/>
    </w:pPr>
    <w:rPr>
      <w:sz w:val="18"/>
      <w:szCs w:val="21"/>
    </w:rPr>
  </w:style>
  <w:style w:type="paragraph" w:customStyle="1" w:styleId="74">
    <w:name w:val="WPSOffice手动目录 1"/>
    <w:autoRedefine/>
    <w:qFormat/>
    <w:uiPriority w:val="0"/>
    <w:rPr>
      <w:rFonts w:ascii="Times New Roman" w:hAnsi="Times New Roman" w:eastAsia="宋体" w:cs="Times New Roman"/>
      <w:lang w:val="en-US" w:eastAsia="zh-CN" w:bidi="ar-SA"/>
    </w:rPr>
  </w:style>
  <w:style w:type="paragraph" w:customStyle="1" w:styleId="75">
    <w:name w:val="[1]正文"/>
    <w:basedOn w:val="1"/>
    <w:autoRedefine/>
    <w:qFormat/>
    <w:uiPriority w:val="0"/>
    <w:pPr>
      <w:adjustRightInd w:val="0"/>
      <w:snapToGrid w:val="0"/>
      <w:spacing w:line="500" w:lineRule="exact"/>
    </w:pPr>
    <w:rPr>
      <w:color w:val="000000"/>
      <w:kern w:val="0"/>
      <w:sz w:val="28"/>
      <w:szCs w:val="28"/>
    </w:rPr>
  </w:style>
  <w:style w:type="table" w:customStyle="1" w:styleId="76">
    <w:name w:val="网格型1"/>
    <w:basedOn w:val="28"/>
    <w:autoRedefine/>
    <w:qFormat/>
    <w:uiPriority w:val="0"/>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7">
    <w:name w:val="font31"/>
    <w:basedOn w:val="30"/>
    <w:autoRedefine/>
    <w:qFormat/>
    <w:uiPriority w:val="0"/>
    <w:rPr>
      <w:rFonts w:hint="eastAsia" w:ascii="宋体" w:hAnsi="宋体" w:eastAsia="宋体" w:cs="宋体"/>
      <w:b/>
      <w:bCs/>
      <w:color w:val="000000"/>
      <w:sz w:val="21"/>
      <w:szCs w:val="21"/>
      <w:u w:val="none"/>
    </w:rPr>
  </w:style>
  <w:style w:type="character" w:customStyle="1" w:styleId="78">
    <w:name w:val="font51"/>
    <w:basedOn w:val="30"/>
    <w:autoRedefine/>
    <w:qFormat/>
    <w:uiPriority w:val="0"/>
    <w:rPr>
      <w:rFonts w:hint="eastAsia" w:ascii="宋体" w:hAnsi="宋体" w:eastAsia="宋体" w:cs="宋体"/>
      <w:color w:val="000000"/>
      <w:sz w:val="21"/>
      <w:szCs w:val="21"/>
      <w:u w:val="none"/>
    </w:rPr>
  </w:style>
  <w:style w:type="character" w:customStyle="1" w:styleId="79">
    <w:name w:val="font41"/>
    <w:basedOn w:val="30"/>
    <w:autoRedefine/>
    <w:qFormat/>
    <w:uiPriority w:val="0"/>
    <w:rPr>
      <w:rFonts w:hint="default" w:ascii="Times New Roman" w:hAnsi="Times New Roman" w:cs="Times New Roman"/>
      <w:color w:val="000000"/>
      <w:sz w:val="21"/>
      <w:szCs w:val="21"/>
      <w:u w:val="none"/>
    </w:rPr>
  </w:style>
  <w:style w:type="character" w:customStyle="1" w:styleId="80">
    <w:name w:val="font71"/>
    <w:basedOn w:val="30"/>
    <w:autoRedefine/>
    <w:qFormat/>
    <w:uiPriority w:val="0"/>
    <w:rPr>
      <w:rFonts w:hint="default" w:ascii="Times New Roman" w:hAnsi="Times New Roman" w:cs="Times New Roman"/>
      <w:color w:val="000000"/>
      <w:sz w:val="21"/>
      <w:szCs w:val="21"/>
      <w:u w:val="none"/>
      <w:vertAlign w:val="subscript"/>
    </w:rPr>
  </w:style>
  <w:style w:type="character" w:customStyle="1" w:styleId="81">
    <w:name w:val="font81"/>
    <w:basedOn w:val="30"/>
    <w:autoRedefine/>
    <w:qFormat/>
    <w:uiPriority w:val="0"/>
    <w:rPr>
      <w:rFonts w:hint="default" w:ascii="Times New Roman" w:hAnsi="Times New Roman" w:cs="Times New Roman"/>
      <w:color w:val="000000"/>
      <w:sz w:val="21"/>
      <w:szCs w:val="21"/>
      <w:u w:val="none"/>
      <w:vertAlign w:val="superscript"/>
    </w:rPr>
  </w:style>
  <w:style w:type="character" w:customStyle="1" w:styleId="82">
    <w:name w:val="font61"/>
    <w:basedOn w:val="30"/>
    <w:autoRedefine/>
    <w:qFormat/>
    <w:uiPriority w:val="0"/>
    <w:rPr>
      <w:rFonts w:hint="default" w:ascii="Times New Roman" w:hAnsi="Times New Roman" w:cs="Times New Roman"/>
      <w:color w:val="000000"/>
      <w:sz w:val="21"/>
      <w:szCs w:val="21"/>
      <w:u w:val="none"/>
      <w:vertAlign w:val="subscript"/>
    </w:rPr>
  </w:style>
  <w:style w:type="character" w:customStyle="1" w:styleId="83">
    <w:name w:val="font01"/>
    <w:basedOn w:val="30"/>
    <w:autoRedefine/>
    <w:qFormat/>
    <w:uiPriority w:val="0"/>
    <w:rPr>
      <w:rFonts w:hint="default" w:ascii="Times New Roman" w:hAnsi="Times New Roman" w:cs="Times New Roman"/>
      <w:color w:val="000000"/>
      <w:sz w:val="21"/>
      <w:szCs w:val="21"/>
      <w:u w:val="none"/>
      <w:vertAlign w:val="subscript"/>
    </w:rPr>
  </w:style>
  <w:style w:type="table" w:customStyle="1" w:styleId="84">
    <w:name w:val="999"/>
    <w:basedOn w:val="28"/>
    <w:autoRedefine/>
    <w:qFormat/>
    <w:uiPriority w:val="99"/>
    <w:tblPr>
      <w:tblBorders>
        <w:top w:val="single" w:color="000000" w:themeColor="text1" w:sz="12" w:space="0"/>
        <w:bottom w:val="single" w:color="000000" w:themeColor="text1" w:sz="12" w:space="0"/>
        <w:insideH w:val="single" w:color="000000" w:themeColor="text1" w:sz="4" w:space="0"/>
        <w:insideV w:val="single" w:color="000000" w:themeColor="text1" w:sz="4" w:space="0"/>
      </w:tblBorders>
    </w:tblPr>
    <w:tcPr>
      <w:shd w:val="clear" w:color="auto" w:fill="auto"/>
    </w:tcPr>
  </w:style>
  <w:style w:type="paragraph" w:customStyle="1" w:styleId="85">
    <w:name w:val="表内字"/>
    <w:basedOn w:val="1"/>
    <w:autoRedefine/>
    <w:qFormat/>
    <w:uiPriority w:val="0"/>
    <w:pPr>
      <w:spacing w:line="240" w:lineRule="atLeast"/>
      <w:jc w:val="center"/>
    </w:pPr>
  </w:style>
  <w:style w:type="paragraph" w:customStyle="1" w:styleId="86">
    <w:name w:val="正文-wl"/>
    <w:basedOn w:val="1"/>
    <w:link w:val="87"/>
    <w:autoRedefine/>
    <w:qFormat/>
    <w:uiPriority w:val="0"/>
    <w:pPr>
      <w:ind w:firstLine="200"/>
    </w:pPr>
    <w:rPr>
      <w:sz w:val="24"/>
    </w:rPr>
  </w:style>
  <w:style w:type="character" w:customStyle="1" w:styleId="87">
    <w:name w:val="正文-wl 字符"/>
    <w:link w:val="86"/>
    <w:autoRedefine/>
    <w:qFormat/>
    <w:uiPriority w:val="0"/>
    <w:rPr>
      <w:kern w:val="2"/>
      <w:sz w:val="24"/>
      <w:szCs w:val="24"/>
    </w:rPr>
  </w:style>
  <w:style w:type="paragraph" w:customStyle="1" w:styleId="88">
    <w:name w:val="二级标题"/>
    <w:basedOn w:val="1"/>
    <w:autoRedefine/>
    <w:qFormat/>
    <w:uiPriority w:val="0"/>
    <w:pPr>
      <w:adjustRightInd w:val="0"/>
      <w:spacing w:before="120" w:after="120" w:line="400" w:lineRule="atLeast"/>
      <w:ind w:firstLine="0" w:firstLineChars="0"/>
      <w:jc w:val="both"/>
      <w:textAlignment w:val="baseline"/>
    </w:pPr>
    <w:rPr>
      <w:rFonts w:eastAsia="黑体"/>
      <w:kern w:val="0"/>
      <w:sz w:val="28"/>
      <w:szCs w:val="20"/>
    </w:rPr>
  </w:style>
  <w:style w:type="paragraph" w:customStyle="1" w:styleId="89">
    <w:name w:val="报告表正文"/>
    <w:basedOn w:val="1"/>
    <w:autoRedefine/>
    <w:qFormat/>
    <w:uiPriority w:val="0"/>
    <w:pPr>
      <w:adjustRightInd w:val="0"/>
      <w:spacing w:line="312" w:lineRule="auto"/>
      <w:ind w:left="113" w:right="113" w:firstLine="482" w:firstLineChars="0"/>
      <w:textAlignment w:val="baseline"/>
    </w:pPr>
    <w:rPr>
      <w:kern w:val="0"/>
      <w:sz w:val="24"/>
    </w:rPr>
  </w:style>
  <w:style w:type="table" w:customStyle="1" w:styleId="90">
    <w:name w:val="样式6"/>
    <w:basedOn w:val="28"/>
    <w:autoRedefine/>
    <w:qFormat/>
    <w:uiPriority w:val="99"/>
    <w:pPr>
      <w:jc w:val="center"/>
    </w:p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character" w:customStyle="1" w:styleId="91">
    <w:name w:val="日期 字符"/>
    <w:basedOn w:val="30"/>
    <w:autoRedefine/>
    <w:qFormat/>
    <w:uiPriority w:val="0"/>
    <w:rPr>
      <w:kern w:val="2"/>
      <w:sz w:val="21"/>
      <w:szCs w:val="24"/>
    </w:rPr>
  </w:style>
  <w:style w:type="character" w:customStyle="1" w:styleId="92">
    <w:name w:val="日期 字符1"/>
    <w:link w:val="20"/>
    <w:autoRedefine/>
    <w:qFormat/>
    <w:locked/>
    <w:uiPriority w:val="0"/>
    <w:rPr>
      <w:sz w:val="24"/>
    </w:rPr>
  </w:style>
  <w:style w:type="paragraph" w:customStyle="1" w:styleId="93">
    <w:name w:val="表格1"/>
    <w:basedOn w:val="1"/>
    <w:link w:val="97"/>
    <w:autoRedefine/>
    <w:qFormat/>
    <w:uiPriority w:val="0"/>
    <w:pPr>
      <w:spacing w:line="320" w:lineRule="exact"/>
      <w:ind w:firstLine="0" w:firstLineChars="0"/>
      <w:jc w:val="center"/>
      <w:outlineLvl w:val="0"/>
    </w:pPr>
    <w:rPr>
      <w:snapToGrid w:val="0"/>
      <w:szCs w:val="30"/>
    </w:rPr>
  </w:style>
  <w:style w:type="paragraph" w:customStyle="1" w:styleId="94">
    <w:name w:val="表格2"/>
    <w:basedOn w:val="1"/>
    <w:link w:val="96"/>
    <w:autoRedefine/>
    <w:qFormat/>
    <w:uiPriority w:val="0"/>
    <w:pPr>
      <w:spacing w:line="240" w:lineRule="auto"/>
      <w:ind w:firstLine="0" w:firstLineChars="0"/>
      <w:jc w:val="center"/>
    </w:pPr>
    <w:rPr>
      <w:bCs/>
      <w:color w:val="000000" w:themeColor="text1"/>
      <w:sz w:val="21"/>
      <w:szCs w:val="21"/>
      <w14:textFill>
        <w14:solidFill>
          <w14:schemeClr w14:val="tx1"/>
        </w14:solidFill>
      </w14:textFill>
    </w:rPr>
  </w:style>
  <w:style w:type="paragraph" w:customStyle="1" w:styleId="95">
    <w:name w:val="正文11"/>
    <w:basedOn w:val="1"/>
    <w:autoRedefine/>
    <w:qFormat/>
    <w:uiPriority w:val="0"/>
    <w:pPr>
      <w:spacing w:line="360" w:lineRule="auto"/>
      <w:ind w:firstLine="720" w:firstLineChars="200"/>
    </w:pPr>
    <w:rPr>
      <w:rFonts w:hint="default" w:ascii="Times New Roman" w:hAnsi="Times New Roman"/>
      <w:sz w:val="24"/>
    </w:rPr>
  </w:style>
  <w:style w:type="character" w:customStyle="1" w:styleId="96">
    <w:name w:val="表格2 Char"/>
    <w:link w:val="94"/>
    <w:autoRedefine/>
    <w:qFormat/>
    <w:uiPriority w:val="0"/>
    <w:rPr>
      <w:rFonts w:hint="default" w:ascii="Times New Roman" w:hAnsi="Times New Roman" w:eastAsia="宋体"/>
      <w:bCs/>
      <w:color w:val="000000" w:themeColor="text1"/>
      <w:sz w:val="21"/>
      <w:szCs w:val="21"/>
      <w14:textFill>
        <w14:solidFill>
          <w14:schemeClr w14:val="tx1"/>
        </w14:solidFill>
      </w14:textFill>
    </w:rPr>
  </w:style>
  <w:style w:type="character" w:customStyle="1" w:styleId="97">
    <w:name w:val="表格1 Char"/>
    <w:link w:val="93"/>
    <w:autoRedefine/>
    <w:qFormat/>
    <w:uiPriority w:val="0"/>
    <w:rPr>
      <w:snapToGrid w:val="0"/>
      <w:szCs w:val="30"/>
    </w:rPr>
  </w:style>
  <w:style w:type="character" w:customStyle="1" w:styleId="98">
    <w:name w:val="题注 Char"/>
    <w:link w:val="14"/>
    <w:autoRedefine/>
    <w:qFormat/>
    <w:uiPriority w:val="0"/>
    <w:rPr>
      <w:rFonts w:ascii="Times New Roman" w:hAnsi="Times New Roman" w:eastAsia="黑体" w:cs="Times New Roman"/>
      <w:color w:val="auto"/>
      <w:kern w:val="2"/>
      <w:sz w:val="24"/>
      <w:szCs w:val="20"/>
      <w:highlight w:val="none"/>
      <w:lang w:val="en-US" w:eastAsia="zh-CN" w:bidi="ar-SA"/>
    </w:rPr>
  </w:style>
  <w:style w:type="paragraph" w:customStyle="1" w:styleId="99">
    <w:name w:val="Table Text"/>
    <w:basedOn w:val="1"/>
    <w:autoRedefine/>
    <w:semiHidden/>
    <w:qFormat/>
    <w:uiPriority w:val="0"/>
    <w:rPr>
      <w:rFonts w:ascii="宋体" w:hAnsi="宋体" w:eastAsia="宋体" w:cs="宋体"/>
      <w:sz w:val="21"/>
      <w:szCs w:val="21"/>
      <w:lang w:val="en-US" w:eastAsia="en-US" w:bidi="ar-SA"/>
    </w:rPr>
  </w:style>
  <w:style w:type="paragraph" w:customStyle="1" w:styleId="100">
    <w:name w:val="样式 正文11 + 首行缩进:  2 字符"/>
    <w:basedOn w:val="1"/>
    <w:autoRedefine/>
    <w:qFormat/>
    <w:uiPriority w:val="0"/>
    <w:pPr>
      <w:spacing w:line="360" w:lineRule="auto"/>
      <w:ind w:firstLine="720" w:firstLineChars="200"/>
    </w:pPr>
    <w:rPr>
      <w:color w:val="000000"/>
      <w:sz w:val="24"/>
      <w:szCs w:val="20"/>
    </w:rPr>
  </w:style>
  <w:style w:type="table" w:customStyle="1" w:styleId="101">
    <w:name w:val="Table Normal"/>
    <w:autoRedefine/>
    <w:unhideWhenUsed/>
    <w:qFormat/>
    <w:uiPriority w:val="2"/>
    <w:pPr>
      <w:widowControl w:val="0"/>
      <w:autoSpaceDE w:val="0"/>
      <w:autoSpaceDN w:val="0"/>
    </w:pPr>
    <w:rPr>
      <w:rFonts w:ascii="等线" w:hAnsi="等线" w:eastAsia="等线" w:cs="Times New Roman"/>
      <w:sz w:val="22"/>
      <w:szCs w:val="22"/>
      <w:lang w:eastAsia="en-US"/>
    </w:rPr>
    <w:tblPr>
      <w:tblCellMar>
        <w:top w:w="0" w:type="dxa"/>
        <w:left w:w="0" w:type="dxa"/>
        <w:bottom w:w="0" w:type="dxa"/>
        <w:right w:w="0" w:type="dxa"/>
      </w:tblCellMar>
    </w:tblPr>
  </w:style>
  <w:style w:type="paragraph" w:customStyle="1" w:styleId="102">
    <w:name w:val="样式1"/>
    <w:basedOn w:val="1"/>
    <w:autoRedefine/>
    <w:qFormat/>
    <w:uiPriority w:val="0"/>
    <w:pPr>
      <w:widowControl/>
      <w:spacing w:line="360" w:lineRule="auto"/>
      <w:ind w:firstLine="200" w:firstLineChars="200"/>
    </w:pPr>
    <w:rPr>
      <w:sz w:val="24"/>
    </w:rPr>
  </w:style>
  <w:style w:type="paragraph" w:customStyle="1" w:styleId="103">
    <w:name w:val="lin正文缩进"/>
    <w:basedOn w:val="1"/>
    <w:autoRedefine/>
    <w:qFormat/>
    <w:uiPriority w:val="0"/>
    <w:pPr>
      <w:spacing w:line="360" w:lineRule="auto"/>
      <w:ind w:firstLine="200" w:firstLineChars="200"/>
    </w:pPr>
    <w:rPr>
      <w:sz w:val="24"/>
    </w:rPr>
  </w:style>
  <w:style w:type="paragraph" w:customStyle="1" w:styleId="104">
    <w:name w:val="真·正文"/>
    <w:basedOn w:val="1"/>
    <w:next w:val="105"/>
    <w:autoRedefine/>
    <w:qFormat/>
    <w:uiPriority w:val="0"/>
    <w:pPr>
      <w:spacing w:line="360" w:lineRule="auto"/>
      <w:ind w:firstLine="200"/>
    </w:pPr>
    <w:rPr>
      <w:rFonts w:ascii="Calibri"/>
      <w:sz w:val="24"/>
    </w:rPr>
  </w:style>
  <w:style w:type="paragraph" w:customStyle="1" w:styleId="105">
    <w:name w:val="1表格"/>
    <w:basedOn w:val="1"/>
    <w:next w:val="17"/>
    <w:autoRedefine/>
    <w:qFormat/>
    <w:uiPriority w:val="99"/>
    <w:pPr>
      <w:snapToGrid w:val="0"/>
      <w:spacing w:line="160" w:lineRule="atLeast"/>
      <w:jc w:val="center"/>
    </w:pPr>
    <w:rPr>
      <w:rFonts w:eastAsia="仿宋_GB2312"/>
    </w:rPr>
  </w:style>
  <w:style w:type="paragraph" w:customStyle="1" w:styleId="106">
    <w:name w:val="表格内文字"/>
    <w:basedOn w:val="1"/>
    <w:qFormat/>
    <w:uiPriority w:val="0"/>
    <w:pPr>
      <w:spacing w:line="240" w:lineRule="auto"/>
      <w:ind w:firstLine="0" w:firstLineChars="0"/>
      <w:jc w:val="center"/>
    </w:pPr>
    <w:rPr>
      <w:rFonts w:hint="default" w:ascii="Times New Roman" w:hAnsi="Times New Roman"/>
      <w:sz w:val="21"/>
      <w:szCs w:val="21"/>
    </w:rPr>
  </w:style>
  <w:style w:type="paragraph" w:customStyle="1" w:styleId="107">
    <w:name w:val="正文1"/>
    <w:basedOn w:val="1"/>
    <w:qFormat/>
    <w:uiPriority w:val="0"/>
    <w:pPr>
      <w:widowControl/>
      <w:spacing w:line="360" w:lineRule="auto"/>
      <w:ind w:firstLine="480" w:firstLineChars="200"/>
    </w:pPr>
    <w:rPr>
      <w:rFonts w:hAnsi="宋体"/>
      <w:bCs/>
      <w:snapToGrid w:val="0"/>
      <w:kern w:val="0"/>
      <w:sz w:val="24"/>
      <w:szCs w:val="28"/>
    </w:rPr>
  </w:style>
  <w:style w:type="paragraph" w:customStyle="1" w:styleId="108">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109">
    <w:name w:val="0表格"/>
    <w:basedOn w:val="1"/>
    <w:autoRedefine/>
    <w:qFormat/>
    <w:uiPriority w:val="0"/>
    <w:pPr>
      <w:spacing w:line="240" w:lineRule="auto"/>
      <w:ind w:firstLine="0" w:firstLineChars="0"/>
      <w:jc w:val="center"/>
    </w:pPr>
    <w:rPr>
      <w:rFonts w:ascii="Times New Roman" w:hAnsi="Times New Roman" w:eastAsia="宋体"/>
      <w:kern w:val="0"/>
      <w:sz w:val="21"/>
      <w:szCs w:val="21"/>
    </w:rPr>
  </w:style>
  <w:style w:type="paragraph" w:customStyle="1" w:styleId="110">
    <w:name w:val="表头"/>
    <w:basedOn w:val="44"/>
    <w:autoRedefine/>
    <w:qFormat/>
    <w:uiPriority w:val="0"/>
    <w:pPr>
      <w:autoSpaceDE/>
      <w:autoSpaceDN/>
      <w:adjustRightInd w:val="0"/>
      <w:snapToGrid w:val="0"/>
      <w:spacing w:line="440" w:lineRule="exact"/>
      <w:ind w:firstLine="0" w:firstLineChars="0"/>
      <w:jc w:val="center"/>
    </w:pPr>
    <w:rPr>
      <w:rFonts w:hint="eastAsia" w:ascii="Times New Roman" w:hAnsi="Times New Roman" w:eastAsia="黑体" w:cs="Times New Roman"/>
      <w:bCs/>
      <w:color w:val="auto"/>
      <w:sz w:val="21"/>
      <w:szCs w:val="21"/>
    </w:rPr>
  </w:style>
  <w:style w:type="paragraph" w:customStyle="1" w:styleId="111">
    <w:name w:val="无间隔3"/>
    <w:unhideWhenUsed/>
    <w:qFormat/>
    <w:uiPriority w:val="1"/>
    <w:pPr>
      <w:adjustRightInd w:val="0"/>
      <w:snapToGrid w:val="0"/>
      <w:jc w:val="center"/>
    </w:pPr>
    <w:rPr>
      <w:rFonts w:hint="eastAsia" w:ascii="Times New Roman" w:hAnsi="Times New Roman" w:eastAsia="Times New Roman" w:cs="Times New Roman"/>
      <w:sz w:val="21"/>
      <w:szCs w:val="22"/>
      <w:lang w:val="en-US" w:eastAsia="zh-CN" w:bidi="ar-SA"/>
    </w:rPr>
  </w:style>
  <w:style w:type="paragraph" w:customStyle="1" w:styleId="112">
    <w:name w:val="表格文字2"/>
    <w:basedOn w:val="1"/>
    <w:autoRedefine/>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hAnsi="Times New Roman" w:cs="Times New Roman"/>
      <w:kern w:val="2"/>
      <w:sz w:val="21"/>
      <w:szCs w:val="24"/>
      <w:lang w:val="zh-CN"/>
    </w:rPr>
  </w:style>
  <w:style w:type="paragraph" w:customStyle="1" w:styleId="113">
    <w:name w:val="正文样式"/>
    <w:basedOn w:val="1"/>
    <w:qFormat/>
    <w:uiPriority w:val="0"/>
    <w:pPr>
      <w:tabs>
        <w:tab w:val="left" w:pos="1440"/>
        <w:tab w:val="left" w:pos="4368"/>
      </w:tabs>
      <w:spacing w:line="360" w:lineRule="auto"/>
      <w:ind w:firstLine="493"/>
    </w:pPr>
    <w:rPr>
      <w:color w:val="FF0000"/>
      <w:sz w:val="24"/>
    </w:rPr>
  </w:style>
  <w:style w:type="paragraph" w:customStyle="1" w:styleId="114">
    <w:name w:val="zh正文"/>
    <w:basedOn w:val="1"/>
    <w:qFormat/>
    <w:uiPriority w:val="0"/>
    <w:pPr>
      <w:spacing w:line="460" w:lineRule="exact"/>
      <w:ind w:firstLine="480" w:firstLineChars="200"/>
      <w:jc w:val="both"/>
    </w:pPr>
  </w:style>
  <w:style w:type="paragraph" w:customStyle="1" w:styleId="115">
    <w:name w:val="zh表格内居中文字"/>
    <w:qFormat/>
    <w:uiPriority w:val="0"/>
    <w:pPr>
      <w:jc w:val="center"/>
    </w:pPr>
    <w:rPr>
      <w:rFonts w:ascii="Times New Roman" w:hAnsi="Times New Roman" w:eastAsia="宋体" w:cs="Times New Roman"/>
      <w:snapToGrid w:val="0"/>
      <w:kern w:val="2"/>
      <w:sz w:val="22"/>
      <w:szCs w:val="24"/>
      <w:lang w:val="en-US" w:eastAsia="zh-CN" w:bidi="ar-SA"/>
    </w:rPr>
  </w:style>
  <w:style w:type="table" w:customStyle="1" w:styleId="116">
    <w:name w:val="样式11"/>
    <w:basedOn w:val="28"/>
    <w:qFormat/>
    <w:uiPriority w:val="0"/>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emf"/><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699</Words>
  <Characters>810</Characters>
  <Lines>463</Lines>
  <Paragraphs>130</Paragraphs>
  <TotalTime>14</TotalTime>
  <ScaleCrop>false</ScaleCrop>
  <LinksUpToDate>false</LinksUpToDate>
  <CharactersWithSpaces>883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2023-05-23T08:39:00Z</dcterms:created>
  <dc:creator>林哈哈</dc:creator>
  <cp:lastModifiedBy> </cp:lastModifiedBy>
  <dcterms:modified xsi:type="dcterms:W3CDTF">2025-08-20T08:17:23Z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33F558FAD6C84636B26A309CDB4534E0_13</vt:lpwstr>
  </property>
  <property fmtid="{D5CDD505-2E9C-101B-9397-08002B2CF9AE}" pid="4" name="KSOTemplateDocerSaveRecord">
    <vt:lpwstr>eyJoZGlkIjoiNzNhMmQ0YzVlMTNmNmNmYjU5MDc1ZWQ2Nzc2YjVmZmYifQ==</vt:lpwstr>
  </property>
</Properties>
</file>