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7425"/>
      <w:bookmarkStart w:id="1" w:name="_Toc15378441"/>
      <w:bookmarkStart w:id="2" w:name="_Toc15396475"/>
      <w:bookmarkStart w:id="3" w:name="_Toc15396597"/>
      <w:bookmarkStart w:id="4" w:name="_Toc15377193"/>
      <w:bookmarkStart w:id="5" w:name="_Toc15306267"/>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bookmarkEnd w:id="0"/>
    <w:bookmarkEnd w:id="1"/>
    <w:bookmarkEnd w:id="2"/>
    <w:bookmarkEnd w:id="3"/>
    <w:bookmarkEnd w:id="4"/>
    <w:p>
      <w:pPr>
        <w:pStyle w:val="8"/>
        <w:spacing w:before="93"/>
        <w:jc w:val="center"/>
        <w:rPr>
          <w:rFonts w:hint="eastAsia" w:ascii="Times New Roman" w:eastAsia="方正小标宋简体"/>
          <w:kern w:val="2"/>
          <w:sz w:val="44"/>
          <w:szCs w:val="44"/>
        </w:rPr>
      </w:pPr>
      <w:bookmarkStart w:id="6" w:name="_Toc15396476"/>
      <w:bookmarkStart w:id="7" w:name="_Toc15377194"/>
      <w:bookmarkStart w:id="8" w:name="_Toc15396598"/>
      <w:bookmarkStart w:id="9" w:name="_Toc15378442"/>
      <w:bookmarkStart w:id="10" w:name="_Toc15377426"/>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遂宁市安居区三家镇太平小学校</w:t>
      </w: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公开时间：2025年08月2</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w:t>
      </w:r>
    </w:p>
    <w:p/>
    <w:p>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第一部分 部门概况</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32"/>
          <w:szCs w:val="32"/>
        </w:rPr>
        <w:t>…………………………………………4</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hint="eastAsia" w:ascii="仿宋_GB2312" w:hAnsi="仿宋_GB2312" w:eastAsia="仿宋_GB2312" w:cs="仿宋_GB2312"/>
          <w:sz w:val="32"/>
          <w:szCs w:val="32"/>
        </w:rPr>
        <w:t>……………………………………………4</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hint="eastAsia" w:ascii="仿宋_GB2312" w:hAnsi="仿宋_GB2312" w:eastAsia="仿宋_GB2312" w:cs="仿宋_GB2312"/>
          <w:sz w:val="32"/>
          <w:szCs w:val="32"/>
        </w:rPr>
        <w:t>……………………………………………4</w:t>
      </w:r>
    </w:p>
    <w:p>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 xml:space="preserve">第二部分 2024年度部门决算情况说明 </w:t>
      </w:r>
      <w:r>
        <w:rPr>
          <w:rFonts w:hint="eastAsia" w:ascii="仿宋_GB2312" w:hAnsi="仿宋_GB2312" w:eastAsia="仿宋_GB2312" w:cs="仿宋_GB2312"/>
          <w:sz w:val="32"/>
          <w:szCs w:val="32"/>
        </w:rPr>
        <w:t>……………………5</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一、收入支出决算总体情况说明 </w:t>
      </w:r>
      <w:r>
        <w:rPr>
          <w:rFonts w:hint="eastAsia" w:ascii="仿宋_GB2312" w:hAnsi="仿宋_GB2312" w:eastAsia="仿宋_GB2312" w:cs="仿宋_GB2312"/>
          <w:sz w:val="32"/>
          <w:szCs w:val="32"/>
        </w:rPr>
        <w:t>………………………5</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二、收入决算情况说明 </w:t>
      </w:r>
      <w:r>
        <w:rPr>
          <w:rFonts w:hint="eastAsia" w:ascii="仿宋_GB2312" w:hAnsi="仿宋_GB2312" w:eastAsia="仿宋_GB2312" w:cs="仿宋_GB2312"/>
          <w:sz w:val="32"/>
          <w:szCs w:val="32"/>
        </w:rPr>
        <w:t>…………………………………5</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三、支出决算情况说明 </w:t>
      </w:r>
      <w:r>
        <w:rPr>
          <w:rFonts w:hint="eastAsia" w:ascii="仿宋_GB2312" w:hAnsi="仿宋_GB2312" w:eastAsia="仿宋_GB2312" w:cs="仿宋_GB2312"/>
          <w:sz w:val="32"/>
          <w:szCs w:val="32"/>
        </w:rPr>
        <w:t>…………………………………6</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四、财政拨款收入支出决算总体情况说明 </w:t>
      </w:r>
      <w:r>
        <w:rPr>
          <w:rFonts w:hint="eastAsia" w:ascii="仿宋_GB2312" w:hAnsi="仿宋_GB2312" w:eastAsia="仿宋_GB2312" w:cs="仿宋_GB2312"/>
          <w:sz w:val="32"/>
          <w:szCs w:val="32"/>
        </w:rPr>
        <w:t>……………7</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五、一般公共预算财政拨款支出决算情况说明 </w:t>
      </w:r>
      <w:r>
        <w:rPr>
          <w:rFonts w:hint="eastAsia" w:ascii="仿宋_GB2312" w:hAnsi="仿宋_GB2312" w:eastAsia="仿宋_GB2312" w:cs="仿宋_GB2312"/>
          <w:sz w:val="32"/>
          <w:szCs w:val="32"/>
        </w:rPr>
        <w:t>………8</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…11</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32"/>
          <w:szCs w:val="32"/>
        </w:rPr>
        <w:t>………12</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32"/>
          <w:szCs w:val="32"/>
        </w:rPr>
        <w:t>………………13</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32"/>
          <w:szCs w:val="32"/>
        </w:rPr>
        <w:t>……………13</w:t>
      </w:r>
    </w:p>
    <w:p>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仿宋_GB2312" w:hAnsi="仿宋_GB2312" w:eastAsia="仿宋_GB2312" w:cs="仿宋_GB2312"/>
          <w:sz w:val="32"/>
          <w:szCs w:val="32"/>
        </w:rPr>
        <w:t>…………………………13</w:t>
      </w:r>
    </w:p>
    <w:p>
      <w:pPr>
        <w:tabs>
          <w:tab w:val="right" w:leader="dot" w:pos="8296"/>
        </w:tabs>
        <w:adjustRightInd w:val="0"/>
        <w:snapToGrid w:val="0"/>
        <w:spacing w:line="560" w:lineRule="exact"/>
        <w:jc w:val="left"/>
        <w:rPr>
          <w:rFonts w:hint="eastAsia" w:eastAsia="仿宋_GB2312" w:cs="黑体"/>
          <w:sz w:val="32"/>
          <w:szCs w:val="32"/>
          <w:lang w:eastAsia="zh-CN"/>
        </w:rPr>
      </w:pPr>
      <w:r>
        <w:rPr>
          <w:rFonts w:hint="eastAsia" w:eastAsia="黑体" w:cs="黑体"/>
          <w:sz w:val="32"/>
          <w:szCs w:val="32"/>
        </w:rPr>
        <w:t>第三部分 名词解释</w:t>
      </w:r>
      <w:r>
        <w:rPr>
          <w:rFonts w:hint="eastAsia" w:eastAsia="黑体" w:cs="黑体"/>
          <w:sz w:val="24"/>
          <w:szCs w:val="32"/>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p>
    <w:p>
      <w:pPr>
        <w:tabs>
          <w:tab w:val="right" w:leader="dot" w:pos="8296"/>
        </w:tabs>
        <w:adjustRightInd w:val="0"/>
        <w:snapToGrid w:val="0"/>
        <w:spacing w:line="560" w:lineRule="exact"/>
        <w:jc w:val="left"/>
        <w:rPr>
          <w:rFonts w:hint="default" w:eastAsia="仿宋_GB2312" w:cs="黑体"/>
          <w:sz w:val="32"/>
          <w:szCs w:val="32"/>
          <w:lang w:val="en-US" w:eastAsia="zh-CN"/>
        </w:rPr>
      </w:pPr>
      <w:r>
        <w:rPr>
          <w:rFonts w:hint="eastAsia" w:eastAsia="黑体" w:cs="黑体"/>
          <w:sz w:val="32"/>
          <w:szCs w:val="32"/>
        </w:rPr>
        <w:t>第四部分 附件</w:t>
      </w:r>
      <w:r>
        <w:rPr>
          <w:rFonts w:hint="eastAsia" w:eastAsia="黑体" w:cs="黑体"/>
          <w:sz w:val="24"/>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pPr>
        <w:tabs>
          <w:tab w:val="right" w:leader="dot" w:pos="8296"/>
        </w:tabs>
        <w:adjustRightInd w:val="0"/>
        <w:snapToGrid w:val="0"/>
        <w:spacing w:line="560" w:lineRule="exact"/>
        <w:jc w:val="left"/>
        <w:rPr>
          <w:rFonts w:hint="eastAsia" w:eastAsia="黑体" w:cs="黑体"/>
          <w:sz w:val="32"/>
          <w:szCs w:val="32"/>
          <w:lang w:eastAsia="zh-CN"/>
        </w:rPr>
      </w:pPr>
      <w:r>
        <w:rPr>
          <w:rFonts w:hint="eastAsia" w:eastAsia="黑体" w:cs="黑体"/>
          <w:sz w:val="32"/>
          <w:szCs w:val="32"/>
        </w:rPr>
        <w:t>第五部分 附表</w:t>
      </w:r>
      <w:r>
        <w:rPr>
          <w:rFonts w:hint="eastAsia" w:eastAsia="黑体" w:cs="黑体"/>
          <w:sz w:val="24"/>
          <w:szCs w:val="32"/>
        </w:rPr>
        <w:t xml:space="preserve"> </w:t>
      </w:r>
      <w:r>
        <w:rPr>
          <w:rFonts w:hint="eastAsia" w:eastAsia="黑体" w:cs="黑体"/>
          <w:sz w:val="32"/>
          <w:szCs w:val="32"/>
        </w:rPr>
        <w:t>………………………………………………3</w:t>
      </w:r>
      <w:r>
        <w:rPr>
          <w:rFonts w:hint="eastAsia" w:eastAsia="黑体" w:cs="黑体"/>
          <w:sz w:val="32"/>
          <w:szCs w:val="32"/>
          <w:lang w:val="en-US" w:eastAsia="zh-CN"/>
        </w:rPr>
        <w:t>2</w:t>
      </w:r>
    </w:p>
    <w:p>
      <w:pPr>
        <w:pStyle w:val="14"/>
        <w:shd w:val="clear"/>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.............32</w:t>
      </w:r>
    </w:p>
    <w:p>
      <w:pPr>
        <w:pStyle w:val="14"/>
        <w:shd w:val="clear"/>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....................32</w:t>
      </w:r>
    </w:p>
    <w:p>
      <w:pPr>
        <w:pStyle w:val="14"/>
        <w:adjustRightInd w:val="0"/>
        <w:snapToGrid w:val="0"/>
        <w:spacing w:line="560" w:lineRule="exact"/>
        <w:ind w:left="0" w:leftChars="0" w:firstLine="643" w:firstLineChars="200"/>
        <w:jc w:val="left"/>
        <w:rPr>
          <w:rFonts w:eastAsia="仿宋_GB2312" w:cs="仿宋_GB2312"/>
          <w:b/>
          <w:bCs/>
          <w:sz w:val="32"/>
          <w:szCs w:val="32"/>
        </w:rPr>
      </w:pPr>
    </w:p>
    <w:p>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pPr>
        <w:pStyle w:val="5"/>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pPr>
        <w:widowControl/>
        <w:jc w:val="left"/>
        <w:rPr>
          <w:rFonts w:eastAsia="黑体"/>
          <w:sz w:val="32"/>
          <w:szCs w:val="32"/>
        </w:rPr>
      </w:pPr>
    </w:p>
    <w:p>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安居区三家镇太平小学校地处遂宁市安居区三家镇太平观音街78号，我校主要服务区域为四川省遂宁市安居区三家镇太平乡及附近区域。我校正确贯彻执行党和国家的教育方针、政策、法规；积极实施小学教育，促进小学教育发展，负责小学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p>
      <w:pPr>
        <w:pStyle w:val="6"/>
        <w:rPr>
          <w:rStyle w:val="30"/>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pPr>
        <w:pStyle w:val="8"/>
        <w:adjustRightInd w:val="0"/>
        <w:snapToGrid w:val="0"/>
        <w:spacing w:beforeLines="0" w:line="600" w:lineRule="exact"/>
        <w:ind w:firstLine="640" w:firstLineChars="200"/>
        <w:outlineLvl w:val="2"/>
        <w:rPr>
          <w:rFonts w:hint="eastAsia" w:hAnsi="仿宋_GB2312" w:cs="仿宋_GB2312"/>
          <w:kern w:val="2"/>
          <w:sz w:val="32"/>
          <w:szCs w:val="32"/>
        </w:rPr>
      </w:pPr>
      <w:r>
        <w:rPr>
          <w:rFonts w:hint="eastAsia" w:hAnsi="仿宋_GB2312" w:cs="仿宋_GB2312"/>
          <w:kern w:val="2"/>
          <w:sz w:val="32"/>
          <w:szCs w:val="32"/>
        </w:rPr>
        <w:t>我校为独立编制机构1个，独立核算机构1个。</w:t>
      </w:r>
    </w:p>
    <w:p>
      <w:pPr>
        <w:pStyle w:val="8"/>
        <w:adjustRightInd w:val="0"/>
        <w:snapToGrid w:val="0"/>
        <w:spacing w:beforeLines="0" w:line="600" w:lineRule="exact"/>
        <w:ind w:firstLine="640" w:firstLineChars="200"/>
        <w:outlineLvl w:val="2"/>
        <w:rPr>
          <w:rFonts w:ascii="Times New Roman" w:cs="仿宋_GB2312"/>
          <w:sz w:val="32"/>
          <w:szCs w:val="32"/>
        </w:rPr>
      </w:pPr>
      <w:r>
        <w:rPr>
          <w:rFonts w:hint="eastAsia" w:hAnsi="仿宋_GB2312" w:cs="仿宋_GB2312"/>
          <w:kern w:val="2"/>
          <w:sz w:val="32"/>
          <w:szCs w:val="32"/>
        </w:rPr>
        <w:t>我校现有在编教师25人,遗属7人，退休职工34人，在校学生48人。学校现设有行政办、德育处、教导处、后勤处等部门。</w:t>
      </w:r>
    </w:p>
    <w:p>
      <w:pPr>
        <w:widowControl/>
        <w:jc w:val="left"/>
        <w:rPr>
          <w:rFonts w:eastAsia="仿宋"/>
          <w:kern w:val="0"/>
          <w:sz w:val="32"/>
          <w:szCs w:val="32"/>
        </w:rPr>
      </w:pPr>
      <w:r>
        <w:rPr>
          <w:rFonts w:eastAsia="仿宋"/>
          <w:sz w:val="32"/>
          <w:szCs w:val="32"/>
        </w:rPr>
        <w:br w:type="page"/>
      </w:r>
    </w:p>
    <w:p>
      <w:pPr>
        <w:pStyle w:val="5"/>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  2024年度部门决算情况说明</w:t>
      </w:r>
      <w:bookmarkEnd w:id="16"/>
      <w:bookmarkEnd w:id="17"/>
    </w:p>
    <w:p/>
    <w:p>
      <w:pPr>
        <w:pStyle w:val="28"/>
        <w:spacing w:line="600" w:lineRule="exact"/>
        <w:ind w:firstLine="640"/>
        <w:outlineLvl w:val="1"/>
        <w:rPr>
          <w:rStyle w:val="30"/>
          <w:rFonts w:ascii="Times New Roman" w:hAnsi="Times New Roman" w:eastAsia="黑体"/>
          <w:b w:val="0"/>
        </w:rPr>
      </w:pPr>
      <w:bookmarkStart w:id="18" w:name="_Toc15377205"/>
      <w:bookmarkStart w:id="19"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pPr>
        <w:pStyle w:val="28"/>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529.84</w:t>
      </w:r>
      <w:r>
        <w:rPr>
          <w:rFonts w:hint="eastAsia" w:eastAsia="仿宋_GB2312" w:cs="仿宋_GB2312"/>
          <w:sz w:val="32"/>
          <w:szCs w:val="32"/>
        </w:rPr>
        <w:t>万元。与2023年度相比，收入、支出总计各增加44.39万元，增长9.14%。主要变动原因是本年度决算中将学生课后服务费、学生伙食费纳入决算中，导致收入、支出经费均有增加；本年度教职工工资及五险两金等人员经费有所增加，综上，本年度经费有增长。</w:t>
      </w:r>
    </w:p>
    <w:p>
      <w:pPr>
        <w:pStyle w:val="28"/>
        <w:outlineLvl w:val="1"/>
        <w:rPr>
          <w:rFonts w:eastAsia="仿宋_GB2312" w:cs="仿宋_GB2312"/>
          <w:sz w:val="32"/>
          <w:szCs w:val="32"/>
        </w:rPr>
      </w:pPr>
      <w:r>
        <w:drawing>
          <wp:inline distT="0" distB="0" distL="0" distR="0">
            <wp:extent cx="3857625" cy="27241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pPr>
        <w:ind w:firstLine="640" w:firstLineChars="200"/>
        <w:rPr>
          <w:rFonts w:eastAsia="仿宋_GB2312" w:cs="仿宋_GB2312"/>
          <w:sz w:val="32"/>
          <w:szCs w:val="32"/>
        </w:rPr>
      </w:pPr>
    </w:p>
    <w:p>
      <w:pPr>
        <w:pStyle w:val="28"/>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pPr>
        <w:pStyle w:val="28"/>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2024年度本年收入合计529.84万元，其中：一般公共预算财政拨款收入514.1万元，占97.03%；其他收入15.74万元，占2.97%。</w:t>
      </w:r>
    </w:p>
    <w:p>
      <w:pPr>
        <w:pStyle w:val="28"/>
        <w:jc w:val="left"/>
        <w:outlineLvl w:val="1"/>
        <w:rPr>
          <w:rFonts w:eastAsia="仿宋_GB2312" w:cs="仿宋_GB2312"/>
          <w:b/>
          <w:bCs/>
          <w:sz w:val="32"/>
          <w:szCs w:val="32"/>
        </w:rPr>
      </w:pPr>
      <w:r>
        <w:drawing>
          <wp:inline distT="0" distB="0" distL="0" distR="0">
            <wp:extent cx="4562475" cy="4048125"/>
            <wp:effectExtent l="0" t="0" r="95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800" w:firstLineChars="250"/>
        <w:rPr>
          <w:rFonts w:eastAsia="仿宋_GB2312" w:cs="仿宋_GB2312"/>
          <w:sz w:val="32"/>
          <w:szCs w:val="32"/>
        </w:rPr>
      </w:pPr>
      <w:r>
        <w:rPr>
          <w:rFonts w:hint="eastAsia" w:eastAsia="仿宋_GB2312" w:cs="仿宋_GB2312"/>
          <w:sz w:val="32"/>
          <w:szCs w:val="32"/>
        </w:rPr>
        <w:t>（图2：收入决算结构图）</w:t>
      </w:r>
    </w:p>
    <w:p>
      <w:pPr>
        <w:ind w:firstLine="800" w:firstLineChars="250"/>
        <w:rPr>
          <w:rFonts w:eastAsia="仿宋_GB2312" w:cs="仿宋_GB2312"/>
          <w:sz w:val="32"/>
          <w:szCs w:val="32"/>
        </w:rPr>
      </w:pPr>
    </w:p>
    <w:p>
      <w:pPr>
        <w:pStyle w:val="28"/>
        <w:spacing w:line="600" w:lineRule="exact"/>
        <w:ind w:firstLine="640"/>
        <w:outlineLvl w:val="1"/>
        <w:rPr>
          <w:rStyle w:val="30"/>
          <w:rFonts w:ascii="Times New Roman" w:hAnsi="Times New Roman" w:eastAsia="黑体"/>
          <w:b w:val="0"/>
        </w:rPr>
      </w:pPr>
      <w:bookmarkStart w:id="22" w:name="_Toc15396605"/>
      <w:bookmarkStart w:id="23" w:name="_Toc15377207"/>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pPr>
        <w:pStyle w:val="28"/>
        <w:spacing w:line="600" w:lineRule="exact"/>
        <w:ind w:firstLine="640"/>
        <w:jc w:val="left"/>
        <w:outlineLvl w:val="1"/>
        <w:rPr>
          <w:rFonts w:hint="eastAsia" w:ascii="仿宋_GB2312" w:hAnsi="仿宋_GB2312" w:eastAsia="仿宋_GB2312" w:cs="仿宋_GB2312"/>
          <w:sz w:val="32"/>
          <w:szCs w:val="32"/>
          <w:shd w:val="clear" w:fill="FFFF00"/>
          <w:lang w:val="en-US" w:eastAsia="zh-CN"/>
        </w:rPr>
      </w:pPr>
      <w:r>
        <w:rPr>
          <w:rFonts w:hint="eastAsia" w:ascii="仿宋_GB2312" w:hAnsi="仿宋_GB2312" w:eastAsia="仿宋_GB2312" w:cs="仿宋_GB2312"/>
          <w:sz w:val="32"/>
          <w:szCs w:val="32"/>
        </w:rPr>
        <w:t>2024年度本年支出合计529.84万元，其中：基本支出489.46万元，占92.38%；项目支出40.38万元，占7.62%</w:t>
      </w:r>
      <w:r>
        <w:rPr>
          <w:rFonts w:hint="eastAsia" w:ascii="仿宋_GB2312" w:hAnsi="仿宋_GB2312" w:eastAsia="仿宋_GB2312" w:cs="仿宋_GB2312"/>
          <w:sz w:val="32"/>
          <w:szCs w:val="32"/>
          <w:lang w:eastAsia="zh-CN"/>
        </w:rPr>
        <w:t>。</w:t>
      </w:r>
    </w:p>
    <w:p>
      <w:pPr>
        <w:pStyle w:val="28"/>
        <w:jc w:val="left"/>
        <w:outlineLvl w:val="1"/>
        <w:rPr>
          <w:rFonts w:eastAsia="仿宋_GB2312" w:cs="仿宋_GB2312"/>
          <w:sz w:val="32"/>
          <w:szCs w:val="32"/>
        </w:rPr>
      </w:pPr>
      <w:r>
        <w:drawing>
          <wp:inline distT="0" distB="0" distL="0" distR="0">
            <wp:extent cx="3629025" cy="3905250"/>
            <wp:effectExtent l="0" t="0" r="952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800" w:firstLineChars="250"/>
        <w:rPr>
          <w:rFonts w:eastAsia="仿宋_GB2312" w:cs="仿宋_GB2312"/>
          <w:sz w:val="32"/>
          <w:szCs w:val="32"/>
        </w:rPr>
      </w:pPr>
      <w:r>
        <w:rPr>
          <w:rFonts w:hint="eastAsia" w:eastAsia="仿宋_GB2312" w:cs="仿宋_GB2312"/>
          <w:sz w:val="32"/>
          <w:szCs w:val="32"/>
        </w:rPr>
        <w:t>（图3：支出决算结构图）</w:t>
      </w:r>
    </w:p>
    <w:p>
      <w:pPr>
        <w:ind w:firstLine="800" w:firstLineChars="250"/>
        <w:rPr>
          <w:rFonts w:eastAsia="仿宋_GB2312" w:cs="仿宋_GB2312"/>
          <w:sz w:val="32"/>
          <w:szCs w:val="32"/>
        </w:rPr>
      </w:pPr>
    </w:p>
    <w:p>
      <w:pPr>
        <w:spacing w:line="600" w:lineRule="exact"/>
        <w:ind w:firstLine="640" w:firstLineChars="200"/>
        <w:outlineLvl w:val="1"/>
        <w:rPr>
          <w:rStyle w:val="30"/>
          <w:rFonts w:ascii="Times New Roman" w:hAnsi="Times New Roman" w:eastAsia="黑体"/>
          <w:b w:val="0"/>
        </w:rPr>
      </w:pPr>
      <w:bookmarkStart w:id="24" w:name="_Toc15396606"/>
      <w:bookmarkStart w:id="25"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514.1</w:t>
      </w:r>
      <w:r>
        <w:rPr>
          <w:rFonts w:hint="eastAsia" w:eastAsia="仿宋_GB2312" w:cs="仿宋_GB2312"/>
          <w:sz w:val="32"/>
          <w:szCs w:val="32"/>
        </w:rPr>
        <w:t>万元。与2023年度相比，财政拨款收入总计、支出总计各增加28.65万元，增长5.9%。主要变动原因是本年度教职工工资及五险两金等人员经费有所增加导致本年度经费有增长。</w:t>
      </w:r>
    </w:p>
    <w:p>
      <w:pPr>
        <w:pStyle w:val="2"/>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pPr>
        <w:spacing w:line="600" w:lineRule="exact"/>
        <w:ind w:firstLine="640"/>
        <w:rPr>
          <w:rFonts w:eastAsia="仿宋_GB2312" w:cs="仿宋_GB2312"/>
          <w:sz w:val="32"/>
          <w:szCs w:val="32"/>
        </w:rPr>
      </w:pPr>
    </w:p>
    <w:p>
      <w:pPr>
        <w:spacing w:line="600" w:lineRule="exact"/>
        <w:ind w:firstLine="640" w:firstLineChars="200"/>
        <w:outlineLvl w:val="1"/>
        <w:rPr>
          <w:rStyle w:val="30"/>
          <w:rFonts w:ascii="Times New Roman" w:hAnsi="Times New Roman" w:eastAsia="黑体"/>
          <w:b w:val="0"/>
        </w:rPr>
      </w:pPr>
      <w:bookmarkStart w:id="26" w:name="_Toc15396607"/>
      <w:bookmarkStart w:id="27"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514.1万元，占本年支出合计的97.02%。与2023年度相比，一般公共预算财政拨款支出增加28.65万元，增长5.9%。主要变动原因是本年度教职工工资及五险两金等人员经费有所增加导致本年度经费有增长。</w:t>
      </w:r>
    </w:p>
    <w:p>
      <w:pPr>
        <w:pStyle w:val="2"/>
      </w:pPr>
      <w:r>
        <w:drawing>
          <wp:inline distT="0" distB="0" distL="0" distR="0">
            <wp:extent cx="4572000" cy="2743200"/>
            <wp:effectExtent l="0" t="0" r="19050"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514.1万元</w:t>
      </w:r>
      <w:r>
        <w:rPr>
          <w:rFonts w:hint="eastAsia" w:eastAsia="仿宋_GB2312" w:cs="仿宋_GB2312"/>
          <w:sz w:val="32"/>
          <w:szCs w:val="32"/>
        </w:rPr>
        <w:t>，主要用于以下方面：一般公共服务支出0万元，占0%；教育支出398.18万元，占77.45%；科学技术支出0万元，占0%；文化旅游体育与传媒支出0万元，占0%；社会保障和就业支出58.65万元，占11.41%；卫生健康支出22.59万元，占4.39%；住房保障支出34.68万元，占6.75%。</w:t>
      </w:r>
    </w:p>
    <w:p>
      <w:pPr>
        <w:pStyle w:val="2"/>
      </w:pPr>
      <w:r>
        <w:drawing>
          <wp:inline distT="0" distB="0" distL="0" distR="0">
            <wp:extent cx="5114925" cy="3514725"/>
            <wp:effectExtent l="0" t="0" r="9525"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pPr>
        <w:spacing w:line="600" w:lineRule="exact"/>
        <w:ind w:firstLine="640"/>
        <w:rPr>
          <w:rFonts w:eastAsia="仿宋_GB2312" w:cs="仿宋_GB2312"/>
          <w:sz w:val="32"/>
          <w:szCs w:val="32"/>
        </w:rPr>
      </w:pPr>
      <w:bookmarkStart w:id="31" w:name="_Toc15377213"/>
      <w:bookmarkStart w:id="32" w:name="_Toc15378460"/>
      <w:bookmarkStart w:id="33"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514.1，</w:t>
      </w:r>
      <w:r>
        <w:rPr>
          <w:rFonts w:hint="eastAsia" w:eastAsia="仿宋_GB2312" w:cs="仿宋_GB2312"/>
          <w:sz w:val="32"/>
          <w:szCs w:val="32"/>
        </w:rPr>
        <w:t>完成预算100%。其中：</w:t>
      </w:r>
      <w:bookmarkEnd w:id="31"/>
      <w:bookmarkEnd w:id="32"/>
      <w:bookmarkEnd w:id="33"/>
    </w:p>
    <w:p>
      <w:pPr>
        <w:spacing w:line="600" w:lineRule="exact"/>
        <w:ind w:firstLine="640"/>
        <w:rPr>
          <w:rFonts w:hint="eastAsia" w:eastAsia="仿宋_GB2312" w:cs="仿宋_GB2312"/>
          <w:sz w:val="32"/>
          <w:szCs w:val="32"/>
        </w:rPr>
      </w:pPr>
      <w:r>
        <w:rPr>
          <w:rFonts w:hint="eastAsia" w:eastAsia="仿宋_GB2312" w:cs="仿宋_GB2312"/>
          <w:b/>
          <w:bCs/>
          <w:sz w:val="32"/>
          <w:szCs w:val="32"/>
        </w:rPr>
        <w:t>1. 教育支出205(类)普通教育02(款)学前教育01(款)</w:t>
      </w:r>
      <w:r>
        <w:rPr>
          <w:rFonts w:hint="eastAsia" w:eastAsia="仿宋_GB2312" w:cs="仿宋_GB2312"/>
          <w:sz w:val="32"/>
          <w:szCs w:val="32"/>
        </w:rPr>
        <w:t>：支出决算为2.87万元，完成预算100%。</w:t>
      </w:r>
    </w:p>
    <w:p>
      <w:pPr>
        <w:spacing w:line="600" w:lineRule="exact"/>
        <w:ind w:firstLine="640"/>
        <w:rPr>
          <w:rFonts w:hint="eastAsia" w:eastAsia="仿宋_GB2312" w:cs="仿宋_GB2312"/>
          <w:sz w:val="32"/>
          <w:szCs w:val="32"/>
        </w:rPr>
      </w:pPr>
      <w:r>
        <w:rPr>
          <w:rFonts w:hint="eastAsia" w:eastAsia="仿宋_GB2312" w:cs="仿宋_GB2312"/>
          <w:b/>
          <w:bCs/>
          <w:sz w:val="32"/>
          <w:szCs w:val="32"/>
        </w:rPr>
        <w:t>2. 教育支出205(类)普通教育02(款)小学教育02(款)</w:t>
      </w:r>
      <w:r>
        <w:rPr>
          <w:rFonts w:hint="eastAsia" w:eastAsia="仿宋_GB2312" w:cs="仿宋_GB2312"/>
          <w:sz w:val="32"/>
          <w:szCs w:val="32"/>
        </w:rPr>
        <w:t>：支出决算为394.18万元，完成预算100%。</w:t>
      </w:r>
    </w:p>
    <w:p>
      <w:pPr>
        <w:spacing w:line="600" w:lineRule="exact"/>
        <w:ind w:firstLine="640"/>
        <w:rPr>
          <w:rFonts w:eastAsia="仿宋_GB2312" w:cs="仿宋_GB2312"/>
          <w:sz w:val="32"/>
          <w:szCs w:val="32"/>
        </w:rPr>
      </w:pPr>
      <w:r>
        <w:rPr>
          <w:rFonts w:hint="eastAsia" w:eastAsia="仿宋_GB2312" w:cs="仿宋_GB2312"/>
          <w:b/>
          <w:bCs/>
          <w:sz w:val="32"/>
          <w:szCs w:val="32"/>
          <w:shd w:val="clear"/>
        </w:rPr>
        <w:t>3. 教育支出205(类)普通教育02(款)其他普通教育支出99(款)：</w:t>
      </w:r>
      <w:r>
        <w:rPr>
          <w:rFonts w:hint="eastAsia" w:eastAsia="仿宋_GB2312" w:cs="仿宋_GB2312"/>
          <w:sz w:val="32"/>
          <w:szCs w:val="32"/>
        </w:rPr>
        <w:t>支出决算为0.07万元，完成预算100%。</w:t>
      </w:r>
    </w:p>
    <w:p>
      <w:pPr>
        <w:spacing w:line="600" w:lineRule="exact"/>
        <w:ind w:firstLine="640"/>
        <w:rPr>
          <w:rFonts w:eastAsia="仿宋_GB2312" w:cs="仿宋_GB2312"/>
          <w:sz w:val="32"/>
          <w:szCs w:val="32"/>
        </w:rPr>
      </w:pPr>
      <w:r>
        <w:rPr>
          <w:rFonts w:hint="eastAsia" w:eastAsia="仿宋_GB2312" w:cs="仿宋_GB2312"/>
          <w:b/>
          <w:bCs/>
          <w:sz w:val="32"/>
          <w:szCs w:val="32"/>
        </w:rPr>
        <w:t>4. 教育支出205(类)其他教育支出99(款)其他教育支出99(款)：</w:t>
      </w:r>
      <w:r>
        <w:rPr>
          <w:rFonts w:hint="eastAsia" w:eastAsia="仿宋_GB2312" w:cs="仿宋_GB2312"/>
          <w:sz w:val="32"/>
          <w:szCs w:val="32"/>
        </w:rPr>
        <w:t>支出决算为1.06万元，完成预算100%。</w:t>
      </w:r>
    </w:p>
    <w:p>
      <w:pPr>
        <w:spacing w:line="600" w:lineRule="exact"/>
        <w:ind w:firstLine="640"/>
        <w:rPr>
          <w:rFonts w:hint="eastAsia" w:eastAsia="仿宋_GB2312" w:cs="仿宋_GB2312"/>
          <w:sz w:val="32"/>
          <w:szCs w:val="32"/>
        </w:rPr>
      </w:pPr>
      <w:r>
        <w:rPr>
          <w:rFonts w:hint="eastAsia" w:eastAsia="仿宋_GB2312" w:cs="仿宋_GB2312"/>
          <w:b/>
          <w:bCs/>
          <w:sz w:val="32"/>
          <w:szCs w:val="32"/>
        </w:rPr>
        <w:t>5. 社会保障和就业支出208(类)行政事业单位养老支出05(款)机关事业单位基本养老保险缴费支出05(款)：</w:t>
      </w:r>
      <w:r>
        <w:rPr>
          <w:rFonts w:hint="eastAsia" w:eastAsia="仿宋_GB2312" w:cs="仿宋_GB2312"/>
          <w:sz w:val="32"/>
          <w:szCs w:val="32"/>
        </w:rPr>
        <w:t>支出决算为48.78万元，完成预算100%。</w:t>
      </w:r>
    </w:p>
    <w:p>
      <w:pPr>
        <w:spacing w:line="600" w:lineRule="exact"/>
        <w:ind w:firstLine="640"/>
        <w:rPr>
          <w:rFonts w:eastAsia="仿宋_GB2312" w:cs="仿宋_GB2312"/>
          <w:sz w:val="32"/>
          <w:szCs w:val="32"/>
        </w:rPr>
      </w:pPr>
      <w:r>
        <w:rPr>
          <w:rFonts w:hint="eastAsia" w:eastAsia="仿宋_GB2312" w:cs="仿宋_GB2312"/>
          <w:b/>
          <w:bCs/>
          <w:sz w:val="32"/>
          <w:szCs w:val="32"/>
        </w:rPr>
        <w:t>6. 社会保障和就业支出208(类)行政事业单位养老支出05(款)其他行政事业单位养老支出99(款)：</w:t>
      </w:r>
      <w:r>
        <w:rPr>
          <w:rFonts w:hint="eastAsia" w:eastAsia="仿宋_GB2312" w:cs="仿宋_GB2312"/>
          <w:sz w:val="32"/>
          <w:szCs w:val="32"/>
        </w:rPr>
        <w:t>支出决算为5.67万元，完成预算100%。</w:t>
      </w:r>
    </w:p>
    <w:p>
      <w:pPr>
        <w:spacing w:line="600" w:lineRule="exact"/>
        <w:ind w:firstLine="640"/>
        <w:rPr>
          <w:rFonts w:eastAsia="仿宋_GB2312" w:cs="仿宋_GB2312"/>
          <w:sz w:val="32"/>
          <w:szCs w:val="32"/>
        </w:rPr>
      </w:pPr>
      <w:r>
        <w:rPr>
          <w:rFonts w:hint="eastAsia" w:eastAsia="仿宋_GB2312" w:cs="仿宋_GB2312"/>
          <w:b/>
          <w:bCs/>
          <w:sz w:val="32"/>
          <w:szCs w:val="32"/>
        </w:rPr>
        <w:t>7. 社会保障和就业支出208(类)其他社会保障和就业支出99(款)其他社会保障和就业支出99(款)：</w:t>
      </w:r>
      <w:r>
        <w:rPr>
          <w:rFonts w:hint="eastAsia" w:eastAsia="仿宋_GB2312" w:cs="仿宋_GB2312"/>
          <w:sz w:val="32"/>
          <w:szCs w:val="32"/>
        </w:rPr>
        <w:t>支出决算为4.2万元，完成预算100%。</w:t>
      </w:r>
    </w:p>
    <w:p>
      <w:pPr>
        <w:spacing w:line="600" w:lineRule="exact"/>
        <w:ind w:firstLine="640"/>
        <w:rPr>
          <w:rFonts w:eastAsia="仿宋_GB2312" w:cs="仿宋_GB2312"/>
          <w:sz w:val="32"/>
          <w:szCs w:val="32"/>
        </w:rPr>
      </w:pPr>
      <w:r>
        <w:rPr>
          <w:rFonts w:hint="eastAsia" w:eastAsia="仿宋_GB2312" w:cs="仿宋_GB2312"/>
          <w:b/>
          <w:bCs/>
          <w:sz w:val="32"/>
          <w:szCs w:val="32"/>
        </w:rPr>
        <w:t>8. 卫生健康支出210(类)行政事业单位医疗11(款)事业单位医疗02(款)：</w:t>
      </w:r>
      <w:r>
        <w:rPr>
          <w:rFonts w:hint="eastAsia" w:eastAsia="仿宋_GB2312" w:cs="仿宋_GB2312"/>
          <w:sz w:val="32"/>
          <w:szCs w:val="32"/>
        </w:rPr>
        <w:t>支出决算为22.59万元，完成预算100%。</w:t>
      </w:r>
    </w:p>
    <w:p>
      <w:pPr>
        <w:spacing w:line="600" w:lineRule="exact"/>
        <w:ind w:firstLine="640"/>
        <w:rPr>
          <w:rFonts w:hint="eastAsia" w:eastAsia="仿宋_GB2312" w:cs="仿宋_GB2312"/>
          <w:sz w:val="32"/>
          <w:szCs w:val="32"/>
        </w:rPr>
      </w:pPr>
      <w:r>
        <w:rPr>
          <w:rFonts w:hint="eastAsia" w:eastAsia="仿宋_GB2312" w:cs="仿宋_GB2312"/>
          <w:b/>
          <w:bCs/>
          <w:sz w:val="32"/>
          <w:szCs w:val="32"/>
        </w:rPr>
        <w:t>9. 住房保障支出221(类)住房改革支出02(款)住房公积金01(款)：</w:t>
      </w:r>
      <w:r>
        <w:rPr>
          <w:rFonts w:hint="eastAsia" w:eastAsia="仿宋_GB2312" w:cs="仿宋_GB2312"/>
          <w:sz w:val="32"/>
          <w:szCs w:val="32"/>
        </w:rPr>
        <w:t>支出决算为34.68万元，完成预算100%。</w:t>
      </w: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30"/>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489.46万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478.73万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10.73万</w:t>
      </w:r>
      <w:r>
        <w:rPr>
          <w:rFonts w:hint="eastAsia" w:eastAsia="仿宋_GB2312" w:cs="仿宋_GB2312"/>
          <w:sz w:val="32"/>
          <w:szCs w:val="32"/>
        </w:rPr>
        <w:t>元，主要包括：办公费、印刷费、咨询费、手续费、水费、电费、邮电费、取暖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eastAsia="仿宋_GB2312" w:cs="仿宋_GB2312"/>
          <w:sz w:val="32"/>
          <w:szCs w:val="32"/>
        </w:rPr>
      </w:pPr>
    </w:p>
    <w:p>
      <w:pPr>
        <w:spacing w:line="600" w:lineRule="exact"/>
        <w:ind w:firstLine="640"/>
        <w:outlineLvl w:val="1"/>
        <w:rPr>
          <w:rStyle w:val="30"/>
          <w:rFonts w:ascii="Times New Roman" w:hAnsi="Times New Roman" w:eastAsia="黑体"/>
          <w:b w:val="0"/>
        </w:rPr>
      </w:pPr>
      <w:bookmarkStart w:id="36" w:name="_Toc15396609"/>
      <w:bookmarkStart w:id="37"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0万元，完成预算100%</w:t>
      </w:r>
      <w:r>
        <w:rPr>
          <w:rFonts w:hint="eastAsia" w:eastAsia="仿宋_GB2312" w:cs="仿宋_GB2312"/>
          <w:sz w:val="32"/>
          <w:szCs w:val="32"/>
        </w:rPr>
        <w:t>。与预算数持平。</w:t>
      </w:r>
    </w:p>
    <w:p>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w:t>
      </w:r>
    </w:p>
    <w:p>
      <w:pPr>
        <w:numPr>
          <w:ilvl w:val="0"/>
          <w:numId w:val="2"/>
        </w:numPr>
        <w:spacing w:line="600" w:lineRule="exact"/>
        <w:ind w:firstLine="640"/>
        <w:rPr>
          <w:rFonts w:hint="eastAsia" w:eastAsia="仿宋_GB2312" w:cs="仿宋_GB2312"/>
          <w:b/>
          <w:bCs/>
          <w:sz w:val="32"/>
          <w:szCs w:val="32"/>
        </w:rPr>
      </w:pPr>
      <w:r>
        <w:rPr>
          <w:rFonts w:hint="eastAsia" w:eastAsia="仿宋_GB2312" w:cs="仿宋_GB2312"/>
          <w:b/>
          <w:bCs/>
          <w:sz w:val="32"/>
          <w:szCs w:val="32"/>
        </w:rPr>
        <w:t>因公出国（境）经费支出0万元，完成预算</w:t>
      </w:r>
      <w:r>
        <w:rPr>
          <w:rFonts w:hint="eastAsia" w:eastAsia="仿宋_GB2312" w:cs="仿宋_GB2312"/>
          <w:b/>
          <w:bCs/>
          <w:sz w:val="32"/>
          <w:szCs w:val="32"/>
          <w:lang w:val="en-US" w:eastAsia="zh-CN"/>
        </w:rPr>
        <w:t>10</w:t>
      </w:r>
      <w:r>
        <w:rPr>
          <w:rFonts w:hint="eastAsia" w:eastAsia="仿宋_GB2312" w:cs="仿宋_GB2312"/>
          <w:b/>
          <w:bCs/>
          <w:sz w:val="32"/>
          <w:szCs w:val="32"/>
        </w:rPr>
        <w:t>0%。</w:t>
      </w:r>
    </w:p>
    <w:p>
      <w:pPr>
        <w:spacing w:line="600" w:lineRule="exact"/>
        <w:ind w:firstLine="640"/>
        <w:rPr>
          <w:rFonts w:ascii="仿宋_GB2312" w:eastAsia="仿宋_GB2312"/>
          <w:b/>
          <w:color w:val="auto"/>
          <w:sz w:val="32"/>
          <w:szCs w:val="32"/>
        </w:rPr>
      </w:pPr>
      <w:r>
        <w:rPr>
          <w:rFonts w:hint="eastAsia" w:ascii="仿宋_GB2312" w:eastAsia="仿宋_GB2312"/>
          <w:b w:val="0"/>
          <w:bCs w:val="0"/>
          <w:color w:val="auto"/>
          <w:sz w:val="32"/>
          <w:szCs w:val="32"/>
        </w:rPr>
        <w:t>全年</w:t>
      </w:r>
      <w:r>
        <w:rPr>
          <w:rFonts w:hint="eastAsia" w:ascii="仿宋_GB2312" w:eastAsia="仿宋_GB2312"/>
          <w:color w:val="auto"/>
          <w:sz w:val="32"/>
          <w:szCs w:val="32"/>
        </w:rPr>
        <w:t>安排因公出国（境）团组</w:t>
      </w:r>
      <w:r>
        <w:rPr>
          <w:color w:val="auto"/>
          <w:sz w:val="32"/>
          <w:szCs w:val="32"/>
        </w:rPr>
        <w:t>0</w:t>
      </w:r>
      <w:r>
        <w:rPr>
          <w:rFonts w:hint="eastAsia" w:ascii="仿宋_GB2312" w:eastAsia="仿宋_GB2312"/>
          <w:color w:val="auto"/>
          <w:sz w:val="32"/>
          <w:szCs w:val="32"/>
        </w:rPr>
        <w:t>次，出国（境）</w:t>
      </w:r>
      <w:r>
        <w:rPr>
          <w:color w:val="auto"/>
          <w:sz w:val="32"/>
          <w:szCs w:val="32"/>
        </w:rPr>
        <w:t>0</w:t>
      </w:r>
      <w:r>
        <w:rPr>
          <w:rFonts w:hint="eastAsia" w:ascii="仿宋_GB2312" w:eastAsia="仿宋_GB2312"/>
          <w:color w:val="auto"/>
          <w:sz w:val="32"/>
          <w:szCs w:val="32"/>
        </w:rPr>
        <w:t>人。因公出国（境）支出决算比202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年增加</w:t>
      </w:r>
      <w:r>
        <w:rPr>
          <w:rFonts w:ascii="仿宋_GB2312" w:eastAsia="仿宋_GB2312"/>
          <w:color w:val="auto"/>
          <w:sz w:val="32"/>
          <w:szCs w:val="32"/>
        </w:rPr>
        <w:t>0</w:t>
      </w:r>
      <w:r>
        <w:rPr>
          <w:rFonts w:hint="eastAsia" w:ascii="仿宋_GB2312" w:eastAsia="仿宋_GB2312"/>
          <w:color w:val="auto"/>
          <w:sz w:val="32"/>
          <w:szCs w:val="32"/>
        </w:rPr>
        <w:t>万元，增长</w:t>
      </w:r>
      <w:r>
        <w:rPr>
          <w:rFonts w:ascii="仿宋_GB2312" w:eastAsia="仿宋_GB2312"/>
          <w:color w:val="auto"/>
          <w:sz w:val="32"/>
          <w:szCs w:val="32"/>
        </w:rPr>
        <w:t>0</w:t>
      </w:r>
      <w:r>
        <w:rPr>
          <w:rFonts w:hint="eastAsia" w:ascii="仿宋_GB2312" w:eastAsia="仿宋_GB2312"/>
          <w:color w:val="auto"/>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10</w:t>
      </w:r>
      <w:r>
        <w:rPr>
          <w:rFonts w:hint="eastAsia" w:eastAsia="仿宋_GB2312" w:cs="仿宋_GB2312"/>
          <w:b/>
          <w:bCs/>
          <w:sz w:val="32"/>
          <w:szCs w:val="32"/>
        </w:rPr>
        <w:t>0%。</w:t>
      </w:r>
    </w:p>
    <w:p>
      <w:pPr>
        <w:spacing w:line="600" w:lineRule="exact"/>
        <w:ind w:firstLine="640"/>
        <w:rPr>
          <w:rFonts w:hint="eastAsia" w:ascii="仿宋_GB2312" w:eastAsia="仿宋_GB2312"/>
          <w:b/>
          <w:color w:val="auto"/>
          <w:sz w:val="32"/>
          <w:szCs w:val="32"/>
        </w:rPr>
      </w:pPr>
      <w:r>
        <w:rPr>
          <w:rFonts w:hint="eastAsia" w:ascii="仿宋_GB2312" w:eastAsia="仿宋_GB2312"/>
          <w:color w:val="auto"/>
          <w:sz w:val="32"/>
          <w:szCs w:val="32"/>
        </w:rPr>
        <w:t>公务用车购置及运行维护费支出决算比202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年度增加</w:t>
      </w:r>
      <w:r>
        <w:rPr>
          <w:rFonts w:ascii="仿宋_GB2312" w:eastAsia="仿宋_GB2312"/>
          <w:color w:val="auto"/>
          <w:sz w:val="32"/>
          <w:szCs w:val="32"/>
        </w:rPr>
        <w:t>0</w:t>
      </w:r>
      <w:r>
        <w:rPr>
          <w:rFonts w:hint="eastAsia" w:ascii="仿宋_GB2312" w:eastAsia="仿宋_GB2312"/>
          <w:color w:val="auto"/>
          <w:sz w:val="32"/>
          <w:szCs w:val="32"/>
        </w:rPr>
        <w:t>万元，增长</w:t>
      </w:r>
      <w:r>
        <w:rPr>
          <w:rFonts w:ascii="仿宋_GB2312" w:eastAsia="仿宋_GB2312"/>
          <w:color w:val="auto"/>
          <w:sz w:val="32"/>
          <w:szCs w:val="32"/>
        </w:rPr>
        <w:t>0</w:t>
      </w:r>
      <w:r>
        <w:rPr>
          <w:rFonts w:hint="eastAsia" w:ascii="仿宋_GB2312" w:eastAsia="仿宋_GB2312"/>
          <w:color w:val="auto"/>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其中：</w:t>
      </w:r>
      <w:r>
        <w:rPr>
          <w:rFonts w:hint="eastAsia" w:eastAsia="仿宋_GB2312" w:cs="仿宋_GB2312"/>
          <w:b/>
          <w:bCs/>
          <w:sz w:val="32"/>
          <w:szCs w:val="32"/>
        </w:rPr>
        <w:t>公务用车购置支</w:t>
      </w:r>
      <w:r>
        <w:rPr>
          <w:rFonts w:hint="eastAsia" w:ascii="仿宋_GB2312" w:hAnsi="仿宋_GB2312" w:eastAsia="仿宋_GB2312" w:cs="仿宋_GB2312"/>
          <w:b/>
          <w:bCs/>
          <w:sz w:val="32"/>
          <w:szCs w:val="32"/>
        </w:rPr>
        <w:t>出0</w:t>
      </w:r>
      <w:r>
        <w:rPr>
          <w:rFonts w:hint="eastAsia" w:eastAsia="仿宋_GB2312" w:cs="仿宋_GB2312"/>
          <w:b/>
          <w:bCs/>
          <w:sz w:val="32"/>
          <w:szCs w:val="32"/>
        </w:rPr>
        <w:t>万元。</w:t>
      </w:r>
      <w:r>
        <w:rPr>
          <w:rFonts w:hint="eastAsia" w:eastAsia="仿宋_GB2312" w:cs="仿宋_GB2312"/>
          <w:sz w:val="32"/>
          <w:szCs w:val="32"/>
        </w:rPr>
        <w:t>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10</w:t>
      </w:r>
      <w:r>
        <w:rPr>
          <w:rFonts w:hint="eastAsia" w:eastAsia="仿宋_GB2312" w:cs="仿宋_GB2312"/>
          <w:b/>
          <w:bCs/>
          <w:sz w:val="32"/>
          <w:szCs w:val="32"/>
        </w:rPr>
        <w:t>0%。</w:t>
      </w:r>
    </w:p>
    <w:p>
      <w:pPr>
        <w:numPr>
          <w:ilvl w:val="0"/>
          <w:numId w:val="0"/>
        </w:numPr>
        <w:spacing w:line="60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公务接待费支出决算与202</w:t>
      </w:r>
      <w:r>
        <w:rPr>
          <w:rFonts w:hint="eastAsia" w:ascii="仿宋_GB2312" w:eastAsia="仿宋_GB2312"/>
          <w:b w:val="0"/>
          <w:bCs w:val="0"/>
          <w:color w:val="auto"/>
          <w:sz w:val="32"/>
          <w:szCs w:val="32"/>
          <w:lang w:val="en-US" w:eastAsia="zh-CN"/>
        </w:rPr>
        <w:t>3</w:t>
      </w:r>
      <w:r>
        <w:rPr>
          <w:rFonts w:hint="eastAsia" w:ascii="仿宋_GB2312" w:eastAsia="仿宋_GB2312"/>
          <w:b w:val="0"/>
          <w:bCs w:val="0"/>
          <w:color w:val="auto"/>
          <w:sz w:val="32"/>
          <w:szCs w:val="32"/>
        </w:rPr>
        <w:t>年度持平。其中：</w:t>
      </w:r>
    </w:p>
    <w:p>
      <w:pPr>
        <w:numPr>
          <w:ilvl w:val="0"/>
          <w:numId w:val="0"/>
        </w:numPr>
        <w:spacing w:line="60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国内公务接待支出0万元。国内公务接待0批次，0人次（不包括陪同人员），共计支出0万元。</w:t>
      </w:r>
      <w:r>
        <w:rPr>
          <w:rFonts w:hint="eastAsia" w:ascii="仿宋_GB2312" w:eastAsia="仿宋_GB2312"/>
          <w:b w:val="0"/>
          <w:bCs w:val="0"/>
          <w:color w:val="auto"/>
          <w:sz w:val="32"/>
          <w:szCs w:val="32"/>
        </w:rPr>
        <w:br w:type="textWrapping"/>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外事接待支出0万元。外事接待0批次，0人次（不包括陪同人员），共计支出0万元。</w:t>
      </w:r>
    </w:p>
    <w:p>
      <w:pPr>
        <w:shd w:val="clear"/>
        <w:spacing w:line="600" w:lineRule="exact"/>
        <w:ind w:firstLine="640"/>
        <w:outlineLvl w:val="1"/>
        <w:rPr>
          <w:rStyle w:val="30"/>
          <w:rFonts w:ascii="Times New Roman" w:hAnsi="Times New Roman" w:eastAsia="黑体"/>
        </w:rPr>
      </w:pPr>
      <w:bookmarkStart w:id="40" w:name="_Toc15396610"/>
      <w:bookmarkStart w:id="41" w:name="_Toc15377218"/>
      <w:r>
        <w:rPr>
          <w:rFonts w:hint="eastAsia" w:eastAsia="黑体"/>
          <w:sz w:val="32"/>
          <w:szCs w:val="32"/>
        </w:rPr>
        <w:t>八、</w:t>
      </w:r>
      <w:r>
        <w:rPr>
          <w:rStyle w:val="30"/>
          <w:rFonts w:hint="eastAsia" w:ascii="Times New Roman" w:hAnsi="Times New Roman" w:eastAsia="黑体"/>
          <w:b w:val="0"/>
        </w:rPr>
        <w:t>政府性基金预算支出决算情况说明</w:t>
      </w:r>
      <w:bookmarkEnd w:id="40"/>
      <w:bookmarkEnd w:id="41"/>
    </w:p>
    <w:p>
      <w:pPr>
        <w:shd w:val="clea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pPr>
        <w:shd w:val="clea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pPr>
        <w:shd w:val="clea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p>
    <w:p>
      <w:pPr>
        <w:spacing w:line="600" w:lineRule="exact"/>
        <w:ind w:left="630"/>
        <w:outlineLvl w:val="1"/>
        <w:rPr>
          <w:rStyle w:val="30"/>
          <w:rFonts w:ascii="Times New Roman" w:hAnsi="Times New Roman" w:eastAsia="黑体"/>
          <w:b w:val="0"/>
        </w:rPr>
      </w:pPr>
      <w:bookmarkStart w:id="44" w:name="_Toc15377221"/>
      <w:bookmarkStart w:id="45" w:name="_Toc15396612"/>
      <w:r>
        <w:rPr>
          <w:rStyle w:val="30"/>
          <w:rFonts w:hint="eastAsia" w:ascii="Times New Roman" w:hAnsi="Times New Roman" w:eastAsia="黑体"/>
          <w:b w:val="0"/>
        </w:rPr>
        <w:t>十、其他重要事项的情况说明</w:t>
      </w:r>
      <w:bookmarkEnd w:id="44"/>
      <w:bookmarkEnd w:id="45"/>
    </w:p>
    <w:p>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，遂宁市安居区三家镇太平小学校机关运行经费支出0万</w:t>
      </w:r>
      <w:r>
        <w:rPr>
          <w:rFonts w:hint="eastAsia" w:eastAsia="仿宋_GB2312" w:cs="仿宋_GB2312"/>
          <w:sz w:val="32"/>
          <w:szCs w:val="32"/>
        </w:rPr>
        <w:t>元与2023年度决算数持平。</w:t>
      </w:r>
    </w:p>
    <w:p>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遂宁市安居区三家镇太平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截至2024年12月31日，遂宁市安居区三家镇太平小学校共有车辆0辆，其中：主要负责人用车0辆、机要通信用车0辆、应急保障用车0辆、其他用车0辆。单价100万元（含）以上设备（不含车辆）0台（套）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个项目开展了预算事前绩效评估，对</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w:t>
      </w:r>
      <w:r>
        <w:rPr>
          <w:rFonts w:hint="eastAsia" w:hAnsi="仿宋_GB2312" w:cs="仿宋_GB2312"/>
          <w:sz w:val="32"/>
          <w:szCs w:val="32"/>
          <w:lang w:eastAsia="zh-CN"/>
        </w:rPr>
        <w:t>选取</w:t>
      </w:r>
      <w:r>
        <w:rPr>
          <w:rFonts w:hint="eastAsia" w:hAnsi="仿宋_GB2312" w:cs="仿宋_GB2312"/>
          <w:sz w:val="32"/>
          <w:szCs w:val="32"/>
          <w:lang w:val="en-US" w:eastAsia="zh-CN"/>
        </w:rPr>
        <w:t>4个</w:t>
      </w:r>
      <w:r>
        <w:rPr>
          <w:rFonts w:hint="eastAsia" w:ascii="仿宋_GB2312" w:hAnsi="仿宋_GB2312" w:eastAsia="仿宋_GB2312" w:cs="仿宋_GB2312"/>
          <w:sz w:val="32"/>
          <w:szCs w:val="32"/>
        </w:rPr>
        <w:t>项目开展绩效监控。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shd w:val="clear"/>
          <w:lang w:val="en-US" w:eastAsia="zh-CN"/>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2024年太平小学</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、义教贫困生活补助、幼儿资助及幼儿发展资金、义务教育免作业本费等专项预算项目绩效自评报告，</w:t>
      </w:r>
      <w:r>
        <w:rPr>
          <w:rFonts w:hint="eastAsia" w:ascii="仿宋_GB2312" w:hAnsi="仿宋_GB2312" w:eastAsia="仿宋_GB2312" w:cs="仿宋_GB2312"/>
          <w:sz w:val="32"/>
          <w:szCs w:val="32"/>
          <w:shd w:val="clear"/>
        </w:rPr>
        <w:t>其中，</w:t>
      </w:r>
      <w:r>
        <w:rPr>
          <w:rFonts w:hint="eastAsia" w:ascii="仿宋_GB2312" w:hAnsi="仿宋_GB2312" w:eastAsia="仿宋_GB2312" w:cs="仿宋_GB2312"/>
          <w:sz w:val="32"/>
          <w:szCs w:val="32"/>
          <w:shd w:val="clear"/>
          <w:lang w:val="en-US" w:eastAsia="zh-CN"/>
        </w:rPr>
        <w:t>2024年太平小学</w:t>
      </w:r>
      <w:r>
        <w:rPr>
          <w:rFonts w:hint="eastAsia" w:ascii="仿宋_GB2312" w:hAnsi="仿宋_GB2312" w:eastAsia="仿宋_GB2312" w:cs="仿宋_GB2312"/>
          <w:sz w:val="32"/>
          <w:szCs w:val="32"/>
          <w:shd w:val="clear"/>
        </w:rPr>
        <w:t>部门整体（含部门预算项目）绩效自评得分为</w:t>
      </w:r>
      <w:r>
        <w:rPr>
          <w:rFonts w:hint="eastAsia" w:ascii="仿宋_GB2312" w:hAnsi="仿宋_GB2312" w:eastAsia="仿宋_GB2312" w:cs="仿宋_GB2312"/>
          <w:sz w:val="32"/>
          <w:szCs w:val="32"/>
          <w:shd w:val="clear"/>
          <w:lang w:val="en-US" w:eastAsia="zh-CN"/>
        </w:rPr>
        <w:t>100</w:t>
      </w:r>
      <w:r>
        <w:rPr>
          <w:rFonts w:hint="eastAsia" w:ascii="仿宋_GB2312" w:hAnsi="仿宋_GB2312" w:eastAsia="仿宋_GB2312" w:cs="仿宋_GB2312"/>
          <w:sz w:val="32"/>
          <w:szCs w:val="32"/>
          <w:shd w:val="clear"/>
        </w:rPr>
        <w:t>分，绩效自评综述：</w:t>
      </w:r>
      <w:r>
        <w:rPr>
          <w:rFonts w:hint="eastAsia" w:eastAsia="仿宋_GB2312" w:cs="Times New Roman"/>
          <w:sz w:val="32"/>
          <w:szCs w:val="32"/>
          <w:shd w:val="clear"/>
          <w:lang w:val="en-US" w:eastAsia="zh-CN"/>
        </w:rPr>
        <w:t>严格执行相关政策，保障工资及时发放、足额发放，预算编制科学合理，减少结余资金</w:t>
      </w:r>
      <w:r>
        <w:rPr>
          <w:rFonts w:hint="eastAsia" w:eastAsia="仿宋_GB2312"/>
          <w:sz w:val="32"/>
          <w:szCs w:val="32"/>
          <w:shd w:val="clear"/>
          <w:lang w:val="zh-CN"/>
        </w:rPr>
        <w:t>，</w:t>
      </w:r>
      <w:r>
        <w:rPr>
          <w:rFonts w:hint="eastAsia" w:ascii="仿宋_GB2312" w:hAnsi="仿宋_GB2312" w:eastAsia="仿宋_GB2312" w:cs="仿宋_GB2312"/>
          <w:sz w:val="32"/>
          <w:szCs w:val="32"/>
          <w:shd w:val="clear"/>
        </w:rPr>
        <w:t>广泛听取意见，认真总结分析,搜集完善各类资料。进</w:t>
      </w:r>
      <w:r>
        <w:rPr>
          <w:rFonts w:hint="eastAsia" w:ascii="仿宋_GB2312" w:hAnsi="仿宋_GB2312" w:eastAsia="仿宋_GB2312" w:cs="仿宋_GB2312"/>
          <w:sz w:val="32"/>
          <w:szCs w:val="32"/>
          <w:shd w:val="clear"/>
          <w:lang w:eastAsia="zh-CN"/>
        </w:rPr>
        <w:t>一</w:t>
      </w:r>
      <w:r>
        <w:rPr>
          <w:rFonts w:hint="eastAsia" w:ascii="仿宋_GB2312" w:hAnsi="仿宋_GB2312" w:eastAsia="仿宋_GB2312" w:cs="仿宋_GB2312"/>
          <w:sz w:val="32"/>
          <w:szCs w:val="32"/>
          <w:shd w:val="clear"/>
        </w:rPr>
        <w:t>步深化课程改革，提高教育质量</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rPr>
        <w:t>努力改善办学条件,促进教育均衡发展</w:t>
      </w:r>
      <w:r>
        <w:rPr>
          <w:rFonts w:hint="eastAsia" w:ascii="仿宋_GB2312" w:hAnsi="仿宋_GB2312" w:eastAsia="仿宋_GB2312" w:cs="仿宋_GB2312"/>
          <w:sz w:val="32"/>
          <w:szCs w:val="32"/>
          <w:shd w:val="clear"/>
          <w:lang w:eastAsia="zh-CN"/>
        </w:rPr>
        <w:t>。义教贫困生生活补助预算项目自评得分为</w:t>
      </w:r>
      <w:r>
        <w:rPr>
          <w:rFonts w:hint="eastAsia" w:ascii="仿宋_GB2312" w:hAnsi="仿宋_GB2312" w:eastAsia="仿宋_GB2312" w:cs="仿宋_GB2312"/>
          <w:sz w:val="32"/>
          <w:szCs w:val="32"/>
          <w:shd w:val="clear"/>
          <w:lang w:val="en-US" w:eastAsia="zh-CN"/>
        </w:rPr>
        <w:t>100分，绩效自评综述：加强民生资金专项管理，提高民生资金使用效益，确保专款专用，按程序及时兑现给学生（监护人）。</w:t>
      </w:r>
      <w:r>
        <w:rPr>
          <w:rFonts w:hint="eastAsia" w:ascii="仿宋_GB2312" w:hAnsi="仿宋_GB2312" w:eastAsia="仿宋_GB2312" w:cs="仿宋_GB2312"/>
          <w:sz w:val="32"/>
          <w:szCs w:val="32"/>
          <w:lang w:val="en-US" w:eastAsia="zh-CN"/>
        </w:rPr>
        <w:t>辞退民师补助预算项目绩效自评得分100分，绩效自评综述：</w:t>
      </w:r>
      <w:r>
        <w:rPr>
          <w:rFonts w:hint="eastAsia" w:ascii="仿宋_GB2312" w:hAnsi="仿宋_GB2312" w:eastAsia="仿宋_GB2312" w:cs="仿宋_GB2312"/>
          <w:sz w:val="32"/>
          <w:szCs w:val="32"/>
          <w:shd w:val="clear"/>
          <w:lang w:val="en-US" w:eastAsia="zh-CN"/>
        </w:rPr>
        <w:t>加强民生资金专项管理，提高民生资金使用效益，确保专款专用，按程序及时兑现给辞退民师。幼儿资助及幼儿发展资金预算项目绩效自评得分为100分，绩效自评综述：加强民生资金专项管理，提高民生资金使用效益，确保专款专用，按程序及时兑现给学生（监护人），及时申报经费，促进附设幼儿园健康发展。义务教育免作业本费专项预算项目绩效自评得分为100分，绩效自评综述：加强民生资金专项管理，提高民生资金使用效益，确保专款专用，及时申报经费，保证学生作业本按时发放。</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s="仿宋_GB2312"/>
          <w:b/>
          <w:bCs/>
          <w:sz w:val="32"/>
          <w:szCs w:val="32"/>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widowControl/>
        <w:jc w:val="center"/>
        <w:rPr>
          <w:rFonts w:eastAsia="黑体"/>
          <w:sz w:val="44"/>
          <w:szCs w:val="44"/>
        </w:rPr>
      </w:pPr>
      <w:bookmarkStart w:id="49" w:name="_Toc15377225"/>
      <w:bookmarkStart w:id="50" w:name="_Toc15396613"/>
      <w:r>
        <w:rPr>
          <w:rFonts w:hint="eastAsia" w:eastAsia="黑体"/>
          <w:sz w:val="44"/>
          <w:szCs w:val="44"/>
        </w:rPr>
        <w:t>第三部分  名词解释</w:t>
      </w:r>
      <w:bookmarkEnd w:id="49"/>
      <w:bookmarkEnd w:id="50"/>
    </w:p>
    <w:p>
      <w:pPr>
        <w:spacing w:line="600" w:lineRule="exact"/>
        <w:jc w:val="left"/>
        <w:rPr>
          <w:b/>
          <w:sz w:val="44"/>
          <w:szCs w:val="44"/>
        </w:rPr>
      </w:pPr>
    </w:p>
    <w:p>
      <w:pPr>
        <w:spacing w:line="600" w:lineRule="exact"/>
        <w:ind w:firstLine="640"/>
        <w:rPr>
          <w:rFonts w:hint="eastAsia"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2.事业收入：指事业单位开展专业业务活动及辅助活动取得的收入。如学前教育保教费收入等。</w:t>
      </w:r>
    </w:p>
    <w:p>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rPr>
          <w:rFonts w:hint="eastAsia" w:eastAsia="仿宋_GB2312" w:cs="仿宋_GB2312"/>
          <w:sz w:val="32"/>
          <w:szCs w:val="32"/>
        </w:rPr>
      </w:pPr>
      <w:r>
        <w:rPr>
          <w:rFonts w:hint="eastAsia" w:eastAsia="仿宋_GB2312" w:cs="仿宋_GB2312"/>
          <w:sz w:val="32"/>
          <w:szCs w:val="32"/>
        </w:rPr>
        <w:t xml:space="preserve">4.其他收入：指单位取得的除上述收入以外的各项收入。主要是利息收入、捐赠收入等。 </w:t>
      </w:r>
    </w:p>
    <w:p>
      <w:pPr>
        <w:spacing w:line="600" w:lineRule="exact"/>
        <w:ind w:firstLine="640"/>
        <w:rPr>
          <w:rFonts w:hint="eastAsia"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rPr>
          <w:rFonts w:hint="eastAsia"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rPr>
          <w:rFonts w:hint="eastAsia"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rPr>
          <w:rFonts w:hint="eastAsia" w:eastAsia="仿宋_GB2312" w:cs="仿宋_GB2312"/>
          <w:sz w:val="32"/>
          <w:szCs w:val="32"/>
        </w:rPr>
      </w:pPr>
      <w:r>
        <w:rPr>
          <w:rFonts w:hint="eastAsia" w:eastAsia="仿宋_GB2312" w:cs="仿宋_GB2312"/>
          <w:sz w:val="32"/>
          <w:szCs w:val="32"/>
        </w:rPr>
        <w:t>9.教育（205类）教育管理事务（01款）行政运行（01项）: 反映行政单位（包括实行公务员管理的事业单位）的基本支出。</w:t>
      </w:r>
    </w:p>
    <w:p>
      <w:pPr>
        <w:spacing w:line="600" w:lineRule="exact"/>
        <w:ind w:firstLine="640"/>
        <w:rPr>
          <w:rFonts w:hint="eastAsia" w:eastAsia="仿宋_GB2312" w:cs="仿宋_GB2312"/>
          <w:sz w:val="32"/>
          <w:szCs w:val="32"/>
        </w:rPr>
      </w:pPr>
      <w:r>
        <w:rPr>
          <w:rFonts w:hint="eastAsia" w:eastAsia="仿宋_GB2312" w:cs="仿宋_GB2312"/>
          <w:sz w:val="32"/>
          <w:szCs w:val="32"/>
        </w:rPr>
        <w:t>10.教育（205类）教育管理事务（01款）一般行政管理事务（02项）: 反映行政单位（包括实行公务员管理的事业单位）未单独设置项级科目的其他项目支出。</w:t>
      </w:r>
    </w:p>
    <w:p>
      <w:pPr>
        <w:spacing w:line="600" w:lineRule="exact"/>
        <w:ind w:firstLine="640"/>
        <w:rPr>
          <w:rFonts w:hint="eastAsia" w:eastAsia="仿宋_GB2312" w:cs="仿宋_GB2312"/>
          <w:sz w:val="32"/>
          <w:szCs w:val="32"/>
        </w:rPr>
      </w:pPr>
      <w:r>
        <w:rPr>
          <w:rFonts w:hint="eastAsia" w:eastAsia="仿宋_GB2312" w:cs="仿宋_GB2312"/>
          <w:sz w:val="32"/>
          <w:szCs w:val="32"/>
        </w:rPr>
        <w:t>11.教育（205类）教育管理事务（01款）其他教育管理事务支出（99项）: 反映除上述项目以外其他用于教育管理事务方面的支出。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12.教育（205类）普通教育（02款）学前教育（01项）: 反映各部门举办的学前教育支出。</w:t>
      </w:r>
    </w:p>
    <w:p>
      <w:pPr>
        <w:spacing w:line="600" w:lineRule="exact"/>
        <w:ind w:firstLine="640"/>
        <w:rPr>
          <w:rFonts w:hint="eastAsia" w:eastAsia="仿宋_GB2312" w:cs="仿宋_GB2312"/>
          <w:sz w:val="32"/>
          <w:szCs w:val="32"/>
        </w:rPr>
      </w:pPr>
      <w:r>
        <w:rPr>
          <w:rFonts w:hint="eastAsia" w:eastAsia="仿宋_GB2312" w:cs="仿宋_GB2312"/>
          <w:sz w:val="32"/>
          <w:szCs w:val="32"/>
        </w:rPr>
        <w:t>13.教育（205类）普通教育（02款）小学教育（02项）: 反映各部门举办的小学教育支出。政府各部门对社会中介组织等举办的小学的资助，如各类捐赠、补贴等，也在本科目中反映。</w:t>
      </w:r>
    </w:p>
    <w:p>
      <w:pPr>
        <w:spacing w:line="600" w:lineRule="exact"/>
        <w:ind w:firstLine="640"/>
        <w:rPr>
          <w:rFonts w:hint="eastAsia" w:eastAsia="仿宋_GB2312" w:cs="仿宋_GB2312"/>
          <w:sz w:val="32"/>
          <w:szCs w:val="32"/>
        </w:rPr>
      </w:pPr>
      <w:r>
        <w:rPr>
          <w:rFonts w:hint="eastAsia" w:eastAsia="仿宋_GB2312" w:cs="仿宋_GB2312"/>
          <w:sz w:val="32"/>
          <w:szCs w:val="32"/>
        </w:rPr>
        <w:t>14.教育（205类）普通教育（02款）其他普通教育支出（99项）: 反映除上述项目以外其他用于普通教育方面的支出。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15.教育（205类）其他教育支出（09款）其他教育支出（99项）: 反映除上述项目以外其他教育费附加安排的支出。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16.教育（205类）其他教育支出（99款）其他教育支出（99项）: 反映除上述项目以外其他教育方面的支出。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17.社会保障和就业（208类）行政事业单位养老支出（05款）事业单位离退休（02项）: 反映机关事业单位实施事业单位离退</w:t>
      </w:r>
      <w:r>
        <w:rPr>
          <w:rFonts w:hint="eastAsia" w:eastAsia="仿宋_GB2312" w:cs="仿宋_GB2312"/>
          <w:sz w:val="32"/>
          <w:szCs w:val="32"/>
          <w:lang w:val="en-US" w:eastAsia="zh-CN"/>
        </w:rPr>
        <w:t>休</w:t>
      </w:r>
      <w:r>
        <w:rPr>
          <w:rFonts w:hint="eastAsia" w:eastAsia="仿宋_GB2312" w:cs="仿宋_GB2312"/>
          <w:sz w:val="32"/>
          <w:szCs w:val="32"/>
        </w:rPr>
        <w:t>支出。</w:t>
      </w:r>
    </w:p>
    <w:p>
      <w:pPr>
        <w:spacing w:line="600" w:lineRule="exact"/>
        <w:ind w:firstLine="640"/>
        <w:rPr>
          <w:rFonts w:hint="eastAsia" w:eastAsia="仿宋_GB2312" w:cs="仿宋_GB2312"/>
          <w:sz w:val="32"/>
          <w:szCs w:val="32"/>
        </w:rPr>
      </w:pPr>
      <w:r>
        <w:rPr>
          <w:rFonts w:hint="eastAsia" w:eastAsia="仿宋_GB2312" w:cs="仿宋_GB2312"/>
          <w:sz w:val="32"/>
          <w:szCs w:val="32"/>
        </w:rPr>
        <w:t>18.社会保障和就业（208类）行政事业单位养老支出（05款）机关事业单位基本养老保险缴费支出（05项）: 反映机关事业单位实施养老保险制度由单位缴纳的基本养老保险费支出。</w:t>
      </w:r>
    </w:p>
    <w:p>
      <w:pPr>
        <w:spacing w:line="600" w:lineRule="exact"/>
        <w:ind w:firstLine="640"/>
        <w:rPr>
          <w:rFonts w:hint="eastAsia" w:eastAsia="仿宋_GB2312" w:cs="仿宋_GB2312"/>
          <w:sz w:val="32"/>
          <w:szCs w:val="32"/>
        </w:rPr>
      </w:pPr>
      <w:r>
        <w:rPr>
          <w:rFonts w:hint="eastAsia" w:eastAsia="仿宋_GB2312" w:cs="仿宋_GB2312"/>
          <w:sz w:val="32"/>
          <w:szCs w:val="32"/>
        </w:rPr>
        <w:t>19.社会保障和就业（208类）行政事业单位养老支出（05款）其他行政事业单位养老支出（99项）: 反映机关事业单位实施养老保险制度其他行政事业单位养老支出支出。</w:t>
      </w:r>
    </w:p>
    <w:p>
      <w:pPr>
        <w:spacing w:line="600" w:lineRule="exact"/>
        <w:ind w:firstLine="640"/>
        <w:rPr>
          <w:rFonts w:hint="eastAsia" w:eastAsia="仿宋_GB2312" w:cs="仿宋_GB2312"/>
          <w:sz w:val="32"/>
          <w:szCs w:val="32"/>
        </w:rPr>
      </w:pPr>
      <w:r>
        <w:rPr>
          <w:rFonts w:hint="eastAsia" w:eastAsia="仿宋_GB2312" w:cs="仿宋_GB2312"/>
          <w:sz w:val="32"/>
          <w:szCs w:val="32"/>
        </w:rPr>
        <w:t>20.社会保障和就业（208类）其他社会保障和就业支出（99款）其他社会保障和就业支出（99项）: 反映上述项目以外其他</w:t>
      </w:r>
      <w:bookmarkStart w:id="68" w:name="_GoBack"/>
      <w:bookmarkEnd w:id="68"/>
      <w:r>
        <w:rPr>
          <w:rFonts w:hint="eastAsia" w:eastAsia="仿宋_GB2312" w:cs="仿宋_GB2312"/>
          <w:sz w:val="32"/>
          <w:szCs w:val="32"/>
        </w:rPr>
        <w:t>用于社会保障和就业方面的支出。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spacing w:line="600" w:lineRule="exact"/>
        <w:ind w:firstLine="640"/>
        <w:rPr>
          <w:rFonts w:hint="eastAsia" w:eastAsia="仿宋_GB2312" w:cs="仿宋_GB2312"/>
          <w:sz w:val="32"/>
          <w:szCs w:val="32"/>
        </w:rPr>
      </w:pPr>
      <w:r>
        <w:rPr>
          <w:rFonts w:hint="eastAsia" w:eastAsia="仿宋_GB2312" w:cs="仿宋_GB2312"/>
          <w:sz w:val="32"/>
          <w:szCs w:val="32"/>
        </w:rPr>
        <w:t>22.住房保障支出（221类）住房改革支出（02款）住房公积金（01项）:反映行政事业单位按人力资源和社会保障部、财政部规定的基本工资和津贴补贴以及</w:t>
      </w:r>
      <w:r>
        <w:rPr>
          <w:rFonts w:hint="eastAsia" w:eastAsia="仿宋_GB2312" w:cs="仿宋_GB2312"/>
          <w:sz w:val="32"/>
          <w:szCs w:val="32"/>
          <w:lang w:val="en-US" w:eastAsia="zh-CN"/>
        </w:rPr>
        <w:t>按</w:t>
      </w:r>
      <w:r>
        <w:rPr>
          <w:rFonts w:hint="eastAsia" w:eastAsia="仿宋_GB2312" w:cs="仿宋_GB2312"/>
          <w:sz w:val="32"/>
          <w:szCs w:val="32"/>
        </w:rPr>
        <w:t>规定比例为职工缴纳的住房公积金。</w:t>
      </w:r>
    </w:p>
    <w:p>
      <w:pPr>
        <w:spacing w:line="600" w:lineRule="exact"/>
        <w:ind w:firstLine="640"/>
        <w:rPr>
          <w:rFonts w:hint="eastAsia" w:eastAsia="仿宋_GB2312" w:cs="仿宋_GB2312"/>
          <w:sz w:val="32"/>
          <w:szCs w:val="32"/>
        </w:rPr>
      </w:pPr>
      <w:r>
        <w:rPr>
          <w:rFonts w:hint="eastAsia" w:eastAsia="仿宋_GB2312" w:cs="仿宋_GB2312"/>
          <w:sz w:val="32"/>
          <w:szCs w:val="32"/>
        </w:rPr>
        <w:t>23.基本支出：指为保障机构正常运转、完成日常工作任务而发生的人员支出和公用支出。</w:t>
      </w:r>
    </w:p>
    <w:p>
      <w:pPr>
        <w:spacing w:line="600" w:lineRule="exact"/>
        <w:ind w:firstLine="640"/>
        <w:rPr>
          <w:rFonts w:hint="eastAsia" w:eastAsia="仿宋_GB2312" w:cs="仿宋_GB2312"/>
          <w:sz w:val="32"/>
          <w:szCs w:val="32"/>
        </w:rPr>
      </w:pPr>
      <w:r>
        <w:rPr>
          <w:rFonts w:hint="eastAsia" w:eastAsia="仿宋_GB2312" w:cs="仿宋_GB2312"/>
          <w:sz w:val="32"/>
          <w:szCs w:val="32"/>
        </w:rPr>
        <w:t xml:space="preserve">24.项目支出：指在基本支出之外为完成特定行政任务和事业发展目标所发生的支出。  </w:t>
      </w:r>
    </w:p>
    <w:p>
      <w:pPr>
        <w:spacing w:line="600" w:lineRule="exact"/>
        <w:ind w:firstLine="640"/>
        <w:rPr>
          <w:rFonts w:hint="eastAsia" w:eastAsia="仿宋_GB2312" w:cs="仿宋_GB2312"/>
          <w:sz w:val="32"/>
          <w:szCs w:val="32"/>
        </w:rPr>
      </w:pPr>
      <w:r>
        <w:rPr>
          <w:rFonts w:hint="eastAsia" w:eastAsia="仿宋_GB2312" w:cs="仿宋_GB2312"/>
          <w:sz w:val="32"/>
          <w:szCs w:val="32"/>
        </w:rPr>
        <w:t>25.经营支出：指事业单位在专业业务活动及其辅助活动之外开展非独立核算经营活动发生的支出。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eastAsia="仿宋_GB2312" w:cs="仿宋_GB2312"/>
          <w:sz w:val="32"/>
          <w:szCs w:val="32"/>
        </w:rPr>
      </w:pPr>
      <w:r>
        <w:rPr>
          <w:rFonts w:hint="eastAsia" w:eastAsia="仿宋_GB2312" w:cs="仿宋_GB2312"/>
          <w:sz w:val="32"/>
          <w:szCs w:val="32"/>
        </w:rPr>
        <w:t>27.工资福利：反映单位开支的在职职工和编制外长期聘用人员的各类劳动报酬，以及为上述人员缴纳的各项社会保险费等。</w:t>
      </w:r>
    </w:p>
    <w:p>
      <w:pPr>
        <w:spacing w:line="600" w:lineRule="exact"/>
        <w:ind w:firstLine="640"/>
        <w:rPr>
          <w:rFonts w:hint="eastAsia" w:eastAsia="仿宋_GB2312" w:cs="仿宋_GB2312"/>
          <w:sz w:val="32"/>
          <w:szCs w:val="32"/>
        </w:rPr>
      </w:pPr>
      <w:r>
        <w:rPr>
          <w:rFonts w:hint="eastAsia" w:eastAsia="仿宋_GB2312" w:cs="仿宋_GB2312"/>
          <w:sz w:val="32"/>
          <w:szCs w:val="32"/>
        </w:rPr>
        <w:t>28.商品和服务：反映单位购买商品和服务的支出，不包括用于购置固定资产、战略性和应急性物资储备等资本支出。</w:t>
      </w:r>
    </w:p>
    <w:p>
      <w:pPr>
        <w:spacing w:line="600" w:lineRule="exact"/>
        <w:ind w:firstLine="640"/>
        <w:rPr>
          <w:rFonts w:hint="eastAsia" w:eastAsia="仿宋_GB2312" w:cs="仿宋_GB2312"/>
          <w:sz w:val="32"/>
          <w:szCs w:val="32"/>
        </w:rPr>
      </w:pPr>
      <w:r>
        <w:rPr>
          <w:rFonts w:hint="eastAsia" w:eastAsia="仿宋_GB2312" w:cs="仿宋_GB2312"/>
          <w:sz w:val="32"/>
          <w:szCs w:val="32"/>
        </w:rPr>
        <w:t>29.对个人和家庭的补助：反映政府用于对个人和家庭的补助支出。</w:t>
      </w:r>
    </w:p>
    <w:p>
      <w:pPr>
        <w:spacing w:line="600" w:lineRule="exact"/>
        <w:ind w:firstLine="640"/>
        <w:rPr>
          <w:rFonts w:eastAsia="仿宋_GB2312" w:cs="仿宋_GB2312"/>
          <w:b/>
          <w:bCs/>
          <w:sz w:val="32"/>
          <w:szCs w:val="32"/>
        </w:rPr>
      </w:pPr>
      <w:r>
        <w:rPr>
          <w:rFonts w:hint="eastAsia" w:eastAsia="仿宋_GB2312" w:cs="仿宋_GB2312"/>
          <w:sz w:val="32"/>
          <w:szCs w:val="32"/>
        </w:rPr>
        <w:t>30.资本性支出：反映各单位安排的资本性支出。</w:t>
      </w:r>
      <w:r>
        <w:rPr>
          <w:rFonts w:hint="eastAsia" w:eastAsia="仿宋_GB2312" w:cs="仿宋_GB2312"/>
          <w:sz w:val="32"/>
          <w:szCs w:val="32"/>
          <w:lang w:val="en-US" w:eastAsia="zh-CN"/>
        </w:rPr>
        <w:t>且</w:t>
      </w:r>
      <w:r>
        <w:rPr>
          <w:rFonts w:hint="eastAsia" w:eastAsia="仿宋_GB2312" w:cs="仿宋_GB2312"/>
          <w:sz w:val="32"/>
          <w:szCs w:val="32"/>
        </w:rPr>
        <w:t>由发展改革部门安排的基本建设支出不在此科目反映。</w:t>
      </w:r>
    </w:p>
    <w:p>
      <w:pPr>
        <w:spacing w:line="600" w:lineRule="exact"/>
        <w:jc w:val="center"/>
        <w:rPr>
          <w:rFonts w:hint="eastAsia" w:eastAsia="黑体"/>
          <w:sz w:val="44"/>
          <w:szCs w:val="44"/>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val="en-US" w:eastAsia="zh-CN"/>
        </w:rPr>
        <w:t>太平</w:t>
      </w:r>
      <w:r>
        <w:rPr>
          <w:rFonts w:hint="eastAsia" w:ascii="方正小标宋简体" w:hAnsi="宋体" w:eastAsia="方正小标宋简体"/>
          <w:color w:val="000000"/>
          <w:sz w:val="40"/>
          <w:szCs w:val="44"/>
        </w:rPr>
        <w:t>小学</w:t>
      </w:r>
      <w:r>
        <w:rPr>
          <w:rFonts w:hint="eastAsia" w:ascii="方正小标宋简体" w:hAnsi="宋体" w:eastAsia="方正小标宋简体"/>
          <w:color w:val="000000"/>
          <w:sz w:val="40"/>
          <w:szCs w:val="44"/>
          <w:lang w:eastAsia="zh-CN"/>
        </w:rPr>
        <w:t>202</w:t>
      </w:r>
      <w:r>
        <w:rPr>
          <w:rFonts w:hint="eastAsia" w:ascii="方正小标宋简体" w:hAnsi="宋体" w:eastAsia="方正小标宋简体"/>
          <w:color w:val="000000"/>
          <w:sz w:val="40"/>
          <w:szCs w:val="44"/>
          <w:lang w:val="en-US" w:eastAsia="zh-CN"/>
        </w:rPr>
        <w:t>4</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pPr>
        <w:widowControl/>
        <w:spacing w:line="580" w:lineRule="exact"/>
        <w:ind w:firstLine="480"/>
        <w:contextualSpacing/>
        <w:jc w:val="left"/>
        <w:rPr>
          <w:rFonts w:ascii="黑体" w:hAnsi="宋体" w:eastAsia="黑体" w:cs="宋体"/>
          <w:color w:val="000000"/>
          <w:sz w:val="24"/>
          <w:szCs w:val="32"/>
          <w:shd w:val="clear" w:color="auto" w:fill="FFFFFF"/>
        </w:rPr>
      </w:pPr>
    </w:p>
    <w:p>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pPr>
        <w:pStyle w:val="53"/>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25</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lang w:val="en-US" w:eastAsia="zh-CN"/>
        </w:rPr>
        <w:t>34</w:t>
      </w:r>
      <w:r>
        <w:rPr>
          <w:rFonts w:hint="eastAsia" w:ascii="仿宋_GB2312" w:hAnsi="宋体" w:eastAsia="仿宋_GB2312" w:cs="宋体"/>
          <w:color w:val="000000"/>
          <w:sz w:val="32"/>
          <w:szCs w:val="32"/>
          <w:shd w:val="clear" w:color="auto" w:fill="FFFFFF"/>
          <w:lang w:val="zh-CN"/>
        </w:rPr>
        <w:t>人，遗属</w:t>
      </w:r>
      <w:r>
        <w:rPr>
          <w:rFonts w:hint="eastAsia" w:ascii="仿宋_GB2312" w:hAnsi="宋体" w:eastAsia="仿宋_GB2312" w:cs="宋体"/>
          <w:color w:val="000000"/>
          <w:sz w:val="32"/>
          <w:szCs w:val="32"/>
          <w:shd w:val="clear" w:color="auto" w:fill="FFFFFF"/>
          <w:lang w:val="en-US" w:eastAsia="zh-CN"/>
        </w:rPr>
        <w:t>7</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lang w:val="en-US" w:eastAsia="zh-CN"/>
        </w:rPr>
        <w:t>48</w:t>
      </w:r>
      <w:r>
        <w:rPr>
          <w:rFonts w:hint="eastAsia" w:ascii="仿宋_GB2312" w:hAnsi="宋体" w:eastAsia="仿宋_GB2312" w:cs="宋体"/>
          <w:color w:val="000000"/>
          <w:sz w:val="32"/>
          <w:szCs w:val="32"/>
          <w:shd w:val="clear" w:color="auto" w:fill="FFFFFF"/>
          <w:lang w:val="zh-CN"/>
        </w:rPr>
        <w:t>人。</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仿宋_GB2312" w:eastAsia="仿宋_GB2312" w:cs="仿宋_GB2312"/>
          <w:sz w:val="32"/>
          <w:szCs w:val="32"/>
        </w:rPr>
        <w:t>514.1</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仿宋_GB2312" w:eastAsia="仿宋_GB2312" w:cs="仿宋_GB2312"/>
          <w:sz w:val="32"/>
          <w:szCs w:val="32"/>
        </w:rPr>
        <w:t>514.1</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执行，完善内控制度。严格按财经规章制度执行经费支出。保障学校正常运转，提升公用经费使用效益。</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3"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3"/>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1.部门整体支出绩效自评表</w:t>
      </w:r>
    </w:p>
    <w:p>
      <w:pPr>
        <w:pStyle w:val="3"/>
        <w:ind w:left="0" w:leftChars="0" w:firstLine="960" w:firstLineChars="300"/>
        <w:rPr>
          <w:rFonts w:hint="default"/>
          <w:lang w:val="en-US" w:eastAsia="zh-CN"/>
        </w:rPr>
      </w:pPr>
      <w:r>
        <w:rPr>
          <w:rFonts w:hint="eastAsia" w:hAnsi="仿宋_GB2312" w:eastAsia="仿宋_GB2312" w:cs="仿宋_GB2312"/>
          <w:sz w:val="32"/>
          <w:szCs w:val="32"/>
          <w:lang w:val="en-US" w:eastAsia="zh-CN"/>
        </w:rPr>
        <w:t>2.部门预算项目支出绩效自评表（2024）</w:t>
      </w:r>
    </w:p>
    <w:tbl>
      <w:tblPr>
        <w:tblStyle w:val="15"/>
        <w:tblW w:w="5000" w:type="pct"/>
        <w:jc w:val="center"/>
        <w:tblLayout w:type="autofit"/>
        <w:tblCellMar>
          <w:top w:w="0" w:type="dxa"/>
          <w:left w:w="108" w:type="dxa"/>
          <w:bottom w:w="0" w:type="dxa"/>
          <w:right w:w="108" w:type="dxa"/>
        </w:tblCellMar>
      </w:tblPr>
      <w:tblGrid>
        <w:gridCol w:w="699"/>
        <w:gridCol w:w="699"/>
        <w:gridCol w:w="1105"/>
        <w:gridCol w:w="456"/>
        <w:gridCol w:w="1330"/>
        <w:gridCol w:w="3045"/>
        <w:gridCol w:w="666"/>
        <w:gridCol w:w="522"/>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pPr>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4.90</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99.75</w:t>
            </w:r>
          </w:p>
        </w:tc>
        <w:tc>
          <w:tcPr>
            <w:tcW w:w="33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pStyle w:val="2"/>
      </w:pPr>
    </w:p>
    <w:p>
      <w:pPr>
        <w:spacing w:line="572" w:lineRule="exact"/>
        <w:jc w:val="left"/>
        <w:outlineLvl w:val="0"/>
        <w:rPr>
          <w:rFonts w:eastAsia="黑体" w:cs="黑体"/>
          <w:color w:val="FF0000"/>
          <w:sz w:val="32"/>
          <w:szCs w:val="32"/>
        </w:rPr>
      </w:pPr>
    </w:p>
    <w:tbl>
      <w:tblPr>
        <w:tblStyle w:val="15"/>
        <w:tblW w:w="10940" w:type="dxa"/>
        <w:jc w:val="center"/>
        <w:tblLayout w:type="autofit"/>
        <w:tblCellMar>
          <w:top w:w="0" w:type="dxa"/>
          <w:left w:w="108" w:type="dxa"/>
          <w:bottom w:w="0" w:type="dxa"/>
          <w:right w:w="108" w:type="dxa"/>
        </w:tblCellMar>
      </w:tblPr>
      <w:tblGrid>
        <w:gridCol w:w="880"/>
        <w:gridCol w:w="1180"/>
        <w:gridCol w:w="1140"/>
        <w:gridCol w:w="1140"/>
        <w:gridCol w:w="780"/>
        <w:gridCol w:w="780"/>
        <w:gridCol w:w="720"/>
        <w:gridCol w:w="1080"/>
        <w:gridCol w:w="1080"/>
        <w:gridCol w:w="1080"/>
        <w:gridCol w:w="1080"/>
      </w:tblGrid>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51090422T000006631660-幼儿保教费</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51090422T000006815845-义务教育家庭经济困难学生生活补助</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51090422T000006818424-幼儿资助及幼儿发展资金</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保障了学校家庭经济困难学生正常入学，减轻其家庭经济负担，促进学校健康发展。</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加强资金专项管理，提高资金使用效益，确保专款专用，按程序及时按要求支付资金，促进学校健康发展。</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51090423T000009404312-城乡义务教育-免作业本费</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严格执行预算，及时申请支付资金，保证学生作业本按时发放。</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及时申报经费，保证学生作业本按时发放。</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绩效目标实现指标自评得分100.00分，自评等次为：优，严格执行相关政策，按要求支付，保障资金及时、足额支付到位。保障学校正常运行。</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51090424T000010666685-城乡义务教育-综合奖补资金</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51090424T000011170084-辞退民师定额养老困难补助费</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严格执行相关政策，保障资金及时、合规、足额支付到位，减少结余资金。</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及时申报，保障补助及时、足额发放，预算编制科学合理，减少结余资金</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51090425T000013013564-义教免作业本费（省市区级）</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严格执行预算，及时申请支付资金，保证学生作业本按时发放。</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及时申报经费，保证学生作业本按时发放。</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0.07</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0.07</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r>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51090425T000013020556-秋季省级义务教育家庭经济困难学生生活补助</w:t>
            </w:r>
          </w:p>
        </w:tc>
      </w:tr>
      <w:tr>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遂宁市安居区三家镇太平小学校部门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遂宁市安居区三家镇太平小学校</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i/>
                <w:iCs/>
                <w:color w:val="000000"/>
                <w:kern w:val="0"/>
                <w:sz w:val="20"/>
                <w:szCs w:val="20"/>
              </w:rPr>
            </w:pPr>
          </w:p>
        </w:tc>
      </w:tr>
      <w:tr>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项目负责人：赵波</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财务负责人：陈宗文</w:t>
            </w:r>
          </w:p>
        </w:tc>
      </w:tr>
    </w:tbl>
    <w:p>
      <w:pPr>
        <w:spacing w:line="578" w:lineRule="exact"/>
        <w:ind w:firstLine="640"/>
        <w:rPr>
          <w:rFonts w:eastAsia="仿宋_GB2312" w:cs="仿宋_GB2312"/>
          <w:kern w:val="0"/>
          <w:sz w:val="32"/>
          <w:szCs w:val="32"/>
        </w:rPr>
      </w:pPr>
      <w:bookmarkStart w:id="54" w:name="_Toc15396618"/>
    </w:p>
    <w:p>
      <w:pPr>
        <w:widowControl/>
        <w:jc w:val="center"/>
        <w:rPr>
          <w:rFonts w:eastAsia="仿宋"/>
        </w:rPr>
      </w:pPr>
      <w:r>
        <w:rPr>
          <w:rFonts w:hint="eastAsia" w:eastAsia="黑体"/>
          <w:sz w:val="44"/>
          <w:szCs w:val="44"/>
        </w:rPr>
        <w:t>第</w:t>
      </w:r>
      <w:r>
        <w:rPr>
          <w:rStyle w:val="29"/>
          <w:rFonts w:hint="eastAsia" w:eastAsia="黑体"/>
          <w:b w:val="0"/>
        </w:rPr>
        <w:t>五部分 附表</w:t>
      </w:r>
      <w:bookmarkEnd w:id="51"/>
      <w:bookmarkEnd w:id="54"/>
      <w:bookmarkStart w:id="55"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5"/>
    </w:p>
    <w:p>
      <w:pPr>
        <w:pStyle w:val="14"/>
        <w:adjustRightInd w:val="0"/>
        <w:snapToGrid w:val="0"/>
        <w:spacing w:line="56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pPr>
        <w:pStyle w:val="14"/>
        <w:adjustRightInd w:val="0"/>
        <w:snapToGrid w:val="0"/>
        <w:spacing w:line="56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pPr>
        <w:pStyle w:val="14"/>
        <w:adjustRightInd w:val="0"/>
        <w:snapToGrid w:val="0"/>
        <w:spacing w:line="56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pPr>
        <w:pStyle w:val="14"/>
        <w:adjustRightInd w:val="0"/>
        <w:snapToGrid w:val="0"/>
        <w:spacing w:line="56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pPr>
        <w:pStyle w:val="14"/>
        <w:adjustRightInd w:val="0"/>
        <w:snapToGrid w:val="0"/>
        <w:spacing w:line="56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pPr>
        <w:pStyle w:val="14"/>
        <w:adjustRightInd w:val="0"/>
        <w:snapToGrid w:val="0"/>
        <w:spacing w:line="56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pPr>
        <w:pStyle w:val="14"/>
        <w:adjustRightInd w:val="0"/>
        <w:snapToGrid w:val="0"/>
        <w:spacing w:line="56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pPr>
        <w:pStyle w:val="14"/>
        <w:adjustRightInd w:val="0"/>
        <w:snapToGrid w:val="0"/>
        <w:spacing w:line="56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798210"/>
      <w:docPartObj>
        <w:docPartGallery w:val="autotext"/>
      </w:docPartObj>
    </w:sdtPr>
    <w:sdtContent>
      <w:p>
        <w:pPr>
          <w:pStyle w:val="11"/>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257A8"/>
    <w:multiLevelType w:val="multilevel"/>
    <w:tmpl w:val="46B257A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85D36D"/>
    <w:multiLevelType w:val="singleLevel"/>
    <w:tmpl w:val="6B85D3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66878"/>
    <w:rsid w:val="00070A43"/>
    <w:rsid w:val="000768F2"/>
    <w:rsid w:val="000855E8"/>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D34"/>
    <w:rsid w:val="00260C38"/>
    <w:rsid w:val="00260D8F"/>
    <w:rsid w:val="002616C0"/>
    <w:rsid w:val="00265372"/>
    <w:rsid w:val="002662AA"/>
    <w:rsid w:val="00280496"/>
    <w:rsid w:val="00294DC9"/>
    <w:rsid w:val="00295495"/>
    <w:rsid w:val="002A31DE"/>
    <w:rsid w:val="002B2613"/>
    <w:rsid w:val="002D6D05"/>
    <w:rsid w:val="002F1818"/>
    <w:rsid w:val="002F567B"/>
    <w:rsid w:val="00310CCE"/>
    <w:rsid w:val="003216A9"/>
    <w:rsid w:val="00335A74"/>
    <w:rsid w:val="003439F0"/>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79D6"/>
    <w:rsid w:val="004E0A2D"/>
    <w:rsid w:val="004E206B"/>
    <w:rsid w:val="004E6DF7"/>
    <w:rsid w:val="004F0FBD"/>
    <w:rsid w:val="00505A47"/>
    <w:rsid w:val="00512FDA"/>
    <w:rsid w:val="00520DA0"/>
    <w:rsid w:val="005664BB"/>
    <w:rsid w:val="00566FFA"/>
    <w:rsid w:val="0057481D"/>
    <w:rsid w:val="0058486E"/>
    <w:rsid w:val="00585B33"/>
    <w:rsid w:val="0059014D"/>
    <w:rsid w:val="005955A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39A"/>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4086"/>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63A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4F92"/>
    <w:rsid w:val="00FD3CC1"/>
    <w:rsid w:val="00FF1E02"/>
    <w:rsid w:val="00FF30B4"/>
    <w:rsid w:val="012A5EC2"/>
    <w:rsid w:val="015975B8"/>
    <w:rsid w:val="02FEBE30"/>
    <w:rsid w:val="04745B34"/>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103539"/>
    <w:rsid w:val="13D50BC4"/>
    <w:rsid w:val="14B17F78"/>
    <w:rsid w:val="165E0673"/>
    <w:rsid w:val="16823DF3"/>
    <w:rsid w:val="16B831D5"/>
    <w:rsid w:val="16BB723D"/>
    <w:rsid w:val="17E50567"/>
    <w:rsid w:val="186504BB"/>
    <w:rsid w:val="19A445FC"/>
    <w:rsid w:val="1BE8440E"/>
    <w:rsid w:val="1D155CEE"/>
    <w:rsid w:val="1D1638FE"/>
    <w:rsid w:val="1E312DEB"/>
    <w:rsid w:val="1E740ACF"/>
    <w:rsid w:val="1F051117"/>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16399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31F37"/>
    <w:rsid w:val="44E268DA"/>
    <w:rsid w:val="450D13D7"/>
    <w:rsid w:val="45506656"/>
    <w:rsid w:val="486A6C7A"/>
    <w:rsid w:val="494E69D6"/>
    <w:rsid w:val="4A627F82"/>
    <w:rsid w:val="4B0E749A"/>
    <w:rsid w:val="4B2477C4"/>
    <w:rsid w:val="4B4F25DA"/>
    <w:rsid w:val="4BE068DB"/>
    <w:rsid w:val="4D577224"/>
    <w:rsid w:val="4DBF1CEB"/>
    <w:rsid w:val="4DEC4FAC"/>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C7E7B"/>
    <w:rsid w:val="6FEFFFD8"/>
    <w:rsid w:val="6FF5CC65"/>
    <w:rsid w:val="6FFB47EC"/>
    <w:rsid w:val="6FFF034A"/>
    <w:rsid w:val="70484440"/>
    <w:rsid w:val="712A28F1"/>
    <w:rsid w:val="715C0E4B"/>
    <w:rsid w:val="71992E7C"/>
    <w:rsid w:val="72233669"/>
    <w:rsid w:val="72734D90"/>
    <w:rsid w:val="72B33A8F"/>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446FE"/>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36"/>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954F72"/>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5"/>
    <w:qFormat/>
    <w:uiPriority w:val="9"/>
    <w:rPr>
      <w:rFonts w:ascii="Times New Roman" w:hAnsi="Times New Roman"/>
      <w:b/>
      <w:bCs/>
      <w:kern w:val="44"/>
      <w:sz w:val="44"/>
      <w:szCs w:val="44"/>
    </w:rPr>
  </w:style>
  <w:style w:type="character" w:customStyle="1" w:styleId="30">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10"/>
    <w:semiHidden/>
    <w:qFormat/>
    <w:uiPriority w:val="99"/>
    <w:rPr>
      <w:rFonts w:ascii="Times New Roman" w:hAnsi="Times New Roman"/>
      <w:kern w:val="2"/>
      <w:sz w:val="18"/>
      <w:szCs w:val="18"/>
    </w:rPr>
  </w:style>
  <w:style w:type="character" w:customStyle="1" w:styleId="33">
    <w:name w:val="标题 3 Char"/>
    <w:basedOn w:val="16"/>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脚注文本 Char"/>
    <w:basedOn w:val="16"/>
    <w:link w:val="2"/>
    <w:semiHidden/>
    <w:qFormat/>
    <w:uiPriority w:val="99"/>
    <w:rPr>
      <w:rFonts w:ascii="Times New Roman" w:hAnsi="Times New Roman" w:eastAsia="宋体" w:cs="Times New Roman"/>
      <w:kern w:val="2"/>
      <w:sz w:val="18"/>
      <w:szCs w:val="18"/>
    </w:rPr>
  </w:style>
  <w:style w:type="paragraph" w:customStyle="1" w:styleId="37">
    <w:name w:val="xl6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2">
    <w:name w:val="xl7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5">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i/>
      <w:iCs/>
      <w:color w:val="000000"/>
      <w:kern w:val="0"/>
      <w:sz w:val="20"/>
      <w:szCs w:val="2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20"/>
      <w:szCs w:val="20"/>
    </w:rPr>
  </w:style>
  <w:style w:type="paragraph" w:customStyle="1" w:styleId="4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0">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i/>
      <w:iCs/>
      <w:color w:val="000000"/>
      <w:kern w:val="0"/>
      <w:sz w:val="20"/>
      <w:szCs w:val="20"/>
    </w:rPr>
  </w:style>
  <w:style w:type="paragraph" w:customStyle="1" w:styleId="51">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32"/>
      <w:szCs w:val="32"/>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3">
    <w:name w:val="正文文本1"/>
    <w:basedOn w:val="1"/>
    <w:qFormat/>
    <w:uiPriority w:val="99"/>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oleObject" Target="file:///F:\2024&#20915;&#31639;&#20844;&#24320;\&#26032;&#24314;&#25991;&#20214;&#22841;\2024&#20915;&#31639;&#20844;&#24320;-2023-2024&#23545;&#27604;&#25968;&#2545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4&#20915;&#31639;&#20844;&#24320;\&#26032;&#24314;&#25991;&#20214;&#22841;\2024&#20915;&#31639;&#20844;&#24320;-2023-2024&#23545;&#27604;&#25968;&#254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Sheet1!$B$3:$B$4</c:f>
              <c:strCache>
                <c:ptCount val="2"/>
                <c:pt idx="0">
                  <c:v>2023年</c:v>
                </c:pt>
                <c:pt idx="1">
                  <c:v>2024年</c:v>
                </c:pt>
              </c:strCache>
            </c:strRef>
          </c:cat>
          <c:val>
            <c:numRef>
              <c:f>Sheet1!$C$3:$C$4</c:f>
              <c:numCache>
                <c:formatCode>General</c:formatCode>
                <c:ptCount val="2"/>
                <c:pt idx="0">
                  <c:v>485.45</c:v>
                </c:pt>
                <c:pt idx="1">
                  <c:v>529.84</c:v>
                </c:pt>
              </c:numCache>
            </c:numRef>
          </c:val>
        </c:ser>
        <c:dLbls>
          <c:showLegendKey val="0"/>
          <c:showVal val="0"/>
          <c:showCatName val="0"/>
          <c:showSerName val="0"/>
          <c:showPercent val="0"/>
          <c:showBubbleSize val="0"/>
        </c:dLbls>
        <c:gapWidth val="219"/>
        <c:overlap val="-27"/>
        <c:axId val="236092032"/>
        <c:axId val="425952768"/>
      </c:barChart>
      <c:catAx>
        <c:axId val="23609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25952768"/>
        <c:crosses val="autoZero"/>
        <c:auto val="1"/>
        <c:lblAlgn val="ctr"/>
        <c:lblOffset val="100"/>
        <c:noMultiLvlLbl val="0"/>
      </c:catAx>
      <c:valAx>
        <c:axId val="4259527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3609203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65056213113563"/>
                  <c:y val="-0.051615471141658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17225080685374"/>
                  <c:y val="0.070805866913694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0561044170105"/>
                  <c:y val="-0.06458520920179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43228671418773"/>
                  <c:y val="-0.0045109406122811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Sheet1!$C$14:$C$17</c:f>
              <c:strCache>
                <c:ptCount val="4"/>
                <c:pt idx="0">
                  <c:v>一般公共预算财政拨款收入</c:v>
                </c:pt>
                <c:pt idx="1">
                  <c:v>政府性基金预算财政拨款收入</c:v>
                </c:pt>
                <c:pt idx="2">
                  <c:v>事业收入</c:v>
                </c:pt>
                <c:pt idx="3">
                  <c:v>其他收入</c:v>
                </c:pt>
              </c:strCache>
            </c:strRef>
          </c:cat>
          <c:val>
            <c:numRef>
              <c:f>Sheet1!$D$14:$D$17</c:f>
              <c:numCache>
                <c:formatCode>General</c:formatCode>
                <c:ptCount val="4"/>
                <c:pt idx="0">
                  <c:v>514.1</c:v>
                </c:pt>
                <c:pt idx="1">
                  <c:v>0</c:v>
                </c:pt>
                <c:pt idx="2">
                  <c:v>0</c:v>
                </c:pt>
                <c:pt idx="3">
                  <c:v>15.74</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04215422190858"/>
                  <c:y val="-0.13932397039476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Sheet1!$C$25:$C$26</c:f>
              <c:strCache>
                <c:ptCount val="2"/>
                <c:pt idx="0">
                  <c:v>基本支出</c:v>
                </c:pt>
                <c:pt idx="1">
                  <c:v>项目支出</c:v>
                </c:pt>
              </c:strCache>
            </c:strRef>
          </c:cat>
          <c:val>
            <c:numRef>
              <c:f>Sheet1!$D$25:$D$26</c:f>
              <c:numCache>
                <c:formatCode>General</c:formatCode>
                <c:ptCount val="2"/>
                <c:pt idx="0">
                  <c:v>489.46</c:v>
                </c:pt>
                <c:pt idx="1">
                  <c:v>40.38</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Sheet1!$B$41:$B$42</c:f>
              <c:strCache>
                <c:ptCount val="2"/>
                <c:pt idx="0">
                  <c:v>2023年</c:v>
                </c:pt>
                <c:pt idx="1">
                  <c:v>2024年</c:v>
                </c:pt>
              </c:strCache>
            </c:strRef>
          </c:cat>
          <c:val>
            <c:numRef>
              <c:f>Sheet1!$C$41:$C$42</c:f>
              <c:numCache>
                <c:formatCode>General</c:formatCode>
                <c:ptCount val="2"/>
                <c:pt idx="0">
                  <c:v>485.45</c:v>
                </c:pt>
                <c:pt idx="1">
                  <c:v>514.1</c:v>
                </c:pt>
              </c:numCache>
            </c:numRef>
          </c:val>
        </c:ser>
        <c:dLbls>
          <c:showLegendKey val="0"/>
          <c:showVal val="0"/>
          <c:showCatName val="0"/>
          <c:showSerName val="0"/>
          <c:showPercent val="0"/>
          <c:showBubbleSize val="0"/>
        </c:dLbls>
        <c:gapWidth val="219"/>
        <c:overlap val="-27"/>
        <c:axId val="428635264"/>
        <c:axId val="428636800"/>
      </c:barChart>
      <c:catAx>
        <c:axId val="42863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28636800"/>
        <c:crosses val="autoZero"/>
        <c:auto val="1"/>
        <c:lblAlgn val="ctr"/>
        <c:lblOffset val="100"/>
        <c:noMultiLvlLbl val="0"/>
      </c:catAx>
      <c:valAx>
        <c:axId val="428636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286352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Sheet1!$B$53:$B$54</c:f>
              <c:strCache>
                <c:ptCount val="2"/>
                <c:pt idx="0">
                  <c:v>2023年</c:v>
                </c:pt>
                <c:pt idx="1">
                  <c:v>2024年</c:v>
                </c:pt>
              </c:strCache>
            </c:strRef>
          </c:cat>
          <c:val>
            <c:numRef>
              <c:f>Sheet1!$C$53:$C$54</c:f>
              <c:numCache>
                <c:formatCode>General</c:formatCode>
                <c:ptCount val="2"/>
                <c:pt idx="0">
                  <c:v>485.45</c:v>
                </c:pt>
                <c:pt idx="1">
                  <c:v>514.1</c:v>
                </c:pt>
              </c:numCache>
            </c:numRef>
          </c:val>
        </c:ser>
        <c:dLbls>
          <c:showLegendKey val="0"/>
          <c:showVal val="0"/>
          <c:showCatName val="0"/>
          <c:showSerName val="0"/>
          <c:showPercent val="0"/>
          <c:showBubbleSize val="0"/>
        </c:dLbls>
        <c:gapWidth val="219"/>
        <c:overlap val="-27"/>
        <c:axId val="442296192"/>
        <c:axId val="442297728"/>
      </c:barChart>
      <c:catAx>
        <c:axId val="44229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42297728"/>
        <c:crosses val="autoZero"/>
        <c:auto val="1"/>
        <c:lblAlgn val="ctr"/>
        <c:lblOffset val="100"/>
        <c:noMultiLvlLbl val="0"/>
      </c:catAx>
      <c:valAx>
        <c:axId val="442297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422961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348174411159499"/>
                  <c:y val="0.025429016494889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07855735910106"/>
                  <c:y val="-0.57026396090732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940447807152597"/>
                  <c:y val="0.12233702494505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983467010757734"/>
                  <c:y val="0.07441378770743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36643059282394"/>
                  <c:y val="0.02387896634871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406840765016105"/>
                  <c:y val="-0.01164415423681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112204382273445"/>
                  <c:y val="0.00451671183378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Sheet1!$C$66:$C$72</c:f>
              <c:strCache>
                <c:ptCount val="7"/>
                <c:pt idx="0">
                  <c:v>一般公共服务支出</c:v>
                </c:pt>
                <c:pt idx="1">
                  <c:v>教育支出</c:v>
                </c:pt>
                <c:pt idx="2">
                  <c:v>科学技术支出</c:v>
                </c:pt>
                <c:pt idx="3">
                  <c:v>文化旅游体育与传媒</c:v>
                </c:pt>
                <c:pt idx="4">
                  <c:v>社会保障和就业支出</c:v>
                </c:pt>
                <c:pt idx="5">
                  <c:v>卫生健康支出</c:v>
                </c:pt>
                <c:pt idx="6">
                  <c:v>住房保障支出</c:v>
                </c:pt>
              </c:strCache>
            </c:strRef>
          </c:cat>
          <c:val>
            <c:numRef>
              <c:f>Sheet1!$D$66:$D$72</c:f>
              <c:numCache>
                <c:formatCode>General</c:formatCode>
                <c:ptCount val="7"/>
                <c:pt idx="0">
                  <c:v>0</c:v>
                </c:pt>
                <c:pt idx="1">
                  <c:v>398.18</c:v>
                </c:pt>
                <c:pt idx="2">
                  <c:v>0</c:v>
                </c:pt>
                <c:pt idx="3">
                  <c:v>0</c:v>
                </c:pt>
                <c:pt idx="4">
                  <c:v>58.65</c:v>
                </c:pt>
                <c:pt idx="5">
                  <c:v>22.59</c:v>
                </c:pt>
                <c:pt idx="6">
                  <c:v>34.68</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6355</Words>
  <Characters>6890</Characters>
  <Lines>101</Lines>
  <Paragraphs>28</Paragraphs>
  <TotalTime>22</TotalTime>
  <ScaleCrop>false</ScaleCrop>
  <LinksUpToDate>false</LinksUpToDate>
  <CharactersWithSpaces>6945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Lenovo</cp:lastModifiedBy>
  <cp:lastPrinted>2025-08-06T17:34:00Z</cp:lastPrinted>
  <dcterms:modified xsi:type="dcterms:W3CDTF">2025-08-21T07:39:17Z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A59E44A9623E4B2CB3070CEE98E3E3C1_13</vt:lpwstr>
  </property>
  <property fmtid="{D5CDD505-2E9C-101B-9397-08002B2CF9AE}" pid="4" name="KSOTemplateDocerSaveRecord">
    <vt:lpwstr>eyJoZGlkIjoiNDU3ZTNjMDJkNzUwYzk0ODBmZjdiZGU0NGIyY2NkZDkifQ==</vt:lpwstr>
  </property>
</Properties>
</file>