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jc w:val="left"/>
        <w:outlineLvl w:val="0"/>
        <w:rPr>
          <w:rFonts w:ascii="方正小标宋简体" w:hAnsi="宋体" w:eastAsia="方正小标宋简体"/>
          <w:szCs w:val="21"/>
        </w:rPr>
      </w:pPr>
      <w:bookmarkStart w:id="0" w:name="_Toc15306267"/>
    </w:p>
    <w:p>
      <w:pPr>
        <w:pStyle w:val="8"/>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1" w:name="_Toc15377193"/>
      <w:bookmarkStart w:id="2" w:name="_Toc15378441"/>
      <w:bookmarkStart w:id="3" w:name="_Toc15377425"/>
      <w:bookmarkStart w:id="4" w:name="_Toc15396475"/>
      <w:bookmarkStart w:id="5" w:name="_Toc15396597"/>
      <w:r>
        <w:rPr>
          <w:rFonts w:hint="eastAsia" w:ascii="方正小标宋简体" w:hAnsi="方正小标宋简体" w:eastAsia="方正小标宋简体" w:cs="方正小标宋简体"/>
          <w:sz w:val="44"/>
          <w:szCs w:val="44"/>
        </w:rPr>
        <w:t>2024年度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6" w:name="_Toc15377426"/>
      <w:bookmarkStart w:id="7" w:name="_Toc15396476"/>
      <w:bookmarkStart w:id="8" w:name="_Toc15378442"/>
      <w:bookmarkStart w:id="9" w:name="_Toc15306268"/>
      <w:bookmarkStart w:id="10" w:name="_Toc15396598"/>
      <w:bookmarkStart w:id="11" w:name="_Toc15377194"/>
      <w:r>
        <w:rPr>
          <w:rFonts w:hint="eastAsia" w:ascii="方正小标宋简体" w:hAnsi="方正小标宋简体" w:eastAsia="方正小标宋简体" w:cs="方正小标宋简体"/>
          <w:sz w:val="44"/>
          <w:szCs w:val="44"/>
        </w:rPr>
        <w:t>四川省遂宁市安居区西眉镇马家小学校</w:t>
      </w:r>
    </w:p>
    <w:p>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8"/>
        <w:adjustRightInd w:val="0"/>
        <w:snapToGrid w:val="0"/>
        <w:spacing w:before="93" w:line="600" w:lineRule="exact"/>
        <w:ind w:firstLine="672" w:firstLineChars="210"/>
        <w:jc w:val="center"/>
        <w:outlineLvl w:val="2"/>
        <w:rPr>
          <w:rFonts w:ascii="仿宋" w:hAnsi="仿宋" w:eastAsia="仿宋"/>
          <w:bCs/>
          <w:color w:val="000000"/>
          <w:sz w:val="32"/>
          <w:szCs w:val="32"/>
        </w:rPr>
      </w:pPr>
      <w:r>
        <w:rPr>
          <w:rFonts w:hint="eastAsia" w:ascii="仿宋" w:hAnsi="仿宋" w:eastAsia="仿宋"/>
          <w:bCs/>
          <w:color w:val="000000"/>
          <w:sz w:val="32"/>
          <w:szCs w:val="32"/>
        </w:rPr>
        <w:t>公开时间：2025年8月22日</w:t>
      </w:r>
    </w:p>
    <w:p>
      <w:pPr>
        <w:pStyle w:val="13"/>
        <w:adjustRightInd w:val="0"/>
        <w:snapToGrid w:val="0"/>
        <w:spacing w:before="0" w:line="560" w:lineRule="exact"/>
        <w:jc w:val="distribute"/>
        <w:rPr>
          <w:rFonts w:ascii="仿宋_GB2312" w:hAnsi="仿宋_GB2312" w:eastAsia="仿宋_GB2312" w:cs="仿宋_GB2312"/>
          <w:sz w:val="32"/>
          <w:szCs w:val="32"/>
          <w:highlight w:val="yellow"/>
        </w:rPr>
      </w:pPr>
      <w:bookmarkStart w:id="12" w:name="_Toc15396599"/>
      <w:bookmarkStart w:id="13" w:name="_Toc15377196"/>
      <w:r>
        <w:rPr>
          <w:rFonts w:hint="eastAsia" w:ascii="仿宋_GB2312" w:hAnsi="仿宋_GB2312" w:eastAsia="仿宋_GB2312" w:cs="仿宋_GB2312"/>
          <w:b/>
          <w:bCs/>
          <w:sz w:val="32"/>
          <w:szCs w:val="32"/>
        </w:rPr>
        <w:t>第一部分 单位概况</w:t>
      </w:r>
      <w:r>
        <w:rPr>
          <w:rFonts w:hint="eastAsia" w:ascii="仿宋_GB2312" w:hAnsi="仿宋_GB2312" w:eastAsia="仿宋_GB2312" w:cs="仿宋_GB2312"/>
          <w:sz w:val="32"/>
          <w:szCs w:val="32"/>
        </w:rPr>
        <w:t>…………………………………………4</w:t>
      </w:r>
    </w:p>
    <w:p>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一、主要职责……………………………………………4</w:t>
      </w:r>
    </w:p>
    <w:p>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二、机构设置……………………………………………4</w:t>
      </w:r>
    </w:p>
    <w:p>
      <w:pPr>
        <w:pStyle w:val="13"/>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第二部分 2024年度单位决算情况说明</w:t>
      </w:r>
      <w:r>
        <w:rPr>
          <w:rFonts w:hint="eastAsia" w:ascii="仿宋_GB2312" w:hAnsi="仿宋_GB2312" w:eastAsia="仿宋_GB2312" w:cs="仿宋_GB2312"/>
          <w:sz w:val="32"/>
          <w:szCs w:val="32"/>
        </w:rPr>
        <w:t>……………………5</w:t>
      </w:r>
    </w:p>
    <w:p>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一、收入支出决算总体情况说明…………………………5</w:t>
      </w:r>
    </w:p>
    <w:p>
      <w:pPr>
        <w:pStyle w:val="14"/>
        <w:adjustRightInd w:val="0"/>
        <w:snapToGrid w:val="0"/>
        <w:spacing w:line="560" w:lineRule="exact"/>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5</w:t>
      </w:r>
    </w:p>
    <w:p>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三、支出决算情况说明……………………………………6</w:t>
      </w:r>
    </w:p>
    <w:p>
      <w:pPr>
        <w:pStyle w:val="14"/>
        <w:adjustRightInd w:val="0"/>
        <w:snapToGrid w:val="0"/>
        <w:spacing w:line="560" w:lineRule="exact"/>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6</w:t>
      </w:r>
    </w:p>
    <w:p>
      <w:pPr>
        <w:pStyle w:val="14"/>
        <w:adjustRightInd w:val="0"/>
        <w:snapToGrid w:val="0"/>
        <w:spacing w:line="560" w:lineRule="exact"/>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五、一般公共预算财政拨款支出决算情况说明…………7六、一般公共预算财政拨款基本支出决算情况说明……</w:t>
      </w:r>
      <w:r>
        <w:rPr>
          <w:rFonts w:hint="eastAsia" w:ascii="仿宋_GB2312" w:hAnsi="仿宋_GB2312" w:eastAsia="仿宋_GB2312" w:cs="仿宋_GB2312"/>
          <w:sz w:val="32"/>
          <w:szCs w:val="32"/>
          <w:lang w:val="en-US" w:eastAsia="zh-CN"/>
        </w:rPr>
        <w:t>9</w:t>
      </w:r>
    </w:p>
    <w:p>
      <w:pPr>
        <w:pStyle w:val="14"/>
        <w:adjustRightInd w:val="0"/>
        <w:snapToGrid w:val="0"/>
        <w:spacing w:line="560" w:lineRule="exact"/>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val="en-US" w:eastAsia="zh-CN"/>
        </w:rPr>
        <w:t>9</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10</w:t>
      </w:r>
    </w:p>
    <w:p>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九、国有资本经营预算支出决算情况说明………………11</w:t>
      </w:r>
    </w:p>
    <w:p>
      <w:pPr>
        <w:pStyle w:val="14"/>
        <w:adjustRightInd w:val="0"/>
        <w:snapToGrid w:val="0"/>
        <w:spacing w:line="560" w:lineRule="exact"/>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十、其他重要事项的情况说明……………………………1</w:t>
      </w:r>
      <w:r>
        <w:rPr>
          <w:rFonts w:hint="eastAsia" w:ascii="仿宋_GB2312" w:hAnsi="仿宋_GB2312" w:eastAsia="仿宋_GB2312" w:cs="仿宋_GB2312"/>
          <w:sz w:val="32"/>
          <w:szCs w:val="32"/>
          <w:lang w:val="en-US" w:eastAsia="zh-CN"/>
        </w:rPr>
        <w:t>1</w:t>
      </w:r>
    </w:p>
    <w:p>
      <w:pPr>
        <w:pStyle w:val="13"/>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第三部分 名词解释</w:t>
      </w:r>
      <w:r>
        <w:rPr>
          <w:rFonts w:hint="eastAsia" w:ascii="仿宋_GB2312" w:hAnsi="仿宋_GB2312" w:eastAsia="仿宋_GB2312" w:cs="仿宋_GB2312"/>
          <w:sz w:val="32"/>
          <w:szCs w:val="32"/>
        </w:rPr>
        <w:t>……………………………………14</w:t>
      </w:r>
    </w:p>
    <w:p>
      <w:pPr>
        <w:pStyle w:val="13"/>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第四部分 附件</w:t>
      </w:r>
      <w:r>
        <w:rPr>
          <w:rFonts w:hint="eastAsia" w:ascii="仿宋_GB2312" w:hAnsi="仿宋_GB2312" w:eastAsia="仿宋_GB2312" w:cs="仿宋_GB2312"/>
          <w:sz w:val="32"/>
          <w:szCs w:val="32"/>
        </w:rPr>
        <w:t>……………………………………17</w:t>
      </w:r>
    </w:p>
    <w:p>
      <w:pPr>
        <w:pStyle w:val="13"/>
        <w:adjustRightInd w:val="0"/>
        <w:snapToGrid w:val="0"/>
        <w:spacing w:before="0"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第五部分 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lang w:val="en-US" w:eastAsia="zh-CN"/>
        </w:rPr>
        <w:t>27</w:t>
      </w:r>
    </w:p>
    <w:p>
      <w:pPr>
        <w:pStyle w:val="14"/>
        <w:adjustRightInd w:val="0"/>
        <w:snapToGrid w:val="0"/>
        <w:spacing w:line="560" w:lineRule="exact"/>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lang w:val="en-US" w:eastAsia="zh-CN"/>
        </w:rPr>
        <w:t>27</w:t>
      </w:r>
    </w:p>
    <w:p>
      <w:pPr>
        <w:widowControl/>
        <w:spacing w:line="440" w:lineRule="exact"/>
        <w:ind w:firstLine="320" w:firstLineChars="100"/>
        <w:jc w:val="left"/>
        <w:rPr>
          <w:rFonts w:ascii="仿宋" w:hAnsi="仿宋" w:eastAsia="仿宋"/>
          <w:bCs/>
          <w:kern w:val="44"/>
          <w:sz w:val="24"/>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lang w:val="en-US" w:eastAsia="zh-CN"/>
        </w:rPr>
        <w:t>27</w:t>
      </w:r>
      <w:r>
        <w:rPr>
          <w:rFonts w:ascii="仿宋" w:hAnsi="仿宋" w:eastAsia="仿宋"/>
          <w:b/>
          <w:sz w:val="24"/>
        </w:rPr>
        <w:br w:type="page"/>
      </w:r>
    </w:p>
    <w:p>
      <w:pPr>
        <w:pStyle w:val="5"/>
        <w:jc w:val="center"/>
        <w:rPr>
          <w:rStyle w:val="29"/>
          <w:rFonts w:ascii="黑体" w:hAnsi="黑体" w:eastAsia="黑体"/>
          <w:b/>
          <w:bCs w:val="0"/>
        </w:rPr>
      </w:pPr>
      <w:r>
        <w:rPr>
          <w:rFonts w:hint="eastAsia" w:ascii="黑体" w:hAnsi="黑体" w:eastAsia="黑体"/>
          <w:b w:val="0"/>
        </w:rPr>
        <w:t>第一部分 部门</w:t>
      </w:r>
      <w:r>
        <w:rPr>
          <w:rStyle w:val="29"/>
          <w:rFonts w:hint="eastAsia" w:ascii="黑体" w:hAnsi="黑体" w:eastAsia="黑体"/>
          <w:b w:val="0"/>
          <w:bCs w:val="0"/>
        </w:rPr>
        <w:t>概况</w:t>
      </w:r>
      <w:bookmarkEnd w:id="12"/>
      <w:bookmarkEnd w:id="13"/>
    </w:p>
    <w:p>
      <w:pPr>
        <w:widowControl/>
        <w:jc w:val="left"/>
        <w:rPr>
          <w:rFonts w:ascii="黑体" w:eastAsia="黑体"/>
          <w:sz w:val="32"/>
          <w:szCs w:val="32"/>
        </w:rPr>
      </w:pPr>
    </w:p>
    <w:p>
      <w:pPr>
        <w:pStyle w:val="6"/>
        <w:numPr>
          <w:ilvl w:val="0"/>
          <w:numId w:val="1"/>
        </w:numPr>
        <w:rPr>
          <w:rStyle w:val="31"/>
          <w:rFonts w:ascii="黑体" w:hAnsi="黑体" w:eastAsia="黑体"/>
          <w:b w:val="0"/>
          <w:bCs w:val="0"/>
        </w:rPr>
      </w:pPr>
      <w:bookmarkStart w:id="14" w:name="_Toc15396600"/>
      <w:bookmarkStart w:id="15" w:name="_Toc15377197"/>
      <w:r>
        <w:rPr>
          <w:rStyle w:val="31"/>
          <w:rFonts w:hint="eastAsia" w:ascii="黑体" w:hAnsi="黑体" w:eastAsia="黑体"/>
          <w:b w:val="0"/>
          <w:bCs w:val="0"/>
        </w:rPr>
        <w:t>主要职责</w:t>
      </w:r>
    </w:p>
    <w:p>
      <w:pPr>
        <w:pStyle w:val="8"/>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bookmarkStart w:id="16" w:name="_Toc15377198"/>
      <w:bookmarkStart w:id="17" w:name="_Toc15378445"/>
      <w:r>
        <w:rPr>
          <w:rFonts w:hint="eastAsia" w:ascii="仿宋" w:hAnsi="仿宋" w:eastAsia="仿宋"/>
          <w:bCs/>
          <w:color w:val="000000"/>
          <w:sz w:val="32"/>
          <w:szCs w:val="32"/>
        </w:rPr>
        <w:t>（一）</w:t>
      </w:r>
      <w:r>
        <w:rPr>
          <w:rFonts w:hint="eastAsia" w:ascii="仿宋_GB2312" w:hAnsi="仿宋_GB2312" w:eastAsia="仿宋_GB2312" w:cs="仿宋_GB2312"/>
          <w:kern w:val="2"/>
          <w:sz w:val="32"/>
          <w:szCs w:val="32"/>
          <w:lang w:val="en-US" w:eastAsia="zh-CN" w:bidi="ar-SA"/>
        </w:rPr>
        <w:t>主要职能。</w:t>
      </w:r>
      <w:bookmarkEnd w:id="16"/>
      <w:bookmarkEnd w:id="17"/>
    </w:p>
    <w:p>
      <w:pPr>
        <w:pStyle w:val="8"/>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单位宗旨和业务范围主要是实施小学义务教育，促进基础教育发展，负责小学历教育及相关社会服务</w:t>
      </w:r>
    </w:p>
    <w:p>
      <w:pPr>
        <w:pStyle w:val="8"/>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bookmarkStart w:id="18" w:name="_Toc15377199"/>
      <w:bookmarkStart w:id="19" w:name="_Toc15378446"/>
      <w:r>
        <w:rPr>
          <w:rFonts w:hint="eastAsia" w:ascii="仿宋_GB2312" w:hAnsi="仿宋_GB2312" w:eastAsia="仿宋_GB2312" w:cs="仿宋_GB2312"/>
          <w:kern w:val="2"/>
          <w:sz w:val="32"/>
          <w:szCs w:val="32"/>
          <w:lang w:val="en-US" w:eastAsia="zh-CN" w:bidi="ar-SA"/>
        </w:rPr>
        <w:t>（二）2024年重点工作完成情况。</w:t>
      </w:r>
      <w:bookmarkEnd w:id="18"/>
      <w:bookmarkEnd w:id="19"/>
    </w:p>
    <w:p>
      <w:pPr>
        <w:pStyle w:val="8"/>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2024主要负责完成小学学历教育，六年级送生工作、一年级招生工作。本单位顺利完成年度工作任务。</w:t>
      </w:r>
    </w:p>
    <w:p>
      <w:pPr>
        <w:pStyle w:val="8"/>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其他相关社会服务工作。顺利完成相关服务工作任务及上级安排的相关工作。</w:t>
      </w:r>
    </w:p>
    <w:p>
      <w:pPr>
        <w:pStyle w:val="6"/>
        <w:rPr>
          <w:rFonts w:ascii="黑体" w:hAnsi="黑体" w:eastAsia="黑体"/>
          <w:b w:val="0"/>
        </w:rPr>
      </w:pPr>
      <w:r>
        <w:rPr>
          <w:rFonts w:hint="eastAsia" w:ascii="黑体" w:hAnsi="黑体" w:eastAsia="黑体"/>
          <w:b w:val="0"/>
        </w:rPr>
        <w:t>二、机构设置</w:t>
      </w:r>
    </w:p>
    <w:bookmarkEnd w:id="14"/>
    <w:bookmarkEnd w:id="15"/>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我校为独立编制机构1个，独立核算机构1个。</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
          <w:sz w:val="32"/>
          <w:szCs w:val="32"/>
        </w:rPr>
        <w:t>我校现有在编教师30人，遗属8人，退休教师57人，离岗民师1人。学生150人。学校现设有行政办、德育处、教导处、后勤处等部门。</w:t>
      </w:r>
      <w:r>
        <w:rPr>
          <w:rFonts w:hint="eastAsia" w:ascii="仿宋" w:hAnsi="仿宋" w:eastAsia="仿宋"/>
          <w:bCs/>
          <w:color w:val="000000"/>
          <w:sz w:val="32"/>
          <w:szCs w:val="32"/>
        </w:rPr>
        <w:br w:type="page"/>
      </w:r>
    </w:p>
    <w:p>
      <w:pPr>
        <w:pStyle w:val="5"/>
        <w:ind w:right="440"/>
        <w:jc w:val="center"/>
      </w:pPr>
      <w:bookmarkStart w:id="20" w:name="_Toc15377204"/>
      <w:bookmarkStart w:id="21" w:name="_Toc15396602"/>
      <w:r>
        <w:rPr>
          <w:rFonts w:hint="eastAsia" w:ascii="黑体" w:hAnsi="黑体" w:eastAsia="黑体"/>
          <w:b w:val="0"/>
        </w:rPr>
        <w:t>第二部分 2024年度</w:t>
      </w:r>
      <w:r>
        <w:rPr>
          <w:rStyle w:val="29"/>
          <w:rFonts w:hint="eastAsia" w:ascii="黑体" w:hAnsi="黑体" w:eastAsia="黑体"/>
          <w:b w:val="0"/>
          <w:bCs/>
        </w:rPr>
        <w:t>部门决算情况说明</w:t>
      </w:r>
      <w:bookmarkEnd w:id="20"/>
      <w:bookmarkEnd w:id="21"/>
    </w:p>
    <w:p>
      <w:pPr>
        <w:pStyle w:val="28"/>
        <w:numPr>
          <w:ilvl w:val="0"/>
          <w:numId w:val="2"/>
        </w:numPr>
        <w:spacing w:line="600" w:lineRule="exact"/>
        <w:ind w:firstLineChars="0"/>
        <w:outlineLvl w:val="1"/>
        <w:rPr>
          <w:rStyle w:val="31"/>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highlight w:val="none"/>
        </w:rPr>
      </w:pPr>
      <w:r>
        <w:rPr>
          <w:rFonts w:hint="eastAsia" w:ascii="仿宋_GB2312" w:hAnsi="仿宋" w:eastAsia="仿宋_GB2312"/>
          <w:sz w:val="32"/>
          <w:szCs w:val="32"/>
        </w:rPr>
        <w:t>2024年度收、支总计均为803.05万元。与2023年度相比，收入减少119.99万元，下降12.99%。主要变动原因是学校</w:t>
      </w:r>
      <w:r>
        <w:rPr>
          <w:rFonts w:hint="eastAsia" w:ascii="仿宋_GB2312" w:hAnsi="仿宋" w:eastAsia="仿宋_GB2312"/>
          <w:sz w:val="32"/>
          <w:szCs w:val="32"/>
          <w:lang w:val="en-US" w:eastAsia="zh-CN"/>
        </w:rPr>
        <w:t>撤校人员</w:t>
      </w:r>
      <w:r>
        <w:rPr>
          <w:rFonts w:hint="eastAsia" w:ascii="仿宋_GB2312" w:hAnsi="仿宋" w:eastAsia="仿宋_GB2312"/>
          <w:sz w:val="32"/>
          <w:szCs w:val="32"/>
        </w:rPr>
        <w:t>资金减少</w:t>
      </w:r>
      <w:r>
        <w:rPr>
          <w:rFonts w:hint="eastAsia" w:ascii="仿宋" w:hAnsi="仿宋" w:eastAsia="仿宋"/>
          <w:sz w:val="32"/>
          <w:szCs w:val="32"/>
          <w:highlight w:val="none"/>
        </w:rPr>
        <w:t>。</w:t>
      </w:r>
    </w:p>
    <w:p>
      <w:pPr>
        <w:spacing w:line="600" w:lineRule="exact"/>
        <w:ind w:firstLine="640" w:firstLineChars="200"/>
        <w:rPr>
          <w:rFonts w:ascii="仿宋" w:hAnsi="仿宋" w:eastAsia="仿宋"/>
          <w:sz w:val="32"/>
          <w:szCs w:val="32"/>
        </w:rPr>
      </w:pPr>
      <w:bookmarkStart w:id="24" w:name="_Hlk83972119"/>
      <w:r>
        <w:rPr>
          <w:rFonts w:ascii="仿宋" w:hAnsi="仿宋" w:eastAsia="仿宋"/>
          <w:color w:val="000000"/>
          <w:sz w:val="32"/>
          <w:szCs w:val="32"/>
        </w:rPr>
        <w:drawing>
          <wp:anchor distT="0" distB="0" distL="0" distR="0" simplePos="0" relativeHeight="251659264" behindDoc="1" locked="0" layoutInCell="1" allowOverlap="1">
            <wp:simplePos x="0" y="0"/>
            <wp:positionH relativeFrom="column">
              <wp:posOffset>66040</wp:posOffset>
            </wp:positionH>
            <wp:positionV relativeFrom="paragraph">
              <wp:posOffset>87630</wp:posOffset>
            </wp:positionV>
            <wp:extent cx="5553075" cy="2574290"/>
            <wp:effectExtent l="4445" t="4445" r="5080" b="12065"/>
            <wp:wrapNone/>
            <wp:docPr id="4" name="图表 4" descr="7b0a202020202263686172745265734964223a2022323034373638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End w:id="24"/>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1280" w:firstLineChars="4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numPr>
          <w:ilvl w:val="0"/>
          <w:numId w:val="2"/>
        </w:numPr>
        <w:spacing w:line="600" w:lineRule="exact"/>
        <w:ind w:firstLineChars="0"/>
        <w:outlineLvl w:val="1"/>
        <w:rPr>
          <w:rStyle w:val="31"/>
          <w:rFonts w:ascii="黑体" w:hAnsi="黑体" w:eastAsia="黑体"/>
          <w:b w:val="0"/>
        </w:rPr>
      </w:pPr>
      <w:bookmarkStart w:id="25" w:name="_Toc15396604"/>
      <w:bookmarkStart w:id="26" w:name="_Toc15377206"/>
      <w:r>
        <w:rPr>
          <w:rFonts w:hint="eastAsia" w:ascii="黑体" w:hAnsi="黑体" w:eastAsia="黑体"/>
          <w:sz w:val="32"/>
          <w:szCs w:val="32"/>
        </w:rPr>
        <w:t>收</w:t>
      </w:r>
      <w:r>
        <w:rPr>
          <w:rStyle w:val="31"/>
          <w:rFonts w:hint="eastAsia" w:ascii="黑体" w:hAnsi="黑体" w:eastAsia="黑体"/>
          <w:b w:val="0"/>
        </w:rPr>
        <w:t>入决算情况说明</w:t>
      </w:r>
      <w:bookmarkEnd w:id="25"/>
      <w:bookmarkEnd w:id="26"/>
    </w:p>
    <w:p>
      <w:pPr>
        <w:spacing w:line="600" w:lineRule="exact"/>
        <w:ind w:firstLine="640" w:firstLineChars="200"/>
        <w:outlineLvl w:val="1"/>
        <w:rPr>
          <w:rFonts w:ascii="仿宋" w:hAnsi="仿宋" w:eastAsia="仿宋"/>
          <w:sz w:val="32"/>
          <w:szCs w:val="32"/>
        </w:rPr>
      </w:pPr>
      <w:r>
        <w:rPr>
          <w:rFonts w:hint="eastAsia" w:ascii="仿宋_GB2312" w:hAnsi="仿宋" w:eastAsia="仿宋_GB2312"/>
          <w:sz w:val="32"/>
          <w:szCs w:val="32"/>
        </w:rPr>
        <w:t>2024年度本年收入合计803.05万元，其中：一般公共预算财政拨款收入803.05万元，占100%</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drawing>
          <wp:anchor distT="0" distB="0" distL="0" distR="0" simplePos="0" relativeHeight="251660288" behindDoc="1" locked="0" layoutInCell="1" allowOverlap="1">
            <wp:simplePos x="0" y="0"/>
            <wp:positionH relativeFrom="column">
              <wp:posOffset>352425</wp:posOffset>
            </wp:positionH>
            <wp:positionV relativeFrom="paragraph">
              <wp:posOffset>95250</wp:posOffset>
            </wp:positionV>
            <wp:extent cx="4562475" cy="1651635"/>
            <wp:effectExtent l="4445" t="4445" r="5080" b="2032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pPr>
        <w:pStyle w:val="28"/>
        <w:numPr>
          <w:ilvl w:val="0"/>
          <w:numId w:val="2"/>
        </w:numPr>
        <w:spacing w:line="600" w:lineRule="exact"/>
        <w:ind w:firstLineChars="0"/>
        <w:outlineLvl w:val="1"/>
        <w:rPr>
          <w:rStyle w:val="31"/>
          <w:rFonts w:ascii="黑体" w:hAnsi="黑体" w:eastAsia="黑体"/>
          <w:b w:val="0"/>
        </w:rPr>
      </w:pPr>
      <w:bookmarkStart w:id="27" w:name="_Toc15377207"/>
      <w:bookmarkStart w:id="28" w:name="_Toc15396605"/>
      <w:r>
        <w:rPr>
          <w:rFonts w:hint="eastAsia" w:ascii="黑体" w:hAnsi="黑体" w:eastAsia="黑体"/>
          <w:sz w:val="32"/>
          <w:szCs w:val="32"/>
        </w:rPr>
        <w:t>支</w:t>
      </w:r>
      <w:r>
        <w:rPr>
          <w:rStyle w:val="31"/>
          <w:rFonts w:hint="eastAsia" w:ascii="黑体" w:hAnsi="黑体" w:eastAsia="黑体"/>
          <w:b w:val="0"/>
        </w:rPr>
        <w:t>出决算情况说明</w:t>
      </w:r>
      <w:bookmarkEnd w:id="27"/>
      <w:bookmarkEnd w:id="28"/>
    </w:p>
    <w:p>
      <w:pPr>
        <w:spacing w:line="60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2024年度本年支出合计803.05万元，其中：基本支出670.87万元，占83.54%；项目支出132.18万元，占16.46%。</w:t>
      </w:r>
    </w:p>
    <w:p>
      <w:pPr>
        <w:spacing w:line="600" w:lineRule="exact"/>
        <w:ind w:firstLine="640"/>
        <w:rPr>
          <w:rFonts w:ascii="仿宋" w:hAnsi="仿宋" w:eastAsia="仿宋"/>
          <w:sz w:val="32"/>
          <w:szCs w:val="32"/>
          <w:shd w:val="pct10" w:color="auto" w:fill="FFFFFF"/>
        </w:rPr>
      </w:pPr>
      <w:r>
        <w:rPr>
          <w:rFonts w:ascii="仿宋" w:hAnsi="仿宋" w:eastAsia="仿宋"/>
          <w:color w:val="000000"/>
          <w:sz w:val="32"/>
          <w:szCs w:val="32"/>
          <w:shd w:val="pct10" w:color="auto" w:fill="FFFFFF"/>
        </w:rPr>
        <w:drawing>
          <wp:anchor distT="0" distB="0" distL="0" distR="0" simplePos="0" relativeHeight="251661312" behindDoc="0" locked="0" layoutInCell="1" allowOverlap="1">
            <wp:simplePos x="0" y="0"/>
            <wp:positionH relativeFrom="column">
              <wp:posOffset>38100</wp:posOffset>
            </wp:positionH>
            <wp:positionV relativeFrom="paragraph">
              <wp:posOffset>76200</wp:posOffset>
            </wp:positionV>
            <wp:extent cx="5427980" cy="2833370"/>
            <wp:effectExtent l="4445" t="4445" r="15875" b="1968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31"/>
          <w:rFonts w:ascii="黑体" w:hAnsi="黑体" w:eastAsia="黑体"/>
          <w:b w:val="0"/>
        </w:rPr>
      </w:pPr>
      <w:bookmarkStart w:id="29" w:name="_Toc15377208"/>
      <w:bookmarkStart w:id="30"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9"/>
      <w:bookmarkEnd w:id="30"/>
    </w:p>
    <w:p>
      <w:pPr>
        <w:spacing w:line="60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2024年度财政拨款收、支总计均为803.05万元。与2023年度相比，财政拨款减少119.99万元，下降12.99%。主要变动原因是学校</w:t>
      </w:r>
      <w:r>
        <w:rPr>
          <w:rFonts w:hint="eastAsia" w:ascii="仿宋_GB2312" w:hAnsi="仿宋" w:eastAsia="仿宋_GB2312"/>
          <w:sz w:val="32"/>
          <w:szCs w:val="32"/>
          <w:lang w:val="en-US" w:eastAsia="zh-CN"/>
        </w:rPr>
        <w:t>撤校人员</w:t>
      </w:r>
      <w:r>
        <w:rPr>
          <w:rFonts w:hint="eastAsia" w:ascii="仿宋_GB2312" w:hAnsi="仿宋" w:eastAsia="仿宋_GB2312"/>
          <w:sz w:val="32"/>
          <w:szCs w:val="32"/>
        </w:rPr>
        <w:t>资金减少。</w:t>
      </w:r>
    </w:p>
    <w:p>
      <w:pPr>
        <w:spacing w:line="600" w:lineRule="exact"/>
        <w:ind w:firstLine="640"/>
        <w:rPr>
          <w:rFonts w:ascii="仿宋" w:hAnsi="仿宋" w:eastAsia="仿宋"/>
          <w:b/>
          <w:sz w:val="32"/>
          <w:szCs w:val="32"/>
        </w:rPr>
      </w:pP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-161925</wp:posOffset>
            </wp:positionH>
            <wp:positionV relativeFrom="paragraph">
              <wp:posOffset>85725</wp:posOffset>
            </wp:positionV>
            <wp:extent cx="5427980" cy="2229485"/>
            <wp:effectExtent l="5080" t="4445" r="15240" b="1397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320" w:firstLineChars="1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1"/>
          <w:rFonts w:ascii="黑体" w:hAnsi="黑体" w:eastAsia="黑体"/>
          <w:b w:val="0"/>
        </w:rPr>
      </w:pPr>
      <w:bookmarkStart w:id="31" w:name="_Toc15396607"/>
      <w:bookmarkStart w:id="32"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2024年度一般公共预算财政拨款支出803.05万元，占本年支出合计的100%。与2023年度相比，一般公共预算财政拨款支</w:t>
      </w:r>
      <w:r>
        <w:rPr>
          <w:rFonts w:hint="eastAsia" w:ascii="仿宋_GB2312" w:hAnsi="仿宋" w:eastAsia="仿宋_GB2312"/>
          <w:sz w:val="32"/>
          <w:szCs w:val="32"/>
          <w:lang w:val="en-US" w:eastAsia="zh-CN"/>
        </w:rPr>
        <w:t>出</w:t>
      </w:r>
      <w:r>
        <w:rPr>
          <w:rFonts w:hint="eastAsia" w:ascii="仿宋_GB2312" w:hAnsi="仿宋" w:eastAsia="仿宋_GB2312"/>
          <w:sz w:val="32"/>
          <w:szCs w:val="32"/>
        </w:rPr>
        <w:t>减少119.99万元，减少12.99%。主要变动原因是学校</w:t>
      </w:r>
      <w:r>
        <w:rPr>
          <w:rFonts w:hint="eastAsia" w:ascii="仿宋_GB2312" w:hAnsi="仿宋" w:eastAsia="仿宋_GB2312"/>
          <w:sz w:val="32"/>
          <w:szCs w:val="32"/>
          <w:lang w:val="en-US" w:eastAsia="zh-CN"/>
        </w:rPr>
        <w:t>撤校人员</w:t>
      </w:r>
      <w:r>
        <w:rPr>
          <w:rFonts w:hint="eastAsia" w:ascii="仿宋_GB2312" w:hAnsi="仿宋" w:eastAsia="仿宋_GB2312"/>
          <w:sz w:val="32"/>
          <w:szCs w:val="32"/>
        </w:rPr>
        <w:t>资金减少。</w:t>
      </w:r>
    </w:p>
    <w:p>
      <w:pPr>
        <w:spacing w:line="600" w:lineRule="exact"/>
        <w:ind w:firstLine="640" w:firstLineChars="200"/>
        <w:rPr>
          <w:rFonts w:ascii="仿宋" w:hAnsi="仿宋" w:eastAsia="仿宋"/>
          <w:sz w:val="32"/>
          <w:szCs w:val="32"/>
          <w:highlight w:val="none"/>
        </w:rPr>
      </w:pPr>
      <w:r>
        <w:rPr>
          <w:rFonts w:ascii="仿宋" w:hAnsi="仿宋" w:eastAsia="仿宋"/>
          <w:color w:val="000000"/>
          <w:sz w:val="32"/>
          <w:szCs w:val="32"/>
          <w:highlight w:val="none"/>
        </w:rPr>
        <w:drawing>
          <wp:anchor distT="0" distB="0" distL="0" distR="0" simplePos="0" relativeHeight="251663360" behindDoc="1" locked="0" layoutInCell="1" allowOverlap="1">
            <wp:simplePos x="0" y="0"/>
            <wp:positionH relativeFrom="column">
              <wp:posOffset>-95250</wp:posOffset>
            </wp:positionH>
            <wp:positionV relativeFrom="paragraph">
              <wp:posOffset>47625</wp:posOffset>
            </wp:positionV>
            <wp:extent cx="5427980" cy="2165985"/>
            <wp:effectExtent l="5080" t="4445" r="15240" b="20320"/>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960" w:firstLineChars="300"/>
        <w:rPr>
          <w:rFonts w:ascii="仿宋" w:hAnsi="仿宋" w:eastAsia="仿宋"/>
          <w:b/>
          <w:sz w:val="32"/>
          <w:szCs w:val="32"/>
        </w:rPr>
      </w:pPr>
      <w:r>
        <w:rPr>
          <w:rFonts w:hint="eastAsia" w:ascii="仿宋_GB2312" w:hAnsi="仿宋" w:eastAsia="仿宋_GB2312"/>
          <w:sz w:val="32"/>
          <w:szCs w:val="32"/>
        </w:rPr>
        <w:t>2024年度一般公共预算财政拨款支出803.05万元，主要用于以下方面:教育支出639.92万元，占79.69%；社会保障和就业支出86.09万元，占10.72%；卫生健康支出21.91万元，占2.72%；住房保障支出55.14万元，占6.87%。</w:t>
      </w:r>
    </w:p>
    <w:p>
      <w:pPr>
        <w:spacing w:line="600" w:lineRule="exact"/>
        <w:ind w:firstLine="640"/>
        <w:rPr>
          <w:rFonts w:ascii="仿宋" w:hAnsi="仿宋" w:eastAsia="仿宋"/>
          <w:sz w:val="32"/>
          <w:szCs w:val="32"/>
        </w:rPr>
      </w:pPr>
      <w:r>
        <w:rPr>
          <w:rFonts w:ascii="仿宋" w:hAnsi="仿宋" w:eastAsia="仿宋"/>
          <w:color w:val="000000"/>
          <w:sz w:val="32"/>
          <w:szCs w:val="32"/>
        </w:rPr>
        <w:drawing>
          <wp:anchor distT="0" distB="0" distL="0" distR="0" simplePos="0" relativeHeight="251664384" behindDoc="1" locked="0" layoutInCell="1" allowOverlap="1">
            <wp:simplePos x="0" y="0"/>
            <wp:positionH relativeFrom="column">
              <wp:posOffset>323850</wp:posOffset>
            </wp:positionH>
            <wp:positionV relativeFrom="paragraph">
              <wp:posOffset>66675</wp:posOffset>
            </wp:positionV>
            <wp:extent cx="4875530" cy="2498090"/>
            <wp:effectExtent l="4445" t="4445" r="15875" b="1206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（图6：一般公共预算财政拨款支出决算结构）（饼状图）</w:t>
      </w:r>
    </w:p>
    <w:p>
      <w:pPr>
        <w:spacing w:line="600" w:lineRule="exact"/>
        <w:ind w:firstLine="964" w:firstLineChars="300"/>
        <w:rPr>
          <w:rFonts w:hint="eastAsia" w:ascii="仿宋_GB2312" w:hAnsi="仿宋" w:eastAsia="仿宋_GB2312"/>
          <w:sz w:val="32"/>
          <w:szCs w:val="32"/>
        </w:rPr>
      </w:pPr>
      <w:bookmarkStart w:id="35" w:name="_Toc15377212"/>
      <w:r>
        <w:rPr>
          <w:rFonts w:hint="eastAsia" w:ascii="仿宋" w:hAnsi="仿宋" w:eastAsia="仿宋"/>
          <w:b/>
          <w:sz w:val="32"/>
          <w:szCs w:val="32"/>
        </w:rPr>
        <w:t>（三）</w:t>
      </w:r>
      <w:r>
        <w:rPr>
          <w:rFonts w:hint="eastAsia" w:ascii="仿宋_GB2312" w:hAnsi="仿宋" w:eastAsia="仿宋_GB2312"/>
          <w:sz w:val="32"/>
          <w:szCs w:val="32"/>
        </w:rPr>
        <w:t>一般公共预算财政拨款支出决算具体情况</w:t>
      </w:r>
      <w:bookmarkEnd w:id="35"/>
    </w:p>
    <w:p>
      <w:pPr>
        <w:spacing w:line="600" w:lineRule="exact"/>
        <w:ind w:firstLine="960" w:firstLineChars="300"/>
        <w:rPr>
          <w:rFonts w:hint="eastAsia" w:ascii="仿宋_GB2312" w:hAnsi="仿宋" w:eastAsia="仿宋_GB2312"/>
          <w:sz w:val="32"/>
          <w:szCs w:val="32"/>
        </w:rPr>
      </w:pPr>
      <w:bookmarkStart w:id="36" w:name="_Toc15378460"/>
      <w:bookmarkStart w:id="37" w:name="_Toc15377444"/>
      <w:bookmarkStart w:id="38" w:name="_Toc15377213"/>
      <w:r>
        <w:rPr>
          <w:rFonts w:hint="eastAsia" w:ascii="仿宋_GB2312" w:hAnsi="仿宋" w:eastAsia="仿宋_GB2312"/>
          <w:sz w:val="32"/>
          <w:szCs w:val="32"/>
        </w:rPr>
        <w:t>2023年度一般公共预算支出决算数为803.05万，完成预算100%。其中：</w:t>
      </w:r>
      <w:bookmarkEnd w:id="36"/>
      <w:bookmarkEnd w:id="37"/>
      <w:bookmarkEnd w:id="38"/>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教育（205类）普通教育（02款）小学教育（01项）: 支出决算为17.57万元，完成预算100%;教育（205类）初中教育（02款）初中教育（03项）: 支出决算为490.16万元，完成预算100%;决算数等于预算数。</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社会保障和就业（208类）行政事业单位养老支出（05款）事业单位离退休支出（02项）: 支出决算为5.05万元，完成预算100%。社会保障和就业（208类）行政事业单位养老支出（05款）机关事业单位基本养老保险缴费支出（05项）: 支出决算为63.87万元，完成预算100%。社会保障和就业（208类）抚恤支出（08款）死亡抚恤（01项）支出决算为11.58万元，完成预算100%。社会保障和就业（208类）其他社会保障和就业支出（99款）其他社会保障和就业支出（99项）: 支出决算为5.59万元，完成预算100%，决算数等于预算数。</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卫生健康（210类）行政事业单位医疗（11款）事业单位医疗（02项）:支出决算为21.91万元，完成预算100%，决算数等于预算数。</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住房保障支出（221类）住房改革支出（02款）住房公积金（01项）:支出决算为55.14万元，完成预算100%，决算数等于预算数。</w:t>
      </w:r>
      <w:bookmarkStart w:id="39" w:name="_Toc15377214"/>
      <w:bookmarkStart w:id="40" w:name="_Toc15396608"/>
    </w:p>
    <w:p>
      <w:pPr>
        <w:spacing w:line="600" w:lineRule="exact"/>
        <w:ind w:firstLine="964" w:firstLineChars="300"/>
        <w:rPr>
          <w:rFonts w:hint="eastAsia" w:ascii="仿宋_GB2312" w:hAnsi="仿宋" w:eastAsia="仿宋_GB2312"/>
          <w:sz w:val="32"/>
          <w:szCs w:val="32"/>
        </w:rPr>
      </w:pPr>
      <w:r>
        <w:rPr>
          <w:rFonts w:hint="eastAsia" w:ascii="仿宋_GB2312" w:hAnsi="仿宋" w:eastAsia="仿宋_GB2312"/>
          <w:b/>
          <w:bCs/>
          <w:sz w:val="32"/>
          <w:szCs w:val="32"/>
        </w:rPr>
        <w:t>六、一般公共预算财政拨款基本支出决算情况说明</w:t>
      </w:r>
      <w:bookmarkEnd w:id="39"/>
      <w:bookmarkEnd w:id="40"/>
      <w:r>
        <w:rPr>
          <w:rFonts w:hint="eastAsia" w:ascii="仿宋_GB2312" w:hAnsi="仿宋" w:eastAsia="仿宋_GB2312"/>
          <w:sz w:val="32"/>
          <w:szCs w:val="32"/>
        </w:rPr>
        <w:tab/>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2024年度一般公共预算财政拨款基本支出670.87万元，其中：</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人员经费655.05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sz w:val="32"/>
          <w:szCs w:val="32"/>
        </w:rPr>
        <w:br w:type="textWrapping"/>
      </w:r>
      <w:r>
        <w:rPr>
          <w:rFonts w:hint="eastAsia" w:ascii="仿宋_GB2312" w:hAnsi="仿宋" w:eastAsia="仿宋_GB2312"/>
          <w:sz w:val="32"/>
          <w:szCs w:val="32"/>
        </w:rPr>
        <w:t>　　公用经费15.82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资本性支出、其他资本性支出等。</w:t>
      </w:r>
    </w:p>
    <w:p>
      <w:pPr>
        <w:spacing w:line="600" w:lineRule="exact"/>
        <w:ind w:firstLine="964" w:firstLineChars="300"/>
        <w:rPr>
          <w:rFonts w:hint="eastAsia" w:ascii="仿宋_GB2312" w:hAnsi="仿宋" w:eastAsia="仿宋_GB2312"/>
          <w:b/>
          <w:bCs/>
          <w:sz w:val="32"/>
          <w:szCs w:val="32"/>
        </w:rPr>
      </w:pPr>
      <w:bookmarkStart w:id="41" w:name="_Toc15377215"/>
      <w:bookmarkStart w:id="42" w:name="_Toc15396609"/>
      <w:r>
        <w:rPr>
          <w:rFonts w:hint="eastAsia" w:ascii="仿宋_GB2312" w:hAnsi="仿宋" w:eastAsia="仿宋_GB2312"/>
          <w:b/>
          <w:bCs/>
          <w:sz w:val="32"/>
          <w:szCs w:val="32"/>
        </w:rPr>
        <w:t>七、财政拨款“三公”经费支出决算情况说明</w:t>
      </w:r>
      <w:bookmarkEnd w:id="41"/>
      <w:bookmarkEnd w:id="42"/>
    </w:p>
    <w:p>
      <w:pPr>
        <w:spacing w:line="600" w:lineRule="exact"/>
        <w:ind w:firstLine="960" w:firstLineChars="300"/>
        <w:rPr>
          <w:rFonts w:hint="eastAsia" w:ascii="仿宋_GB2312" w:hAnsi="仿宋" w:eastAsia="仿宋_GB2312"/>
          <w:sz w:val="32"/>
          <w:szCs w:val="32"/>
        </w:rPr>
      </w:pPr>
      <w:bookmarkStart w:id="43" w:name="_Toc15377216"/>
      <w:r>
        <w:rPr>
          <w:rFonts w:hint="eastAsia" w:ascii="仿宋_GB2312" w:hAnsi="仿宋" w:eastAsia="仿宋_GB2312"/>
          <w:sz w:val="32"/>
          <w:szCs w:val="32"/>
        </w:rPr>
        <w:t>（一）“三公”经费财政拨款支出决算总体情况说明</w:t>
      </w:r>
      <w:bookmarkEnd w:id="43"/>
    </w:p>
    <w:p>
      <w:pPr>
        <w:spacing w:line="600" w:lineRule="exact"/>
        <w:ind w:firstLine="960" w:firstLineChars="300"/>
        <w:rPr>
          <w:rFonts w:hint="eastAsia" w:ascii="仿宋_GB2312" w:hAnsi="仿宋" w:eastAsia="仿宋_GB2312"/>
          <w:sz w:val="32"/>
          <w:szCs w:val="32"/>
        </w:rPr>
      </w:pPr>
      <w:bookmarkStart w:id="44" w:name="_Toc15377217"/>
      <w:r>
        <w:rPr>
          <w:rFonts w:hint="eastAsia" w:ascii="仿宋_GB2312" w:hAnsi="仿宋" w:eastAsia="仿宋_GB2312"/>
          <w:sz w:val="32"/>
          <w:szCs w:val="32"/>
        </w:rPr>
        <w:t>2024年度“三公”经费财政拨款支出决算为0万元，完成预算100%，与上年度持平,决算数与预算数持平。</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（二）“三公”经费财政拨款支出决算具体情况说明</w:t>
      </w:r>
      <w:bookmarkEnd w:id="44"/>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2024年“三公”经费财政拨款支出决算中，因公出国（境）费支出决算0万元，占0%；公务用车购置及运行维护费支出决算0万元，占0%；公务接待费支出决算0万元，占0%。具体情况如下：</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1.因公出国（境）经费支出0万元，完成预算100%。全年安排因公出国（境）团组0次，出国（境）0人。因公出国（境）支出决算与2023年持平。</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2.公务用车购置及运行维护费支出0万元,完成预算100%。公务用车购置及运行维护费支出决算与2023年持平。</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其中：公务用车购置支出0万元。全年按规定更新购置公务用车0辆，其中：轿车0辆、金额0元，越野车0辆、金额0万元，载客汽车0辆、金额0万元。截至2024年12月31日，单位共有公务用车0辆，其中：轿车0辆、越野车0辆、载客汽车0辆。</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公务用车运行维护费支出0万元。</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公务接待费支出0万元，完成预算100%。公务接待费支出决算与2023年度持平。其中：</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国内公务接待支出0万元。国内公务接待0批次，0人次（不包括陪同人员），共计支出0万元。</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外事接待支出0万元。外事接待0批次，0人次（不包括陪同人员），共计支出0万元。</w:t>
      </w:r>
    </w:p>
    <w:p>
      <w:pPr>
        <w:spacing w:line="600" w:lineRule="exact"/>
        <w:ind w:firstLine="964" w:firstLineChars="300"/>
        <w:rPr>
          <w:rFonts w:hint="eastAsia" w:ascii="仿宋_GB2312" w:hAnsi="仿宋" w:eastAsia="仿宋_GB2312"/>
          <w:sz w:val="32"/>
          <w:szCs w:val="32"/>
        </w:rPr>
      </w:pPr>
      <w:bookmarkStart w:id="45" w:name="_Toc15396610"/>
      <w:bookmarkStart w:id="46" w:name="_Toc15377218"/>
      <w:r>
        <w:rPr>
          <w:rFonts w:hint="eastAsia" w:ascii="仿宋_GB2312" w:hAnsi="仿宋" w:eastAsia="仿宋_GB2312"/>
          <w:b/>
          <w:bCs/>
          <w:sz w:val="32"/>
          <w:szCs w:val="32"/>
        </w:rPr>
        <w:t>八、政府性基金预算支出决算情况说明</w:t>
      </w:r>
      <w:bookmarkEnd w:id="45"/>
      <w:bookmarkEnd w:id="46"/>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2024年，遂宁市安居区西眉镇马家小学校政府性基金预算财政拨款支出0万元，与2023年度决算数持平。</w:t>
      </w:r>
    </w:p>
    <w:p>
      <w:pPr>
        <w:spacing w:line="600" w:lineRule="exact"/>
        <w:ind w:firstLine="964" w:firstLineChars="300"/>
        <w:rPr>
          <w:rFonts w:hint="eastAsia" w:ascii="仿宋_GB2312" w:hAnsi="仿宋" w:eastAsia="仿宋_GB2312"/>
          <w:b/>
          <w:bCs/>
          <w:sz w:val="32"/>
          <w:szCs w:val="32"/>
        </w:rPr>
      </w:pPr>
      <w:bookmarkStart w:id="47" w:name="_Toc15377219"/>
      <w:bookmarkStart w:id="48" w:name="_Toc15396611"/>
      <w:r>
        <w:rPr>
          <w:rFonts w:hint="eastAsia" w:ascii="仿宋_GB2312" w:hAnsi="仿宋" w:eastAsia="仿宋_GB2312"/>
          <w:b/>
          <w:bCs/>
          <w:sz w:val="32"/>
          <w:szCs w:val="32"/>
        </w:rPr>
        <w:t>九、 国有资本经营预算支出决算情况说明</w:t>
      </w:r>
      <w:bookmarkEnd w:id="47"/>
      <w:bookmarkEnd w:id="48"/>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2024年，遂宁市安居区西眉镇马家小学校国有资本经营预算财政拨款支出0万元，与2023年度决算数持平。</w:t>
      </w:r>
    </w:p>
    <w:p>
      <w:pPr>
        <w:spacing w:line="600" w:lineRule="exact"/>
        <w:ind w:firstLine="964" w:firstLineChars="300"/>
        <w:rPr>
          <w:rFonts w:hint="eastAsia" w:ascii="仿宋_GB2312" w:hAnsi="仿宋" w:eastAsia="仿宋_GB2312"/>
          <w:b/>
          <w:bCs/>
          <w:sz w:val="32"/>
          <w:szCs w:val="32"/>
        </w:rPr>
      </w:pPr>
      <w:bookmarkStart w:id="49" w:name="_Toc15396612"/>
      <w:bookmarkStart w:id="50" w:name="_Toc15377221"/>
      <w:r>
        <w:rPr>
          <w:rFonts w:hint="eastAsia" w:ascii="仿宋_GB2312" w:hAnsi="仿宋" w:eastAsia="仿宋_GB2312"/>
          <w:b/>
          <w:bCs/>
          <w:sz w:val="32"/>
          <w:szCs w:val="32"/>
        </w:rPr>
        <w:t>十、其他重要事项的情况说明</w:t>
      </w:r>
      <w:bookmarkEnd w:id="49"/>
      <w:bookmarkEnd w:id="50"/>
    </w:p>
    <w:p>
      <w:pPr>
        <w:spacing w:line="600" w:lineRule="exact"/>
        <w:ind w:firstLine="960" w:firstLineChars="300"/>
        <w:rPr>
          <w:rFonts w:hint="eastAsia" w:ascii="仿宋_GB2312" w:hAnsi="仿宋" w:eastAsia="仿宋_GB2312"/>
          <w:sz w:val="32"/>
          <w:szCs w:val="32"/>
        </w:rPr>
      </w:pPr>
      <w:bookmarkStart w:id="51" w:name="_Toc15377222"/>
      <w:r>
        <w:rPr>
          <w:rFonts w:hint="eastAsia" w:ascii="仿宋_GB2312" w:hAnsi="仿宋" w:eastAsia="仿宋_GB2312"/>
          <w:sz w:val="32"/>
          <w:szCs w:val="32"/>
        </w:rPr>
        <w:t>（一）机关运行经费支出情况</w:t>
      </w:r>
      <w:bookmarkEnd w:id="51"/>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2024年，遂宁市安居区西眉镇马家小学校机关运行经费支出0万元，与2023年度决算数持平。</w:t>
      </w:r>
    </w:p>
    <w:p>
      <w:pPr>
        <w:spacing w:line="600" w:lineRule="exact"/>
        <w:ind w:firstLine="960" w:firstLineChars="300"/>
        <w:rPr>
          <w:rFonts w:hint="eastAsia" w:ascii="仿宋_GB2312" w:hAnsi="仿宋" w:eastAsia="仿宋_GB2312"/>
          <w:sz w:val="32"/>
          <w:szCs w:val="32"/>
        </w:rPr>
      </w:pPr>
      <w:bookmarkStart w:id="52" w:name="_Toc15377223"/>
      <w:r>
        <w:rPr>
          <w:rFonts w:hint="eastAsia" w:ascii="仿宋_GB2312" w:hAnsi="仿宋" w:eastAsia="仿宋_GB2312"/>
          <w:sz w:val="32"/>
          <w:szCs w:val="32"/>
        </w:rPr>
        <w:t>（二）政府采购支出情况</w:t>
      </w:r>
      <w:bookmarkEnd w:id="52"/>
    </w:p>
    <w:p>
      <w:pPr>
        <w:spacing w:line="600" w:lineRule="exact"/>
        <w:ind w:firstLine="960" w:firstLineChars="300"/>
        <w:rPr>
          <w:rFonts w:hint="eastAsia" w:ascii="仿宋_GB2312" w:hAnsi="仿宋" w:eastAsia="仿宋_GB2312"/>
          <w:sz w:val="32"/>
          <w:szCs w:val="32"/>
        </w:rPr>
      </w:pPr>
      <w:bookmarkStart w:id="53" w:name="_Toc15377224"/>
      <w:r>
        <w:rPr>
          <w:rFonts w:hint="eastAsia" w:ascii="仿宋_GB2312" w:hAnsi="仿宋" w:eastAsia="仿宋_GB2312"/>
          <w:sz w:val="32"/>
          <w:szCs w:val="32"/>
        </w:rPr>
        <w:t>2024年度，遂宁市安居区西眉镇马家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bookmarkEnd w:id="53"/>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（三）国有资产占有使用情况</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截至2024年12月31日，遂宁市安居区西眉镇马家小学校共有车辆0辆，其中：主要领导干部用车0辆、机要通信用车0辆、应急保障用车0辆、其他用车0辆。单价100万元以上设备（不含车辆）0台（套）。</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预算绩效管理情况</w:t>
      </w:r>
    </w:p>
    <w:p>
      <w:pPr>
        <w:spacing w:line="600" w:lineRule="exact"/>
        <w:ind w:firstLine="960" w:firstLineChars="300"/>
        <w:rPr>
          <w:rFonts w:hint="eastAsia" w:ascii="仿宋_GB2312" w:hAnsi="仿宋" w:eastAsia="仿宋_GB2312"/>
          <w:sz w:val="32"/>
          <w:szCs w:val="32"/>
        </w:rPr>
      </w:pP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根据预算绩效管理要求，本部门在2024年度预算编制阶段，组织对义务教育家庭经济困难学生生活补助等</w:t>
      </w:r>
      <w:r>
        <w:rPr>
          <w:rFonts w:hint="eastAsia" w:ascii="仿宋_GB2312" w:hAnsi="仿宋" w:eastAsia="仿宋_GB2312"/>
          <w:sz w:val="32"/>
          <w:szCs w:val="32"/>
          <w:lang w:val="en-US" w:eastAsia="zh-CN"/>
        </w:rPr>
        <w:t>5</w:t>
      </w:r>
      <w:r>
        <w:rPr>
          <w:rFonts w:hint="eastAsia" w:ascii="仿宋_GB2312" w:hAnsi="仿宋" w:eastAsia="仿宋_GB2312"/>
          <w:sz w:val="32"/>
          <w:szCs w:val="32"/>
        </w:rPr>
        <w:t>个项目开展了预算事前绩效评估，对</w:t>
      </w:r>
      <w:r>
        <w:rPr>
          <w:rFonts w:hint="eastAsia" w:ascii="仿宋_GB2312" w:hAnsi="仿宋" w:eastAsia="仿宋_GB2312"/>
          <w:sz w:val="32"/>
          <w:szCs w:val="32"/>
          <w:lang w:val="en-US" w:eastAsia="zh-CN"/>
        </w:rPr>
        <w:t>5</w:t>
      </w:r>
      <w:r>
        <w:rPr>
          <w:rFonts w:hint="eastAsia" w:ascii="仿宋_GB2312" w:hAnsi="仿宋" w:eastAsia="仿宋_GB2312"/>
          <w:sz w:val="32"/>
          <w:szCs w:val="32"/>
        </w:rPr>
        <w:t>个项目编制了绩效目标，预算执行过程中，选取</w:t>
      </w:r>
      <w:r>
        <w:rPr>
          <w:rFonts w:hint="eastAsia" w:ascii="仿宋_GB2312" w:hAnsi="仿宋" w:eastAsia="仿宋_GB2312"/>
          <w:sz w:val="32"/>
          <w:szCs w:val="32"/>
          <w:lang w:val="en-US" w:eastAsia="zh-CN"/>
        </w:rPr>
        <w:t>5</w:t>
      </w:r>
      <w:r>
        <w:rPr>
          <w:rFonts w:hint="eastAsia" w:ascii="仿宋_GB2312" w:hAnsi="仿宋" w:eastAsia="仿宋_GB2312"/>
          <w:sz w:val="32"/>
          <w:szCs w:val="32"/>
        </w:rPr>
        <w:t>个项目开展绩效监控。</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组织对2024年度部门决算中反映“义务教育家庭经济困难学生生活补助”、“幼儿资助及幼儿发展资金”、“新建厕所、学生食堂维修改造”“校舍维修”“补围墙排危及天然气上户”等5个项目全面开展绩效自评，形成遂宁市安居区西眉镇马家小学校部门整体（含部门预算项目）绩效自评报告、义务教育家庭经济困难学生生活补助等专项预算项目绩效自评报告，其中，遂宁市安居区西眉镇马家小学校部门整体（含部门预算项目）绩效自评得分为100分，各项目绩效</w:t>
      </w:r>
      <w:r>
        <w:rPr>
          <w:rFonts w:hint="eastAsia" w:ascii="仿宋_GB2312" w:hAnsi="仿宋" w:eastAsia="仿宋_GB2312"/>
          <w:sz w:val="32"/>
          <w:szCs w:val="32"/>
          <w:lang w:eastAsia="zh-CN"/>
        </w:rPr>
        <w:t>自评综述</w:t>
      </w:r>
      <w:r>
        <w:rPr>
          <w:rFonts w:hint="eastAsia" w:ascii="仿宋_GB2312" w:hAnsi="仿宋" w:eastAsia="仿宋_GB2312"/>
          <w:sz w:val="32"/>
          <w:szCs w:val="32"/>
        </w:rPr>
        <w:t>如下：</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义务教育家庭经济困难学生生活补助项目绩效自评得分为100分，绩效</w:t>
      </w:r>
      <w:r>
        <w:rPr>
          <w:rFonts w:hint="eastAsia" w:ascii="仿宋_GB2312" w:hAnsi="仿宋" w:eastAsia="仿宋_GB2312"/>
          <w:sz w:val="32"/>
          <w:szCs w:val="32"/>
          <w:lang w:eastAsia="zh-CN"/>
        </w:rPr>
        <w:t>自评综述</w:t>
      </w:r>
      <w:r>
        <w:rPr>
          <w:rFonts w:hint="eastAsia" w:ascii="仿宋_GB2312" w:hAnsi="仿宋" w:eastAsia="仿宋_GB2312"/>
          <w:sz w:val="32"/>
          <w:szCs w:val="32"/>
        </w:rPr>
        <w:t>：项目全年预算数2.06万元，执行数为2.06万元，完成预算的100%。通过项目实施，保障建档立卡学生的正常学习，支持了学生接受学校教育水平，促进了学生学业水平提升。</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幼儿资助及幼儿发展资金项目绩效自评得分为100分，绩效</w:t>
      </w:r>
      <w:r>
        <w:rPr>
          <w:rFonts w:hint="eastAsia" w:ascii="仿宋_GB2312" w:hAnsi="仿宋" w:eastAsia="仿宋_GB2312"/>
          <w:sz w:val="32"/>
          <w:szCs w:val="32"/>
          <w:lang w:eastAsia="zh-CN"/>
        </w:rPr>
        <w:t>自评综述</w:t>
      </w:r>
      <w:r>
        <w:rPr>
          <w:rFonts w:hint="eastAsia" w:ascii="仿宋_GB2312" w:hAnsi="仿宋" w:eastAsia="仿宋_GB2312"/>
          <w:sz w:val="32"/>
          <w:szCs w:val="32"/>
        </w:rPr>
        <w:t>：项目全年预算数0.75万元，执行数为0.75万元，完成预算的100%。通过项目实施，保障幼儿建档立卡学生的正常学习，支持了学生接受学校教育水平，促进了学生学业水平提升。</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新建厕所、学生食堂维修改造项目自评得分为100分，绩效</w:t>
      </w:r>
      <w:r>
        <w:rPr>
          <w:rFonts w:hint="eastAsia" w:ascii="仿宋_GB2312" w:hAnsi="仿宋" w:eastAsia="仿宋_GB2312"/>
          <w:sz w:val="32"/>
          <w:szCs w:val="32"/>
          <w:lang w:eastAsia="zh-CN"/>
        </w:rPr>
        <w:t>自评综述</w:t>
      </w:r>
      <w:r>
        <w:rPr>
          <w:rFonts w:hint="eastAsia" w:ascii="仿宋_GB2312" w:hAnsi="仿宋" w:eastAsia="仿宋_GB2312"/>
          <w:sz w:val="32"/>
          <w:szCs w:val="32"/>
        </w:rPr>
        <w:t>：项目全年预算数14.37万元，执行数为14.37万元，完成预算的100%。通过项目实施，有效加强了校园安全性。</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校舍安全维修项目绩效自评得分为100分，绩效</w:t>
      </w:r>
      <w:r>
        <w:rPr>
          <w:rFonts w:hint="eastAsia" w:ascii="仿宋_GB2312" w:hAnsi="仿宋" w:eastAsia="仿宋_GB2312"/>
          <w:sz w:val="32"/>
          <w:szCs w:val="32"/>
          <w:lang w:eastAsia="zh-CN"/>
        </w:rPr>
        <w:t>自评综述</w:t>
      </w:r>
      <w:r>
        <w:rPr>
          <w:rFonts w:hint="eastAsia" w:ascii="仿宋_GB2312" w:hAnsi="仿宋" w:eastAsia="仿宋_GB2312"/>
          <w:sz w:val="32"/>
          <w:szCs w:val="32"/>
        </w:rPr>
        <w:t>：项目全年预算数18.24万元，执行数为18.24万元，完成预算的100%。通过项目实施，有效改善学校办学条件。</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围墙排危及天然气上户项目自评得分为100分，绩效</w:t>
      </w:r>
      <w:r>
        <w:rPr>
          <w:rFonts w:hint="eastAsia" w:ascii="仿宋_GB2312" w:hAnsi="仿宋" w:eastAsia="仿宋_GB2312"/>
          <w:sz w:val="32"/>
          <w:szCs w:val="32"/>
          <w:lang w:eastAsia="zh-CN"/>
        </w:rPr>
        <w:t>自评综述</w:t>
      </w:r>
      <w:r>
        <w:rPr>
          <w:rFonts w:hint="eastAsia" w:ascii="仿宋_GB2312" w:hAnsi="仿宋" w:eastAsia="仿宋_GB2312"/>
          <w:sz w:val="32"/>
          <w:szCs w:val="32"/>
        </w:rPr>
        <w:t>：项目全年预算数5.88万元，执行数为5.88万元，完成预算的100%。通过项目实施，有效加强了校园安全性。</w:t>
      </w:r>
    </w:p>
    <w:p>
      <w:pPr>
        <w:spacing w:line="60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br w:type="page"/>
      </w:r>
    </w:p>
    <w:p>
      <w:pPr>
        <w:numPr>
          <w:ilvl w:val="0"/>
          <w:numId w:val="3"/>
        </w:numPr>
        <w:spacing w:line="600" w:lineRule="exact"/>
        <w:ind w:firstLine="660" w:firstLineChars="150"/>
        <w:jc w:val="center"/>
        <w:outlineLvl w:val="0"/>
        <w:rPr>
          <w:rStyle w:val="29"/>
          <w:rFonts w:ascii="黑体" w:hAnsi="黑体" w:eastAsia="黑体"/>
          <w:b w:val="0"/>
        </w:rPr>
      </w:pPr>
      <w:bookmarkStart w:id="54" w:name="_Toc15377225"/>
      <w:bookmarkStart w:id="55" w:name="_Toc15396613"/>
      <w:r>
        <w:rPr>
          <w:rFonts w:hint="eastAsia" w:ascii="黑体" w:hAnsi="黑体" w:eastAsia="黑体"/>
          <w:sz w:val="44"/>
          <w:szCs w:val="44"/>
        </w:rPr>
        <w:t>名</w:t>
      </w:r>
      <w:r>
        <w:rPr>
          <w:rStyle w:val="29"/>
          <w:rFonts w:hint="eastAsia" w:ascii="黑体" w:hAnsi="黑体" w:eastAsia="黑体"/>
          <w:b w:val="0"/>
        </w:rPr>
        <w:t>词解释</w:t>
      </w:r>
      <w:bookmarkEnd w:id="54"/>
      <w:bookmarkEnd w:id="55"/>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bookmarkStart w:id="56" w:name="_Toc15377226"/>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ascii="仿宋_GB2312" w:hAnsi="Calibri" w:eastAsia="仿宋_GB2312" w:cs="仿宋"/>
          <w:kern w:val="0"/>
          <w:sz w:val="32"/>
          <w:szCs w:val="32"/>
          <w:highlight w:val="none"/>
        </w:rPr>
      </w:pPr>
      <w:r>
        <w:rPr>
          <w:rFonts w:hint="eastAsia" w:ascii="仿宋_GB2312" w:hAnsi="Calibri" w:eastAsia="仿宋_GB2312" w:cs="仿宋"/>
          <w:kern w:val="0"/>
          <w:sz w:val="32"/>
          <w:szCs w:val="32"/>
          <w:highlight w:val="none"/>
          <w:lang w:val="en-US" w:eastAsia="zh-CN"/>
        </w:rPr>
        <w:t>3</w:t>
      </w:r>
      <w:r>
        <w:rPr>
          <w:rFonts w:hint="eastAsia" w:ascii="仿宋_GB2312" w:hAnsi="Calibri" w:eastAsia="仿宋_GB2312" w:cs="仿宋"/>
          <w:kern w:val="0"/>
          <w:sz w:val="32"/>
          <w:szCs w:val="32"/>
          <w:highlight w:val="none"/>
        </w:rPr>
        <w:t>.其他收入：指单位取得的除上述收入以外的各项收入。</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.教育（205类）普通教育（02款）其他普通教育支出（99项）: 反映除上述项目以外其</w:t>
      </w:r>
      <w:r>
        <w:rPr>
          <w:rFonts w:hint="eastAsia" w:ascii="仿宋_GB2312" w:hAnsi="Calibri" w:eastAsia="仿宋_GB2312" w:cs="仿宋"/>
          <w:kern w:val="0"/>
          <w:sz w:val="32"/>
          <w:szCs w:val="32"/>
          <w:lang w:val="en-US" w:eastAsia="zh-CN"/>
        </w:rPr>
        <w:t>他</w:t>
      </w:r>
      <w:r>
        <w:rPr>
          <w:rFonts w:hint="eastAsia" w:ascii="仿宋_GB2312" w:hAnsi="Calibri" w:eastAsia="仿宋_GB2312" w:cs="仿宋"/>
          <w:kern w:val="0"/>
          <w:sz w:val="32"/>
          <w:szCs w:val="32"/>
        </w:rPr>
        <w:t>用于普通教育方面的支出。</w:t>
      </w:r>
      <w:bookmarkStart w:id="74" w:name="_GoBack"/>
      <w:bookmarkEnd w:id="74"/>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.教育（205类）其他教育支出（99款）其他教育支出（99项）: 反映除上述项目以外其它教育方面的支出。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.社会保障和就业（208类）其他社会保障和就业支出（99款）其他社会保障和就业支出（01项）: 反映上述项目以外其</w:t>
      </w:r>
      <w:r>
        <w:rPr>
          <w:rFonts w:hint="eastAsia" w:ascii="仿宋_GB2312" w:hAnsi="Calibri" w:eastAsia="仿宋_GB2312" w:cs="仿宋"/>
          <w:kern w:val="0"/>
          <w:sz w:val="32"/>
          <w:szCs w:val="32"/>
          <w:lang w:val="en-US" w:eastAsia="zh-CN"/>
        </w:rPr>
        <w:t>它</w:t>
      </w:r>
      <w:r>
        <w:rPr>
          <w:rFonts w:hint="eastAsia" w:ascii="仿宋_GB2312" w:hAnsi="Calibri" w:eastAsia="仿宋_GB2312" w:cs="仿宋"/>
          <w:kern w:val="0"/>
          <w:sz w:val="32"/>
          <w:szCs w:val="32"/>
        </w:rPr>
        <w:t>用于社会保障和就业方面的支出。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医疗卫生与计划生育（210类）卫生健康支出（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w:t>
      </w:r>
      <w:r>
        <w:rPr>
          <w:rFonts w:hint="eastAsia" w:ascii="仿宋_GB2312" w:hAnsi="Calibri" w:eastAsia="仿宋_GB2312" w:cs="仿宋"/>
          <w:kern w:val="0"/>
          <w:sz w:val="32"/>
          <w:szCs w:val="32"/>
          <w:lang w:val="en-US" w:eastAsia="zh-CN"/>
        </w:rPr>
        <w:t>按</w:t>
      </w:r>
      <w:r>
        <w:rPr>
          <w:rFonts w:hint="eastAsia" w:ascii="仿宋_GB2312" w:hAnsi="Calibri" w:eastAsia="仿宋_GB2312" w:cs="仿宋"/>
          <w:kern w:val="0"/>
          <w:sz w:val="32"/>
          <w:szCs w:val="32"/>
        </w:rPr>
        <w:t>规定比例为职工缴纳的住房公积金。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highlight w:val="yellow"/>
        </w:rPr>
      </w:pPr>
      <w:bookmarkStart w:id="57" w:name="_Toc15396614"/>
    </w:p>
    <w:p>
      <w:pPr>
        <w:ind w:firstLine="640" w:firstLineChars="200"/>
        <w:rPr>
          <w:rFonts w:ascii="仿宋_GB2312" w:hAnsi="Calibri" w:eastAsia="仿宋_GB2312" w:cs="仿宋"/>
          <w:kern w:val="0"/>
          <w:sz w:val="32"/>
          <w:szCs w:val="32"/>
        </w:rPr>
      </w:pPr>
    </w:p>
    <w:p>
      <w:pPr>
        <w:ind w:firstLine="640" w:firstLineChars="200"/>
        <w:rPr>
          <w:rFonts w:ascii="仿宋_GB2312" w:hAnsi="Calibri" w:eastAsia="仿宋_GB2312" w:cs="仿宋"/>
          <w:kern w:val="0"/>
          <w:sz w:val="32"/>
          <w:szCs w:val="32"/>
        </w:rPr>
      </w:pPr>
    </w:p>
    <w:p>
      <w:pPr>
        <w:ind w:firstLine="640" w:firstLineChars="200"/>
        <w:rPr>
          <w:rFonts w:ascii="仿宋_GB2312" w:hAnsi="Calibri" w:eastAsia="仿宋_GB2312" w:cs="仿宋"/>
          <w:kern w:val="0"/>
          <w:sz w:val="32"/>
          <w:szCs w:val="32"/>
        </w:rPr>
      </w:pPr>
    </w:p>
    <w:p>
      <w:pPr>
        <w:ind w:firstLine="640" w:firstLineChars="200"/>
        <w:rPr>
          <w:rFonts w:ascii="仿宋_GB2312" w:hAnsi="Calibri" w:eastAsia="仿宋_GB2312" w:cs="仿宋"/>
          <w:kern w:val="0"/>
          <w:sz w:val="32"/>
          <w:szCs w:val="32"/>
        </w:rPr>
      </w:pPr>
    </w:p>
    <w:p>
      <w:pPr>
        <w:ind w:firstLine="640" w:firstLineChars="200"/>
        <w:rPr>
          <w:rFonts w:ascii="仿宋_GB2312" w:hAnsi="Calibri" w:eastAsia="仿宋_GB2312" w:cs="仿宋"/>
          <w:kern w:val="0"/>
          <w:sz w:val="32"/>
          <w:szCs w:val="32"/>
        </w:rPr>
      </w:pPr>
    </w:p>
    <w:p>
      <w:pPr>
        <w:ind w:firstLine="640" w:firstLineChars="200"/>
        <w:rPr>
          <w:rFonts w:ascii="仿宋_GB2312" w:hAnsi="Calibri" w:eastAsia="仿宋_GB2312" w:cs="仿宋"/>
          <w:kern w:val="0"/>
          <w:sz w:val="32"/>
          <w:szCs w:val="32"/>
        </w:rPr>
      </w:pPr>
    </w:p>
    <w:p>
      <w:pPr>
        <w:ind w:firstLine="640" w:firstLineChars="200"/>
        <w:rPr>
          <w:rFonts w:ascii="仿宋_GB2312" w:hAnsi="Calibri" w:eastAsia="仿宋_GB2312" w:cs="仿宋"/>
          <w:kern w:val="0"/>
          <w:sz w:val="32"/>
          <w:szCs w:val="32"/>
        </w:rPr>
      </w:pPr>
    </w:p>
    <w:p>
      <w:pPr>
        <w:ind w:firstLine="640" w:firstLineChars="200"/>
        <w:rPr>
          <w:rFonts w:ascii="仿宋_GB2312" w:hAnsi="Calibri" w:eastAsia="仿宋_GB2312" w:cs="仿宋"/>
          <w:kern w:val="0"/>
          <w:sz w:val="32"/>
          <w:szCs w:val="32"/>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9"/>
          <w:rFonts w:ascii="黑体" w:hAnsi="黑体" w:eastAsia="黑体"/>
        </w:rPr>
      </w:pPr>
      <w:r>
        <w:rPr>
          <w:rFonts w:hint="eastAsia" w:ascii="黑体" w:hAnsi="黑体" w:eastAsia="黑体"/>
          <w:color w:val="000000"/>
          <w:sz w:val="44"/>
          <w:szCs w:val="44"/>
        </w:rPr>
        <w:t>第</w:t>
      </w:r>
      <w:r>
        <w:rPr>
          <w:rStyle w:val="29"/>
          <w:rFonts w:hint="eastAsia" w:ascii="黑体" w:hAnsi="黑体" w:eastAsia="黑体"/>
        </w:rPr>
        <w:t>四部分</w:t>
      </w:r>
      <w:r>
        <w:rPr>
          <w:rStyle w:val="29"/>
          <w:rFonts w:ascii="黑体" w:hAnsi="黑体" w:eastAsia="黑体"/>
        </w:rPr>
        <w:t xml:space="preserve"> </w:t>
      </w:r>
      <w:r>
        <w:rPr>
          <w:rStyle w:val="29"/>
          <w:rFonts w:hint="eastAsia" w:ascii="黑体" w:hAnsi="黑体" w:eastAsia="黑体"/>
        </w:rPr>
        <w:t>附件</w:t>
      </w:r>
    </w:p>
    <w:p>
      <w:pPr>
        <w:spacing w:line="600" w:lineRule="exact"/>
        <w:jc w:val="left"/>
        <w:outlineLvl w:val="0"/>
        <w:rPr>
          <w:rFonts w:ascii="黑体" w:hAnsi="宋体" w:eastAsia="黑体" w:cs="宋体"/>
          <w:color w:val="000000"/>
          <w:sz w:val="24"/>
          <w:szCs w:val="32"/>
          <w:shd w:val="clear" w:color="auto" w:fill="FFFFFF"/>
        </w:rPr>
      </w:pPr>
      <w:r>
        <w:rPr>
          <w:rFonts w:hint="eastAsia" w:ascii="黑体" w:hAnsi="黑体" w:eastAsia="黑体" w:cs="黑体"/>
          <w:sz w:val="32"/>
          <w:szCs w:val="32"/>
        </w:rPr>
        <w:t>附件</w:t>
      </w:r>
      <w:r>
        <w:rPr>
          <w:rFonts w:ascii="黑体" w:hAnsi="黑体" w:eastAsia="黑体" w:cs="黑体"/>
          <w:sz w:val="32"/>
          <w:szCs w:val="32"/>
        </w:rPr>
        <w:t>1</w:t>
      </w:r>
    </w:p>
    <w:p>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pPr>
        <w:pStyle w:val="52"/>
        <w:spacing w:before="93" w:line="600" w:lineRule="exact"/>
        <w:ind w:firstLine="672"/>
        <w:outlineLvl w:val="2"/>
        <w:rPr>
          <w:rFonts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pPr>
        <w:widowControl/>
        <w:spacing w:line="580" w:lineRule="exact"/>
        <w:ind w:firstLine="640"/>
        <w:contextualSpacing/>
        <w:jc w:val="left"/>
        <w:rPr>
          <w:rFonts w:ascii="仿宋_GB2312" w:hAnsi="仿宋" w:eastAsia="仿宋_GB2312"/>
          <w:sz w:val="32"/>
          <w:szCs w:val="32"/>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rPr>
        <w:t>30</w:t>
      </w:r>
      <w:r>
        <w:rPr>
          <w:rFonts w:hint="eastAsia" w:ascii="仿宋_GB2312" w:hAnsi="宋体" w:eastAsia="仿宋_GB2312" w:cs="宋体"/>
          <w:color w:val="000000"/>
          <w:sz w:val="32"/>
          <w:szCs w:val="32"/>
          <w:shd w:val="clear" w:color="auto" w:fill="FFFFFF"/>
          <w:lang w:val="zh-CN"/>
        </w:rPr>
        <w:t>人，</w:t>
      </w:r>
      <w:r>
        <w:rPr>
          <w:rFonts w:hint="eastAsia" w:ascii="仿宋_GB2312" w:hAnsi="仿宋" w:eastAsia="仿宋_GB2312"/>
          <w:sz w:val="32"/>
          <w:szCs w:val="32"/>
        </w:rPr>
        <w:t>遗属</w:t>
      </w:r>
      <w:r>
        <w:rPr>
          <w:rFonts w:hint="eastAsia" w:hAnsi="仿宋"/>
          <w:sz w:val="32"/>
          <w:szCs w:val="32"/>
        </w:rPr>
        <w:t>8</w:t>
      </w:r>
      <w:r>
        <w:rPr>
          <w:rFonts w:hint="eastAsia" w:ascii="仿宋_GB2312" w:hAnsi="仿宋" w:eastAsia="仿宋_GB2312"/>
          <w:sz w:val="32"/>
          <w:szCs w:val="32"/>
        </w:rPr>
        <w:t>人，退休教师</w:t>
      </w:r>
      <w:r>
        <w:rPr>
          <w:rFonts w:hint="eastAsia" w:hAnsi="仿宋"/>
          <w:sz w:val="32"/>
          <w:szCs w:val="32"/>
        </w:rPr>
        <w:t>57</w:t>
      </w:r>
      <w:r>
        <w:rPr>
          <w:rFonts w:hint="eastAsia" w:ascii="仿宋_GB2312" w:hAnsi="仿宋" w:eastAsia="仿宋_GB2312"/>
          <w:sz w:val="32"/>
          <w:szCs w:val="32"/>
        </w:rPr>
        <w:t>人，离岗民师1人。学生</w:t>
      </w:r>
      <w:r>
        <w:rPr>
          <w:rFonts w:hint="eastAsia" w:hAnsi="仿宋"/>
          <w:sz w:val="32"/>
          <w:szCs w:val="32"/>
        </w:rPr>
        <w:t>150</w:t>
      </w:r>
      <w:r>
        <w:rPr>
          <w:rFonts w:hint="eastAsia" w:ascii="仿宋_GB2312" w:hAnsi="仿宋" w:eastAsia="仿宋_GB2312"/>
          <w:sz w:val="32"/>
          <w:szCs w:val="32"/>
        </w:rPr>
        <w:t>人。</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rPr>
        <w:t>803.05</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rPr>
        <w:t>803.05</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pPr>
        <w:widowControl/>
        <w:spacing w:line="580" w:lineRule="exact"/>
        <w:ind w:firstLine="320" w:firstLineChars="10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w:t>
      </w:r>
      <w:r>
        <w:rPr>
          <w:rFonts w:hint="eastAsia" w:ascii="仿宋_GB2312" w:hAnsi="宋体" w:eastAsia="仿宋_GB2312" w:cs="宋体"/>
          <w:color w:val="000000"/>
          <w:sz w:val="32"/>
          <w:szCs w:val="32"/>
          <w:shd w:val="clear" w:color="auto" w:fill="FFFFFF"/>
          <w:lang w:val="en-US" w:eastAsia="zh-CN"/>
        </w:rPr>
        <w:t>度</w:t>
      </w:r>
      <w:r>
        <w:rPr>
          <w:rFonts w:hint="eastAsia" w:ascii="仿宋_GB2312" w:hAnsi="宋体" w:eastAsia="仿宋_GB2312" w:cs="宋体"/>
          <w:color w:val="000000"/>
          <w:sz w:val="32"/>
          <w:szCs w:val="32"/>
          <w:shd w:val="clear" w:color="auto" w:fill="FFFFFF"/>
          <w:lang w:val="zh-CN"/>
        </w:rPr>
        <w:t>执行，完善内控制度。严格按财经规章制度执行经费支出。保障学校正常运转，提升公用经费使用效益。</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bookmarkStart w:id="58"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58"/>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pPr>
        <w:spacing w:line="578" w:lineRule="exact"/>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pPr>
        <w:spacing w:line="578" w:lineRule="exact"/>
        <w:contextualSpacing/>
        <w:jc w:val="left"/>
        <w:rPr>
          <w:rFonts w:ascii="仿宋_GB2312" w:hAnsi="仿宋_GB2312" w:eastAsia="仿宋_GB2312" w:cs="仿宋_GB2312"/>
          <w:sz w:val="32"/>
          <w:szCs w:val="32"/>
        </w:rPr>
      </w:pPr>
    </w:p>
    <w:p>
      <w:pPr>
        <w:spacing w:line="578" w:lineRule="exact"/>
        <w:contextualSpacing/>
        <w:jc w:val="left"/>
        <w:rPr>
          <w:rFonts w:ascii="宋体" w:hAnsi="宋体" w:eastAsia="仿宋_GB2312"/>
          <w:sz w:val="32"/>
          <w:szCs w:val="32"/>
        </w:rPr>
      </w:pPr>
      <w:r>
        <w:rPr>
          <w:rFonts w:hint="eastAsia" w:ascii="宋体" w:hAnsi="宋体" w:eastAsia="仿宋_GB2312"/>
          <w:sz w:val="32"/>
          <w:szCs w:val="32"/>
        </w:rPr>
        <w:t>附表</w:t>
      </w:r>
      <w:r>
        <w:rPr>
          <w:rFonts w:hint="eastAsia"/>
          <w:sz w:val="32"/>
          <w:lang w:val="zh-CN"/>
        </w:rPr>
        <w:t>：</w:t>
      </w:r>
      <w:r>
        <w:rPr>
          <w:rFonts w:hint="eastAsia" w:ascii="宋体" w:hAnsi="宋体" w:eastAsia="仿宋_GB2312"/>
          <w:sz w:val="32"/>
          <w:szCs w:val="32"/>
        </w:rPr>
        <w:t>1.部门整体支出绩效自评表</w:t>
      </w:r>
    </w:p>
    <w:p>
      <w:pPr>
        <w:widowControl/>
        <w:ind w:firstLine="960" w:firstLineChars="300"/>
        <w:jc w:val="left"/>
        <w:rPr>
          <w:rFonts w:ascii="宋体" w:hAnsi="宋体" w:eastAsia="仿宋_GB2312"/>
          <w:sz w:val="32"/>
          <w:szCs w:val="32"/>
        </w:rPr>
      </w:pPr>
      <w:r>
        <w:rPr>
          <w:rFonts w:hint="eastAsia" w:ascii="宋体" w:hAnsi="宋体" w:eastAsia="仿宋_GB2312"/>
          <w:sz w:val="32"/>
          <w:szCs w:val="32"/>
        </w:rPr>
        <w:t>2.部门预算项</w:t>
      </w:r>
      <w:r>
        <w:rPr>
          <w:rFonts w:hint="eastAsia" w:ascii="宋体" w:hAnsi="宋体" w:eastAsia="仿宋_GB2312"/>
          <w:sz w:val="32"/>
          <w:szCs w:val="32"/>
          <w:lang w:val="en-US" w:eastAsia="zh-CN"/>
        </w:rPr>
        <w:t>目</w:t>
      </w:r>
      <w:r>
        <w:rPr>
          <w:rFonts w:hint="eastAsia" w:ascii="宋体" w:hAnsi="宋体" w:eastAsia="仿宋_GB2312"/>
          <w:sz w:val="32"/>
          <w:szCs w:val="32"/>
        </w:rPr>
        <w:t>支出绩</w:t>
      </w:r>
      <w:r>
        <w:rPr>
          <w:rFonts w:hint="eastAsia" w:ascii="宋体" w:hAnsi="宋体" w:eastAsia="仿宋_GB2312"/>
          <w:sz w:val="32"/>
          <w:szCs w:val="32"/>
          <w:lang w:val="en-US" w:eastAsia="zh-CN"/>
        </w:rPr>
        <w:t>效</w:t>
      </w:r>
      <w:r>
        <w:rPr>
          <w:rFonts w:hint="eastAsia" w:ascii="宋体" w:hAnsi="宋体" w:eastAsia="仿宋_GB2312"/>
          <w:sz w:val="32"/>
          <w:szCs w:val="32"/>
        </w:rPr>
        <w:t>自评表(2024年度)</w:t>
      </w:r>
    </w:p>
    <w:p>
      <w:pPr>
        <w:spacing w:line="580" w:lineRule="exact"/>
        <w:ind w:firstLine="640"/>
        <w:rPr>
          <w:rFonts w:ascii="仿宋_GB2312" w:hAnsi="仿宋_GB2312" w:eastAsia="仿宋_GB2312" w:cs="仿宋_GB2312"/>
          <w:sz w:val="32"/>
          <w:szCs w:val="32"/>
        </w:rPr>
      </w:pPr>
    </w:p>
    <w:tbl>
      <w:tblPr>
        <w:tblStyle w:val="15"/>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pPr>
              <w:ind w:firstLine="960" w:firstLineChars="300"/>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教学质量</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科学研究</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社会服务</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8.85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无采购</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无政府采购</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98.9</w:t>
            </w:r>
          </w:p>
        </w:tc>
        <w:tc>
          <w:tcPr>
            <w:tcW w:w="3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50"/>
        <w:ind w:firstLine="640" w:firstLineChars="200"/>
        <w:rPr>
          <w:rFonts w:ascii="仿宋_GB2312" w:hAnsi="仿宋_GB2312"/>
          <w:b w:val="0"/>
          <w:shd w:val="clear" w:color="auto" w:fill="FFFFFF"/>
        </w:rPr>
      </w:pPr>
      <w:bookmarkStart w:id="59" w:name="_Hlk110546638"/>
    </w:p>
    <w:p>
      <w:pPr>
        <w:pStyle w:val="50"/>
        <w:ind w:firstLine="640" w:firstLineChars="200"/>
        <w:rPr>
          <w:rFonts w:ascii="仿宋_GB2312" w:hAnsi="仿宋_GB2312"/>
          <w:b w:val="0"/>
          <w:shd w:val="clear" w:color="auto" w:fill="FFFFFF"/>
        </w:rPr>
      </w:pPr>
    </w:p>
    <w:p>
      <w:pPr>
        <w:rPr>
          <w:rFonts w:ascii="仿宋_GB2312" w:hAnsi="仿宋_GB2312"/>
          <w:shd w:val="clear" w:color="auto" w:fill="FFFFFF"/>
        </w:rPr>
      </w:pPr>
    </w:p>
    <w:p>
      <w:pPr>
        <w:rPr>
          <w:rFonts w:ascii="仿宋_GB2312" w:hAnsi="仿宋_GB2312"/>
          <w:shd w:val="clear" w:color="auto" w:fill="FFFFFF"/>
        </w:rPr>
      </w:pPr>
    </w:p>
    <w:p>
      <w:pPr>
        <w:rPr>
          <w:rFonts w:ascii="仿宋_GB2312" w:hAnsi="仿宋_GB2312"/>
          <w:shd w:val="clear" w:color="auto" w:fill="FFFFFF"/>
        </w:rPr>
      </w:pPr>
    </w:p>
    <w:p>
      <w:pPr>
        <w:rPr>
          <w:rFonts w:ascii="仿宋_GB2312" w:hAnsi="仿宋_GB2312"/>
          <w:shd w:val="clear" w:color="auto" w:fill="FFFFFF"/>
        </w:rPr>
      </w:pPr>
    </w:p>
    <w:p>
      <w:pPr>
        <w:pStyle w:val="50"/>
        <w:rPr>
          <w:shd w:val="clear" w:color="auto" w:fill="FFFFFF"/>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8"/>
        <w:spacing w:before="93"/>
        <w:jc w:val="center"/>
        <w:rPr>
          <w:sz w:val="32"/>
          <w:szCs w:val="32"/>
        </w:rPr>
      </w:pPr>
    </w:p>
    <w:tbl>
      <w:tblPr>
        <w:tblStyle w:val="15"/>
        <w:tblW w:w="9629" w:type="dxa"/>
        <w:tblInd w:w="93" w:type="dxa"/>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tblPrEx>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w:t>
            </w:r>
          </w:p>
        </w:tc>
      </w:tr>
      <w:tr>
        <w:tblPrEx>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p>
            <w:pPr>
              <w:widowControl/>
              <w:jc w:val="left"/>
              <w:textAlignment w:val="center"/>
              <w:rPr>
                <w:rFonts w:ascii="宋体" w:hAnsi="宋体" w:cs="宋体"/>
                <w:color w:val="000000"/>
                <w:sz w:val="18"/>
                <w:szCs w:val="18"/>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p>
            <w:pPr>
              <w:widowControl/>
              <w:jc w:val="left"/>
              <w:textAlignment w:val="center"/>
              <w:rPr>
                <w:rFonts w:ascii="宋体" w:hAnsi="宋体" w:cs="宋体"/>
                <w:color w:val="000000"/>
                <w:sz w:val="18"/>
                <w:szCs w:val="18"/>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bidi="ar"/>
              </w:rPr>
              <w:t>保障了学校家庭经济困难学生正常入学，减轻其家庭经济负担。</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hint="eastAsia" w:ascii="宋体" w:hAnsi="宋体" w:cs="宋体"/>
                <w:color w:val="000000"/>
                <w:kern w:val="0"/>
                <w:sz w:val="18"/>
                <w:szCs w:val="18"/>
                <w:lang w:bidi="ar"/>
              </w:rPr>
              <w:t>保障了学校家庭经济困难学生正常入学，减轻其家庭经济负担。</w:t>
            </w:r>
          </w:p>
        </w:tc>
      </w:tr>
      <w:tr>
        <w:tblPrEx>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zh-CN" w:bidi="ar"/>
              </w:rPr>
              <w:t>加强民生资金专项管理，提高民生资金使用效益，确保专款专用，按程序及时兑现给学生（或监护人），及时报送资助政策落实情况及相关资料。</w:t>
            </w:r>
          </w:p>
        </w:tc>
      </w:tr>
      <w:tr>
        <w:tblPrEx>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p>
            <w:pPr>
              <w:widowControl/>
              <w:jc w:val="center"/>
              <w:textAlignment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p>
            <w:pPr>
              <w:widowControl/>
              <w:jc w:val="center"/>
              <w:textAlignment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及时有效把困难学生生活补助发放到学生，贯彻了中央，省市县精准脱贫工作部署安排，做到了贫困学生全覆盖。</w:t>
            </w:r>
          </w:p>
        </w:tc>
      </w:tr>
      <w:tr>
        <w:tblPrEx>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学校宣传力度不够，宣传方式单一，资助过程不够完善。</w:t>
            </w:r>
          </w:p>
        </w:tc>
      </w:tr>
      <w:tr>
        <w:tblPrEx>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加大宣传力度，让学生家长更好了解资助政策。</w:t>
            </w:r>
          </w:p>
        </w:tc>
      </w:tr>
      <w:tr>
        <w:tblPrEx>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tbl>
    <w:p/>
    <w:p>
      <w:pPr>
        <w:pStyle w:val="2"/>
      </w:pPr>
    </w:p>
    <w:tbl>
      <w:tblPr>
        <w:tblStyle w:val="15"/>
        <w:tblW w:w="9629" w:type="dxa"/>
        <w:tblInd w:w="93" w:type="dxa"/>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51090422T000006818424-幼儿资助及幼儿发展资金</w:t>
            </w:r>
          </w:p>
        </w:tc>
      </w:tr>
      <w:tr>
        <w:tblPrEx>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w:t>
            </w:r>
          </w:p>
        </w:tc>
      </w:tr>
      <w:tr>
        <w:tblPrEx>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p>
            <w:pPr>
              <w:widowControl/>
              <w:jc w:val="left"/>
              <w:textAlignment w:val="center"/>
              <w:rPr>
                <w:rFonts w:ascii="宋体" w:hAnsi="宋体" w:cs="宋体"/>
                <w:color w:val="000000"/>
                <w:sz w:val="18"/>
                <w:szCs w:val="18"/>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p>
            <w:pPr>
              <w:widowControl/>
              <w:jc w:val="left"/>
              <w:textAlignment w:val="center"/>
              <w:rPr>
                <w:rFonts w:ascii="宋体" w:hAnsi="宋体" w:cs="宋体"/>
                <w:color w:val="000000"/>
                <w:sz w:val="18"/>
                <w:szCs w:val="18"/>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促进附设幼儿园健康发展，提高预算编制质量，严格执行预算，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hint="eastAsia" w:ascii="宋体" w:hAnsi="宋体" w:cs="宋体"/>
                <w:color w:val="000000"/>
                <w:sz w:val="18"/>
                <w:szCs w:val="18"/>
              </w:rPr>
              <w:t>促进附设幼儿园健康发展，提高预算编制质量，严格执行预算，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r>
      <w:tr>
        <w:tblPrEx>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及时申报经费，促进附设幼儿园健康发展。</w:t>
            </w:r>
          </w:p>
        </w:tc>
      </w:tr>
      <w:tr>
        <w:tblPrEx>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p>
            <w:pPr>
              <w:widowControl/>
              <w:jc w:val="center"/>
              <w:textAlignment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p>
            <w:pPr>
              <w:widowControl/>
              <w:jc w:val="center"/>
              <w:textAlignment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及时有效把困难学生生活补助发放到学生，贯彻了中央，省市县精准脱贫工作部署安排，做到了贫困学生全覆盖。</w:t>
            </w:r>
          </w:p>
        </w:tc>
      </w:tr>
      <w:tr>
        <w:tblPrEx>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学校宣传力度不够，宣传方式单一，资助过程不够完善。</w:t>
            </w:r>
          </w:p>
        </w:tc>
      </w:tr>
      <w:tr>
        <w:tblPrEx>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加大宣传力度，让学生家长更好了解资助政策。</w:t>
            </w:r>
          </w:p>
        </w:tc>
      </w:tr>
      <w:tr>
        <w:tblPrEx>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tbl>
    <w:p>
      <w:pPr>
        <w:pStyle w:val="3"/>
        <w:ind w:left="420"/>
      </w:pPr>
    </w:p>
    <w:p>
      <w:pPr>
        <w:pStyle w:val="3"/>
        <w:ind w:left="420"/>
      </w:pPr>
    </w:p>
    <w:p>
      <w:pPr>
        <w:pStyle w:val="3"/>
        <w:ind w:left="420"/>
      </w:pPr>
    </w:p>
    <w:tbl>
      <w:tblPr>
        <w:tblStyle w:val="15"/>
        <w:tblW w:w="9629" w:type="dxa"/>
        <w:tblInd w:w="93" w:type="dxa"/>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51090423T000008963957-2022年中央支持学前教育发展专项资金-激励奖补围墙排危及天然气上户</w:t>
            </w:r>
          </w:p>
        </w:tc>
      </w:tr>
      <w:tr>
        <w:tblPrEx>
          <w:tblCellMar>
            <w:top w:w="0" w:type="dxa"/>
            <w:left w:w="108" w:type="dxa"/>
            <w:bottom w:w="0" w:type="dxa"/>
            <w:right w:w="108" w:type="dxa"/>
          </w:tblCellMar>
        </w:tblPrEx>
        <w:trPr>
          <w:trHeight w:val="51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w:t>
            </w:r>
          </w:p>
        </w:tc>
      </w:tr>
      <w:tr>
        <w:tblPrEx>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p>
            <w:pPr>
              <w:widowControl/>
              <w:jc w:val="left"/>
              <w:textAlignment w:val="center"/>
              <w:rPr>
                <w:rFonts w:ascii="宋体" w:hAnsi="宋体" w:cs="宋体"/>
                <w:color w:val="000000"/>
                <w:sz w:val="18"/>
                <w:szCs w:val="18"/>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p>
            <w:pPr>
              <w:widowControl/>
              <w:jc w:val="left"/>
              <w:textAlignment w:val="center"/>
              <w:rPr>
                <w:rFonts w:ascii="宋体" w:hAnsi="宋体" w:cs="宋体"/>
                <w:color w:val="000000"/>
                <w:sz w:val="18"/>
                <w:szCs w:val="18"/>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促进学校健康发展，提高预算编制质量，严格执行预算，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hint="eastAsia" w:ascii="宋体" w:hAnsi="宋体" w:cs="宋体"/>
                <w:color w:val="000000"/>
                <w:sz w:val="18"/>
                <w:szCs w:val="18"/>
              </w:rPr>
              <w:t>严格执行预算，及时申请支付资金，促进学校健康发展。</w:t>
            </w:r>
          </w:p>
        </w:tc>
      </w:tr>
      <w:tr>
        <w:tblPrEx>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及时申报经费，促进学校健康发展。</w:t>
            </w:r>
          </w:p>
        </w:tc>
      </w:tr>
      <w:tr>
        <w:tblPrEx>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p>
            <w:pPr>
              <w:widowControl/>
              <w:jc w:val="center"/>
              <w:textAlignment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5.88</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5.88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5.88</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5.88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p>
            <w:pPr>
              <w:widowControl/>
              <w:jc w:val="center"/>
              <w:textAlignment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3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有效改善师生就餐环境</w:t>
            </w:r>
          </w:p>
        </w:tc>
      </w:tr>
      <w:tr>
        <w:tblPrEx>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设计上有些不足，不够美观</w:t>
            </w:r>
          </w:p>
        </w:tc>
      </w:tr>
      <w:tr>
        <w:tblPrEx>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sz w:val="16"/>
                <w:szCs w:val="16"/>
              </w:rPr>
              <w:t>合理安排师生就餐时间</w:t>
            </w:r>
          </w:p>
        </w:tc>
      </w:tr>
      <w:tr>
        <w:tblPrEx>
          <w:tblCellMar>
            <w:top w:w="0" w:type="dxa"/>
            <w:left w:w="108" w:type="dxa"/>
            <w:bottom w:w="0" w:type="dxa"/>
            <w:right w:w="108" w:type="dxa"/>
          </w:tblCellMar>
        </w:tblPrEx>
        <w:trPr>
          <w:trHeight w:val="285" w:hRule="atLeast"/>
        </w:trPr>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tbl>
    <w:p>
      <w:pPr>
        <w:widowControl/>
        <w:adjustRightInd w:val="0"/>
        <w:snapToGrid w:val="0"/>
        <w:spacing w:line="578" w:lineRule="exact"/>
        <w:ind w:firstLine="640" w:firstLineChars="200"/>
        <w:contextualSpacing/>
        <w:jc w:val="left"/>
        <w:rPr>
          <w:rFonts w:eastAsia="仿宋_GB2312"/>
          <w:sz w:val="32"/>
          <w:szCs w:val="32"/>
          <w:lang w:val="en" w:bidi="ar"/>
        </w:rPr>
      </w:pPr>
    </w:p>
    <w:p>
      <w:pPr>
        <w:pStyle w:val="2"/>
        <w:rPr>
          <w:rFonts w:eastAsia="仿宋_GB2312"/>
          <w:sz w:val="32"/>
          <w:szCs w:val="32"/>
          <w:lang w:val="en" w:bidi="ar"/>
        </w:rPr>
      </w:pPr>
    </w:p>
    <w:tbl>
      <w:tblPr>
        <w:tblStyle w:val="15"/>
        <w:tblW w:w="9629" w:type="dxa"/>
        <w:tblInd w:w="93" w:type="dxa"/>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51090422T000007203223-校舍维修</w:t>
            </w:r>
          </w:p>
        </w:tc>
      </w:tr>
      <w:tr>
        <w:tblPrEx>
          <w:tblCellMar>
            <w:top w:w="0" w:type="dxa"/>
            <w:left w:w="108" w:type="dxa"/>
            <w:bottom w:w="0" w:type="dxa"/>
            <w:right w:w="108" w:type="dxa"/>
          </w:tblCellMar>
        </w:tblPrEx>
        <w:trPr>
          <w:trHeight w:val="51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w:t>
            </w:r>
          </w:p>
        </w:tc>
      </w:tr>
      <w:tr>
        <w:tblPrEx>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p>
            <w:pPr>
              <w:widowControl/>
              <w:jc w:val="left"/>
              <w:textAlignment w:val="center"/>
              <w:rPr>
                <w:rFonts w:ascii="宋体" w:hAnsi="宋体" w:cs="宋体"/>
                <w:color w:val="000000"/>
                <w:sz w:val="18"/>
                <w:szCs w:val="18"/>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p>
            <w:pPr>
              <w:widowControl/>
              <w:jc w:val="left"/>
              <w:textAlignment w:val="center"/>
              <w:rPr>
                <w:rFonts w:ascii="宋体" w:hAnsi="宋体" w:cs="宋体"/>
                <w:color w:val="000000"/>
                <w:sz w:val="18"/>
                <w:szCs w:val="18"/>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促进学校健康发展，提高预算编制质量，严格执行预算，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hint="eastAsia" w:ascii="宋体" w:hAnsi="宋体" w:cs="宋体"/>
                <w:color w:val="000000"/>
                <w:sz w:val="18"/>
                <w:szCs w:val="18"/>
              </w:rPr>
              <w:t>严格执行预算，及时申请支付资金，促进学校健康发展。</w:t>
            </w:r>
          </w:p>
        </w:tc>
      </w:tr>
      <w:tr>
        <w:tblPrEx>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及时申报经费，促进学校健康发展。</w:t>
            </w:r>
          </w:p>
        </w:tc>
      </w:tr>
      <w:tr>
        <w:tblPrEx>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p>
            <w:pPr>
              <w:widowControl/>
              <w:jc w:val="center"/>
              <w:textAlignment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18.24</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18.24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18.24</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18.24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p>
            <w:pPr>
              <w:widowControl/>
              <w:jc w:val="center"/>
              <w:textAlignment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3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改善了学校办学条件</w:t>
            </w:r>
          </w:p>
        </w:tc>
      </w:tr>
      <w:tr>
        <w:tblPrEx>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设计上有些不足</w:t>
            </w:r>
          </w:p>
        </w:tc>
      </w:tr>
      <w:tr>
        <w:tblPrEx>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合理布置内部环境</w:t>
            </w:r>
          </w:p>
        </w:tc>
      </w:tr>
      <w:tr>
        <w:tblPrEx>
          <w:tblCellMar>
            <w:top w:w="0" w:type="dxa"/>
            <w:left w:w="108" w:type="dxa"/>
            <w:bottom w:w="0" w:type="dxa"/>
            <w:right w:w="108" w:type="dxa"/>
          </w:tblCellMar>
        </w:tblPrEx>
        <w:trPr>
          <w:trHeight w:val="285" w:hRule="atLeast"/>
        </w:trPr>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bookmarkEnd w:id="57"/>
      <w:bookmarkEnd w:id="59"/>
    </w:tbl>
    <w:p>
      <w:pPr>
        <w:pStyle w:val="8"/>
        <w:spacing w:before="93"/>
        <w:rPr>
          <w:rFonts w:hAnsi="Calibri" w:cs="仿宋"/>
          <w:sz w:val="32"/>
          <w:szCs w:val="32"/>
        </w:rPr>
      </w:pPr>
      <w:bookmarkStart w:id="60" w:name="_Toc15396618"/>
    </w:p>
    <w:p>
      <w:pPr>
        <w:pStyle w:val="8"/>
        <w:spacing w:before="93"/>
        <w:rPr>
          <w:rFonts w:hAnsi="Calibri" w:cs="仿宋"/>
          <w:sz w:val="32"/>
          <w:szCs w:val="32"/>
        </w:rPr>
      </w:pPr>
    </w:p>
    <w:p>
      <w:pPr>
        <w:pStyle w:val="8"/>
        <w:spacing w:before="93"/>
        <w:rPr>
          <w:rFonts w:hAnsi="Calibri" w:cs="仿宋"/>
          <w:sz w:val="32"/>
          <w:szCs w:val="32"/>
        </w:rPr>
      </w:pPr>
    </w:p>
    <w:tbl>
      <w:tblPr>
        <w:tblStyle w:val="15"/>
        <w:tblW w:w="9629" w:type="dxa"/>
        <w:tblInd w:w="93" w:type="dxa"/>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51090422T000007136017-新建厕所、学生食堂维修改造</w:t>
            </w:r>
          </w:p>
        </w:tc>
      </w:tr>
      <w:tr>
        <w:tblPrEx>
          <w:tblCellMar>
            <w:top w:w="0" w:type="dxa"/>
            <w:left w:w="108" w:type="dxa"/>
            <w:bottom w:w="0" w:type="dxa"/>
            <w:right w:w="108" w:type="dxa"/>
          </w:tblCellMar>
        </w:tblPrEx>
        <w:trPr>
          <w:trHeight w:val="51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遂宁市安居区西眉镇马家小学校部门</w:t>
            </w:r>
          </w:p>
        </w:tc>
        <w:tc>
          <w:tcPr>
            <w:tcW w:w="1072"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遂宁市安居区西眉镇马家小学校</w:t>
            </w:r>
          </w:p>
        </w:tc>
      </w:tr>
      <w:tr>
        <w:tblPrEx>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p>
            <w:pPr>
              <w:widowControl/>
              <w:jc w:val="left"/>
              <w:textAlignment w:val="center"/>
              <w:rPr>
                <w:rFonts w:ascii="宋体" w:hAnsi="宋体" w:cs="宋体"/>
                <w:color w:val="000000"/>
                <w:sz w:val="18"/>
                <w:szCs w:val="18"/>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p>
            <w:pPr>
              <w:widowControl/>
              <w:jc w:val="left"/>
              <w:textAlignment w:val="center"/>
              <w:rPr>
                <w:rFonts w:ascii="宋体" w:hAnsi="宋体" w:cs="宋体"/>
                <w:color w:val="000000"/>
                <w:sz w:val="18"/>
                <w:szCs w:val="18"/>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促进学校健康发展，提高预算编制质量，严格执行预算，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hint="eastAsia" w:ascii="宋体" w:hAnsi="宋体" w:cs="宋体"/>
                <w:color w:val="000000"/>
                <w:sz w:val="18"/>
                <w:szCs w:val="18"/>
              </w:rPr>
              <w:t>严格执行预算，及时申请支付资金，促进学校健康发展。</w:t>
            </w:r>
          </w:p>
        </w:tc>
      </w:tr>
      <w:tr>
        <w:tblPrEx>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及时申报经费，促进学校健康发展。</w:t>
            </w:r>
          </w:p>
        </w:tc>
      </w:tr>
      <w:tr>
        <w:tblPrEx>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p>
            <w:pPr>
              <w:widowControl/>
              <w:jc w:val="center"/>
              <w:textAlignment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14.37</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40" w:firstLineChars="300"/>
              <w:rPr>
                <w:rFonts w:ascii="宋体" w:hAnsi="宋体" w:cs="宋体"/>
                <w:color w:val="000000"/>
                <w:kern w:val="0"/>
                <w:sz w:val="18"/>
                <w:szCs w:val="18"/>
              </w:rPr>
            </w:pPr>
            <w:r>
              <w:rPr>
                <w:rFonts w:hint="eastAsia" w:ascii="宋体" w:hAnsi="宋体" w:cs="宋体"/>
                <w:color w:val="000000"/>
                <w:kern w:val="0"/>
                <w:sz w:val="18"/>
                <w:szCs w:val="18"/>
              </w:rPr>
              <w:t>14.37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14.37</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40" w:firstLineChars="300"/>
              <w:rPr>
                <w:rFonts w:ascii="宋体" w:hAnsi="宋体" w:cs="宋体"/>
                <w:color w:val="000000"/>
                <w:kern w:val="0"/>
                <w:sz w:val="18"/>
                <w:szCs w:val="18"/>
              </w:rPr>
            </w:pPr>
            <w:r>
              <w:rPr>
                <w:rFonts w:hint="eastAsia" w:ascii="宋体" w:hAnsi="宋体" w:cs="宋体"/>
                <w:color w:val="000000"/>
                <w:kern w:val="0"/>
                <w:sz w:val="18"/>
                <w:szCs w:val="18"/>
              </w:rPr>
              <w:t>14.37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p>
            <w:pPr>
              <w:widowControl/>
              <w:jc w:val="center"/>
              <w:textAlignment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3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0"/>
                <w:szCs w:val="10"/>
              </w:rPr>
            </w:pPr>
            <w:r>
              <w:rPr>
                <w:rFonts w:hint="eastAsia" w:ascii="微软雅黑" w:hAnsi="微软雅黑" w:eastAsia="微软雅黑" w:cs="微软雅黑"/>
                <w:i/>
                <w:iCs/>
                <w:color w:val="000000"/>
                <w:kern w:val="0"/>
                <w:sz w:val="16"/>
                <w:szCs w:val="16"/>
                <w:lang w:bidi="ar"/>
              </w:rPr>
              <w:t>改善了学校办学条件</w:t>
            </w:r>
          </w:p>
        </w:tc>
      </w:tr>
      <w:tr>
        <w:tblPrEx>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设计上有些不足</w:t>
            </w:r>
          </w:p>
        </w:tc>
      </w:tr>
      <w:tr>
        <w:tblPrEx>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lang w:bidi="ar"/>
              </w:rPr>
              <w:t>合理布置内部环境</w:t>
            </w:r>
          </w:p>
        </w:tc>
      </w:tr>
      <w:tr>
        <w:tblPrEx>
          <w:tblCellMar>
            <w:top w:w="0" w:type="dxa"/>
            <w:left w:w="108" w:type="dxa"/>
            <w:bottom w:w="0" w:type="dxa"/>
            <w:right w:w="108" w:type="dxa"/>
          </w:tblCellMar>
        </w:tblPrEx>
        <w:trPr>
          <w:trHeight w:val="285" w:hRule="atLeast"/>
        </w:trPr>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rPr>
              <w:t>刘红艳</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w:t>
            </w:r>
            <w:r>
              <w:rPr>
                <w:rFonts w:hint="eastAsia" w:ascii="Courier New" w:hAnsi="Courier New" w:eastAsia="等线" w:cs="Courier New"/>
                <w:color w:val="000000"/>
                <w:kern w:val="0"/>
                <w:sz w:val="18"/>
                <w:szCs w:val="18"/>
              </w:rPr>
              <w:t>刘红艳</w:t>
            </w:r>
          </w:p>
        </w:tc>
      </w:tr>
    </w:tbl>
    <w:p>
      <w:pPr>
        <w:pStyle w:val="8"/>
        <w:spacing w:before="93"/>
        <w:rPr>
          <w:rFonts w:hAnsi="Calibri" w:cs="仿宋"/>
          <w:sz w:val="32"/>
          <w:szCs w:val="32"/>
        </w:rPr>
        <w:sectPr>
          <w:footerReference r:id="rId7" w:type="first"/>
          <w:footerReference r:id="rId6" w:type="default"/>
          <w:pgSz w:w="11906" w:h="16838"/>
          <w:pgMar w:top="1440" w:right="1800" w:bottom="1440" w:left="1800" w:header="851" w:footer="992" w:gutter="0"/>
          <w:cols w:space="425" w:num="1"/>
          <w:docGrid w:type="lines" w:linePitch="312" w:charSpace="0"/>
        </w:sectPr>
      </w:pPr>
    </w:p>
    <w:p>
      <w:pPr>
        <w:pStyle w:val="8"/>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6"/>
      <w:bookmarkEnd w:id="60"/>
      <w:bookmarkStart w:id="61" w:name="_Toc15396619"/>
    </w:p>
    <w:p>
      <w:pPr>
        <w:pStyle w:val="6"/>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61"/>
    </w:p>
    <w:p>
      <w:pPr>
        <w:pStyle w:val="6"/>
        <w:rPr>
          <w:rFonts w:ascii="仿宋" w:hAnsi="仿宋" w:eastAsia="仿宋"/>
        </w:rPr>
      </w:pPr>
      <w:bookmarkStart w:id="62" w:name="_Toc15396620"/>
      <w:r>
        <w:rPr>
          <w:rFonts w:hint="eastAsia" w:ascii="仿宋" w:hAnsi="仿宋" w:eastAsia="仿宋"/>
          <w:b w:val="0"/>
        </w:rPr>
        <w:t>二、收</w:t>
      </w:r>
      <w:r>
        <w:rPr>
          <w:rStyle w:val="31"/>
          <w:rFonts w:hint="eastAsia" w:ascii="仿宋" w:hAnsi="仿宋" w:eastAsia="仿宋"/>
          <w:b w:val="0"/>
          <w:bCs w:val="0"/>
        </w:rPr>
        <w:t>入决算表</w:t>
      </w:r>
      <w:bookmarkEnd w:id="62"/>
    </w:p>
    <w:p>
      <w:pPr>
        <w:pStyle w:val="6"/>
        <w:rPr>
          <w:rFonts w:ascii="仿宋" w:hAnsi="仿宋" w:eastAsia="仿宋"/>
        </w:rPr>
      </w:pPr>
      <w:bookmarkStart w:id="63"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63"/>
    </w:p>
    <w:p>
      <w:pPr>
        <w:pStyle w:val="6"/>
        <w:rPr>
          <w:rFonts w:ascii="仿宋" w:hAnsi="仿宋" w:eastAsia="仿宋"/>
          <w:b w:val="0"/>
        </w:rPr>
      </w:pPr>
      <w:bookmarkStart w:id="64"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64"/>
    </w:p>
    <w:p>
      <w:pPr>
        <w:pStyle w:val="6"/>
        <w:rPr>
          <w:rStyle w:val="31"/>
          <w:rFonts w:ascii="仿宋" w:hAnsi="仿宋" w:eastAsia="仿宋"/>
          <w:b w:val="0"/>
          <w:bCs w:val="0"/>
        </w:rPr>
      </w:pPr>
      <w:bookmarkStart w:id="65"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5"/>
      <w:bookmarkStart w:id="66" w:name="_Toc15396624"/>
    </w:p>
    <w:p>
      <w:pPr>
        <w:pStyle w:val="6"/>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6"/>
    </w:p>
    <w:p>
      <w:pPr>
        <w:pStyle w:val="6"/>
        <w:rPr>
          <w:rFonts w:ascii="仿宋" w:hAnsi="仿宋" w:eastAsia="仿宋"/>
        </w:rPr>
      </w:pPr>
      <w:bookmarkStart w:id="67"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7"/>
    </w:p>
    <w:p>
      <w:pPr>
        <w:pStyle w:val="6"/>
        <w:rPr>
          <w:rFonts w:ascii="仿宋" w:hAnsi="仿宋" w:eastAsia="仿宋"/>
        </w:rPr>
      </w:pPr>
      <w:bookmarkStart w:id="68"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8"/>
    </w:p>
    <w:p>
      <w:pPr>
        <w:pStyle w:val="6"/>
        <w:rPr>
          <w:rFonts w:ascii="仿宋" w:hAnsi="仿宋" w:eastAsia="仿宋"/>
        </w:rPr>
      </w:pPr>
      <w:bookmarkStart w:id="69"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9"/>
    </w:p>
    <w:p>
      <w:pPr>
        <w:pStyle w:val="6"/>
        <w:rPr>
          <w:rFonts w:ascii="仿宋" w:hAnsi="仿宋" w:eastAsia="仿宋"/>
        </w:rPr>
      </w:pPr>
      <w:bookmarkStart w:id="70" w:name="_Toc15396628"/>
      <w:r>
        <w:rPr>
          <w:rStyle w:val="31"/>
          <w:rFonts w:hint="eastAsia" w:ascii="仿宋" w:hAnsi="仿宋" w:eastAsia="仿宋"/>
          <w:b w:val="0"/>
          <w:bCs w:val="0"/>
        </w:rPr>
        <w:t>十、</w:t>
      </w:r>
      <w:bookmarkEnd w:id="70"/>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6"/>
        <w:rPr>
          <w:rFonts w:ascii="仿宋" w:hAnsi="仿宋" w:eastAsia="仿宋"/>
        </w:rPr>
      </w:pPr>
      <w:bookmarkStart w:id="71" w:name="_Toc15396629"/>
      <w:r>
        <w:rPr>
          <w:rStyle w:val="31"/>
          <w:rFonts w:hint="eastAsia" w:ascii="仿宋" w:hAnsi="仿宋" w:eastAsia="仿宋"/>
          <w:b w:val="0"/>
          <w:bCs w:val="0"/>
        </w:rPr>
        <w:t>十一、</w:t>
      </w:r>
      <w:bookmarkEnd w:id="71"/>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6"/>
        <w:rPr>
          <w:rFonts w:ascii="仿宋" w:hAnsi="仿宋" w:eastAsia="仿宋"/>
        </w:rPr>
      </w:pPr>
      <w:bookmarkStart w:id="72" w:name="_Toc15396630"/>
      <w:r>
        <w:rPr>
          <w:rStyle w:val="31"/>
          <w:rFonts w:hint="eastAsia" w:ascii="仿宋" w:hAnsi="仿宋" w:eastAsia="仿宋"/>
          <w:b w:val="0"/>
          <w:bCs w:val="0"/>
        </w:rPr>
        <w:t>十二、</w:t>
      </w:r>
      <w:bookmarkEnd w:id="72"/>
      <w:r>
        <w:rPr>
          <w:rStyle w:val="31"/>
          <w:rFonts w:hint="eastAsia" w:ascii="仿宋" w:hAnsi="仿宋" w:eastAsia="仿宋"/>
          <w:b w:val="0"/>
          <w:bCs w:val="0"/>
        </w:rPr>
        <w:t>国有资本经营预算财政拨款支出决算表</w:t>
      </w:r>
    </w:p>
    <w:p>
      <w:pPr>
        <w:pStyle w:val="6"/>
        <w:rPr>
          <w:rFonts w:eastAsia="仿宋"/>
        </w:rPr>
      </w:pPr>
      <w:bookmarkStart w:id="73" w:name="_Toc15396631"/>
      <w:r>
        <w:rPr>
          <w:rStyle w:val="31"/>
          <w:rFonts w:hint="eastAsia" w:ascii="仿宋" w:hAnsi="仿宋" w:eastAsia="仿宋"/>
          <w:b w:val="0"/>
          <w:bCs w:val="0"/>
        </w:rPr>
        <w:t>十三、</w:t>
      </w:r>
      <w:bookmarkEnd w:id="73"/>
      <w:r>
        <w:rPr>
          <w:rStyle w:val="31"/>
          <w:rFonts w:hint="eastAsia" w:ascii="仿宋" w:hAnsi="仿宋" w:eastAsia="仿宋"/>
          <w:b w:val="0"/>
          <w:bCs w:val="0"/>
        </w:rPr>
        <w:t>财政拨款“三公”经费支出决算表</w:t>
      </w:r>
    </w:p>
    <w:sectPr>
      <w:footerReference r:id="rId9" w:type="first"/>
      <w:footerReference r:id="rId8"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327"/>
                          </w:sdtPr>
                          <w:sdtContent>
                            <w:p>
                              <w:pPr>
                                <w:pStyle w:val="11"/>
                                <w:jc w:val="center"/>
                              </w:pPr>
                              <w:r>
                                <w:fldChar w:fldCharType="begin"/>
                              </w:r>
                              <w:r>
                                <w:instrText xml:space="preserve">PAGE   \* MERGEFORMAT</w:instrText>
                              </w:r>
                              <w:r>
                                <w:fldChar w:fldCharType="separate"/>
                              </w:r>
                              <w:r>
                                <w:rPr>
                                  <w:lang w:val="zh-CN"/>
                                </w:rPr>
                                <w:t>21</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6327"/>
                    </w:sdtPr>
                    <w:sdtContent>
                      <w:p>
                        <w:pPr>
                          <w:pStyle w:val="11"/>
                          <w:jc w:val="center"/>
                        </w:pPr>
                        <w:r>
                          <w:fldChar w:fldCharType="begin"/>
                        </w:r>
                        <w:r>
                          <w:instrText xml:space="preserve">PAGE   \* MERGEFORMAT</w:instrText>
                        </w:r>
                        <w:r>
                          <w:fldChar w:fldCharType="separate"/>
                        </w:r>
                        <w:r>
                          <w:rPr>
                            <w:lang w:val="zh-CN"/>
                          </w:rPr>
                          <w:t>21</w:t>
                        </w:r>
                        <w:r>
                          <w:fldChar w:fldCharType="end"/>
                        </w:r>
                      </w:p>
                    </w:sdtContent>
                  </w:sdt>
                  <w:p>
                    <w:pPr>
                      <w:pStyle w:val="2"/>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6979"/>
        <w:tab w:val="clear" w:pos="4153"/>
      </w:tabs>
    </w:pPr>
  </w:p>
  <w:p>
    <w:pPr>
      <w:pStyle w:val="11"/>
      <w:tabs>
        <w:tab w:val="center" w:pos="6979"/>
        <w:tab w:val="clear" w:pos="4153"/>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157"/>
                          </w:sdtPr>
                          <w:sdtContent>
                            <w:p>
                              <w:pPr>
                                <w:pStyle w:val="11"/>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147473157"/>
                    </w:sdtPr>
                    <w:sdtContent>
                      <w:p>
                        <w:pPr>
                          <w:pStyle w:val="11"/>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6979"/>
        <w:tab w:val="clear" w:pos="4153"/>
      </w:tabs>
    </w:pPr>
  </w:p>
  <w:p>
    <w:pPr>
      <w:pStyle w:val="11"/>
      <w:tabs>
        <w:tab w:val="center" w:pos="6979"/>
        <w:tab w:val="clear" w:pos="4153"/>
      </w:tabs>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297"/>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64297"/>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6979"/>
        <w:tab w:val="clear" w:pos="4153"/>
      </w:tabs>
    </w:pPr>
  </w:p>
  <w:p>
    <w:pPr>
      <w:pStyle w:val="11"/>
      <w:tabs>
        <w:tab w:val="center" w:pos="6979"/>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zE2NzZlMjQ1YTZhYzcyNzFiNzA4ZDc1MGJmMT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2F5B"/>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18A5"/>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1316"/>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15F2"/>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772B"/>
    <w:rsid w:val="00C87FD8"/>
    <w:rsid w:val="00C91381"/>
    <w:rsid w:val="00C91CBB"/>
    <w:rsid w:val="00CB4E70"/>
    <w:rsid w:val="00CC09B6"/>
    <w:rsid w:val="00CC666F"/>
    <w:rsid w:val="00CD1E3F"/>
    <w:rsid w:val="00CE44F6"/>
    <w:rsid w:val="00CE49DA"/>
    <w:rsid w:val="00CE7B61"/>
    <w:rsid w:val="00D00095"/>
    <w:rsid w:val="00D06ACF"/>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87D80"/>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4291"/>
    <w:rsid w:val="016116BD"/>
    <w:rsid w:val="026C2864"/>
    <w:rsid w:val="03DC2831"/>
    <w:rsid w:val="05AE6DA9"/>
    <w:rsid w:val="07F12200"/>
    <w:rsid w:val="081B5E94"/>
    <w:rsid w:val="086C26C5"/>
    <w:rsid w:val="08C75667"/>
    <w:rsid w:val="095C5D9C"/>
    <w:rsid w:val="09EC77F8"/>
    <w:rsid w:val="0A2032A3"/>
    <w:rsid w:val="0A20375B"/>
    <w:rsid w:val="0B8A37D8"/>
    <w:rsid w:val="0F5FFB2F"/>
    <w:rsid w:val="0FFFCF60"/>
    <w:rsid w:val="106D0DFD"/>
    <w:rsid w:val="10C055FF"/>
    <w:rsid w:val="118107EC"/>
    <w:rsid w:val="11DD6519"/>
    <w:rsid w:val="156D1E1B"/>
    <w:rsid w:val="15F50012"/>
    <w:rsid w:val="16BB723D"/>
    <w:rsid w:val="170B0A4F"/>
    <w:rsid w:val="18015F3F"/>
    <w:rsid w:val="1A7D7D43"/>
    <w:rsid w:val="1B2F13FF"/>
    <w:rsid w:val="1B440770"/>
    <w:rsid w:val="1BAE677A"/>
    <w:rsid w:val="1BE8440E"/>
    <w:rsid w:val="1D155CEE"/>
    <w:rsid w:val="1E4631C3"/>
    <w:rsid w:val="1F056DEE"/>
    <w:rsid w:val="1FDBBF84"/>
    <w:rsid w:val="20F57F95"/>
    <w:rsid w:val="240371BF"/>
    <w:rsid w:val="25711CC6"/>
    <w:rsid w:val="25C741E6"/>
    <w:rsid w:val="25DB4099"/>
    <w:rsid w:val="2651396B"/>
    <w:rsid w:val="276F80C0"/>
    <w:rsid w:val="27807D96"/>
    <w:rsid w:val="27842671"/>
    <w:rsid w:val="27BD6C9C"/>
    <w:rsid w:val="29FD04D3"/>
    <w:rsid w:val="2ABE7A3E"/>
    <w:rsid w:val="2AFF09B6"/>
    <w:rsid w:val="2CA234A8"/>
    <w:rsid w:val="2E7924DB"/>
    <w:rsid w:val="2EFA178C"/>
    <w:rsid w:val="2EFDF86C"/>
    <w:rsid w:val="2EFE0ED3"/>
    <w:rsid w:val="2F9D17E1"/>
    <w:rsid w:val="308B6E36"/>
    <w:rsid w:val="30B46D73"/>
    <w:rsid w:val="319F7F4E"/>
    <w:rsid w:val="321A512A"/>
    <w:rsid w:val="339C477E"/>
    <w:rsid w:val="35523A2F"/>
    <w:rsid w:val="356A28F1"/>
    <w:rsid w:val="357C035A"/>
    <w:rsid w:val="368E000D"/>
    <w:rsid w:val="383D272C"/>
    <w:rsid w:val="38520772"/>
    <w:rsid w:val="39AE70AB"/>
    <w:rsid w:val="3A4DCE41"/>
    <w:rsid w:val="3BCB56FA"/>
    <w:rsid w:val="3C0C0783"/>
    <w:rsid w:val="3C5B6FF2"/>
    <w:rsid w:val="3E907C2F"/>
    <w:rsid w:val="3EE53FE1"/>
    <w:rsid w:val="3EE7C2F4"/>
    <w:rsid w:val="3F371B56"/>
    <w:rsid w:val="3F792ED8"/>
    <w:rsid w:val="3F9F3A96"/>
    <w:rsid w:val="3FECA4B2"/>
    <w:rsid w:val="3FF58C48"/>
    <w:rsid w:val="40A5409B"/>
    <w:rsid w:val="40DA7A8D"/>
    <w:rsid w:val="40E9236B"/>
    <w:rsid w:val="41001A84"/>
    <w:rsid w:val="411E335F"/>
    <w:rsid w:val="42FF6694"/>
    <w:rsid w:val="439C45D5"/>
    <w:rsid w:val="457C4A64"/>
    <w:rsid w:val="48BF60AB"/>
    <w:rsid w:val="48E85671"/>
    <w:rsid w:val="493C27E9"/>
    <w:rsid w:val="496F39ED"/>
    <w:rsid w:val="49FF41D3"/>
    <w:rsid w:val="4BD80B5F"/>
    <w:rsid w:val="4BE068DB"/>
    <w:rsid w:val="4BF6002B"/>
    <w:rsid w:val="4BFFC6BE"/>
    <w:rsid w:val="4E263853"/>
    <w:rsid w:val="4E9330EA"/>
    <w:rsid w:val="4ECE2238"/>
    <w:rsid w:val="4F355231"/>
    <w:rsid w:val="50663B4F"/>
    <w:rsid w:val="50850D04"/>
    <w:rsid w:val="513B0E5E"/>
    <w:rsid w:val="51DB4B86"/>
    <w:rsid w:val="51DC17AB"/>
    <w:rsid w:val="51F64DB0"/>
    <w:rsid w:val="543547EF"/>
    <w:rsid w:val="546A3F12"/>
    <w:rsid w:val="55333C3E"/>
    <w:rsid w:val="59DE2CFD"/>
    <w:rsid w:val="5A2A2127"/>
    <w:rsid w:val="5A7A3F48"/>
    <w:rsid w:val="5C5A69AD"/>
    <w:rsid w:val="5C8B76A2"/>
    <w:rsid w:val="5EC33FA8"/>
    <w:rsid w:val="5F67802D"/>
    <w:rsid w:val="5F7DC4F2"/>
    <w:rsid w:val="5FB36814"/>
    <w:rsid w:val="5FBB8E56"/>
    <w:rsid w:val="5FFB5535"/>
    <w:rsid w:val="627E790B"/>
    <w:rsid w:val="62A242FE"/>
    <w:rsid w:val="62C366A0"/>
    <w:rsid w:val="64AC4762"/>
    <w:rsid w:val="64CA39A1"/>
    <w:rsid w:val="69630ADE"/>
    <w:rsid w:val="69BD5F13"/>
    <w:rsid w:val="69FB0B4B"/>
    <w:rsid w:val="6BD76DBF"/>
    <w:rsid w:val="6BFFE1FB"/>
    <w:rsid w:val="6C4A05C8"/>
    <w:rsid w:val="6CF14970"/>
    <w:rsid w:val="6D3B1A89"/>
    <w:rsid w:val="6DB7D8A3"/>
    <w:rsid w:val="6E7E3278"/>
    <w:rsid w:val="6EB06E7B"/>
    <w:rsid w:val="6EC78701"/>
    <w:rsid w:val="6F7A5481"/>
    <w:rsid w:val="6FFE07A9"/>
    <w:rsid w:val="71BF4EC2"/>
    <w:rsid w:val="722F2426"/>
    <w:rsid w:val="72734D90"/>
    <w:rsid w:val="73E75B71"/>
    <w:rsid w:val="7412278C"/>
    <w:rsid w:val="75DDCDA9"/>
    <w:rsid w:val="75FF44B1"/>
    <w:rsid w:val="76451505"/>
    <w:rsid w:val="76D35A76"/>
    <w:rsid w:val="77670518"/>
    <w:rsid w:val="777FA627"/>
    <w:rsid w:val="77B92418"/>
    <w:rsid w:val="77DF1B5F"/>
    <w:rsid w:val="77EF2D9D"/>
    <w:rsid w:val="78577D1D"/>
    <w:rsid w:val="79E7B28D"/>
    <w:rsid w:val="7ACFF0C2"/>
    <w:rsid w:val="7AEF2A5E"/>
    <w:rsid w:val="7AFB9108"/>
    <w:rsid w:val="7BB5793B"/>
    <w:rsid w:val="7BD5340C"/>
    <w:rsid w:val="7BFB19D2"/>
    <w:rsid w:val="7BFD1750"/>
    <w:rsid w:val="7BFDAA1B"/>
    <w:rsid w:val="7CA61D62"/>
    <w:rsid w:val="7CDF9A82"/>
    <w:rsid w:val="7CFFA1BD"/>
    <w:rsid w:val="7D2E3F7A"/>
    <w:rsid w:val="7DED9490"/>
    <w:rsid w:val="7DFF4872"/>
    <w:rsid w:val="7E7487E6"/>
    <w:rsid w:val="7E7C2A54"/>
    <w:rsid w:val="7EEEFD72"/>
    <w:rsid w:val="7F1429B7"/>
    <w:rsid w:val="7F1D517C"/>
    <w:rsid w:val="7F5DA057"/>
    <w:rsid w:val="7F6C2237"/>
    <w:rsid w:val="7F7F319B"/>
    <w:rsid w:val="7F9F20EE"/>
    <w:rsid w:val="7FBBE890"/>
    <w:rsid w:val="7FBC2ABD"/>
    <w:rsid w:val="7FBF5D48"/>
    <w:rsid w:val="7FCCFC01"/>
    <w:rsid w:val="7FDD1748"/>
    <w:rsid w:val="7FE769C6"/>
    <w:rsid w:val="7FFA7585"/>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FollowedHyperlink"/>
    <w:basedOn w:val="16"/>
    <w:semiHidden/>
    <w:unhideWhenUsed/>
    <w:qFormat/>
    <w:uiPriority w:val="99"/>
    <w:rPr>
      <w:color w:val="954F72"/>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link w:val="30"/>
    <w:qFormat/>
    <w:uiPriority w:val="9"/>
    <w:rPr>
      <w:b/>
      <w:bCs/>
      <w:sz w:val="44"/>
      <w:szCs w:val="44"/>
    </w:rPr>
  </w:style>
  <w:style w:type="paragraph" w:customStyle="1" w:styleId="30">
    <w:name w:val="标题 11"/>
    <w:basedOn w:val="1"/>
    <w:next w:val="1"/>
    <w:link w:val="29"/>
    <w:qFormat/>
    <w:uiPriority w:val="9"/>
    <w:pPr>
      <w:keepNext/>
      <w:keepLines/>
      <w:spacing w:before="340" w:after="330" w:line="578" w:lineRule="auto"/>
      <w:outlineLvl w:val="0"/>
    </w:pPr>
    <w:rPr>
      <w:b/>
      <w:bCs/>
      <w:sz w:val="44"/>
      <w:szCs w:val="44"/>
    </w:rPr>
  </w:style>
  <w:style w:type="character" w:customStyle="1" w:styleId="31">
    <w:name w:val="标题 2 字符"/>
    <w:basedOn w:val="1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10"/>
    <w:semiHidden/>
    <w:qFormat/>
    <w:uiPriority w:val="99"/>
    <w:rPr>
      <w:rFonts w:ascii="Times New Roman" w:hAnsi="Times New Roman"/>
      <w:kern w:val="2"/>
      <w:sz w:val="18"/>
      <w:szCs w:val="18"/>
    </w:rPr>
  </w:style>
  <w:style w:type="character" w:customStyle="1" w:styleId="34">
    <w:name w:val="标题 3 Char"/>
    <w:basedOn w:val="16"/>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66"/>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3">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6">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8">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49">
    <w:name w:val="标题 1 Char"/>
    <w:basedOn w:val="16"/>
    <w:link w:val="5"/>
    <w:qFormat/>
    <w:uiPriority w:val="9"/>
    <w:rPr>
      <w:b/>
      <w:bCs/>
      <w:kern w:val="44"/>
      <w:sz w:val="44"/>
      <w:szCs w:val="44"/>
    </w:rPr>
  </w:style>
  <w:style w:type="paragraph" w:customStyle="1" w:styleId="50">
    <w:name w:val="标题 4 New New New New New New New New New New New New New New New New New New New New New New New New New New New New New New New New New New New New New"/>
    <w:basedOn w:val="1"/>
    <w:next w:val="1"/>
    <w:qFormat/>
    <w:uiPriority w:val="0"/>
    <w:pPr>
      <w:keepNext/>
      <w:keepLines/>
      <w:spacing w:before="100" w:beforeAutospacing="1" w:after="100" w:afterAutospacing="1" w:line="360" w:lineRule="auto"/>
      <w:outlineLvl w:val="3"/>
    </w:pPr>
    <w:rPr>
      <w:rFonts w:ascii="Arial" w:hAnsi="Arial" w:eastAsia="仿宋_GB2312"/>
      <w:b/>
      <w:sz w:val="32"/>
    </w:rPr>
  </w:style>
  <w:style w:type="character" w:customStyle="1" w:styleId="51">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52">
    <w:name w:val="正文文本1"/>
    <w:basedOn w:val="1"/>
    <w:qFormat/>
    <w:uiPriority w:val="99"/>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马家小学2023年与2024年收、支决算总计变动情况图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923.04</c:v>
                </c:pt>
                <c:pt idx="1">
                  <c:v>803.05</c:v>
                </c:pt>
                <c:pt idx="2">
                  <c:v>923.04</c:v>
                </c:pt>
                <c:pt idx="3">
                  <c:v>803.05</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numCache>
            </c:numRef>
          </c:val>
        </c:ser>
        <c:dLbls>
          <c:showLegendKey val="0"/>
          <c:showVal val="1"/>
          <c:showCatName val="0"/>
          <c:showSerName val="0"/>
          <c:showPercent val="0"/>
          <c:showBubbleSize val="0"/>
        </c:dLbls>
        <c:gapWidth val="246"/>
        <c:overlap val="-28"/>
        <c:axId val="169077600"/>
        <c:axId val="169077984"/>
      </c:barChart>
      <c:catAx>
        <c:axId val="16907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9077984"/>
        <c:crosses val="autoZero"/>
        <c:auto val="1"/>
        <c:lblAlgn val="ctr"/>
        <c:lblOffset val="100"/>
        <c:noMultiLvlLbl val="0"/>
      </c:catAx>
      <c:valAx>
        <c:axId val="16907798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90776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西眉镇马家小学</a:t>
            </a: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西眉镇马家小学校收入情况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政府性基金预算财政拨款</c:v>
                </c:pt>
              </c:strCache>
            </c:strRef>
          </c:cat>
          <c:val>
            <c:numRef>
              <c:f>Sheet1!$B$2:$B$3</c:f>
              <c:numCache>
                <c:formatCode>0%</c:formatCode>
                <c:ptCount val="2"/>
                <c:pt idx="0">
                  <c:v>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西眉镇马家小学</a:t>
            </a:r>
            <a:r>
              <a:rPr lang="en-US" altLang="zh-CN"/>
              <a:t>2024</a:t>
            </a:r>
            <a:r>
              <a:rPr lang="zh-CN" altLang="en-US"/>
              <a:t>年支出决算结构图</a:t>
            </a:r>
            <a:endParaRPr lang="zh-CN" altLang="en-US"/>
          </a:p>
        </c:rich>
      </c:tx>
      <c:layout>
        <c:manualLayout>
          <c:xMode val="edge"/>
          <c:yMode val="edge"/>
          <c:x val="0.248947122133833"/>
          <c:y val="0.0369789332138054"/>
        </c:manualLayout>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0.8354</c:v>
                </c:pt>
                <c:pt idx="1">
                  <c:v>0.1646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马家小学财政拨款收、支决算总计变动情况图</a:t>
            </a:r>
            <a:endParaRPr lang="zh-CN" altLang="en-US"/>
          </a:p>
        </c:rich>
      </c:tx>
      <c:layout>
        <c:manualLayout>
          <c:xMode val="edge"/>
          <c:yMode val="edge"/>
          <c:x val="0.197473093121198"/>
          <c:y val="0.0240494732020156"/>
        </c:manualLayout>
      </c:layout>
      <c:overlay val="0"/>
      <c:spPr>
        <a:noFill/>
        <a:ln>
          <a:noFill/>
        </a:ln>
        <a:effectLst/>
      </c:spPr>
    </c:title>
    <c:autoTitleDeleted val="0"/>
    <c:plotArea>
      <c:layout>
        <c:manualLayout>
          <c:layoutTarget val="inner"/>
          <c:xMode val="edge"/>
          <c:yMode val="edge"/>
          <c:x val="0.0682732802994853"/>
          <c:y val="0.149819494584838"/>
          <c:w val="0.911254094525035"/>
          <c:h val="0.750180505415162"/>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manualLayout>
                  <c:x val="0.00584932147870847"/>
                  <c:y val="0.02290426019239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1901053595968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923.04</c:v>
                </c:pt>
                <c:pt idx="1">
                  <c:v>803.05</c:v>
                </c:pt>
                <c:pt idx="2">
                  <c:v>923.04</c:v>
                </c:pt>
                <c:pt idx="3">
                  <c:v>803.05</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209931512"/>
        <c:axId val="209884816"/>
      </c:barChart>
      <c:catAx>
        <c:axId val="209931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884816"/>
        <c:crosses val="autoZero"/>
        <c:auto val="1"/>
        <c:lblAlgn val="ctr"/>
        <c:lblOffset val="100"/>
        <c:noMultiLvlLbl val="0"/>
      </c:catAx>
      <c:valAx>
        <c:axId val="20988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931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马家小学一般公共预算财政拨款支出决算变动情况图</a:t>
            </a:r>
            <a:endParaRPr lang="zh-CN" altLang="en-US"/>
          </a:p>
        </c:rich>
      </c:tx>
      <c:layout>
        <c:manualLayout>
          <c:xMode val="edge"/>
          <c:yMode val="edge"/>
          <c:x val="0.137927000467945"/>
          <c:y val="0.033989999585045"/>
        </c:manualLayout>
      </c:layout>
      <c:overlay val="0"/>
      <c:spPr>
        <a:noFill/>
        <a:ln>
          <a:noFill/>
        </a:ln>
        <a:effectLst/>
      </c:spPr>
    </c:title>
    <c:autoTitleDeleted val="0"/>
    <c:plotArea>
      <c:layout>
        <c:manualLayout>
          <c:layoutTarget val="inner"/>
          <c:xMode val="edge"/>
          <c:yMode val="edge"/>
          <c:x val="0.0852363125877398"/>
          <c:y val="0.161637931034483"/>
          <c:w val="0.911254094525035"/>
          <c:h val="0.730905172413793"/>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923.04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923.04</c:v>
                </c:pt>
                <c:pt idx="1">
                  <c:v>803.05</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numCache>
            </c:numRef>
          </c:val>
        </c:ser>
        <c:dLbls>
          <c:showLegendKey val="0"/>
          <c:showVal val="0"/>
          <c:showCatName val="0"/>
          <c:showSerName val="0"/>
          <c:showPercent val="0"/>
          <c:showBubbleSize val="0"/>
        </c:dLbls>
        <c:gapWidth val="219"/>
        <c:overlap val="-27"/>
        <c:axId val="210198024"/>
        <c:axId val="209911200"/>
      </c:barChart>
      <c:catAx>
        <c:axId val="21019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911200"/>
        <c:crosses val="autoZero"/>
        <c:auto val="1"/>
        <c:lblAlgn val="ctr"/>
        <c:lblOffset val="100"/>
        <c:noMultiLvlLbl val="0"/>
      </c:catAx>
      <c:valAx>
        <c:axId val="20991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0198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马家小学支出表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中兴小学支出表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zh-CN" altLang="en-US"/>
                      <a:t>教育支出</a:t>
                    </a:r>
                    <a:endParaRPr lang="zh-CN" altLang="en-US"/>
                  </a:p>
                  <a:p>
                    <a:pPr>
                      <a:defRPr lang="zh-CN" sz="900" b="0" i="0" u="none" strike="noStrike" kern="1200" baseline="0">
                        <a:solidFill>
                          <a:schemeClr val="dk1">
                            <a:lumMod val="65000"/>
                            <a:lumOff val="35000"/>
                          </a:schemeClr>
                        </a:solidFill>
                        <a:latin typeface="+mn-lt"/>
                        <a:ea typeface="+mn-ea"/>
                        <a:cs typeface="+mn-cs"/>
                      </a:defRPr>
                    </a:pPr>
                    <a:r>
                      <a:rPr lang="en-US" altLang="zh-CN"/>
                      <a:t>79.69%</a:t>
                    </a:r>
                    <a:endParaRPr lang="en-US" altLang="zh-CN"/>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7449856733524"/>
                  <c:y val="0.177683013503909"/>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zh-CN" altLang="en-US"/>
                      <a:t>社会保障和就业</a:t>
                    </a:r>
                    <a:endParaRPr lang="zh-CN" altLang="en-US"/>
                  </a:p>
                  <a:p>
                    <a:pPr>
                      <a:defRPr lang="zh-CN" sz="900" b="0" i="0" u="none" strike="noStrike" kern="1200" baseline="0">
                        <a:solidFill>
                          <a:schemeClr val="dk1">
                            <a:lumMod val="65000"/>
                            <a:lumOff val="35000"/>
                          </a:schemeClr>
                        </a:solidFill>
                        <a:latin typeface="+mn-lt"/>
                        <a:ea typeface="+mn-ea"/>
                        <a:cs typeface="+mn-cs"/>
                      </a:defRPr>
                    </a:pPr>
                    <a:r>
                      <a:rPr lang="en-US" altLang="zh-CN"/>
                      <a:t>10.72%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5032560562647"/>
                  <c:y val="0"/>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zh-CN" altLang="en-US"/>
                      <a:t>卫生健康支出</a:t>
                    </a:r>
                    <a:endParaRPr lang="zh-CN" altLang="en-US"/>
                  </a:p>
                  <a:p>
                    <a:pPr>
                      <a:defRPr lang="zh-CN" sz="900" b="0" i="0" u="none" strike="noStrike" kern="1200" baseline="0">
                        <a:solidFill>
                          <a:schemeClr val="dk1">
                            <a:lumMod val="65000"/>
                            <a:lumOff val="35000"/>
                          </a:schemeClr>
                        </a:solidFill>
                        <a:latin typeface="+mn-lt"/>
                        <a:ea typeface="+mn-ea"/>
                        <a:cs typeface="+mn-cs"/>
                      </a:defRPr>
                    </a:pPr>
                    <a:r>
                      <a:rPr lang="en-US" altLang="zh-CN"/>
                      <a:t>2.72%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7752417343709"/>
                  <c:y val="0.0226946751543982"/>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zh-CN" altLang="en-US"/>
                      <a:t>住房保障支出</a:t>
                    </a:r>
                    <a:endParaRPr lang="zh-CN" altLang="en-US"/>
                  </a:p>
                  <a:p>
                    <a:pPr>
                      <a:defRPr lang="zh-CN" sz="900" b="0" i="0" u="none" strike="noStrike" kern="1200" baseline="0">
                        <a:solidFill>
                          <a:schemeClr val="dk1">
                            <a:lumMod val="65000"/>
                            <a:lumOff val="35000"/>
                          </a:schemeClr>
                        </a:solidFill>
                        <a:latin typeface="+mn-lt"/>
                        <a:ea typeface="+mn-ea"/>
                        <a:cs typeface="+mn-cs"/>
                      </a:defRPr>
                    </a:pPr>
                    <a:r>
                      <a:rPr lang="en-US" altLang="zh-CN"/>
                      <a:t>6.87%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753.54</c:v>
                </c:pt>
                <c:pt idx="1">
                  <c:v>80.34</c:v>
                </c:pt>
                <c:pt idx="2">
                  <c:v>29.02</c:v>
                </c:pt>
                <c:pt idx="3">
                  <c:v>60.13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2088</Words>
  <Characters>2383</Characters>
  <Lines>87</Lines>
  <Paragraphs>24</Paragraphs>
  <TotalTime>27</TotalTime>
  <ScaleCrop>false</ScaleCrop>
  <LinksUpToDate>false</LinksUpToDate>
  <CharactersWithSpaces>2396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2023-08-03T02:35:00Z</cp:lastPrinted>
  <dcterms:modified xsi:type="dcterms:W3CDTF">2025-08-22T08:15:01Z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80ACB95D247447B98A6D9245D99439DA_12</vt:lpwstr>
  </property>
  <property fmtid="{D5CDD505-2E9C-101B-9397-08002B2CF9AE}" pid="4" name="KSOTemplateDocerSaveRecord">
    <vt:lpwstr>eyJoZGlkIjoiMDNjMzU1YzU1YjAwNDExYjAwZDkyMTk3MGJkOTI0YzMiLCJ1c2VySWQiOiI5MTQ5NDYyMzcifQ==</vt:lpwstr>
  </property>
</Properties>
</file>