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B47DE">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49" w:name="_GoBack"/>
      <w:bookmarkEnd w:id="49"/>
    </w:p>
    <w:p w14:paraId="5EDFDE98">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p>
    <w:p w14:paraId="416F4F48">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w:t>
      </w:r>
      <w:r>
        <w:rPr>
          <w:rFonts w:hint="eastAsia" w:ascii="方正小标宋简体" w:hAnsi="方正小标宋简体" w:eastAsia="方正小标宋简体" w:cs="方正小标宋简体"/>
          <w:color w:val="000000" w:themeColor="text1"/>
          <w:sz w:val="72"/>
          <w:szCs w:val="72"/>
          <w:highlight w:val="none"/>
          <w:lang w:val="en-US" w:eastAsia="zh-CN"/>
          <w14:textFill>
            <w14:solidFill>
              <w14:schemeClr w14:val="tx1"/>
            </w14:solidFill>
          </w14:textFill>
        </w:rPr>
        <w:t>4</w:t>
      </w:r>
      <w:r>
        <w:rPr>
          <w:rFonts w:hint="eastAsia" w:ascii="方正小标宋简体" w:hAnsi="方正小标宋简体" w:eastAsia="方正小标宋简体" w:cs="方正小标宋简体"/>
          <w:color w:val="auto"/>
          <w:sz w:val="72"/>
          <w:szCs w:val="72"/>
          <w:highlight w:val="none"/>
        </w:rPr>
        <w:t>年度</w:t>
      </w:r>
    </w:p>
    <w:p w14:paraId="4D604145">
      <w:pPr>
        <w:adjustRightInd w:val="0"/>
        <w:snapToGrid w:val="0"/>
        <w:spacing w:line="360" w:lineRule="auto"/>
        <w:jc w:val="center"/>
        <w:outlineLvl w:val="0"/>
        <w:rPr>
          <w:rFonts w:ascii="方正小标宋简体" w:hAnsi="宋体" w:eastAsia="方正小标宋简体"/>
          <w:color w:val="000000"/>
          <w:sz w:val="72"/>
          <w:szCs w:val="72"/>
        </w:rPr>
      </w:pPr>
      <w:bookmarkStart w:id="0" w:name="_Toc15378442"/>
      <w:bookmarkStart w:id="1" w:name="_Toc15396476"/>
      <w:bookmarkStart w:id="2" w:name="_Toc15377426"/>
      <w:bookmarkStart w:id="3" w:name="_Toc15396598"/>
      <w:bookmarkStart w:id="4" w:name="_Toc15377194"/>
      <w:r>
        <w:rPr>
          <w:rFonts w:hint="eastAsia" w:ascii="方正小标宋简体" w:hAnsi="宋体" w:eastAsia="方正小标宋简体"/>
          <w:color w:val="000000"/>
          <w:sz w:val="72"/>
          <w:szCs w:val="72"/>
        </w:rPr>
        <w:t>四川省</w:t>
      </w:r>
      <w:bookmarkStart w:id="5" w:name="_Toc15306268"/>
      <w:r>
        <w:rPr>
          <w:rFonts w:hint="eastAsia" w:ascii="方正小标宋简体" w:hAnsi="宋体" w:eastAsia="方正小标宋简体"/>
          <w:color w:val="000000"/>
          <w:sz w:val="72"/>
          <w:szCs w:val="72"/>
          <w:lang w:eastAsia="zh-CN"/>
        </w:rPr>
        <w:t>遂宁市安居区疾病预防控制中心</w:t>
      </w:r>
      <w:r>
        <w:rPr>
          <w:rFonts w:hint="eastAsia" w:ascii="方正小标宋简体" w:hAnsi="宋体" w:eastAsia="方正小标宋简体"/>
          <w:color w:val="000000"/>
          <w:sz w:val="72"/>
          <w:szCs w:val="72"/>
        </w:rPr>
        <w:t>部门决算</w:t>
      </w:r>
      <w:bookmarkEnd w:id="0"/>
      <w:bookmarkEnd w:id="1"/>
      <w:bookmarkEnd w:id="2"/>
      <w:bookmarkEnd w:id="3"/>
      <w:bookmarkEnd w:id="4"/>
      <w:bookmarkEnd w:id="5"/>
    </w:p>
    <w:p w14:paraId="3B333EED"/>
    <w:p w14:paraId="6C03B497">
      <w:pPr>
        <w:pStyle w:val="2"/>
      </w:pPr>
    </w:p>
    <w:p w14:paraId="1E127253">
      <w:pPr>
        <w:pStyle w:val="3"/>
      </w:pPr>
    </w:p>
    <w:p w14:paraId="65C9F93E">
      <w:pPr>
        <w:pStyle w:val="3"/>
      </w:pPr>
    </w:p>
    <w:p w14:paraId="32FCF5EF">
      <w:pPr>
        <w:pStyle w:val="3"/>
      </w:pPr>
    </w:p>
    <w:p w14:paraId="68CBC02E">
      <w:pPr>
        <w:pStyle w:val="3"/>
      </w:pPr>
    </w:p>
    <w:p w14:paraId="7BF545C2">
      <w:pPr>
        <w:pStyle w:val="3"/>
      </w:pPr>
    </w:p>
    <w:p w14:paraId="704D6520">
      <w:pPr>
        <w:pStyle w:val="3"/>
      </w:pPr>
    </w:p>
    <w:p w14:paraId="6362D39F">
      <w:pPr>
        <w:pStyle w:val="3"/>
      </w:pPr>
    </w:p>
    <w:p w14:paraId="4982652A">
      <w:pPr>
        <w:pStyle w:val="3"/>
      </w:pPr>
    </w:p>
    <w:p w14:paraId="65217391">
      <w:pPr>
        <w:pStyle w:val="3"/>
      </w:pPr>
    </w:p>
    <w:p w14:paraId="7A3D6056">
      <w:pPr>
        <w:pStyle w:val="3"/>
      </w:pPr>
    </w:p>
    <w:p w14:paraId="00689E9D">
      <w:pPr>
        <w:pStyle w:val="3"/>
      </w:pPr>
    </w:p>
    <w:p w14:paraId="1215B53D">
      <w:pPr>
        <w:pStyle w:val="3"/>
      </w:pPr>
    </w:p>
    <w:p w14:paraId="54B1B225">
      <w:pPr>
        <w:widowControl/>
        <w:jc w:val="center"/>
        <w:rPr>
          <w:rFonts w:ascii="黑体" w:hAnsi="黑体" w:eastAsia="黑体"/>
          <w:color w:val="auto"/>
          <w:sz w:val="48"/>
          <w:szCs w:val="48"/>
          <w:highlight w:val="none"/>
        </w:rPr>
      </w:pPr>
      <w:bookmarkStart w:id="6" w:name="_Toc15377196"/>
      <w:bookmarkStart w:id="7" w:name="_Toc15396599"/>
      <w:r>
        <w:rPr>
          <w:rFonts w:hint="eastAsia" w:ascii="黑体" w:hAnsi="黑体" w:eastAsia="黑体"/>
          <w:color w:val="auto"/>
          <w:sz w:val="48"/>
          <w:szCs w:val="48"/>
          <w:highlight w:val="none"/>
        </w:rPr>
        <w:t>目录</w:t>
      </w:r>
    </w:p>
    <w:p w14:paraId="17816A1D">
      <w:pPr>
        <w:widowControl/>
        <w:jc w:val="center"/>
        <w:rPr>
          <w:rFonts w:ascii="黑体" w:hAnsi="黑体" w:eastAsia="黑体" w:cstheme="minorBidi"/>
          <w:color w:val="auto"/>
          <w:sz w:val="28"/>
          <w:szCs w:val="28"/>
          <w:highlight w:val="none"/>
        </w:rPr>
      </w:pPr>
    </w:p>
    <w:p w14:paraId="02BAECC4">
      <w:pPr>
        <w:pStyle w:val="12"/>
        <w:rPr>
          <w:rFonts w:hint="eastAsia"/>
        </w:rPr>
      </w:pPr>
      <w:r>
        <w:rPr>
          <w:rFonts w:hint="eastAsia"/>
        </w:rPr>
        <w:t>公开时间：</w:t>
      </w:r>
      <w:r>
        <w:rPr>
          <w:rFonts w:hint="eastAsia"/>
          <w:lang w:eastAsia="zh-CN"/>
        </w:rPr>
        <w:t>202</w:t>
      </w:r>
      <w:r>
        <w:rPr>
          <w:rFonts w:hint="eastAsia"/>
          <w:lang w:val="en-US" w:eastAsia="zh-CN"/>
        </w:rPr>
        <w:t>5</w:t>
      </w:r>
      <w:r>
        <w:rPr>
          <w:rFonts w:hint="eastAsia"/>
          <w:lang w:eastAsia="zh-CN"/>
        </w:rPr>
        <w:t>年8月2</w:t>
      </w:r>
      <w:r>
        <w:rPr>
          <w:rFonts w:hint="eastAsia"/>
          <w:lang w:val="en-US" w:eastAsia="zh-CN"/>
        </w:rPr>
        <w:t>2</w:t>
      </w:r>
      <w:r>
        <w:rPr>
          <w:rFonts w:hint="eastAsia"/>
          <w:lang w:eastAsia="zh-CN"/>
        </w:rPr>
        <w:t>日</w:t>
      </w:r>
      <w:r>
        <w:commentReference w:id="0"/>
      </w:r>
    </w:p>
    <w:p w14:paraId="48434E7B">
      <w:pPr>
        <w:widowControl/>
        <w:jc w:val="cente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7E15CD86">
      <w:pPr>
        <w:pStyle w:val="12"/>
        <w:rPr>
          <w:rFonts w:cstheme="minorBidi"/>
        </w:rPr>
      </w:pPr>
      <w:r>
        <w:fldChar w:fldCharType="begin"/>
      </w:r>
      <w:r>
        <w:instrText xml:space="preserve"> HYPERLINK \l "_Toc15396599" </w:instrText>
      </w:r>
      <w:r>
        <w:fldChar w:fldCharType="separate"/>
      </w:r>
      <w:r>
        <w:rPr>
          <w:rStyle w:val="18"/>
          <w:rFonts w:hint="eastAsia"/>
        </w:rPr>
        <w:t>第一部分</w:t>
      </w:r>
      <w:r>
        <w:rPr>
          <w:rStyle w:val="18"/>
        </w:rPr>
        <w:t xml:space="preserve"> </w:t>
      </w:r>
      <w:r>
        <w:rPr>
          <w:rStyle w:val="18"/>
          <w:rFonts w:hint="eastAsia"/>
        </w:rPr>
        <w:t>部门概况</w:t>
      </w:r>
      <w:r>
        <w:rPr>
          <w:rStyle w:val="18"/>
          <w:rFonts w:hint="eastAsia"/>
          <w:lang w:val="en-US" w:eastAsia="zh-CN"/>
        </w:rPr>
        <w:t>.........................................</w:t>
      </w:r>
      <w:r>
        <w:rPr>
          <w:rFonts w:hint="eastAsia"/>
        </w:rPr>
        <w:fldChar w:fldCharType="end"/>
      </w:r>
      <w:r>
        <w:rPr>
          <w:rStyle w:val="18"/>
          <w:rFonts w:hint="eastAsia"/>
          <w:lang w:val="en-US" w:eastAsia="zh-CN"/>
        </w:rPr>
        <w:t>4</w:t>
      </w:r>
    </w:p>
    <w:p w14:paraId="2813913B">
      <w:pPr>
        <w:pStyle w:val="13"/>
        <w:rPr>
          <w:rFonts w:ascii="仿宋" w:hAnsi="仿宋" w:eastAsia="仿宋" w:cstheme="minorBidi"/>
          <w:sz w:val="28"/>
          <w:szCs w:val="28"/>
        </w:rPr>
      </w:pPr>
      <w:r>
        <w:fldChar w:fldCharType="begin"/>
      </w:r>
      <w:r>
        <w:instrText xml:space="preserve"> HYPERLINK \l "_Toc15396600" </w:instrText>
      </w:r>
      <w:r>
        <w:fldChar w:fldCharType="separate"/>
      </w:r>
      <w:r>
        <w:rPr>
          <w:rStyle w:val="18"/>
          <w:rFonts w:hint="eastAsia" w:ascii="仿宋" w:hAnsi="仿宋" w:eastAsia="仿宋"/>
          <w:sz w:val="28"/>
          <w:szCs w:val="28"/>
        </w:rPr>
        <w:t>一、</w:t>
      </w:r>
      <w:r>
        <w:rPr>
          <w:rStyle w:val="18"/>
          <w:rFonts w:hint="eastAsia" w:ascii="仿宋" w:hAnsi="仿宋" w:eastAsia="仿宋"/>
          <w:sz w:val="28"/>
          <w:szCs w:val="28"/>
          <w:lang w:eastAsia="zh-CN"/>
        </w:rPr>
        <w:t>部门职责</w:t>
      </w:r>
      <w:r>
        <w:rPr>
          <w:rStyle w:val="18"/>
          <w:rFonts w:hint="eastAsia" w:ascii="仿宋" w:hAnsi="仿宋" w:eastAsia="仿宋"/>
          <w:sz w:val="28"/>
          <w:szCs w:val="28"/>
          <w:lang w:val="en-US" w:eastAsia="zh-CN"/>
        </w:rPr>
        <w:t>...........................................</w:t>
      </w:r>
      <w:r>
        <w:rPr>
          <w:rFonts w:hint="eastAsia" w:ascii="仿宋" w:hAnsi="仿宋" w:eastAsia="仿宋"/>
          <w:sz w:val="28"/>
          <w:szCs w:val="28"/>
        </w:rPr>
        <w:fldChar w:fldCharType="end"/>
      </w:r>
      <w:r>
        <w:rPr>
          <w:rFonts w:hint="eastAsia" w:ascii="仿宋" w:hAnsi="仿宋" w:eastAsia="仿宋"/>
          <w:sz w:val="28"/>
          <w:szCs w:val="28"/>
          <w:lang w:val="en-US" w:eastAsia="zh-CN"/>
        </w:rPr>
        <w:t>4</w:t>
      </w:r>
    </w:p>
    <w:p w14:paraId="1221789F">
      <w:pPr>
        <w:pStyle w:val="13"/>
        <w:ind w:left="0" w:leftChars="0" w:firstLine="420" w:firstLineChars="200"/>
        <w:rPr>
          <w:rFonts w:hint="eastAsia" w:ascii="仿宋" w:hAnsi="仿宋" w:eastAsia="仿宋" w:cstheme="minorBidi"/>
          <w:sz w:val="28"/>
          <w:szCs w:val="28"/>
          <w:lang w:val="en-US" w:eastAsia="zh-CN"/>
        </w:rPr>
      </w:pPr>
      <w:r>
        <w:fldChar w:fldCharType="begin"/>
      </w:r>
      <w:r>
        <w:instrText xml:space="preserve"> HYPERLINK \l "_Toc15396601" </w:instrText>
      </w:r>
      <w:r>
        <w:fldChar w:fldCharType="separate"/>
      </w:r>
      <w:r>
        <w:rPr>
          <w:rStyle w:val="18"/>
          <w:rFonts w:hint="eastAsia" w:ascii="仿宋" w:hAnsi="仿宋" w:eastAsia="仿宋"/>
          <w:sz w:val="28"/>
          <w:szCs w:val="28"/>
        </w:rPr>
        <w:t>二、机构设置</w:t>
      </w:r>
      <w:r>
        <w:rPr>
          <w:rStyle w:val="18"/>
          <w:rFonts w:hint="eastAsia" w:ascii="仿宋" w:hAnsi="仿宋" w:eastAsia="仿宋"/>
          <w:sz w:val="28"/>
          <w:szCs w:val="28"/>
          <w:lang w:val="en-US" w:eastAsia="zh-CN"/>
        </w:rPr>
        <w:t>...........................................</w:t>
      </w:r>
      <w:r>
        <w:rPr>
          <w:rFonts w:ascii="仿宋" w:hAnsi="仿宋" w:eastAsia="仿宋"/>
          <w:sz w:val="28"/>
          <w:szCs w:val="28"/>
        </w:rPr>
        <w:fldChar w:fldCharType="end"/>
      </w:r>
      <w:r>
        <w:rPr>
          <w:rFonts w:hint="eastAsia" w:ascii="仿宋" w:hAnsi="仿宋" w:eastAsia="仿宋"/>
          <w:sz w:val="28"/>
          <w:szCs w:val="28"/>
          <w:lang w:val="en-US" w:eastAsia="zh-CN"/>
        </w:rPr>
        <w:t>5</w:t>
      </w:r>
    </w:p>
    <w:p w14:paraId="160CCD48">
      <w:pPr>
        <w:pStyle w:val="12"/>
        <w:rPr>
          <w:rFonts w:hint="eastAsia" w:eastAsia="仿宋"/>
          <w:lang w:val="en-US" w:eastAsia="zh-CN"/>
        </w:rPr>
      </w:pPr>
      <w:r>
        <w:fldChar w:fldCharType="begin"/>
      </w:r>
      <w:r>
        <w:instrText xml:space="preserve"> HYPERLINK \l "_Toc15396602" </w:instrText>
      </w:r>
      <w:r>
        <w:fldChar w:fldCharType="separate"/>
      </w:r>
      <w:r>
        <w:rPr>
          <w:rStyle w:val="18"/>
          <w:rFonts w:hint="eastAsia"/>
        </w:rPr>
        <w:t>第二部分</w:t>
      </w:r>
      <w:r>
        <w:rPr>
          <w:rStyle w:val="18"/>
        </w:rPr>
        <w:t xml:space="preserve"> 20</w:t>
      </w:r>
      <w:r>
        <w:rPr>
          <w:rStyle w:val="18"/>
          <w:rFonts w:hint="eastAsia"/>
          <w:lang w:val="en-US" w:eastAsia="zh-CN"/>
        </w:rPr>
        <w:t>24</w:t>
      </w:r>
      <w:r>
        <w:rPr>
          <w:rStyle w:val="18"/>
          <w:rFonts w:hint="eastAsia"/>
        </w:rPr>
        <w:t>年度部门决算情况说明</w:t>
      </w:r>
      <w:r>
        <w:rPr>
          <w:rStyle w:val="18"/>
          <w:rFonts w:hint="eastAsia"/>
          <w:lang w:val="en-US" w:eastAsia="zh-CN"/>
        </w:rPr>
        <w:t>........................</w:t>
      </w:r>
      <w:r>
        <w:fldChar w:fldCharType="end"/>
      </w:r>
      <w:r>
        <w:rPr>
          <w:rFonts w:hint="eastAsia"/>
          <w:lang w:val="en-US" w:eastAsia="zh-CN"/>
        </w:rPr>
        <w:t>6</w:t>
      </w:r>
    </w:p>
    <w:p w14:paraId="61AB373A">
      <w:pPr>
        <w:pStyle w:val="13"/>
        <w:rPr>
          <w:rFonts w:hint="eastAsia" w:ascii="仿宋" w:hAnsi="仿宋" w:eastAsia="仿宋" w:cstheme="minorBidi"/>
          <w:sz w:val="28"/>
          <w:szCs w:val="28"/>
          <w:lang w:val="en-US" w:eastAsia="zh-CN"/>
        </w:rPr>
      </w:pPr>
      <w:r>
        <w:fldChar w:fldCharType="begin"/>
      </w:r>
      <w:r>
        <w:instrText xml:space="preserve"> HYPERLINK \l "_Toc15396603" </w:instrText>
      </w:r>
      <w:r>
        <w:fldChar w:fldCharType="separate"/>
      </w:r>
      <w:r>
        <w:rPr>
          <w:rStyle w:val="18"/>
          <w:rFonts w:hint="eastAsia" w:ascii="仿宋" w:hAnsi="仿宋" w:eastAsia="仿宋" w:cstheme="majorBidi"/>
          <w:bCs/>
          <w:sz w:val="28"/>
          <w:szCs w:val="28"/>
        </w:rPr>
        <w:t>一、</w:t>
      </w:r>
      <w:r>
        <w:rPr>
          <w:rStyle w:val="18"/>
          <w:rFonts w:hint="eastAsia" w:ascii="仿宋" w:hAnsi="仿宋" w:eastAsia="仿宋"/>
          <w:sz w:val="28"/>
          <w:szCs w:val="28"/>
        </w:rPr>
        <w:t>收</w:t>
      </w:r>
      <w:r>
        <w:rPr>
          <w:rStyle w:val="18"/>
          <w:rFonts w:hint="eastAsia" w:ascii="仿宋" w:hAnsi="仿宋" w:eastAsia="仿宋" w:cstheme="majorBidi"/>
          <w:bCs/>
          <w:sz w:val="28"/>
          <w:szCs w:val="28"/>
        </w:rPr>
        <w:t>入支出决算总体情况说明</w:t>
      </w:r>
      <w:r>
        <w:rPr>
          <w:rStyle w:val="18"/>
          <w:rFonts w:hint="eastAsia" w:ascii="仿宋" w:hAnsi="仿宋" w:eastAsia="仿宋" w:cstheme="majorBidi"/>
          <w:bCs/>
          <w:sz w:val="28"/>
          <w:szCs w:val="28"/>
          <w:lang w:val="en-US" w:eastAsia="zh-CN"/>
        </w:rPr>
        <w:t>...........................</w:t>
      </w:r>
      <w:r>
        <w:rPr>
          <w:rFonts w:ascii="仿宋" w:hAnsi="仿宋" w:eastAsia="仿宋"/>
          <w:sz w:val="28"/>
          <w:szCs w:val="28"/>
        </w:rPr>
        <w:fldChar w:fldCharType="end"/>
      </w:r>
      <w:r>
        <w:rPr>
          <w:rFonts w:hint="eastAsia" w:ascii="仿宋" w:hAnsi="仿宋" w:eastAsia="仿宋"/>
          <w:sz w:val="28"/>
          <w:szCs w:val="28"/>
          <w:lang w:val="en-US" w:eastAsia="zh-CN"/>
        </w:rPr>
        <w:t>6</w:t>
      </w:r>
    </w:p>
    <w:p w14:paraId="11BC9317">
      <w:pPr>
        <w:pStyle w:val="13"/>
        <w:rPr>
          <w:rFonts w:hint="eastAsia" w:ascii="仿宋" w:hAnsi="仿宋" w:eastAsia="仿宋" w:cstheme="minorBidi"/>
          <w:sz w:val="28"/>
          <w:szCs w:val="28"/>
          <w:lang w:val="en-US" w:eastAsia="zh-CN"/>
        </w:rPr>
      </w:pPr>
      <w:r>
        <w:fldChar w:fldCharType="begin"/>
      </w:r>
      <w:r>
        <w:instrText xml:space="preserve"> HYPERLINK \l "_Toc15396604" </w:instrText>
      </w:r>
      <w:r>
        <w:fldChar w:fldCharType="separate"/>
      </w:r>
      <w:r>
        <w:rPr>
          <w:rStyle w:val="18"/>
          <w:rFonts w:hint="eastAsia" w:ascii="仿宋" w:hAnsi="仿宋" w:eastAsia="仿宋" w:cstheme="majorBidi"/>
          <w:bCs/>
          <w:sz w:val="28"/>
          <w:szCs w:val="28"/>
        </w:rPr>
        <w:t>二、</w:t>
      </w:r>
      <w:r>
        <w:rPr>
          <w:rStyle w:val="18"/>
          <w:rFonts w:hint="eastAsia" w:ascii="仿宋" w:hAnsi="仿宋" w:eastAsia="仿宋"/>
          <w:sz w:val="28"/>
          <w:szCs w:val="28"/>
        </w:rPr>
        <w:t>收</w:t>
      </w:r>
      <w:r>
        <w:rPr>
          <w:rStyle w:val="18"/>
          <w:rFonts w:hint="eastAsia" w:ascii="仿宋" w:hAnsi="仿宋" w:eastAsia="仿宋" w:cstheme="majorBidi"/>
          <w:bCs/>
          <w:sz w:val="28"/>
          <w:szCs w:val="28"/>
        </w:rPr>
        <w:t>入决算情况说明</w:t>
      </w:r>
      <w:r>
        <w:rPr>
          <w:rStyle w:val="18"/>
          <w:rFonts w:hint="eastAsia" w:ascii="仿宋" w:hAnsi="仿宋" w:eastAsia="仿宋" w:cstheme="majorBidi"/>
          <w:bCs/>
          <w:sz w:val="28"/>
          <w:szCs w:val="28"/>
          <w:lang w:val="en-US" w:eastAsia="zh-CN"/>
        </w:rPr>
        <w:t>...................................</w:t>
      </w:r>
      <w:r>
        <w:rPr>
          <w:rFonts w:ascii="仿宋" w:hAnsi="仿宋" w:eastAsia="仿宋"/>
          <w:sz w:val="28"/>
          <w:szCs w:val="28"/>
        </w:rPr>
        <w:fldChar w:fldCharType="end"/>
      </w:r>
      <w:r>
        <w:rPr>
          <w:rFonts w:hint="eastAsia" w:ascii="仿宋" w:hAnsi="仿宋" w:eastAsia="仿宋"/>
          <w:sz w:val="28"/>
          <w:szCs w:val="28"/>
          <w:lang w:val="en-US" w:eastAsia="zh-CN"/>
        </w:rPr>
        <w:t>6</w:t>
      </w:r>
    </w:p>
    <w:p w14:paraId="12C2D3DE">
      <w:pPr>
        <w:pStyle w:val="13"/>
        <w:rPr>
          <w:rFonts w:hint="eastAsia" w:ascii="仿宋" w:hAnsi="仿宋" w:eastAsia="仿宋" w:cstheme="minorBidi"/>
          <w:sz w:val="28"/>
          <w:szCs w:val="28"/>
          <w:lang w:val="en-US" w:eastAsia="zh-CN"/>
        </w:rPr>
      </w:pPr>
      <w:r>
        <w:fldChar w:fldCharType="begin"/>
      </w:r>
      <w:r>
        <w:instrText xml:space="preserve"> HYPERLINK \l "_Toc15396605" </w:instrText>
      </w:r>
      <w:r>
        <w:fldChar w:fldCharType="separate"/>
      </w:r>
      <w:r>
        <w:rPr>
          <w:rStyle w:val="18"/>
          <w:rFonts w:hint="eastAsia" w:ascii="仿宋" w:hAnsi="仿宋" w:eastAsia="仿宋" w:cstheme="majorBidi"/>
          <w:bCs/>
          <w:sz w:val="28"/>
          <w:szCs w:val="28"/>
        </w:rPr>
        <w:t>三、</w:t>
      </w:r>
      <w:r>
        <w:rPr>
          <w:rStyle w:val="18"/>
          <w:rFonts w:hint="eastAsia" w:ascii="仿宋" w:hAnsi="仿宋" w:eastAsia="仿宋"/>
          <w:sz w:val="28"/>
          <w:szCs w:val="28"/>
        </w:rPr>
        <w:t>支</w:t>
      </w:r>
      <w:r>
        <w:rPr>
          <w:rStyle w:val="18"/>
          <w:rFonts w:hint="eastAsia" w:ascii="仿宋" w:hAnsi="仿宋" w:eastAsia="仿宋" w:cstheme="majorBidi"/>
          <w:bCs/>
          <w:sz w:val="28"/>
          <w:szCs w:val="28"/>
        </w:rPr>
        <w:t>出决算情况说明</w:t>
      </w:r>
      <w:r>
        <w:rPr>
          <w:rStyle w:val="18"/>
          <w:rFonts w:hint="eastAsia" w:ascii="仿宋" w:hAnsi="仿宋" w:eastAsia="仿宋" w:cstheme="majorBidi"/>
          <w:bCs/>
          <w:sz w:val="28"/>
          <w:szCs w:val="28"/>
          <w:lang w:val="en-US" w:eastAsia="zh-CN"/>
        </w:rPr>
        <w:t>...................................</w:t>
      </w:r>
      <w:r>
        <w:rPr>
          <w:rFonts w:ascii="仿宋" w:hAnsi="仿宋" w:eastAsia="仿宋"/>
          <w:sz w:val="28"/>
          <w:szCs w:val="28"/>
        </w:rPr>
        <w:fldChar w:fldCharType="end"/>
      </w:r>
      <w:r>
        <w:rPr>
          <w:rFonts w:hint="eastAsia" w:ascii="仿宋" w:hAnsi="仿宋" w:eastAsia="仿宋"/>
          <w:sz w:val="28"/>
          <w:szCs w:val="28"/>
          <w:lang w:val="en-US" w:eastAsia="zh-CN"/>
        </w:rPr>
        <w:t>7</w:t>
      </w:r>
    </w:p>
    <w:p w14:paraId="617292F0">
      <w:pPr>
        <w:pStyle w:val="13"/>
        <w:rPr>
          <w:rFonts w:hint="eastAsia" w:ascii="仿宋" w:hAnsi="仿宋" w:eastAsia="仿宋" w:cstheme="minorBidi"/>
          <w:sz w:val="28"/>
          <w:szCs w:val="28"/>
          <w:lang w:val="en-US" w:eastAsia="zh-CN"/>
        </w:rPr>
      </w:pPr>
      <w:r>
        <w:fldChar w:fldCharType="begin"/>
      </w:r>
      <w:r>
        <w:instrText xml:space="preserve"> HYPERLINK \l "_Toc15396606" </w:instrText>
      </w:r>
      <w:r>
        <w:fldChar w:fldCharType="separate"/>
      </w:r>
      <w:r>
        <w:rPr>
          <w:rStyle w:val="18"/>
          <w:rFonts w:hint="eastAsia" w:ascii="仿宋" w:hAnsi="仿宋" w:eastAsia="仿宋"/>
          <w:sz w:val="28"/>
          <w:szCs w:val="28"/>
        </w:rPr>
        <w:t>四、财</w:t>
      </w:r>
      <w:r>
        <w:rPr>
          <w:rStyle w:val="18"/>
          <w:rFonts w:hint="eastAsia" w:ascii="仿宋" w:hAnsi="仿宋" w:eastAsia="仿宋" w:cstheme="majorBidi"/>
          <w:bCs/>
          <w:sz w:val="28"/>
          <w:szCs w:val="28"/>
        </w:rPr>
        <w:t>政拨款收入支出决算总体情况说明</w:t>
      </w:r>
      <w:r>
        <w:rPr>
          <w:rStyle w:val="18"/>
          <w:rFonts w:hint="eastAsia" w:ascii="仿宋" w:hAnsi="仿宋" w:eastAsia="仿宋" w:cstheme="majorBidi"/>
          <w:bCs/>
          <w:sz w:val="28"/>
          <w:szCs w:val="28"/>
          <w:lang w:val="en-US" w:eastAsia="zh-CN"/>
        </w:rPr>
        <w:t>...................</w:t>
      </w:r>
      <w:r>
        <w:rPr>
          <w:rFonts w:ascii="仿宋" w:hAnsi="仿宋" w:eastAsia="仿宋"/>
          <w:sz w:val="28"/>
          <w:szCs w:val="28"/>
        </w:rPr>
        <w:fldChar w:fldCharType="end"/>
      </w:r>
      <w:r>
        <w:rPr>
          <w:rFonts w:hint="eastAsia" w:ascii="仿宋" w:hAnsi="仿宋" w:eastAsia="仿宋"/>
          <w:sz w:val="28"/>
          <w:szCs w:val="28"/>
          <w:lang w:val="en-US" w:eastAsia="zh-CN"/>
        </w:rPr>
        <w:t>7</w:t>
      </w:r>
    </w:p>
    <w:p w14:paraId="4FDA941B">
      <w:pPr>
        <w:pStyle w:val="13"/>
        <w:rPr>
          <w:rFonts w:hint="eastAsia" w:ascii="仿宋" w:hAnsi="仿宋" w:eastAsia="仿宋"/>
          <w:sz w:val="28"/>
          <w:szCs w:val="28"/>
          <w:lang w:val="en-US" w:eastAsia="zh-CN"/>
        </w:rPr>
      </w:pPr>
      <w:r>
        <w:fldChar w:fldCharType="begin"/>
      </w:r>
      <w:r>
        <w:instrText xml:space="preserve"> HYPERLINK \l "_Toc15396607" </w:instrText>
      </w:r>
      <w:r>
        <w:fldChar w:fldCharType="separate"/>
      </w:r>
      <w:r>
        <w:rPr>
          <w:rStyle w:val="18"/>
          <w:rFonts w:hint="eastAsia" w:ascii="仿宋" w:hAnsi="仿宋" w:eastAsia="仿宋"/>
          <w:sz w:val="28"/>
          <w:szCs w:val="28"/>
        </w:rPr>
        <w:t>五、</w:t>
      </w:r>
      <w:r>
        <w:fldChar w:fldCharType="begin"/>
      </w:r>
      <w:r>
        <w:instrText xml:space="preserve"> HYPERLINK \l "_Toc15396608" </w:instrText>
      </w:r>
      <w:r>
        <w:fldChar w:fldCharType="separate"/>
      </w:r>
      <w:r>
        <w:rPr>
          <w:rStyle w:val="18"/>
          <w:rFonts w:hint="eastAsia" w:ascii="仿宋" w:hAnsi="仿宋" w:eastAsia="仿宋"/>
          <w:sz w:val="28"/>
          <w:szCs w:val="28"/>
        </w:rPr>
        <w:t>一</w:t>
      </w:r>
      <w:r>
        <w:rPr>
          <w:rStyle w:val="18"/>
          <w:rFonts w:hint="eastAsia" w:ascii="仿宋" w:hAnsi="仿宋" w:eastAsia="仿宋" w:cstheme="majorBidi"/>
          <w:bCs/>
          <w:sz w:val="28"/>
          <w:szCs w:val="28"/>
        </w:rPr>
        <w:t>般公共预算财政拨款支出决算情况说明</w:t>
      </w:r>
      <w:r>
        <w:rPr>
          <w:rStyle w:val="18"/>
          <w:rFonts w:hint="eastAsia" w:ascii="仿宋" w:hAnsi="仿宋" w:eastAsia="仿宋" w:cstheme="majorBidi"/>
          <w:bCs/>
          <w:sz w:val="28"/>
          <w:szCs w:val="28"/>
          <w:lang w:val="en-US" w:eastAsia="zh-CN"/>
        </w:rPr>
        <w:t>...............</w:t>
      </w:r>
      <w:r>
        <w:rPr>
          <w:rFonts w:ascii="仿宋" w:hAnsi="仿宋" w:eastAsia="仿宋"/>
          <w:sz w:val="28"/>
          <w:szCs w:val="28"/>
        </w:rPr>
        <w:fldChar w:fldCharType="end"/>
      </w:r>
      <w:r>
        <w:rPr>
          <w:rFonts w:hint="eastAsia" w:ascii="仿宋" w:hAnsi="仿宋" w:eastAsia="仿宋"/>
          <w:sz w:val="28"/>
          <w:szCs w:val="28"/>
          <w:lang w:val="en-US" w:eastAsia="zh-CN"/>
        </w:rPr>
        <w:t>8</w:t>
      </w:r>
    </w:p>
    <w:p w14:paraId="579C8C6C">
      <w:pPr>
        <w:pStyle w:val="13"/>
        <w:rPr>
          <w:rFonts w:hint="eastAsia" w:ascii="仿宋" w:hAnsi="仿宋" w:eastAsia="仿宋" w:cstheme="minorBidi"/>
          <w:sz w:val="28"/>
          <w:szCs w:val="28"/>
          <w:lang w:val="en-US" w:eastAsia="zh-CN"/>
        </w:rPr>
      </w:pPr>
      <w:r>
        <w:fldChar w:fldCharType="begin"/>
      </w:r>
      <w:r>
        <w:instrText xml:space="preserve"> HYPERLINK \l "_Toc15396608" </w:instrText>
      </w:r>
      <w:r>
        <w:fldChar w:fldCharType="separate"/>
      </w:r>
      <w:r>
        <w:rPr>
          <w:rStyle w:val="18"/>
          <w:rFonts w:hint="eastAsia" w:ascii="仿宋" w:hAnsi="仿宋" w:eastAsia="仿宋"/>
          <w:sz w:val="28"/>
          <w:szCs w:val="28"/>
        </w:rPr>
        <w:t>六、一</w:t>
      </w:r>
      <w:r>
        <w:rPr>
          <w:rStyle w:val="18"/>
          <w:rFonts w:hint="eastAsia" w:ascii="仿宋" w:hAnsi="仿宋" w:eastAsia="仿宋" w:cstheme="majorBidi"/>
          <w:bCs/>
          <w:sz w:val="28"/>
          <w:szCs w:val="28"/>
        </w:rPr>
        <w:t>般公共预算财政拨款</w:t>
      </w:r>
      <w:r>
        <w:rPr>
          <w:rStyle w:val="18"/>
          <w:rFonts w:hint="eastAsia" w:ascii="仿宋" w:hAnsi="仿宋" w:eastAsia="仿宋" w:cstheme="majorBidi"/>
          <w:bCs/>
          <w:sz w:val="28"/>
          <w:szCs w:val="28"/>
          <w:lang w:eastAsia="zh-CN"/>
        </w:rPr>
        <w:t>基本</w:t>
      </w:r>
      <w:r>
        <w:rPr>
          <w:rStyle w:val="18"/>
          <w:rFonts w:hint="eastAsia" w:ascii="仿宋" w:hAnsi="仿宋" w:eastAsia="仿宋" w:cstheme="majorBidi"/>
          <w:bCs/>
          <w:sz w:val="28"/>
          <w:szCs w:val="28"/>
        </w:rPr>
        <w:t>支出决算情况说明</w:t>
      </w:r>
      <w:r>
        <w:rPr>
          <w:rStyle w:val="18"/>
          <w:rFonts w:hint="eastAsia" w:ascii="仿宋" w:hAnsi="仿宋" w:eastAsia="仿宋" w:cstheme="majorBidi"/>
          <w:bCs/>
          <w:sz w:val="28"/>
          <w:szCs w:val="28"/>
          <w:lang w:val="en-US" w:eastAsia="zh-CN"/>
        </w:rPr>
        <w:t>..........</w:t>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1</w:t>
      </w:r>
    </w:p>
    <w:p w14:paraId="1931E924">
      <w:pPr>
        <w:pStyle w:val="13"/>
        <w:rPr>
          <w:rFonts w:hint="eastAsia" w:ascii="仿宋" w:hAnsi="仿宋" w:eastAsia="仿宋" w:cstheme="minorBidi"/>
          <w:sz w:val="28"/>
          <w:szCs w:val="28"/>
          <w:lang w:val="en-US" w:eastAsia="zh-CN"/>
        </w:rPr>
      </w:pPr>
      <w:r>
        <w:rPr>
          <w:rFonts w:ascii="仿宋" w:hAnsi="仿宋" w:eastAsia="仿宋"/>
          <w:sz w:val="28"/>
          <w:szCs w:val="28"/>
        </w:rPr>
        <w:fldChar w:fldCharType="end"/>
      </w:r>
      <w:r>
        <w:fldChar w:fldCharType="begin"/>
      </w:r>
      <w:r>
        <w:instrText xml:space="preserve"> HYPERLINK \l "_Toc15396609" </w:instrText>
      </w:r>
      <w:r>
        <w:fldChar w:fldCharType="separate"/>
      </w:r>
      <w:r>
        <w:rPr>
          <w:rStyle w:val="18"/>
          <w:rFonts w:hint="eastAsia" w:ascii="仿宋" w:hAnsi="仿宋" w:eastAsia="仿宋"/>
          <w:sz w:val="28"/>
          <w:szCs w:val="28"/>
        </w:rPr>
        <w:t>七、</w:t>
      </w:r>
      <w:r>
        <w:rPr>
          <w:rStyle w:val="18"/>
          <w:rFonts w:hint="eastAsia" w:ascii="仿宋" w:hAnsi="仿宋" w:eastAsia="仿宋" w:cstheme="majorBidi"/>
          <w:bCs/>
          <w:sz w:val="28"/>
          <w:szCs w:val="28"/>
        </w:rPr>
        <w:t>财政拨款</w:t>
      </w:r>
      <w:r>
        <w:rPr>
          <w:rStyle w:val="18"/>
          <w:rFonts w:ascii="仿宋" w:hAnsi="仿宋" w:eastAsia="仿宋"/>
          <w:sz w:val="28"/>
          <w:szCs w:val="28"/>
        </w:rPr>
        <w:t>“</w:t>
      </w:r>
      <w:r>
        <w:rPr>
          <w:rStyle w:val="18"/>
          <w:rFonts w:hint="eastAsia" w:ascii="仿宋" w:hAnsi="仿宋" w:eastAsia="仿宋" w:cstheme="majorBidi"/>
          <w:bCs/>
          <w:sz w:val="28"/>
          <w:szCs w:val="28"/>
        </w:rPr>
        <w:t>三公”经费支出决算情况说明</w:t>
      </w:r>
      <w:r>
        <w:rPr>
          <w:rStyle w:val="18"/>
          <w:rFonts w:hint="eastAsia" w:ascii="仿宋" w:hAnsi="仿宋" w:eastAsia="仿宋" w:cstheme="majorBidi"/>
          <w:bCs/>
          <w:sz w:val="28"/>
          <w:szCs w:val="28"/>
          <w:lang w:val="en-US" w:eastAsia="zh-CN"/>
        </w:rPr>
        <w:t>..............</w:t>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1</w:t>
      </w:r>
    </w:p>
    <w:p w14:paraId="4812BE33">
      <w:pPr>
        <w:pStyle w:val="13"/>
        <w:rPr>
          <w:rFonts w:hint="eastAsia" w:ascii="仿宋" w:hAnsi="仿宋" w:eastAsia="仿宋" w:cstheme="minorBidi"/>
          <w:sz w:val="28"/>
          <w:szCs w:val="28"/>
          <w:lang w:val="en-US" w:eastAsia="zh-CN"/>
        </w:rPr>
      </w:pPr>
      <w:r>
        <w:fldChar w:fldCharType="begin"/>
      </w:r>
      <w:r>
        <w:instrText xml:space="preserve"> HYPERLINK \l "_Toc15396610" </w:instrText>
      </w:r>
      <w:r>
        <w:fldChar w:fldCharType="separate"/>
      </w:r>
      <w:r>
        <w:rPr>
          <w:rStyle w:val="18"/>
          <w:rFonts w:hint="eastAsia" w:ascii="仿宋" w:hAnsi="仿宋" w:eastAsia="仿宋"/>
          <w:sz w:val="28"/>
          <w:szCs w:val="28"/>
        </w:rPr>
        <w:t>八、</w:t>
      </w:r>
      <w:r>
        <w:rPr>
          <w:rStyle w:val="18"/>
          <w:rFonts w:hint="eastAsia" w:ascii="仿宋" w:hAnsi="仿宋" w:eastAsia="仿宋" w:cstheme="majorBidi"/>
          <w:bCs/>
          <w:sz w:val="28"/>
          <w:szCs w:val="28"/>
        </w:rPr>
        <w:t>政府性基金预算支出决算情况说明</w:t>
      </w:r>
      <w:r>
        <w:rPr>
          <w:rStyle w:val="18"/>
          <w:rFonts w:hint="eastAsia" w:ascii="仿宋" w:hAnsi="仿宋" w:eastAsia="仿宋" w:cstheme="majorBidi"/>
          <w:bCs/>
          <w:sz w:val="28"/>
          <w:szCs w:val="28"/>
          <w:lang w:val="en-US" w:eastAsia="zh-CN"/>
        </w:rPr>
        <w:t>....................</w:t>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4</w:t>
      </w:r>
    </w:p>
    <w:p w14:paraId="5B006A76">
      <w:pPr>
        <w:pStyle w:val="13"/>
        <w:rPr>
          <w:rFonts w:hint="eastAsia" w:ascii="仿宋" w:hAnsi="仿宋" w:eastAsia="仿宋"/>
          <w:sz w:val="28"/>
          <w:szCs w:val="28"/>
          <w:lang w:val="en-US" w:eastAsia="zh-CN"/>
        </w:rPr>
      </w:pPr>
      <w:r>
        <w:fldChar w:fldCharType="begin"/>
      </w:r>
      <w:r>
        <w:instrText xml:space="preserve"> HYPERLINK \l "_Toc15396611" </w:instrText>
      </w:r>
      <w:r>
        <w:fldChar w:fldCharType="separate"/>
      </w:r>
      <w:r>
        <w:rPr>
          <w:rStyle w:val="18"/>
          <w:rFonts w:hint="eastAsia" w:ascii="仿宋" w:hAnsi="仿宋" w:eastAsia="仿宋" w:cstheme="majorBidi"/>
          <w:bCs/>
          <w:sz w:val="28"/>
          <w:szCs w:val="28"/>
        </w:rPr>
        <w:t>九、</w:t>
      </w:r>
      <w:r>
        <w:rPr>
          <w:rStyle w:val="18"/>
          <w:rFonts w:hint="eastAsia" w:ascii="仿宋" w:hAnsi="仿宋" w:eastAsia="仿宋"/>
          <w:sz w:val="28"/>
          <w:szCs w:val="28"/>
        </w:rPr>
        <w:t>国</w:t>
      </w:r>
      <w:r>
        <w:rPr>
          <w:rStyle w:val="18"/>
          <w:rFonts w:hint="eastAsia" w:ascii="仿宋" w:hAnsi="仿宋" w:eastAsia="仿宋" w:cstheme="majorBidi"/>
          <w:bCs/>
          <w:sz w:val="28"/>
          <w:szCs w:val="28"/>
        </w:rPr>
        <w:t>有资本经营预算支出决算情况说明</w:t>
      </w:r>
      <w:r>
        <w:rPr>
          <w:rStyle w:val="18"/>
          <w:rFonts w:hint="eastAsia" w:ascii="仿宋" w:hAnsi="仿宋" w:eastAsia="仿宋" w:cstheme="majorBidi"/>
          <w:bCs/>
          <w:sz w:val="28"/>
          <w:szCs w:val="28"/>
          <w:lang w:val="en-US" w:eastAsia="zh-CN"/>
        </w:rPr>
        <w:t>..................</w:t>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4</w:t>
      </w:r>
    </w:p>
    <w:p w14:paraId="2C3F2576">
      <w:pPr>
        <w:pStyle w:val="13"/>
        <w:rPr>
          <w:rFonts w:hint="eastAsia" w:ascii="仿宋" w:hAnsi="仿宋" w:eastAsia="仿宋" w:cstheme="minorBidi"/>
          <w:sz w:val="28"/>
          <w:szCs w:val="28"/>
          <w:lang w:val="en-US" w:eastAsia="zh-CN"/>
        </w:rPr>
      </w:pPr>
      <w:r>
        <w:fldChar w:fldCharType="begin"/>
      </w:r>
      <w:r>
        <w:instrText xml:space="preserve"> HYPERLINK \l "_Toc15396612" </w:instrText>
      </w:r>
      <w:r>
        <w:fldChar w:fldCharType="separate"/>
      </w:r>
      <w:r>
        <w:rPr>
          <w:rStyle w:val="18"/>
          <w:rFonts w:hint="eastAsia" w:ascii="仿宋" w:hAnsi="仿宋" w:eastAsia="仿宋"/>
          <w:sz w:val="28"/>
          <w:szCs w:val="28"/>
        </w:rPr>
        <w:t>十</w:t>
      </w:r>
      <w:r>
        <w:rPr>
          <w:rStyle w:val="18"/>
          <w:rFonts w:hint="eastAsia" w:ascii="仿宋" w:hAnsi="仿宋" w:eastAsia="仿宋" w:cstheme="majorBidi"/>
          <w:bCs/>
          <w:sz w:val="28"/>
          <w:szCs w:val="28"/>
        </w:rPr>
        <w:t>、其他重要事项的情况说明</w:t>
      </w:r>
      <w:r>
        <w:rPr>
          <w:rStyle w:val="18"/>
          <w:rFonts w:hint="eastAsia" w:ascii="仿宋" w:hAnsi="仿宋" w:eastAsia="仿宋" w:cstheme="majorBidi"/>
          <w:bCs/>
          <w:sz w:val="28"/>
          <w:szCs w:val="28"/>
          <w:lang w:val="en-US" w:eastAsia="zh-CN"/>
        </w:rPr>
        <w:t>............................</w:t>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4</w:t>
      </w:r>
    </w:p>
    <w:p w14:paraId="63FEB9F3">
      <w:pPr>
        <w:pStyle w:val="12"/>
        <w:rPr>
          <w:rFonts w:hint="eastAsia" w:eastAsia="仿宋"/>
          <w:lang w:val="en-US" w:eastAsia="zh-CN"/>
        </w:rPr>
      </w:pPr>
      <w:r>
        <w:fldChar w:fldCharType="begin"/>
      </w:r>
      <w:r>
        <w:instrText xml:space="preserve"> HYPERLINK \l "_Toc15396613" </w:instrText>
      </w:r>
      <w:r>
        <w:fldChar w:fldCharType="separate"/>
      </w:r>
      <w:r>
        <w:rPr>
          <w:rStyle w:val="18"/>
          <w:rFonts w:hint="eastAsia"/>
          <w:bCs/>
          <w:kern w:val="44"/>
        </w:rPr>
        <w:t>第三部分</w:t>
      </w:r>
      <w:r>
        <w:rPr>
          <w:rStyle w:val="18"/>
          <w:rFonts w:hint="eastAsia"/>
        </w:rPr>
        <w:t xml:space="preserve"> 名</w:t>
      </w:r>
      <w:r>
        <w:rPr>
          <w:rStyle w:val="18"/>
          <w:rFonts w:hint="eastAsia"/>
          <w:bCs/>
          <w:kern w:val="44"/>
        </w:rPr>
        <w:t>词解释</w:t>
      </w:r>
      <w:r>
        <w:rPr>
          <w:rStyle w:val="18"/>
          <w:rFonts w:hint="eastAsia"/>
          <w:bCs/>
          <w:kern w:val="44"/>
          <w:lang w:val="en-US" w:eastAsia="zh-CN"/>
        </w:rPr>
        <w:t>........................................</w:t>
      </w:r>
      <w:r>
        <w:rPr>
          <w:rFonts w:hint="eastAsia"/>
          <w:lang w:val="en-US" w:eastAsia="zh-CN"/>
        </w:rPr>
        <w:t>1</w:t>
      </w:r>
      <w:r>
        <w:fldChar w:fldCharType="end"/>
      </w:r>
      <w:r>
        <w:rPr>
          <w:rFonts w:hint="eastAsia"/>
          <w:lang w:val="en-US" w:eastAsia="zh-CN"/>
        </w:rPr>
        <w:t>9</w:t>
      </w:r>
      <w:r>
        <w:fldChar w:fldCharType="begin"/>
      </w:r>
      <w:r>
        <w:instrText xml:space="preserve"> HYPERLINK \l "_Toc15396614" </w:instrText>
      </w:r>
      <w:r>
        <w:fldChar w:fldCharType="separate"/>
      </w:r>
      <w:r>
        <w:rPr>
          <w:rStyle w:val="18"/>
          <w:rFonts w:hint="eastAsia"/>
        </w:rPr>
        <w:t>第</w:t>
      </w:r>
      <w:r>
        <w:rPr>
          <w:rStyle w:val="18"/>
          <w:rFonts w:hint="eastAsia"/>
          <w:bCs/>
          <w:kern w:val="44"/>
        </w:rPr>
        <w:t>四部分</w:t>
      </w:r>
      <w:r>
        <w:rPr>
          <w:rStyle w:val="18"/>
          <w:bCs/>
          <w:kern w:val="44"/>
        </w:rPr>
        <w:t xml:space="preserve"> </w:t>
      </w:r>
      <w:r>
        <w:rPr>
          <w:rStyle w:val="18"/>
          <w:rFonts w:hint="eastAsia"/>
          <w:bCs/>
          <w:kern w:val="44"/>
        </w:rPr>
        <w:t>附件</w:t>
      </w:r>
      <w:r>
        <w:rPr>
          <w:rStyle w:val="18"/>
          <w:rFonts w:hint="eastAsia"/>
          <w:bCs/>
          <w:kern w:val="44"/>
          <w:lang w:val="en-US" w:eastAsia="zh-CN"/>
        </w:rPr>
        <w:t>............................................</w:t>
      </w:r>
      <w:r>
        <w:rPr>
          <w:rFonts w:hint="eastAsia"/>
          <w:lang w:val="en-US" w:eastAsia="zh-CN"/>
        </w:rPr>
        <w:t>2</w:t>
      </w:r>
      <w:r>
        <w:fldChar w:fldCharType="end"/>
      </w:r>
      <w:r>
        <w:rPr>
          <w:rFonts w:hint="eastAsia"/>
          <w:lang w:val="en-US" w:eastAsia="zh-CN"/>
        </w:rPr>
        <w:t>4</w:t>
      </w:r>
    </w:p>
    <w:p w14:paraId="11ED8F14">
      <w:pPr>
        <w:pStyle w:val="12"/>
        <w:jc w:val="both"/>
        <w:rPr>
          <w:rFonts w:hint="default" w:eastAsia="仿宋" w:cstheme="minorBidi"/>
          <w:lang w:val="en-US" w:eastAsia="zh-CN"/>
        </w:rPr>
      </w:pPr>
      <w:r>
        <w:fldChar w:fldCharType="begin"/>
      </w:r>
      <w:r>
        <w:instrText xml:space="preserve"> HYPERLINK \l "_Toc15396618" </w:instrText>
      </w:r>
      <w:r>
        <w:fldChar w:fldCharType="separate"/>
      </w:r>
      <w:r>
        <w:rPr>
          <w:rStyle w:val="18"/>
          <w:rFonts w:hint="eastAsia"/>
        </w:rPr>
        <w:t>第</w:t>
      </w:r>
      <w:r>
        <w:rPr>
          <w:rStyle w:val="18"/>
          <w:rFonts w:hint="eastAsia"/>
          <w:bCs/>
          <w:kern w:val="44"/>
        </w:rPr>
        <w:t>五部分附表</w:t>
      </w:r>
      <w:r>
        <w:rPr>
          <w:rStyle w:val="18"/>
          <w:rFonts w:hint="eastAsia"/>
          <w:bCs/>
          <w:kern w:val="44"/>
          <w:lang w:val="en-US" w:eastAsia="zh-CN"/>
        </w:rPr>
        <w:t>............................................</w:t>
      </w:r>
      <w:r>
        <w:rPr>
          <w:rFonts w:hint="eastAsia"/>
        </w:rPr>
        <w:fldChar w:fldCharType="end"/>
      </w:r>
      <w:r>
        <w:rPr>
          <w:rStyle w:val="18"/>
          <w:rFonts w:hint="eastAsia"/>
          <w:bCs/>
          <w:kern w:val="44"/>
          <w:lang w:val="en-US" w:eastAsia="zh-CN"/>
        </w:rPr>
        <w:t>.72</w:t>
      </w:r>
    </w:p>
    <w:p w14:paraId="6BA2505E">
      <w:pPr>
        <w:pStyle w:val="13"/>
        <w:rPr>
          <w:rFonts w:hint="eastAsia" w:ascii="仿宋" w:hAnsi="仿宋" w:eastAsia="仿宋" w:cstheme="minorBidi"/>
          <w:sz w:val="28"/>
          <w:szCs w:val="28"/>
          <w:lang w:val="en-US" w:eastAsia="zh-CN"/>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8"/>
          <w:rFonts w:hint="eastAsia" w:ascii="仿宋" w:hAnsi="仿宋" w:eastAsia="仿宋"/>
          <w:sz w:val="28"/>
          <w:szCs w:val="28"/>
        </w:rPr>
        <w:t>收入支出决算总表</w:t>
      </w:r>
      <w:r>
        <w:rPr>
          <w:rStyle w:val="18"/>
          <w:rFonts w:hint="eastAsia" w:ascii="仿宋" w:hAnsi="仿宋" w:eastAsia="仿宋"/>
          <w:sz w:val="28"/>
          <w:szCs w:val="28"/>
          <w:lang w:val="en-US" w:eastAsia="zh-CN"/>
        </w:rPr>
        <w:t>..................................72</w:t>
      </w:r>
      <w:r>
        <w:rPr>
          <w:rFonts w:ascii="仿宋" w:hAnsi="仿宋" w:eastAsia="仿宋"/>
          <w:sz w:val="28"/>
          <w:szCs w:val="28"/>
        </w:rPr>
        <w:fldChar w:fldCharType="end"/>
      </w:r>
    </w:p>
    <w:p w14:paraId="27242ACC">
      <w:pPr>
        <w:pStyle w:val="13"/>
        <w:rPr>
          <w:rFonts w:hint="default" w:ascii="仿宋" w:hAnsi="仿宋" w:eastAsia="仿宋" w:cstheme="minorBidi"/>
          <w:sz w:val="28"/>
          <w:szCs w:val="28"/>
          <w:lang w:val="en-US" w:eastAsia="zh-CN"/>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8"/>
          <w:rFonts w:hint="eastAsia" w:ascii="仿宋" w:hAnsi="仿宋" w:eastAsia="仿宋"/>
          <w:sz w:val="28"/>
          <w:szCs w:val="28"/>
        </w:rPr>
        <w:t>收入</w:t>
      </w:r>
      <w:r>
        <w:rPr>
          <w:rStyle w:val="18"/>
          <w:rFonts w:hint="eastAsia" w:ascii="仿宋" w:hAnsi="仿宋" w:eastAsia="仿宋"/>
          <w:sz w:val="28"/>
          <w:szCs w:val="28"/>
          <w:lang w:eastAsia="zh-CN"/>
        </w:rPr>
        <w:t>决算</w:t>
      </w:r>
      <w:r>
        <w:rPr>
          <w:rStyle w:val="18"/>
          <w:rFonts w:hint="eastAsia" w:ascii="仿宋" w:hAnsi="仿宋" w:eastAsia="仿宋"/>
          <w:sz w:val="28"/>
          <w:szCs w:val="28"/>
        </w:rPr>
        <w:t>表</w:t>
      </w:r>
      <w:r>
        <w:rPr>
          <w:rStyle w:val="18"/>
          <w:rFonts w:hint="eastAsia" w:ascii="仿宋" w:hAnsi="仿宋" w:eastAsia="仿宋"/>
          <w:sz w:val="28"/>
          <w:szCs w:val="28"/>
          <w:lang w:val="en-US" w:eastAsia="zh-CN"/>
        </w:rPr>
        <w:t>........................................</w:t>
      </w:r>
      <w:r>
        <w:rPr>
          <w:rFonts w:ascii="仿宋" w:hAnsi="仿宋" w:eastAsia="仿宋"/>
          <w:sz w:val="28"/>
          <w:szCs w:val="28"/>
        </w:rPr>
        <w:fldChar w:fldCharType="end"/>
      </w:r>
      <w:r>
        <w:rPr>
          <w:rFonts w:hint="eastAsia" w:ascii="仿宋" w:hAnsi="仿宋" w:eastAsia="仿宋"/>
          <w:sz w:val="28"/>
          <w:szCs w:val="28"/>
          <w:lang w:val="en-US" w:eastAsia="zh-CN"/>
        </w:rPr>
        <w:t>72</w:t>
      </w:r>
    </w:p>
    <w:p w14:paraId="35523D3C">
      <w:pPr>
        <w:pStyle w:val="13"/>
        <w:rPr>
          <w:rFonts w:hint="default" w:ascii="仿宋" w:hAnsi="仿宋" w:eastAsia="仿宋" w:cstheme="minorBidi"/>
          <w:sz w:val="28"/>
          <w:szCs w:val="28"/>
          <w:lang w:val="en-US" w:eastAsia="zh-CN"/>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8"/>
          <w:rFonts w:hint="eastAsia" w:ascii="仿宋" w:hAnsi="仿宋" w:eastAsia="仿宋"/>
          <w:sz w:val="28"/>
          <w:szCs w:val="28"/>
        </w:rPr>
        <w:t>支出</w:t>
      </w:r>
      <w:r>
        <w:rPr>
          <w:rStyle w:val="18"/>
          <w:rFonts w:hint="eastAsia" w:ascii="仿宋" w:hAnsi="仿宋" w:eastAsia="仿宋"/>
          <w:sz w:val="28"/>
          <w:szCs w:val="28"/>
          <w:lang w:eastAsia="zh-CN"/>
        </w:rPr>
        <w:t>决算</w:t>
      </w:r>
      <w:r>
        <w:rPr>
          <w:rStyle w:val="18"/>
          <w:rFonts w:hint="eastAsia" w:ascii="仿宋" w:hAnsi="仿宋" w:eastAsia="仿宋"/>
          <w:sz w:val="28"/>
          <w:szCs w:val="28"/>
        </w:rPr>
        <w:t>表</w:t>
      </w:r>
      <w:r>
        <w:rPr>
          <w:rStyle w:val="18"/>
          <w:rFonts w:hint="eastAsia" w:ascii="仿宋" w:hAnsi="仿宋" w:eastAsia="仿宋"/>
          <w:sz w:val="28"/>
          <w:szCs w:val="28"/>
          <w:lang w:val="en-US" w:eastAsia="zh-CN"/>
        </w:rPr>
        <w:t>........................................</w:t>
      </w:r>
      <w:r>
        <w:rPr>
          <w:rFonts w:ascii="仿宋" w:hAnsi="仿宋" w:eastAsia="仿宋"/>
          <w:sz w:val="28"/>
          <w:szCs w:val="28"/>
        </w:rPr>
        <w:fldChar w:fldCharType="end"/>
      </w:r>
      <w:r>
        <w:rPr>
          <w:rFonts w:hint="eastAsia" w:ascii="仿宋" w:hAnsi="仿宋" w:eastAsia="仿宋"/>
          <w:sz w:val="28"/>
          <w:szCs w:val="28"/>
          <w:lang w:val="en-US" w:eastAsia="zh-CN"/>
        </w:rPr>
        <w:t>72</w:t>
      </w:r>
    </w:p>
    <w:p w14:paraId="3020A037">
      <w:pPr>
        <w:pStyle w:val="13"/>
        <w:rPr>
          <w:rFonts w:hint="default" w:ascii="仿宋" w:hAnsi="仿宋" w:eastAsia="仿宋" w:cstheme="minorBidi"/>
          <w:sz w:val="28"/>
          <w:szCs w:val="28"/>
          <w:lang w:val="en-US" w:eastAsia="zh-CN"/>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8"/>
          <w:rFonts w:hint="eastAsia" w:ascii="仿宋" w:hAnsi="仿宋" w:eastAsia="仿宋"/>
          <w:sz w:val="28"/>
          <w:szCs w:val="28"/>
        </w:rPr>
        <w:t>财政拨款收入支出决算总表</w:t>
      </w:r>
      <w:r>
        <w:rPr>
          <w:rStyle w:val="18"/>
          <w:rFonts w:hint="eastAsia" w:ascii="仿宋" w:hAnsi="仿宋" w:eastAsia="仿宋"/>
          <w:sz w:val="28"/>
          <w:szCs w:val="28"/>
          <w:lang w:val="en-US" w:eastAsia="zh-CN"/>
        </w:rPr>
        <w:t>..........................</w:t>
      </w:r>
      <w:r>
        <w:rPr>
          <w:rFonts w:ascii="仿宋" w:hAnsi="仿宋" w:eastAsia="仿宋"/>
          <w:sz w:val="28"/>
          <w:szCs w:val="28"/>
        </w:rPr>
        <w:fldChar w:fldCharType="end"/>
      </w:r>
      <w:r>
        <w:rPr>
          <w:rFonts w:hint="eastAsia" w:ascii="仿宋" w:hAnsi="仿宋" w:eastAsia="仿宋"/>
          <w:sz w:val="28"/>
          <w:szCs w:val="28"/>
          <w:lang w:val="en-US" w:eastAsia="zh-CN"/>
        </w:rPr>
        <w:t>72</w:t>
      </w:r>
    </w:p>
    <w:p w14:paraId="4B22DFA2">
      <w:pPr>
        <w:pStyle w:val="13"/>
        <w:rPr>
          <w:rFonts w:hint="default" w:ascii="仿宋" w:hAnsi="仿宋" w:eastAsia="仿宋" w:cstheme="minorBidi"/>
          <w:sz w:val="28"/>
          <w:szCs w:val="28"/>
          <w:lang w:val="en-US" w:eastAsia="zh-CN"/>
        </w:rPr>
      </w:pPr>
      <w:r>
        <w:rPr>
          <w:rFonts w:hint="eastAsia" w:ascii="仿宋" w:hAnsi="仿宋" w:eastAsia="仿宋"/>
          <w:sz w:val="28"/>
          <w:szCs w:val="28"/>
          <w:lang w:eastAsia="zh-CN"/>
        </w:rPr>
        <w:t>五</w:t>
      </w:r>
      <w:r>
        <w:rPr>
          <w:rFonts w:hint="eastAsia" w:ascii="仿宋" w:hAnsi="仿宋" w:eastAsia="仿宋"/>
          <w:sz w:val="28"/>
          <w:szCs w:val="28"/>
        </w:rPr>
        <w:t>、</w:t>
      </w:r>
      <w:r>
        <w:fldChar w:fldCharType="begin"/>
      </w:r>
      <w:r>
        <w:instrText xml:space="preserve"> HYPERLINK \l "_Toc15396624" </w:instrText>
      </w:r>
      <w:r>
        <w:fldChar w:fldCharType="separate"/>
      </w:r>
      <w:r>
        <w:rPr>
          <w:rStyle w:val="18"/>
          <w:rFonts w:hint="eastAsia" w:ascii="仿宋" w:hAnsi="仿宋" w:eastAsia="仿宋"/>
          <w:sz w:val="28"/>
          <w:szCs w:val="28"/>
        </w:rPr>
        <w:t>财政拨款支出决算</w:t>
      </w:r>
      <w:r>
        <w:rPr>
          <w:rStyle w:val="18"/>
          <w:rFonts w:hint="eastAsia" w:ascii="仿宋" w:hAnsi="仿宋" w:eastAsia="仿宋"/>
          <w:sz w:val="28"/>
          <w:szCs w:val="28"/>
          <w:lang w:eastAsia="zh-CN"/>
        </w:rPr>
        <w:t>明细</w:t>
      </w:r>
      <w:r>
        <w:rPr>
          <w:rStyle w:val="18"/>
          <w:rFonts w:hint="eastAsia" w:ascii="仿宋" w:hAnsi="仿宋" w:eastAsia="仿宋"/>
          <w:sz w:val="28"/>
          <w:szCs w:val="28"/>
        </w:rPr>
        <w:t>表</w:t>
      </w:r>
      <w:r>
        <w:rPr>
          <w:rStyle w:val="18"/>
          <w:rFonts w:hint="eastAsia" w:ascii="仿宋" w:hAnsi="仿宋" w:eastAsia="仿宋"/>
          <w:sz w:val="28"/>
          <w:szCs w:val="28"/>
          <w:lang w:val="en-US" w:eastAsia="zh-CN"/>
        </w:rPr>
        <w:t>............................</w:t>
      </w:r>
      <w:r>
        <w:rPr>
          <w:rFonts w:ascii="仿宋" w:hAnsi="仿宋" w:eastAsia="仿宋"/>
          <w:sz w:val="28"/>
          <w:szCs w:val="28"/>
        </w:rPr>
        <w:fldChar w:fldCharType="end"/>
      </w:r>
      <w:r>
        <w:rPr>
          <w:rFonts w:hint="eastAsia" w:ascii="仿宋" w:hAnsi="仿宋" w:eastAsia="仿宋"/>
          <w:sz w:val="28"/>
          <w:szCs w:val="28"/>
          <w:lang w:val="en-US" w:eastAsia="zh-CN"/>
        </w:rPr>
        <w:t>72</w:t>
      </w:r>
    </w:p>
    <w:p w14:paraId="6D63AE53">
      <w:pPr>
        <w:pStyle w:val="13"/>
        <w:rPr>
          <w:rStyle w:val="18"/>
          <w:rFonts w:hint="default" w:ascii="仿宋" w:hAnsi="仿宋" w:eastAsia="仿宋" w:cs="Times New Roman"/>
          <w:kern w:val="2"/>
          <w:sz w:val="28"/>
          <w:szCs w:val="28"/>
          <w:lang w:val="en-US" w:eastAsia="zh-CN" w:bidi="ar-SA"/>
        </w:rPr>
      </w:pPr>
      <w:r>
        <w:rPr>
          <w:rFonts w:hint="eastAsia" w:ascii="仿宋" w:hAnsi="仿宋" w:eastAsia="仿宋"/>
          <w:sz w:val="28"/>
          <w:szCs w:val="28"/>
          <w:lang w:eastAsia="zh-CN"/>
        </w:rPr>
        <w:t>六</w:t>
      </w:r>
      <w:r>
        <w:rPr>
          <w:rFonts w:hint="eastAsia" w:ascii="仿宋" w:hAnsi="仿宋" w:eastAsia="仿宋"/>
          <w:sz w:val="28"/>
          <w:szCs w:val="28"/>
        </w:rPr>
        <w:t>、</w:t>
      </w:r>
      <w:r>
        <w:fldChar w:fldCharType="begin"/>
      </w:r>
      <w:r>
        <w:instrText xml:space="preserve"> HYPERLINK \l "_Toc15396626" </w:instrText>
      </w:r>
      <w:r>
        <w:fldChar w:fldCharType="separate"/>
      </w:r>
      <w:r>
        <w:rPr>
          <w:rStyle w:val="18"/>
          <w:rFonts w:hint="eastAsia" w:ascii="仿宋" w:hAnsi="仿宋" w:eastAsia="仿宋"/>
          <w:sz w:val="28"/>
          <w:szCs w:val="28"/>
        </w:rPr>
        <w:t>一般公共预算财政拨款支出决算表</w:t>
      </w:r>
      <w:r>
        <w:rPr>
          <w:rStyle w:val="18"/>
          <w:rFonts w:hint="eastAsia" w:ascii="仿宋" w:hAnsi="仿宋" w:eastAsia="仿宋"/>
          <w:sz w:val="28"/>
          <w:szCs w:val="28"/>
          <w:lang w:val="en-US" w:eastAsia="zh-CN"/>
        </w:rPr>
        <w:t>...................</w:t>
      </w:r>
      <w:r>
        <w:rPr>
          <w:rFonts w:ascii="仿宋" w:hAnsi="仿宋" w:eastAsia="仿宋"/>
          <w:sz w:val="28"/>
          <w:szCs w:val="28"/>
        </w:rPr>
        <w:fldChar w:fldCharType="end"/>
      </w:r>
      <w:r>
        <w:rPr>
          <w:rStyle w:val="18"/>
          <w:rFonts w:hint="eastAsia" w:ascii="仿宋" w:hAnsi="仿宋" w:eastAsia="仿宋"/>
          <w:sz w:val="28"/>
          <w:szCs w:val="28"/>
          <w:lang w:val="en-US" w:eastAsia="zh-CN"/>
        </w:rPr>
        <w:t>.</w:t>
      </w:r>
      <w:r>
        <w:rPr>
          <w:rFonts w:hint="eastAsia" w:ascii="仿宋" w:hAnsi="仿宋" w:eastAsia="仿宋"/>
          <w:sz w:val="28"/>
          <w:szCs w:val="28"/>
          <w:lang w:val="en-US" w:eastAsia="zh-CN"/>
        </w:rPr>
        <w:t>72</w:t>
      </w:r>
      <w:r>
        <w:rPr>
          <w:rStyle w:val="18"/>
          <w:rFonts w:hint="eastAsia" w:ascii="仿宋" w:hAnsi="仿宋" w:eastAsia="仿宋" w:cs="Times New Roman"/>
          <w:kern w:val="2"/>
          <w:sz w:val="28"/>
          <w:szCs w:val="28"/>
          <w:lang w:val="en-US" w:eastAsia="zh-CN" w:bidi="ar-SA"/>
        </w:rPr>
        <w:t>七、</w:t>
      </w:r>
      <w:r>
        <w:rPr>
          <w:rStyle w:val="18"/>
          <w:rFonts w:hint="eastAsia" w:ascii="仿宋" w:hAnsi="仿宋" w:eastAsia="仿宋" w:cs="Times New Roman"/>
          <w:kern w:val="2"/>
          <w:sz w:val="28"/>
          <w:szCs w:val="28"/>
          <w:lang w:val="en-US" w:eastAsia="zh-CN" w:bidi="ar-SA"/>
        </w:rPr>
        <w:fldChar w:fldCharType="begin"/>
      </w:r>
      <w:r>
        <w:rPr>
          <w:rStyle w:val="18"/>
          <w:rFonts w:hint="eastAsia" w:ascii="仿宋" w:hAnsi="仿宋" w:eastAsia="仿宋" w:cs="Times New Roman"/>
          <w:kern w:val="2"/>
          <w:sz w:val="28"/>
          <w:szCs w:val="28"/>
          <w:lang w:val="en-US" w:eastAsia="zh-CN" w:bidi="ar-SA"/>
        </w:rPr>
        <w:instrText xml:space="preserve"> HYPERLINK \l "_Toc15396628" </w:instrText>
      </w:r>
      <w:r>
        <w:rPr>
          <w:rStyle w:val="18"/>
          <w:rFonts w:hint="eastAsia" w:ascii="仿宋" w:hAnsi="仿宋" w:eastAsia="仿宋" w:cs="Times New Roman"/>
          <w:kern w:val="2"/>
          <w:sz w:val="28"/>
          <w:szCs w:val="28"/>
          <w:lang w:val="en-US" w:eastAsia="zh-CN" w:bidi="ar-SA"/>
        </w:rPr>
        <w:fldChar w:fldCharType="separate"/>
      </w:r>
      <w:r>
        <w:rPr>
          <w:rStyle w:val="18"/>
          <w:rFonts w:hint="eastAsia" w:ascii="仿宋" w:hAnsi="仿宋" w:eastAsia="仿宋" w:cs="Times New Roman"/>
          <w:kern w:val="2"/>
          <w:sz w:val="28"/>
          <w:szCs w:val="28"/>
          <w:lang w:val="en-US" w:eastAsia="zh-CN" w:bidi="ar-SA"/>
        </w:rPr>
        <w:t>一般公共预算财政拨款支出决算明细表................</w:t>
      </w:r>
      <w:r>
        <w:rPr>
          <w:rStyle w:val="18"/>
          <w:rFonts w:hint="eastAsia" w:ascii="仿宋" w:hAnsi="仿宋" w:eastAsia="仿宋"/>
          <w:sz w:val="28"/>
          <w:szCs w:val="28"/>
          <w:lang w:val="en-US" w:eastAsia="zh-CN"/>
        </w:rPr>
        <w:t>.</w:t>
      </w:r>
      <w:r>
        <w:rPr>
          <w:rStyle w:val="18"/>
          <w:rFonts w:hint="eastAsia" w:ascii="仿宋" w:hAnsi="仿宋" w:eastAsia="仿宋" w:cs="Times New Roman"/>
          <w:kern w:val="2"/>
          <w:sz w:val="28"/>
          <w:szCs w:val="28"/>
          <w:lang w:val="en-US" w:eastAsia="zh-CN" w:bidi="ar-SA"/>
        </w:rPr>
        <w:fldChar w:fldCharType="end"/>
      </w:r>
      <w:r>
        <w:rPr>
          <w:rStyle w:val="18"/>
          <w:rFonts w:hint="eastAsia" w:ascii="仿宋" w:hAnsi="仿宋" w:eastAsia="仿宋" w:cs="Times New Roman"/>
          <w:kern w:val="2"/>
          <w:sz w:val="28"/>
          <w:szCs w:val="28"/>
          <w:lang w:val="en-US" w:eastAsia="zh-CN" w:bidi="ar-SA"/>
        </w:rPr>
        <w:t>72八、</w:t>
      </w:r>
      <w:r>
        <w:rPr>
          <w:rStyle w:val="18"/>
          <w:rFonts w:hint="eastAsia" w:ascii="仿宋" w:hAnsi="仿宋" w:eastAsia="仿宋" w:cs="Times New Roman"/>
          <w:kern w:val="2"/>
          <w:sz w:val="28"/>
          <w:szCs w:val="28"/>
          <w:lang w:val="en-US" w:eastAsia="zh-CN" w:bidi="ar-SA"/>
        </w:rPr>
        <w:fldChar w:fldCharType="begin"/>
      </w:r>
      <w:r>
        <w:rPr>
          <w:rStyle w:val="18"/>
          <w:rFonts w:hint="eastAsia" w:ascii="仿宋" w:hAnsi="仿宋" w:eastAsia="仿宋" w:cs="Times New Roman"/>
          <w:kern w:val="2"/>
          <w:sz w:val="28"/>
          <w:szCs w:val="28"/>
          <w:lang w:val="en-US" w:eastAsia="zh-CN" w:bidi="ar-SA"/>
        </w:rPr>
        <w:instrText xml:space="preserve"> HYPERLINK \l "_Toc15396628" </w:instrText>
      </w:r>
      <w:r>
        <w:rPr>
          <w:rStyle w:val="18"/>
          <w:rFonts w:hint="eastAsia" w:ascii="仿宋" w:hAnsi="仿宋" w:eastAsia="仿宋" w:cs="Times New Roman"/>
          <w:kern w:val="2"/>
          <w:sz w:val="28"/>
          <w:szCs w:val="28"/>
          <w:lang w:val="en-US" w:eastAsia="zh-CN" w:bidi="ar-SA"/>
        </w:rPr>
        <w:fldChar w:fldCharType="separate"/>
      </w:r>
      <w:r>
        <w:rPr>
          <w:rStyle w:val="18"/>
          <w:rFonts w:hint="eastAsia" w:ascii="仿宋" w:hAnsi="仿宋" w:eastAsia="仿宋" w:cs="Times New Roman"/>
          <w:kern w:val="2"/>
          <w:sz w:val="28"/>
          <w:szCs w:val="28"/>
          <w:lang w:val="en-US" w:eastAsia="zh-CN" w:bidi="ar-SA"/>
        </w:rPr>
        <w:t>一般公共预算财政拨款基本支出决算明细表...........</w:t>
      </w:r>
      <w:r>
        <w:rPr>
          <w:rStyle w:val="18"/>
          <w:rFonts w:hint="eastAsia" w:ascii="仿宋" w:hAnsi="仿宋" w:eastAsia="仿宋"/>
          <w:sz w:val="28"/>
          <w:szCs w:val="28"/>
          <w:lang w:val="en-US" w:eastAsia="zh-CN"/>
        </w:rPr>
        <w:t>.</w:t>
      </w:r>
      <w:r>
        <w:rPr>
          <w:rStyle w:val="18"/>
          <w:rFonts w:hint="eastAsia" w:ascii="仿宋" w:hAnsi="仿宋" w:eastAsia="仿宋" w:cs="Times New Roman"/>
          <w:kern w:val="2"/>
          <w:sz w:val="28"/>
          <w:szCs w:val="28"/>
          <w:lang w:val="en-US" w:eastAsia="zh-CN" w:bidi="ar-SA"/>
        </w:rPr>
        <w:fldChar w:fldCharType="end"/>
      </w:r>
      <w:r>
        <w:rPr>
          <w:rStyle w:val="18"/>
          <w:rFonts w:hint="eastAsia" w:ascii="仿宋" w:hAnsi="仿宋" w:eastAsia="仿宋" w:cs="Times New Roman"/>
          <w:kern w:val="2"/>
          <w:sz w:val="28"/>
          <w:szCs w:val="28"/>
          <w:lang w:val="en-US" w:eastAsia="zh-CN" w:bidi="ar-SA"/>
        </w:rPr>
        <w:t>72</w:t>
      </w:r>
    </w:p>
    <w:p w14:paraId="44AE8AD0">
      <w:pPr>
        <w:pStyle w:val="13"/>
        <w:rPr>
          <w:rFonts w:hint="default" w:ascii="仿宋" w:hAnsi="仿宋" w:eastAsia="仿宋"/>
          <w:sz w:val="28"/>
          <w:szCs w:val="28"/>
          <w:lang w:val="en-US" w:eastAsia="zh-CN"/>
        </w:rPr>
      </w:pPr>
      <w:r>
        <w:rPr>
          <w:rStyle w:val="18"/>
          <w:rFonts w:hint="eastAsia" w:ascii="仿宋" w:hAnsi="仿宋" w:eastAsia="仿宋" w:cs="Times New Roman"/>
          <w:kern w:val="2"/>
          <w:sz w:val="28"/>
          <w:szCs w:val="28"/>
          <w:lang w:val="en-US" w:eastAsia="zh-CN" w:bidi="ar-SA"/>
        </w:rPr>
        <w:t>九、</w:t>
      </w:r>
      <w:r>
        <w:rPr>
          <w:rStyle w:val="18"/>
          <w:rFonts w:hint="eastAsia" w:ascii="仿宋" w:hAnsi="仿宋" w:eastAsia="仿宋" w:cs="Times New Roman"/>
          <w:kern w:val="2"/>
          <w:sz w:val="28"/>
          <w:szCs w:val="28"/>
          <w:lang w:val="en-US" w:eastAsia="zh-CN" w:bidi="ar-SA"/>
        </w:rPr>
        <w:fldChar w:fldCharType="begin"/>
      </w:r>
      <w:r>
        <w:rPr>
          <w:rStyle w:val="18"/>
          <w:rFonts w:hint="eastAsia" w:ascii="仿宋" w:hAnsi="仿宋" w:eastAsia="仿宋" w:cs="Times New Roman"/>
          <w:kern w:val="2"/>
          <w:sz w:val="28"/>
          <w:szCs w:val="28"/>
          <w:lang w:val="en-US" w:eastAsia="zh-CN" w:bidi="ar-SA"/>
        </w:rPr>
        <w:instrText xml:space="preserve"> HYPERLINK \l "_Toc15396628" </w:instrText>
      </w:r>
      <w:r>
        <w:rPr>
          <w:rStyle w:val="18"/>
          <w:rFonts w:hint="eastAsia" w:ascii="仿宋" w:hAnsi="仿宋" w:eastAsia="仿宋" w:cs="Times New Roman"/>
          <w:kern w:val="2"/>
          <w:sz w:val="28"/>
          <w:szCs w:val="28"/>
          <w:lang w:val="en-US" w:eastAsia="zh-CN" w:bidi="ar-SA"/>
        </w:rPr>
        <w:fldChar w:fldCharType="separate"/>
      </w:r>
      <w:r>
        <w:rPr>
          <w:rStyle w:val="18"/>
          <w:rFonts w:hint="eastAsia" w:ascii="仿宋" w:hAnsi="仿宋" w:eastAsia="仿宋" w:cs="Times New Roman"/>
          <w:kern w:val="2"/>
          <w:sz w:val="28"/>
          <w:szCs w:val="28"/>
          <w:lang w:val="en-US" w:eastAsia="zh-CN" w:bidi="ar-SA"/>
        </w:rPr>
        <w:t>一般公共预算财政拨款项目支出决算表...............</w:t>
      </w:r>
      <w:r>
        <w:rPr>
          <w:rStyle w:val="18"/>
          <w:rFonts w:hint="eastAsia" w:ascii="仿宋" w:hAnsi="仿宋" w:eastAsia="仿宋"/>
          <w:sz w:val="28"/>
          <w:szCs w:val="28"/>
          <w:lang w:val="en-US" w:eastAsia="zh-CN"/>
        </w:rPr>
        <w:t>.</w:t>
      </w:r>
      <w:r>
        <w:rPr>
          <w:rStyle w:val="18"/>
          <w:rFonts w:hint="eastAsia" w:ascii="仿宋" w:hAnsi="仿宋" w:eastAsia="仿宋" w:cs="Times New Roman"/>
          <w:kern w:val="2"/>
          <w:sz w:val="28"/>
          <w:szCs w:val="28"/>
          <w:lang w:val="en-US" w:eastAsia="zh-CN" w:bidi="ar-SA"/>
        </w:rPr>
        <w:fldChar w:fldCharType="end"/>
      </w:r>
      <w:r>
        <w:rPr>
          <w:rStyle w:val="18"/>
          <w:rFonts w:hint="eastAsia" w:ascii="仿宋" w:hAnsi="仿宋" w:eastAsia="仿宋" w:cs="Times New Roman"/>
          <w:kern w:val="2"/>
          <w:sz w:val="28"/>
          <w:szCs w:val="28"/>
          <w:lang w:val="en-US" w:eastAsia="zh-CN" w:bidi="ar-SA"/>
        </w:rPr>
        <w:t>72</w:t>
      </w:r>
      <w:r>
        <w:rPr>
          <w:rFonts w:hint="eastAsia" w:ascii="仿宋" w:hAnsi="仿宋" w:eastAsia="仿宋"/>
          <w:sz w:val="28"/>
          <w:szCs w:val="28"/>
          <w:lang w:eastAsia="zh-CN"/>
        </w:rPr>
        <w:t>十</w:t>
      </w:r>
      <w:r>
        <w:rPr>
          <w:rFonts w:hint="eastAsia" w:ascii="仿宋" w:hAnsi="仿宋" w:eastAsia="仿宋"/>
          <w:sz w:val="28"/>
          <w:szCs w:val="28"/>
        </w:rPr>
        <w:t>、</w:t>
      </w:r>
      <w:r>
        <w:fldChar w:fldCharType="begin"/>
      </w:r>
      <w:r>
        <w:instrText xml:space="preserve"> HYPERLINK \l "_Toc15396628" </w:instrText>
      </w:r>
      <w:r>
        <w:fldChar w:fldCharType="separate"/>
      </w:r>
      <w:r>
        <w:rPr>
          <w:rStyle w:val="18"/>
          <w:rFonts w:hint="eastAsia" w:ascii="仿宋" w:hAnsi="仿宋" w:eastAsia="仿宋"/>
          <w:sz w:val="28"/>
          <w:szCs w:val="28"/>
        </w:rPr>
        <w:t>政府性基金预算财政拨款收入支出决算表</w:t>
      </w:r>
      <w:r>
        <w:rPr>
          <w:rStyle w:val="18"/>
          <w:rFonts w:hint="eastAsia" w:ascii="仿宋" w:hAnsi="仿宋" w:eastAsia="仿宋"/>
          <w:sz w:val="28"/>
          <w:szCs w:val="28"/>
          <w:lang w:val="en-US" w:eastAsia="zh-CN"/>
        </w:rPr>
        <w:t>..............</w:t>
      </w:r>
      <w:r>
        <w:rPr>
          <w:rFonts w:ascii="仿宋" w:hAnsi="仿宋" w:eastAsia="仿宋"/>
          <w:sz w:val="28"/>
          <w:szCs w:val="28"/>
        </w:rPr>
        <w:fldChar w:fldCharType="end"/>
      </w:r>
      <w:r>
        <w:rPr>
          <w:rFonts w:hint="eastAsia" w:ascii="仿宋" w:hAnsi="仿宋" w:eastAsia="仿宋"/>
          <w:sz w:val="28"/>
          <w:szCs w:val="28"/>
          <w:lang w:val="en-US" w:eastAsia="zh-CN"/>
        </w:rPr>
        <w:t>72</w:t>
      </w:r>
    </w:p>
    <w:p w14:paraId="1F625094">
      <w:pPr>
        <w:pStyle w:val="13"/>
        <w:rPr>
          <w:rFonts w:hint="default" w:ascii="仿宋" w:hAnsi="仿宋" w:eastAsia="仿宋" w:cstheme="minorBidi"/>
          <w:sz w:val="28"/>
          <w:szCs w:val="28"/>
          <w:lang w:val="en-US" w:eastAsia="zh-CN"/>
        </w:rPr>
      </w:pPr>
      <w:r>
        <w:rPr>
          <w:rFonts w:hint="eastAsia" w:ascii="仿宋" w:hAnsi="仿宋" w:eastAsia="仿宋"/>
          <w:sz w:val="28"/>
          <w:szCs w:val="28"/>
          <w:lang w:eastAsia="zh-CN"/>
        </w:rPr>
        <w:t>十一</w:t>
      </w:r>
      <w:r>
        <w:rPr>
          <w:rFonts w:hint="eastAsia" w:ascii="仿宋" w:hAnsi="仿宋" w:eastAsia="仿宋"/>
          <w:sz w:val="28"/>
          <w:szCs w:val="28"/>
        </w:rPr>
        <w:t>、</w:t>
      </w:r>
      <w:r>
        <w:fldChar w:fldCharType="begin"/>
      </w:r>
      <w:r>
        <w:instrText xml:space="preserve"> HYPERLINK \l "_Toc15396629" </w:instrText>
      </w:r>
      <w:r>
        <w:fldChar w:fldCharType="separate"/>
      </w:r>
      <w:r>
        <w:rPr>
          <w:rStyle w:val="18"/>
          <w:rFonts w:hint="eastAsia" w:ascii="仿宋" w:hAnsi="仿宋" w:eastAsia="仿宋"/>
          <w:sz w:val="28"/>
          <w:szCs w:val="28"/>
          <w:lang w:eastAsia="zh-CN"/>
        </w:rPr>
        <w:t>国有资本经营</w:t>
      </w:r>
      <w:r>
        <w:rPr>
          <w:rStyle w:val="18"/>
          <w:rFonts w:hint="eastAsia" w:ascii="仿宋" w:hAnsi="仿宋" w:eastAsia="仿宋"/>
          <w:sz w:val="28"/>
          <w:szCs w:val="28"/>
        </w:rPr>
        <w:t>预算财政拨款收入支出决算表</w:t>
      </w:r>
      <w:r>
        <w:rPr>
          <w:rStyle w:val="18"/>
          <w:rFonts w:hint="eastAsia" w:ascii="仿宋" w:hAnsi="仿宋" w:eastAsia="仿宋"/>
          <w:sz w:val="28"/>
          <w:szCs w:val="28"/>
          <w:lang w:val="en-US" w:eastAsia="zh-CN"/>
        </w:rPr>
        <w:t>..........</w:t>
      </w:r>
      <w:r>
        <w:rPr>
          <w:rFonts w:ascii="仿宋" w:hAnsi="仿宋" w:eastAsia="仿宋"/>
          <w:sz w:val="28"/>
          <w:szCs w:val="28"/>
        </w:rPr>
        <w:fldChar w:fldCharType="end"/>
      </w:r>
      <w:r>
        <w:rPr>
          <w:rFonts w:hint="eastAsia" w:ascii="仿宋" w:hAnsi="仿宋" w:eastAsia="仿宋"/>
          <w:sz w:val="28"/>
          <w:szCs w:val="28"/>
          <w:lang w:val="en-US" w:eastAsia="zh-CN"/>
        </w:rPr>
        <w:t>72</w:t>
      </w:r>
    </w:p>
    <w:p w14:paraId="12DB5719">
      <w:pPr>
        <w:pStyle w:val="13"/>
        <w:rPr>
          <w:rFonts w:hint="default" w:ascii="仿宋" w:hAnsi="仿宋" w:eastAsia="仿宋" w:cstheme="minorBidi"/>
          <w:sz w:val="28"/>
          <w:szCs w:val="28"/>
          <w:lang w:val="en-US" w:eastAsia="zh-CN"/>
        </w:rPr>
      </w:pPr>
      <w:r>
        <w:rPr>
          <w:rFonts w:hint="eastAsia" w:ascii="仿宋" w:hAnsi="仿宋" w:eastAsia="仿宋"/>
          <w:sz w:val="28"/>
          <w:szCs w:val="28"/>
          <w:lang w:eastAsia="zh-CN"/>
        </w:rPr>
        <w:t>十二</w:t>
      </w:r>
      <w:r>
        <w:rPr>
          <w:rFonts w:hint="eastAsia" w:ascii="仿宋" w:hAnsi="仿宋" w:eastAsia="仿宋"/>
          <w:sz w:val="28"/>
          <w:szCs w:val="28"/>
        </w:rPr>
        <w:t>、</w:t>
      </w:r>
      <w:r>
        <w:fldChar w:fldCharType="begin"/>
      </w:r>
      <w:r>
        <w:instrText xml:space="preserve"> HYPERLINK \l "_Toc15396629" </w:instrText>
      </w:r>
      <w:r>
        <w:fldChar w:fldCharType="separate"/>
      </w:r>
      <w:r>
        <w:rPr>
          <w:rStyle w:val="18"/>
          <w:rFonts w:hint="eastAsia" w:ascii="仿宋" w:hAnsi="仿宋" w:eastAsia="仿宋"/>
          <w:sz w:val="28"/>
          <w:szCs w:val="28"/>
          <w:lang w:eastAsia="zh-CN"/>
        </w:rPr>
        <w:t>国有资本经营</w:t>
      </w:r>
      <w:r>
        <w:rPr>
          <w:rStyle w:val="18"/>
          <w:rFonts w:hint="eastAsia" w:ascii="仿宋" w:hAnsi="仿宋" w:eastAsia="仿宋"/>
          <w:sz w:val="28"/>
          <w:szCs w:val="28"/>
        </w:rPr>
        <w:t>预算财政拨款支出决算表</w:t>
      </w:r>
      <w:r>
        <w:rPr>
          <w:rStyle w:val="18"/>
          <w:rFonts w:hint="eastAsia" w:ascii="仿宋" w:hAnsi="仿宋" w:eastAsia="仿宋"/>
          <w:sz w:val="28"/>
          <w:szCs w:val="28"/>
          <w:lang w:val="en-US" w:eastAsia="zh-CN"/>
        </w:rPr>
        <w:t>.............</w:t>
      </w:r>
      <w:r>
        <w:rPr>
          <w:rFonts w:ascii="仿宋" w:hAnsi="仿宋" w:eastAsia="仿宋"/>
          <w:sz w:val="28"/>
          <w:szCs w:val="28"/>
        </w:rPr>
        <w:fldChar w:fldCharType="end"/>
      </w:r>
      <w:r>
        <w:rPr>
          <w:rFonts w:hint="eastAsia" w:ascii="仿宋" w:hAnsi="仿宋" w:eastAsia="仿宋"/>
          <w:sz w:val="28"/>
          <w:szCs w:val="28"/>
          <w:lang w:val="en-US" w:eastAsia="zh-CN"/>
        </w:rPr>
        <w:t>72</w:t>
      </w:r>
      <w:r>
        <w:rPr>
          <w:rFonts w:hint="eastAsia" w:ascii="仿宋" w:hAnsi="仿宋" w:eastAsia="仿宋"/>
          <w:sz w:val="28"/>
          <w:szCs w:val="28"/>
          <w:lang w:eastAsia="zh-CN"/>
        </w:rPr>
        <w:t>十三</w:t>
      </w:r>
      <w:r>
        <w:rPr>
          <w:rFonts w:hint="eastAsia" w:ascii="仿宋" w:hAnsi="仿宋" w:eastAsia="仿宋"/>
          <w:sz w:val="28"/>
          <w:szCs w:val="28"/>
        </w:rPr>
        <w:t>、</w:t>
      </w:r>
      <w:r>
        <w:fldChar w:fldCharType="begin"/>
      </w:r>
      <w:r>
        <w:instrText xml:space="preserve"> HYPERLINK \l "_Toc15396629" </w:instrText>
      </w:r>
      <w:r>
        <w:fldChar w:fldCharType="separate"/>
      </w:r>
      <w:r>
        <w:rPr>
          <w:rStyle w:val="18"/>
          <w:rFonts w:hint="eastAsia" w:ascii="仿宋" w:hAnsi="仿宋" w:eastAsia="仿宋"/>
          <w:sz w:val="28"/>
          <w:szCs w:val="28"/>
        </w:rPr>
        <w:t>财政拨款“三公”经费支出决算表</w:t>
      </w:r>
      <w:r>
        <w:rPr>
          <w:rStyle w:val="18"/>
          <w:rFonts w:hint="eastAsia" w:ascii="仿宋" w:hAnsi="仿宋" w:eastAsia="仿宋"/>
          <w:sz w:val="28"/>
          <w:szCs w:val="28"/>
          <w:lang w:val="en-US" w:eastAsia="zh-CN"/>
        </w:rPr>
        <w:t>..................</w:t>
      </w:r>
      <w:r>
        <w:rPr>
          <w:rFonts w:ascii="仿宋" w:hAnsi="仿宋" w:eastAsia="仿宋"/>
          <w:sz w:val="28"/>
          <w:szCs w:val="28"/>
        </w:rPr>
        <w:fldChar w:fldCharType="end"/>
      </w:r>
      <w:r>
        <w:rPr>
          <w:rFonts w:hint="eastAsia" w:ascii="仿宋" w:hAnsi="仿宋" w:eastAsia="仿宋"/>
          <w:sz w:val="28"/>
          <w:szCs w:val="28"/>
          <w:lang w:val="en-US" w:eastAsia="zh-CN"/>
        </w:rPr>
        <w:t>72</w:t>
      </w:r>
    </w:p>
    <w:p w14:paraId="7B7ADD51">
      <w:pPr>
        <w:rPr>
          <w:rFonts w:hint="eastAsia"/>
          <w:lang w:val="en-US" w:eastAsia="zh-CN"/>
        </w:rPr>
      </w:pPr>
    </w:p>
    <w:p w14:paraId="20204CA1">
      <w:pPr>
        <w:rPr>
          <w:rFonts w:hint="eastAsia"/>
          <w:lang w:val="en-US" w:eastAsia="zh-CN"/>
        </w:rPr>
      </w:pPr>
    </w:p>
    <w:p w14:paraId="5CEEEBC6">
      <w:pPr>
        <w:pStyle w:val="13"/>
        <w:rPr>
          <w:rFonts w:hint="default" w:ascii="仿宋" w:hAnsi="仿宋" w:eastAsia="仿宋"/>
          <w:color w:val="000000"/>
          <w:sz w:val="24"/>
          <w:lang w:val="en-US" w:eastAsia="zh-CN"/>
        </w:rPr>
      </w:pPr>
      <w:r>
        <w:rPr>
          <w:rFonts w:ascii="仿宋" w:hAnsi="仿宋" w:eastAsia="仿宋"/>
          <w:color w:val="000000"/>
          <w:sz w:val="24"/>
        </w:rPr>
        <w:fldChar w:fldCharType="end"/>
      </w:r>
    </w:p>
    <w:p w14:paraId="05AE8C54"/>
    <w:p w14:paraId="06D666BE">
      <w:pPr>
        <w:rPr>
          <w:color w:val="auto"/>
          <w:highlight w:val="none"/>
        </w:rPr>
      </w:pPr>
    </w:p>
    <w:p w14:paraId="1BADF833">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14:paraId="2E406FDC">
      <w:pPr>
        <w:widowControl/>
        <w:spacing w:line="440" w:lineRule="exact"/>
        <w:jc w:val="left"/>
        <w:rPr>
          <w:rFonts w:ascii="仿宋" w:hAnsi="仿宋" w:eastAsia="仿宋"/>
          <w:bCs/>
          <w:color w:val="auto"/>
          <w:kern w:val="44"/>
          <w:sz w:val="24"/>
          <w:highlight w:val="none"/>
        </w:rPr>
      </w:pPr>
    </w:p>
    <w:p w14:paraId="15984B9A">
      <w:pPr>
        <w:pStyle w:val="5"/>
        <w:jc w:val="center"/>
        <w:rPr>
          <w:rStyle w:val="19"/>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19"/>
          <w:rFonts w:hint="eastAsia" w:ascii="黑体" w:hAnsi="黑体" w:eastAsia="黑体"/>
          <w:b w:val="0"/>
          <w:bCs w:val="0"/>
          <w:color w:val="auto"/>
          <w:highlight w:val="none"/>
        </w:rPr>
        <w:t>部门概况</w:t>
      </w:r>
      <w:bookmarkEnd w:id="6"/>
      <w:bookmarkEnd w:id="7"/>
    </w:p>
    <w:p w14:paraId="30A0194B">
      <w:pPr>
        <w:pStyle w:val="6"/>
        <w:numPr>
          <w:ilvl w:val="0"/>
          <w:numId w:val="1"/>
        </w:numPr>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部门职责</w:t>
      </w:r>
    </w:p>
    <w:p w14:paraId="3B7AB3F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jc w:val="both"/>
        <w:textAlignment w:val="auto"/>
        <w:outlineLvl w:val="9"/>
        <w:rPr>
          <w:rFonts w:hint="eastAsia" w:ascii="仿宋" w:hAnsi="仿宋" w:eastAsia="仿宋" w:cs="仿宋"/>
          <w:b w:val="0"/>
          <w:bCs/>
          <w:kern w:val="2"/>
          <w:sz w:val="32"/>
          <w:szCs w:val="32"/>
          <w:lang w:val="en-US" w:eastAsia="zh-CN" w:bidi="ar-SA"/>
        </w:rPr>
      </w:pPr>
      <w:r>
        <w:rPr>
          <w:rFonts w:hint="eastAsia"/>
          <w:lang w:val="en-US" w:eastAsia="zh-CN"/>
        </w:rPr>
        <w:t xml:space="preserve">     </w:t>
      </w:r>
      <w:r>
        <w:rPr>
          <w:rFonts w:hint="eastAsia" w:ascii="仿宋" w:hAnsi="仿宋" w:eastAsia="仿宋" w:cs="仿宋"/>
          <w:b w:val="0"/>
          <w:i w:val="0"/>
          <w:caps w:val="0"/>
          <w:color w:val="666666"/>
          <w:spacing w:val="0"/>
          <w:sz w:val="32"/>
          <w:szCs w:val="32"/>
          <w:shd w:val="clear" w:color="auto" w:fill="FFFFFF"/>
        </w:rPr>
        <w:t>1</w:t>
      </w:r>
      <w:r>
        <w:rPr>
          <w:rFonts w:hint="eastAsia" w:ascii="仿宋" w:hAnsi="仿宋" w:eastAsia="仿宋" w:cs="仿宋"/>
          <w:b w:val="0"/>
          <w:bCs/>
          <w:kern w:val="2"/>
          <w:sz w:val="32"/>
          <w:szCs w:val="32"/>
          <w:lang w:val="en-US" w:eastAsia="zh-CN" w:bidi="ar-SA"/>
        </w:rPr>
        <w:t>.对影响人群生存环境卫生质量及生命质量的危险因素进行食品、职业、环境、放射、学校卫生等卫生学监测，对传染病、地方病、寄生虫病、慢性非传染性疾病、职业病、学生常见病及意外伤害、中毒等发生、分布和发展的规律进行流行病学监测，并制定预防控制对策。2.为拟订与疾病预防控制和公共卫生相关的法规、政策标准、规划等提供科学依据，为卫生行政部门提供决策咨询。3.拟订并实施疾病预防控制工作方案，对方案实施进行质量和效果评估。4.对传染病的发生流行和中毒、污染事件进行调查处理，为救灾防病和解决重大公共卫生问题提供技术支持。5.实施预防接种，负责预防用生物制品的使用与管理。6.负责人员培训，指导技术规范和技术措施的实施；承担爱国卫生运动中与疾病预防控制有关的技术指导。7.开展健康教育与健康促进，参与社会卫生服务工作，促进社会健康环境的建立和人群健康行为的形成。8.承担疾病预防控制及有关公共卫生信息的报告、管理和预测、预报，为疾病预防控制决策提供科学依据。9.开展卫生防病检验和实验室质量控制；受卫生行政部门指定，承担卫生监督监测检验、预防性健康检查、健康相关产品的技术审核和卫生质量检验、鉴定</w:t>
      </w:r>
      <w:r>
        <w:rPr>
          <w:rFonts w:hint="eastAsia" w:ascii="仿宋" w:hAnsi="仿宋" w:eastAsia="仿宋" w:cs="仿宋"/>
          <w:b w:val="0"/>
          <w:bCs/>
          <w:color w:val="000000" w:themeColor="text1"/>
          <w:kern w:val="2"/>
          <w:sz w:val="32"/>
          <w:szCs w:val="32"/>
          <w:highlight w:val="none"/>
          <w:lang w:val="en-US" w:eastAsia="zh-CN" w:bidi="ar-SA"/>
          <w14:textFill>
            <w14:solidFill>
              <w14:schemeClr w14:val="tx1"/>
            </w14:solidFill>
          </w14:textFill>
        </w:rPr>
        <w:t>；</w:t>
      </w:r>
      <w:r>
        <w:rPr>
          <w:rFonts w:hint="eastAsia" w:ascii="仿宋" w:hAnsi="仿宋" w:eastAsia="仿宋" w:cs="仿宋"/>
          <w:b w:val="0"/>
          <w:bCs/>
          <w:color w:val="auto"/>
          <w:kern w:val="2"/>
          <w:sz w:val="32"/>
          <w:szCs w:val="32"/>
          <w:lang w:val="en-US" w:eastAsia="zh-CN" w:bidi="ar-SA"/>
        </w:rPr>
        <w:t>对新建、改建、扩建建设项目的选址、设计和竣工验收进行卫生学评价。</w:t>
      </w:r>
      <w:r>
        <w:rPr>
          <w:rFonts w:hint="eastAsia" w:ascii="仿宋" w:hAnsi="仿宋" w:eastAsia="仿宋" w:cs="仿宋"/>
          <w:b w:val="0"/>
          <w:bCs/>
          <w:kern w:val="2"/>
          <w:sz w:val="32"/>
          <w:szCs w:val="32"/>
          <w:lang w:val="en-US" w:eastAsia="zh-CN" w:bidi="ar-SA"/>
        </w:rPr>
        <w:t>10.进行应用性科学研究、开发和推广先进技术。11.开展对外交流与合作，引进和推广新技术、新方法。12.向社会提供相关的预防保健信息、健康咨询和预防医学诊疗等专业技术服务。13.完成卫生行政部门和上级部门交办的其他任务。</w:t>
      </w:r>
    </w:p>
    <w:p w14:paraId="0C110F1F">
      <w:pPr>
        <w:pStyle w:val="6"/>
        <w:rPr>
          <w:rStyle w:val="20"/>
          <w:b w:val="0"/>
          <w:bCs w:val="0"/>
          <w:color w:val="auto"/>
          <w:highlight w:val="none"/>
        </w:rPr>
      </w:pPr>
      <w:bookmarkStart w:id="8" w:name="_Toc15396601"/>
      <w:bookmarkStart w:id="9"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20"/>
          <w:rFonts w:hint="eastAsia" w:ascii="黑体" w:hAnsi="黑体" w:eastAsia="黑体"/>
          <w:b w:val="0"/>
          <w:bCs w:val="0"/>
          <w:color w:val="auto"/>
          <w:highlight w:val="none"/>
        </w:rPr>
        <w:t>构设置</w:t>
      </w:r>
      <w:bookmarkEnd w:id="8"/>
      <w:bookmarkEnd w:id="9"/>
    </w:p>
    <w:p w14:paraId="2C045EEC">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jc w:val="both"/>
        <w:textAlignment w:val="auto"/>
        <w:outlineLvl w:val="9"/>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遂宁市安居区疾控中心属全额拨款一级预算事业单位，无下属二级预算单位。</w:t>
      </w:r>
    </w:p>
    <w:p w14:paraId="5ED1B69F">
      <w:pPr>
        <w:widowControl/>
        <w:jc w:val="left"/>
        <w:rPr>
          <w:rFonts w:ascii="仿宋" w:hAnsi="仿宋" w:eastAsia="仿宋"/>
          <w:color w:val="auto"/>
          <w:sz w:val="32"/>
          <w:szCs w:val="32"/>
          <w:highlight w:val="none"/>
        </w:rPr>
      </w:pPr>
      <w:r>
        <w:rPr>
          <w:rFonts w:ascii="仿宋" w:hAnsi="仿宋" w:eastAsia="仿宋"/>
          <w:color w:val="auto"/>
          <w:sz w:val="32"/>
          <w:szCs w:val="32"/>
          <w:highlight w:val="none"/>
        </w:rPr>
        <w:br w:type="page"/>
      </w:r>
    </w:p>
    <w:p w14:paraId="395496F9">
      <w:pPr>
        <w:pStyle w:val="2"/>
      </w:pPr>
    </w:p>
    <w:p w14:paraId="05C1CF32">
      <w:pPr>
        <w:pStyle w:val="5"/>
        <w:ind w:right="440"/>
        <w:jc w:val="center"/>
        <w:rPr>
          <w:rStyle w:val="19"/>
          <w:rFonts w:ascii="黑体" w:hAnsi="黑体" w:eastAsia="黑体"/>
          <w:b w:val="0"/>
          <w:bCs/>
          <w:color w:val="auto"/>
          <w:highlight w:val="none"/>
        </w:rPr>
      </w:pPr>
      <w:bookmarkStart w:id="10" w:name="_Toc15377204"/>
      <w:bookmarkStart w:id="11"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19"/>
          <w:rFonts w:hint="eastAsia" w:ascii="黑体" w:hAnsi="黑体" w:eastAsia="黑体"/>
          <w:b w:val="0"/>
          <w:bCs/>
          <w:color w:val="auto"/>
          <w:highlight w:val="none"/>
        </w:rPr>
        <w:t>部门决算情况说明</w:t>
      </w:r>
      <w:bookmarkEnd w:id="10"/>
      <w:bookmarkEnd w:id="11"/>
    </w:p>
    <w:p w14:paraId="7B87DCBA">
      <w:pPr>
        <w:pStyle w:val="21"/>
        <w:numPr>
          <w:ilvl w:val="0"/>
          <w:numId w:val="2"/>
        </w:numPr>
        <w:spacing w:line="600" w:lineRule="exact"/>
        <w:ind w:firstLineChars="0"/>
        <w:outlineLvl w:val="1"/>
        <w:rPr>
          <w:rStyle w:val="20"/>
          <w:rFonts w:ascii="黑体" w:hAnsi="黑体" w:eastAsia="黑体"/>
          <w:b w:val="0"/>
          <w:color w:val="auto"/>
          <w:highlight w:val="none"/>
        </w:rPr>
      </w:pPr>
      <w:bookmarkStart w:id="12" w:name="_Toc15396603"/>
      <w:bookmarkStart w:id="13" w:name="_Toc15377205"/>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入支出决算总体情况说明</w:t>
      </w:r>
      <w:bookmarkEnd w:id="12"/>
      <w:bookmarkEnd w:id="13"/>
    </w:p>
    <w:p w14:paraId="2B947EDE">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 w:hAnsi="仿宋" w:eastAsia="仿宋"/>
          <w:color w:val="auto"/>
          <w:sz w:val="32"/>
          <w:szCs w:val="32"/>
          <w:highlight w:val="none"/>
        </w:rPr>
        <w:t>2</w:t>
      </w:r>
      <w:r>
        <w:rPr>
          <w:rFonts w:hint="eastAsia" w:ascii="仿宋_GB2312" w:hAnsi="仿宋_GB2312" w:eastAsia="仿宋_GB2312" w:cs="仿宋_GB2312"/>
          <w:color w:val="auto"/>
          <w:sz w:val="32"/>
          <w:szCs w:val="32"/>
          <w:lang w:val="en-US" w:eastAsia="zh-CN"/>
        </w:rPr>
        <w:t>024年度收入、支出总计均为1337.16万元。与2023年度相比，收入、支出总计各增加360.22万元，上升36.87%。主要变动原因是本年度区财政将往年由上级主管部门区卫健局转拨的中央、省委财转移支付项目资金直接安排在区疾控中心的部门预算中。</w:t>
      </w:r>
    </w:p>
    <w:p w14:paraId="76918463">
      <w:pPr>
        <w:spacing w:line="600" w:lineRule="exact"/>
        <w:ind w:firstLine="640" w:firstLineChars="200"/>
        <w:rPr>
          <w:rFonts w:hint="eastAsia" w:ascii="黑体" w:hAnsi="黑体" w:eastAsia="黑体"/>
          <w:color w:val="auto"/>
          <w:sz w:val="32"/>
          <w:szCs w:val="32"/>
          <w:highlight w:val="none"/>
          <w:lang w:eastAsia="zh-CN"/>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w:t>
      </w:r>
      <w:r>
        <w:rPr>
          <w:rFonts w:hint="eastAsia" w:ascii="仿宋" w:hAnsi="仿宋" w:eastAsia="仿宋"/>
          <w:color w:val="auto"/>
          <w:sz w:val="32"/>
          <w:szCs w:val="32"/>
          <w:highlight w:val="none"/>
          <w:lang w:eastAsia="zh-CN"/>
        </w:rPr>
        <w:t>入</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决算总计变动情况图）（柱状图）</w:t>
      </w:r>
      <w:bookmarkStart w:id="14" w:name="_Toc15377206"/>
      <w:bookmarkStart w:id="15" w:name="_Toc15396604"/>
      <w:r>
        <w:rPr>
          <w:rFonts w:hint="eastAsia" w:ascii="仿宋" w:hAnsi="仿宋" w:eastAsia="仿宋"/>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4445</wp:posOffset>
            </wp:positionH>
            <wp:positionV relativeFrom="paragraph">
              <wp:posOffset>150495</wp:posOffset>
            </wp:positionV>
            <wp:extent cx="5256530" cy="2996565"/>
            <wp:effectExtent l="4445" t="4445" r="15875" b="889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5C3ADB47">
      <w:pPr>
        <w:pStyle w:val="21"/>
        <w:numPr>
          <w:ilvl w:val="0"/>
          <w:numId w:val="0"/>
        </w:numPr>
        <w:spacing w:line="600" w:lineRule="exact"/>
        <w:ind w:left="640" w:leftChars="0"/>
        <w:outlineLvl w:val="1"/>
        <w:rPr>
          <w:rFonts w:hint="eastAsia" w:ascii="黑体" w:hAnsi="黑体" w:eastAsia="黑体"/>
          <w:color w:val="auto"/>
          <w:sz w:val="32"/>
          <w:szCs w:val="32"/>
          <w:highlight w:val="none"/>
          <w:lang w:eastAsia="zh-CN"/>
        </w:rPr>
      </w:pPr>
    </w:p>
    <w:p w14:paraId="222A34D0">
      <w:pPr>
        <w:pStyle w:val="21"/>
        <w:numPr>
          <w:ilvl w:val="0"/>
          <w:numId w:val="0"/>
        </w:numPr>
        <w:spacing w:line="600" w:lineRule="exact"/>
        <w:ind w:left="640" w:leftChars="0"/>
        <w:outlineLvl w:val="1"/>
        <w:rPr>
          <w:rStyle w:val="20"/>
          <w:rFonts w:ascii="黑体" w:hAnsi="黑体" w:eastAsia="黑体"/>
          <w:b w:val="0"/>
          <w:color w:val="auto"/>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入决算情况说明</w:t>
      </w:r>
      <w:bookmarkEnd w:id="14"/>
      <w:bookmarkEnd w:id="15"/>
    </w:p>
    <w:p w14:paraId="2171EB85">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度</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val="en-US" w:eastAsia="zh-CN"/>
        </w:rPr>
        <w:t>1337.16</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1146.92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85.77</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190.24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14.23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6CEC4887">
      <w:pPr>
        <w:pStyle w:val="2"/>
        <w:rPr>
          <w:rFonts w:hint="eastAsia" w:ascii="仿宋" w:hAnsi="仿宋" w:eastAsia="仿宋"/>
          <w:color w:val="auto"/>
          <w:sz w:val="32"/>
          <w:szCs w:val="32"/>
          <w:highlight w:val="none"/>
        </w:rPr>
      </w:pPr>
    </w:p>
    <w:p w14:paraId="19F1D2E2">
      <w:pPr>
        <w:pStyle w:val="3"/>
        <w:rPr>
          <w:rFonts w:hint="eastAsia" w:ascii="仿宋" w:hAnsi="仿宋" w:eastAsia="仿宋"/>
          <w:color w:val="auto"/>
          <w:sz w:val="32"/>
          <w:szCs w:val="32"/>
          <w:highlight w:val="none"/>
        </w:rPr>
      </w:pPr>
      <w:r>
        <w:rPr>
          <w:rFonts w:hint="eastAsia" w:ascii="仿宋" w:hAnsi="仿宋" w:eastAsia="仿宋" w:cs="仿宋"/>
          <w:b w:val="0"/>
          <w:bCs/>
          <w:color w:val="auto"/>
          <w:kern w:val="2"/>
          <w:sz w:val="32"/>
          <w:szCs w:val="32"/>
          <w:lang w:val="en-US" w:eastAsia="zh-CN" w:bidi="ar-SA"/>
        </w:rPr>
        <w:pict>
          <v:shape id="对象 1" o:spid="_x0000_s1026" o:spt="75" type="#_x0000_t75" style="position:absolute;left:0pt;margin-left:84.7pt;margin-top:-0.05pt;height:153.9pt;width:236.85pt;mso-wrap-distance-bottom:0pt;mso-wrap-distance-top:0pt;z-index:251660288;mso-width-relative:page;mso-height-relative:page;" o:ole="t" fillcolor="#FF0000" filled="t" o:preferrelative="t" stroked="t" coordsize="21600,21600">
            <v:path/>
            <v:fill on="t" color2="#FFFFFF" focussize="0,0"/>
            <v:stroke weight="1pt" color="#FF0000" joinstyle="miter"/>
            <v:imagedata r:id="rId16" cropleft="10676f" croptop="3438f" cropright="3391f" cropbottom="770f" o:title=""/>
            <o:lock v:ext="edit" aspectratio="f"/>
            <v:shadow on="t" obscured="f" color="#FF0000" opacity="65536f" offset="2pt,2pt" offset2="0pt,0pt" origin="0f,0f" matrix="65536f,0f,0f,65536f,0,0"/>
            <w10:wrap type="topAndBottom"/>
          </v:shape>
          <o:OLEObject Type="Embed" ProgID="Excel.Sheet.8" ShapeID="对象 1" DrawAspect="Content" ObjectID="_1468075725" r:id="rId15">
            <o:LockedField>false</o:LockedField>
          </o:OLEObject>
        </w:pict>
      </w:r>
      <w:r>
        <w:rPr>
          <w:rFonts w:hint="eastAsia" w:ascii="仿宋" w:hAnsi="仿宋" w:eastAsia="仿宋" w:cs="仿宋"/>
          <w:b w:val="0"/>
          <w:bCs/>
          <w:color w:val="auto"/>
          <w:kern w:val="2"/>
          <w:sz w:val="32"/>
          <w:szCs w:val="32"/>
          <w:lang w:val="en-US" w:eastAsia="zh-CN" w:bidi="ar-SA"/>
        </w:rPr>
        <w:t xml:space="preserve">   </w:t>
      </w:r>
      <w:r>
        <w:rPr>
          <w:rFonts w:hint="eastAsia" w:ascii="仿宋" w:hAnsi="仿宋" w:eastAsia="仿宋"/>
          <w:color w:val="auto"/>
          <w:sz w:val="32"/>
          <w:szCs w:val="32"/>
          <w:highlight w:val="none"/>
        </w:rPr>
        <w:t>（图2：收入决算结构图）（饼状图）</w:t>
      </w:r>
    </w:p>
    <w:p w14:paraId="7CE9C09F">
      <w:pPr>
        <w:pStyle w:val="21"/>
        <w:numPr>
          <w:ilvl w:val="0"/>
          <w:numId w:val="0"/>
        </w:numPr>
        <w:spacing w:line="600" w:lineRule="exact"/>
        <w:ind w:left="640" w:leftChars="0"/>
        <w:outlineLvl w:val="1"/>
        <w:rPr>
          <w:rFonts w:hint="eastAsia" w:ascii="黑体" w:hAnsi="黑体" w:eastAsia="黑体"/>
          <w:color w:val="auto"/>
          <w:sz w:val="32"/>
          <w:szCs w:val="32"/>
          <w:highlight w:val="none"/>
          <w:lang w:eastAsia="zh-CN"/>
        </w:rPr>
      </w:pPr>
    </w:p>
    <w:p w14:paraId="6B9DE01E">
      <w:pPr>
        <w:pStyle w:val="21"/>
        <w:numPr>
          <w:ilvl w:val="0"/>
          <w:numId w:val="0"/>
        </w:numPr>
        <w:spacing w:line="600" w:lineRule="exact"/>
        <w:ind w:left="640" w:leftChars="0"/>
        <w:outlineLvl w:val="1"/>
        <w:rPr>
          <w:rStyle w:val="20"/>
          <w:rFonts w:ascii="黑体" w:hAnsi="黑体" w:eastAsia="黑体"/>
          <w:b w:val="0"/>
          <w:color w:val="auto"/>
          <w:highlight w:val="none"/>
        </w:rPr>
      </w:pP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0"/>
          <w:rFonts w:hint="eastAsia" w:ascii="黑体" w:hAnsi="黑体" w:eastAsia="黑体"/>
          <w:b w:val="0"/>
          <w:color w:val="auto"/>
          <w:highlight w:val="none"/>
        </w:rPr>
        <w:t>出决算情况说明</w:t>
      </w:r>
    </w:p>
    <w:p w14:paraId="51ABDD68">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度</w:t>
      </w:r>
      <w:r>
        <w:rPr>
          <w:rFonts w:hint="eastAsia" w:ascii="仿宋" w:hAnsi="仿宋" w:eastAsia="仿宋"/>
          <w:color w:val="auto"/>
          <w:sz w:val="32"/>
          <w:szCs w:val="32"/>
          <w:highlight w:val="none"/>
        </w:rPr>
        <w:t>本年支出合计</w:t>
      </w:r>
      <w:r>
        <w:rPr>
          <w:rFonts w:hint="eastAsia" w:ascii="仿宋" w:hAnsi="仿宋" w:eastAsia="仿宋"/>
          <w:color w:val="auto"/>
          <w:sz w:val="32"/>
          <w:szCs w:val="32"/>
          <w:highlight w:val="none"/>
          <w:lang w:val="en-US" w:eastAsia="zh-CN"/>
        </w:rPr>
        <w:t>1337.16</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661.5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49.47</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675.66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50.53</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14:paraId="786B1583">
      <w:pPr>
        <w:pStyle w:val="8"/>
        <w:jc w:val="both"/>
        <w:rPr>
          <w:rFonts w:hint="eastAsia" w:ascii="仿宋" w:hAnsi="仿宋" w:eastAsia="仿宋"/>
          <w:color w:val="auto"/>
          <w:sz w:val="32"/>
          <w:szCs w:val="32"/>
          <w:highlight w:val="none"/>
        </w:rPr>
      </w:pPr>
      <w:r>
        <w:rPr>
          <w:rFonts w:hint="eastAsia" w:eastAsia="宋体"/>
          <w:lang w:eastAsia="zh-CN"/>
        </w:rPr>
        <w:pict>
          <v:shape id="对象 2" o:spid="_x0000_s1027" o:spt="75" type="#_x0000_t75" style="position:absolute;left:0pt;margin-left:46.6pt;margin-top:26.75pt;height:194.65pt;width:284.8pt;z-index:251662336;mso-width-relative:page;mso-height-relative:page;" o:ole="t" fillcolor="#FF0000" filled="t" o:preferrelative="t" stroked="t" coordsize="21600,21600">
            <v:path/>
            <v:fill on="t" color2="#FFFFFF" focussize="0,0"/>
            <v:stroke color="#FF0000" joinstyle="miter"/>
            <v:imagedata r:id="rId18" cropright="4670f" cropbottom="466f" o:title=""/>
            <o:lock v:ext="edit" aspectratio="f"/>
            <v:shadow on="t" type="emboss" obscured="f" color="#FF0000" opacity="65536f" color2="shadow add(102)" offset="-1pt,-1pt" offset2="0pt,0pt" origin="0f,0f" matrix="65536f,0f,0f,65536f,0,0"/>
          </v:shape>
          <o:OLEObject Type="Embed" ProgID="Excel.Sheet.8" ShapeID="对象 2" DrawAspect="Content" ObjectID="_1468075726" r:id="rId17">
            <o:LockedField>false</o:LockedField>
          </o:OLEObject>
        </w:pict>
      </w:r>
    </w:p>
    <w:p w14:paraId="639CA755">
      <w:pPr>
        <w:pStyle w:val="8"/>
        <w:jc w:val="both"/>
        <w:rPr>
          <w:rFonts w:hint="eastAsia" w:ascii="仿宋" w:hAnsi="仿宋" w:eastAsia="仿宋"/>
          <w:color w:val="auto"/>
          <w:sz w:val="32"/>
          <w:szCs w:val="32"/>
          <w:highlight w:val="none"/>
        </w:rPr>
      </w:pPr>
    </w:p>
    <w:p w14:paraId="6EC9265C">
      <w:pPr>
        <w:pStyle w:val="8"/>
        <w:jc w:val="both"/>
        <w:rPr>
          <w:rFonts w:hint="eastAsia" w:ascii="仿宋" w:hAnsi="仿宋" w:eastAsia="仿宋"/>
          <w:color w:val="auto"/>
          <w:sz w:val="32"/>
          <w:szCs w:val="32"/>
          <w:highlight w:val="none"/>
        </w:rPr>
      </w:pPr>
    </w:p>
    <w:p w14:paraId="37E9489C">
      <w:pPr>
        <w:spacing w:line="600" w:lineRule="exact"/>
        <w:ind w:firstLine="640" w:firstLineChars="200"/>
        <w:jc w:val="both"/>
        <w:rPr>
          <w:rFonts w:ascii="仿宋_GB2312" w:eastAsia="仿宋_GB2312"/>
          <w:color w:val="auto"/>
          <w:sz w:val="32"/>
          <w:szCs w:val="32"/>
          <w:highlight w:val="none"/>
        </w:rPr>
      </w:pPr>
    </w:p>
    <w:p w14:paraId="0D494CD1">
      <w:pPr>
        <w:spacing w:line="600" w:lineRule="exact"/>
        <w:ind w:firstLine="640" w:firstLineChars="200"/>
        <w:jc w:val="both"/>
        <w:outlineLvl w:val="1"/>
        <w:rPr>
          <w:rFonts w:hint="eastAsia" w:ascii="黑体" w:hAnsi="黑体" w:eastAsia="黑体"/>
          <w:color w:val="auto"/>
          <w:sz w:val="32"/>
          <w:szCs w:val="32"/>
          <w:highlight w:val="none"/>
        </w:rPr>
      </w:pPr>
    </w:p>
    <w:p w14:paraId="42F80429">
      <w:pPr>
        <w:spacing w:line="600" w:lineRule="exact"/>
        <w:ind w:firstLine="640" w:firstLineChars="200"/>
        <w:jc w:val="both"/>
        <w:outlineLvl w:val="1"/>
        <w:rPr>
          <w:rFonts w:hint="eastAsia" w:ascii="黑体" w:hAnsi="黑体" w:eastAsia="黑体"/>
          <w:color w:val="auto"/>
          <w:sz w:val="32"/>
          <w:szCs w:val="32"/>
          <w:highlight w:val="none"/>
        </w:rPr>
      </w:pPr>
    </w:p>
    <w:p w14:paraId="430E2359">
      <w:pPr>
        <w:spacing w:line="600" w:lineRule="exact"/>
        <w:ind w:firstLine="640" w:firstLineChars="200"/>
        <w:jc w:val="both"/>
        <w:outlineLvl w:val="1"/>
        <w:rPr>
          <w:rFonts w:hint="eastAsia" w:ascii="黑体" w:hAnsi="黑体" w:eastAsia="黑体"/>
          <w:color w:val="auto"/>
          <w:sz w:val="32"/>
          <w:szCs w:val="32"/>
          <w:highlight w:val="none"/>
          <w:lang w:eastAsia="zh-CN"/>
        </w:rPr>
      </w:pPr>
    </w:p>
    <w:p w14:paraId="39D84B40">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outlineLvl w:val="1"/>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0D019A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olor w:val="auto"/>
          <w:sz w:val="32"/>
          <w:szCs w:val="32"/>
          <w:highlight w:val="none"/>
          <w:lang w:eastAsia="zh-CN"/>
        </w:rPr>
      </w:pPr>
    </w:p>
    <w:p w14:paraId="30688A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0"/>
          <w:rFonts w:ascii="黑体" w:hAnsi="黑体" w:eastAsia="黑体"/>
          <w:b w:val="0"/>
          <w:color w:val="auto"/>
          <w:highlight w:val="none"/>
        </w:rPr>
      </w:pPr>
      <w:r>
        <w:rPr>
          <w:rFonts w:hint="eastAsia" w:ascii="黑体" w:hAnsi="黑体" w:eastAsia="黑体"/>
          <w:color w:val="auto"/>
          <w:sz w:val="32"/>
          <w:szCs w:val="32"/>
          <w:highlight w:val="none"/>
          <w:lang w:eastAsia="zh-CN"/>
        </w:rPr>
        <w:t>四、</w:t>
      </w:r>
      <w:r>
        <w:rPr>
          <w:rFonts w:hint="eastAsia" w:ascii="黑体" w:hAnsi="黑体" w:eastAsia="黑体"/>
          <w:color w:val="auto"/>
          <w:sz w:val="32"/>
          <w:szCs w:val="32"/>
          <w:highlight w:val="none"/>
        </w:rPr>
        <w:t>财</w:t>
      </w:r>
      <w:r>
        <w:rPr>
          <w:rStyle w:val="20"/>
          <w:rFonts w:hint="eastAsia" w:ascii="黑体" w:hAnsi="黑体" w:eastAsia="黑体"/>
          <w:b w:val="0"/>
          <w:color w:val="auto"/>
          <w:highlight w:val="none"/>
        </w:rPr>
        <w:t>政拨款收入支出决算总体情况说明</w:t>
      </w:r>
    </w:p>
    <w:p w14:paraId="79E056CF">
      <w:pPr>
        <w:spacing w:line="600" w:lineRule="exact"/>
        <w:ind w:firstLine="640" w:firstLineChars="200"/>
        <w:rPr>
          <w:rFonts w:hint="eastAsia" w:ascii="仿宋_GB2312" w:hAnsi="Times New Roman" w:eastAsia="仿宋_GB2312" w:cs="Times New Roman"/>
          <w:color w:val="auto"/>
          <w:kern w:val="0"/>
          <w:sz w:val="32"/>
          <w:szCs w:val="32"/>
          <w:highlight w:val="none"/>
          <w:lang w:val="en-US" w:eastAsia="zh-CN"/>
        </w:rPr>
      </w:pPr>
      <w:r>
        <w:rPr>
          <w:rFonts w:hint="eastAsia" w:ascii="仿宋_GB2312" w:hAnsi="Times New Roman" w:eastAsia="仿宋_GB2312" w:cs="Times New Roman"/>
          <w:color w:val="auto"/>
          <w:kern w:val="0"/>
          <w:sz w:val="32"/>
          <w:szCs w:val="32"/>
          <w:highlight w:val="none"/>
          <w:lang w:val="en-US" w:eastAsia="zh-CN"/>
        </w:rPr>
        <w:t>2024年度财政拨款收入、支出总计均为1337.16万元。与2023年度相比，财政拨款收入、支出总计各增加360.22万元，上升36.87%。主要变动原因是本年度区财政将往年由上级主管部门区卫健局转拨的</w:t>
      </w:r>
      <w:r>
        <w:rPr>
          <w:rFonts w:hint="eastAsia" w:ascii="仿宋_GB2312" w:eastAsia="仿宋_GB2312" w:cs="Times New Roman"/>
          <w:color w:val="auto"/>
          <w:kern w:val="0"/>
          <w:sz w:val="32"/>
          <w:szCs w:val="32"/>
          <w:highlight w:val="none"/>
          <w:lang w:val="en-US" w:eastAsia="zh-CN"/>
        </w:rPr>
        <w:t>中央、省委</w:t>
      </w:r>
      <w:r>
        <w:rPr>
          <w:rFonts w:hint="eastAsia" w:ascii="仿宋_GB2312" w:hAnsi="Times New Roman" w:eastAsia="仿宋_GB2312" w:cs="Times New Roman"/>
          <w:color w:val="auto"/>
          <w:kern w:val="0"/>
          <w:sz w:val="32"/>
          <w:szCs w:val="32"/>
          <w:highlight w:val="none"/>
          <w:lang w:val="en-US" w:eastAsia="zh-CN"/>
        </w:rPr>
        <w:t>财转移支付项目资金等直接安排在区疾控中心的部门预算中。</w:t>
      </w:r>
    </w:p>
    <w:p w14:paraId="647AD035">
      <w:pPr>
        <w:spacing w:line="600" w:lineRule="exact"/>
        <w:ind w:firstLine="0" w:firstLineChars="0"/>
        <w:rPr>
          <w:rFonts w:hint="eastAsia" w:ascii="仿宋" w:hAnsi="仿宋" w:eastAsia="仿宋"/>
          <w:color w:val="auto"/>
          <w:sz w:val="32"/>
          <w:szCs w:val="32"/>
          <w:highlight w:val="none"/>
        </w:rPr>
      </w:pPr>
      <w:r>
        <w:rPr>
          <w:rFonts w:hint="eastAsia" w:eastAsia="宋体"/>
          <w:lang w:eastAsia="zh-CN"/>
        </w:rPr>
        <w:pict>
          <v:shape id="_x0000_s1028" o:spid="_x0000_s1028" o:spt="75" type="#_x0000_t75" style="position:absolute;left:0pt;margin-left:20.65pt;margin-top:25.25pt;height:177.5pt;width:370.5pt;mso-wrap-distance-bottom:0pt;mso-wrap-distance-top:0pt;z-index:251663360;mso-width-relative:page;mso-height-relative:page;" o:ole="t" fillcolor="#FF0000" filled="t" o:preferrelative="t" stroked="t" coordsize="21600,21600">
            <v:path/>
            <v:fill on="t" color2="#FFFFFF" focussize="0,0"/>
            <v:stroke color="#FF0000" joinstyle="miter"/>
            <v:imagedata r:id="rId20" o:title=""/>
            <o:lock v:ext="edit" aspectratio="f"/>
            <v:shadow on="t" obscured="f" color="#FF0000" opacity="65536f" offset="2pt,2pt" offset2="0pt,0pt" origin="0f,0f" matrix="65536f,0f,0f,65536f,0,0"/>
            <w10:wrap type="topAndBottom"/>
          </v:shape>
          <o:OLEObject Type="Embed" ProgID="Excel.Sheet.8" ShapeID="_x0000_s1028" DrawAspect="Content" ObjectID="_1468075727" r:id="rId19">
            <o:LockedField>false</o:LockedField>
          </o:OLEObject>
        </w:pict>
      </w:r>
      <w:r>
        <w:rPr>
          <w:rFonts w:hint="eastAsia" w:ascii="仿宋" w:hAnsi="仿宋" w:eastAsia="仿宋"/>
          <w:color w:val="auto"/>
          <w:sz w:val="32"/>
          <w:szCs w:val="32"/>
          <w:highlight w:val="none"/>
        </w:rPr>
        <w:t>（图4：财政拨款收、支决算总计变动情况）（柱状图）</w:t>
      </w:r>
    </w:p>
    <w:p w14:paraId="1E5DA61F">
      <w:pPr>
        <w:pStyle w:val="2"/>
        <w:rPr>
          <w:rFonts w:hint="eastAsia"/>
        </w:rPr>
      </w:pPr>
    </w:p>
    <w:p w14:paraId="291EE904">
      <w:pPr>
        <w:pStyle w:val="9"/>
        <w:rPr>
          <w:rFonts w:hint="eastAsia" w:ascii="黑体" w:hAnsi="黑体" w:eastAsia="黑体"/>
          <w:color w:val="auto"/>
          <w:sz w:val="32"/>
          <w:szCs w:val="32"/>
          <w:highlight w:val="none"/>
        </w:rPr>
      </w:pPr>
    </w:p>
    <w:p w14:paraId="3050D902">
      <w:pPr>
        <w:pStyle w:val="9"/>
        <w:rPr>
          <w:rStyle w:val="20"/>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般公共预算财政拨款支出决算情况说明</w:t>
      </w:r>
    </w:p>
    <w:p w14:paraId="5BCE98C4">
      <w:pPr>
        <w:spacing w:line="600" w:lineRule="exact"/>
        <w:ind w:firstLine="321" w:firstLineChars="100"/>
        <w:outlineLvl w:val="2"/>
        <w:rPr>
          <w:rFonts w:ascii="仿宋" w:hAnsi="仿宋" w:eastAsia="仿宋"/>
          <w:b/>
          <w:color w:val="auto"/>
          <w:sz w:val="32"/>
          <w:szCs w:val="32"/>
          <w:highlight w:val="none"/>
        </w:rPr>
      </w:pPr>
      <w:bookmarkStart w:id="16" w:name="_Toc15377210"/>
      <w:r>
        <w:rPr>
          <w:rFonts w:hint="eastAsia" w:ascii="仿宋" w:hAnsi="仿宋" w:eastAsia="仿宋"/>
          <w:b/>
          <w:color w:val="auto"/>
          <w:sz w:val="32"/>
          <w:szCs w:val="32"/>
          <w:highlight w:val="none"/>
        </w:rPr>
        <w:t>（一）一般公共预算财政拨款支出决算总体情况</w:t>
      </w:r>
      <w:bookmarkEnd w:id="16"/>
    </w:p>
    <w:p w14:paraId="30B6F2F6">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度一般公共预算财政拨款支出1146.92万元，占本年支出合计的85.77%。与2023年度相比，一般公共预算财政拨款支出增加199.98万元，上升21.12%，主要变动原因是本年度区财政将往年由上级主管部门区卫健局转拨的中央、省委财转移支付项目资金直接安排在区疾控中心的部门预算中。</w:t>
      </w:r>
    </w:p>
    <w:p w14:paraId="68E6B25A">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560" w:lineRule="exact"/>
        <w:ind w:right="0" w:rightChars="0" w:firstLine="640" w:firstLineChars="200"/>
        <w:jc w:val="both"/>
        <w:textAlignment w:val="auto"/>
        <w:outlineLvl w:val="9"/>
        <w:rPr>
          <w:rFonts w:hint="eastAsia" w:ascii="仿宋" w:hAnsi="仿宋" w:eastAsia="仿宋"/>
          <w:color w:val="auto"/>
          <w:sz w:val="32"/>
          <w:szCs w:val="32"/>
          <w:highlight w:val="none"/>
          <w:lang w:val="en-US" w:eastAsia="zh-CN"/>
        </w:rPr>
      </w:pPr>
    </w:p>
    <w:p w14:paraId="125514F4">
      <w:pPr>
        <w:pStyle w:val="9"/>
        <w:rPr>
          <w:rFonts w:hint="eastAsia" w:ascii="仿宋" w:hAnsi="仿宋" w:eastAsia="仿宋"/>
          <w:color w:val="auto"/>
          <w:sz w:val="30"/>
          <w:szCs w:val="30"/>
          <w:highlight w:val="none"/>
        </w:rPr>
      </w:pPr>
      <w:r>
        <w:rPr>
          <w:rFonts w:hint="eastAsia" w:ascii="仿宋_GB2312" w:hAnsi="仿宋_GB2312" w:eastAsia="仿宋_GB2312" w:cs="仿宋_GB2312"/>
          <w:sz w:val="32"/>
          <w:szCs w:val="32"/>
          <w:lang w:val="en-US" w:eastAsia="zh-CN"/>
        </w:rPr>
        <w:pict>
          <v:shape id="_x0000_s1029" o:spid="_x0000_s1029" o:spt="75" type="#_x0000_t75" style="position:absolute;left:0pt;margin-left:36.45pt;margin-top:5.45pt;height:201.15pt;width:359.2pt;mso-wrap-distance-bottom:0pt;mso-wrap-distance-top:0pt;z-index:251664384;mso-width-relative:page;mso-height-relative:page;" o:ole="t" fillcolor="#FF0000" filled="t" o:preferrelative="t" stroked="t" coordsize="21600,21600">
            <v:path/>
            <v:fill on="t" color2="#FFFFFF" focussize="0,0"/>
            <v:stroke color="#FF0000" joinstyle="miter"/>
            <v:imagedata r:id="rId22" cropright="689f" cropbottom="2698f" o:title=""/>
            <o:lock v:ext="edit" aspectratio="f"/>
            <v:shadow on="t" obscured="f" color="#FF0000" opacity="65536f" offset="2pt,2pt" offset2="0pt,0pt" origin="0f,0f" matrix="65536f,0f,0f,65536f,0,0"/>
            <w10:wrap type="topAndBottom"/>
          </v:shape>
          <o:OLEObject Type="Embed" ProgID="Excel.Sheet.8" ShapeID="_x0000_s1029" DrawAspect="Content" ObjectID="_1468075728" r:id="rId21">
            <o:LockedField>false</o:LockedField>
          </o:OLEObject>
        </w:pict>
      </w:r>
      <w:r>
        <w:rPr>
          <w:rFonts w:hint="eastAsia" w:ascii="仿宋" w:hAnsi="仿宋" w:eastAsia="仿宋"/>
          <w:color w:val="auto"/>
          <w:sz w:val="30"/>
          <w:szCs w:val="30"/>
          <w:highlight w:val="none"/>
        </w:rPr>
        <w:t>（图5：一般公共预算财政拨款支出决算变动情况）（柱状图）</w:t>
      </w:r>
    </w:p>
    <w:p w14:paraId="7604D6BE">
      <w:pPr>
        <w:spacing w:line="600" w:lineRule="exact"/>
        <w:ind w:firstLine="643" w:firstLineChars="200"/>
        <w:rPr>
          <w:rFonts w:hint="eastAsia" w:ascii="仿宋" w:hAnsi="仿宋" w:eastAsia="仿宋"/>
          <w:b/>
          <w:color w:val="auto"/>
          <w:sz w:val="32"/>
          <w:szCs w:val="32"/>
          <w:highlight w:val="none"/>
        </w:rPr>
      </w:pPr>
    </w:p>
    <w:p w14:paraId="7F0B82A5">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p>
    <w:p w14:paraId="4739A4A4">
      <w:pPr>
        <w:spacing w:line="60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1146.92</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s="仿宋"/>
          <w:color w:val="000000"/>
          <w:sz w:val="32"/>
          <w:szCs w:val="32"/>
          <w:lang w:val="en-US" w:eastAsia="zh-CN"/>
        </w:rPr>
        <w:t>78.86</w:t>
      </w:r>
      <w:r>
        <w:rPr>
          <w:rFonts w:hint="eastAsia" w:ascii="仿宋" w:hAnsi="仿宋" w:eastAsia="仿宋"/>
          <w:color w:val="auto"/>
          <w:sz w:val="32"/>
          <w:szCs w:val="32"/>
          <w:highlight w:val="none"/>
        </w:rPr>
        <w:t>万元，占</w:t>
      </w:r>
      <w:r>
        <w:rPr>
          <w:rFonts w:hint="eastAsia" w:ascii="仿宋" w:hAnsi="仿宋" w:eastAsia="仿宋" w:cs="仿宋"/>
          <w:color w:val="000000"/>
          <w:sz w:val="32"/>
          <w:szCs w:val="32"/>
          <w:lang w:val="en-US" w:eastAsia="zh-CN"/>
        </w:rPr>
        <w:t>6.88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s="仿宋"/>
          <w:color w:val="000000"/>
          <w:sz w:val="32"/>
          <w:szCs w:val="32"/>
          <w:lang w:val="en-US" w:eastAsia="zh-CN"/>
        </w:rPr>
        <w:t>1018.64</w:t>
      </w:r>
      <w:r>
        <w:rPr>
          <w:rFonts w:hint="eastAsia" w:ascii="仿宋" w:hAnsi="仿宋" w:eastAsia="仿宋"/>
          <w:color w:val="auto"/>
          <w:sz w:val="32"/>
          <w:szCs w:val="32"/>
          <w:highlight w:val="none"/>
        </w:rPr>
        <w:t>万元，占</w:t>
      </w:r>
      <w:r>
        <w:rPr>
          <w:rFonts w:hint="eastAsia" w:ascii="仿宋" w:hAnsi="仿宋" w:eastAsia="仿宋" w:cs="仿宋"/>
          <w:color w:val="000000"/>
          <w:sz w:val="32"/>
          <w:szCs w:val="32"/>
          <w:lang w:val="en-US" w:eastAsia="zh-CN"/>
        </w:rPr>
        <w:t>88.81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s="仿宋"/>
          <w:color w:val="000000"/>
          <w:sz w:val="32"/>
          <w:szCs w:val="32"/>
          <w:lang w:val="en-US" w:eastAsia="zh-CN"/>
        </w:rPr>
        <w:t>49.42</w:t>
      </w:r>
      <w:r>
        <w:rPr>
          <w:rFonts w:hint="eastAsia" w:ascii="仿宋" w:hAnsi="仿宋" w:eastAsia="仿宋"/>
          <w:color w:val="auto"/>
          <w:sz w:val="32"/>
          <w:szCs w:val="32"/>
          <w:highlight w:val="none"/>
        </w:rPr>
        <w:t>万元，占</w:t>
      </w:r>
      <w:r>
        <w:rPr>
          <w:rFonts w:hint="eastAsia" w:ascii="仿宋" w:hAnsi="仿宋" w:eastAsia="仿宋" w:cs="仿宋"/>
          <w:color w:val="000000"/>
          <w:sz w:val="32"/>
          <w:szCs w:val="32"/>
          <w:lang w:val="en-US" w:eastAsia="zh-CN"/>
        </w:rPr>
        <w:t>4.31</w:t>
      </w:r>
      <w:r>
        <w:rPr>
          <w:rFonts w:ascii="仿宋" w:hAnsi="仿宋" w:eastAsia="仿宋"/>
          <w:color w:val="auto"/>
          <w:sz w:val="32"/>
          <w:szCs w:val="32"/>
          <w:highlight w:val="none"/>
        </w:rPr>
        <w:t>%</w:t>
      </w:r>
      <w:r>
        <w:rPr>
          <w:rFonts w:hint="eastAsia" w:ascii="仿宋" w:hAnsi="仿宋" w:eastAsia="仿宋" w:cs="仿宋"/>
          <w:color w:val="000000"/>
          <w:sz w:val="32"/>
          <w:szCs w:val="32"/>
          <w:lang w:val="en-US" w:eastAsia="zh-CN"/>
        </w:rPr>
        <w:t>。</w:t>
      </w:r>
    </w:p>
    <w:p w14:paraId="265B5143">
      <w:pPr>
        <w:spacing w:line="600" w:lineRule="exact"/>
        <w:ind w:firstLine="640" w:firstLineChars="200"/>
        <w:rPr>
          <w:rFonts w:hint="eastAsia" w:ascii="仿宋" w:hAnsi="仿宋" w:eastAsia="仿宋"/>
          <w:color w:val="auto"/>
          <w:sz w:val="32"/>
          <w:szCs w:val="32"/>
          <w:highlight w:val="none"/>
        </w:rPr>
      </w:pPr>
    </w:p>
    <w:p w14:paraId="57453BFE">
      <w:pPr>
        <w:pStyle w:val="9"/>
        <w:jc w:val="center"/>
        <w:rPr>
          <w:rFonts w:hint="eastAsia" w:eastAsia="宋体"/>
          <w:lang w:eastAsia="zh-CN"/>
        </w:rPr>
      </w:pPr>
      <w:r>
        <w:rPr>
          <w:rFonts w:hint="eastAsia" w:eastAsia="宋体"/>
          <w:lang w:eastAsia="zh-CN"/>
        </w:rPr>
        <w:object>
          <v:shape id="_x0000_i1025" o:spt="75" type="#_x0000_t75" style="height:160.8pt;width:206.45pt;" o:ole="t" fillcolor="#FF0000" filled="t" o:preferrelative="t" stroked="t" coordsize="21600,21600">
            <v:path/>
            <v:fill on="t" color2="#FFFFFF" focussize="0,0"/>
            <v:stroke weight="0.25pt" color="#FF0000" joinstyle="miter"/>
            <v:imagedata r:id="rId24" cropleft="5275f" croptop="-331f" cropright="5866f" cropbottom="16668f" o:title=""/>
            <o:lock v:ext="edit" aspectratio="f"/>
            <v:shadow on="t" obscured="f" color="#FF0000" opacity="65536f" offset="2pt,2pt" offset2="0pt,0pt" origin="0f,0f" matrix="65536f,0f,0f,65536f,0,0"/>
            <w10:wrap type="none"/>
            <w10:anchorlock/>
          </v:shape>
          <o:OLEObject Type="Embed" ProgID="Excel.Sheet.8" ShapeID="_x0000_i1025" DrawAspect="Content" ObjectID="_1468075729" r:id="rId23">
            <o:LockedField>false</o:LockedField>
          </o:OLEObject>
        </w:object>
      </w:r>
    </w:p>
    <w:p w14:paraId="62ED140C">
      <w:pPr>
        <w:pStyle w:val="9"/>
        <w:ind w:left="0" w:leftChars="0" w:firstLine="0" w:firstLineChars="0"/>
        <w:rPr>
          <w:rFonts w:hint="eastAsia" w:ascii="仿宋" w:hAnsi="仿宋" w:eastAsia="仿宋"/>
          <w:color w:val="auto"/>
          <w:sz w:val="30"/>
          <w:szCs w:val="30"/>
          <w:highlight w:val="none"/>
        </w:rPr>
      </w:pPr>
      <w:r>
        <w:rPr>
          <w:rFonts w:hint="eastAsia" w:ascii="仿宋" w:hAnsi="仿宋" w:eastAsia="仿宋"/>
          <w:color w:val="auto"/>
          <w:sz w:val="32"/>
          <w:szCs w:val="32"/>
          <w:highlight w:val="none"/>
        </w:rPr>
        <w:t>（图6：一般公共预算财政拨款支出决算结构）（饼状图）</w:t>
      </w:r>
    </w:p>
    <w:p w14:paraId="787AD19B">
      <w:pPr>
        <w:pStyle w:val="9"/>
        <w:ind w:left="0" w:leftChars="0" w:firstLine="0" w:firstLineChars="0"/>
        <w:rPr>
          <w:rFonts w:hint="default" w:ascii="黑体" w:hAnsi="黑体" w:eastAsia="黑体"/>
          <w:color w:val="auto"/>
          <w:sz w:val="32"/>
          <w:szCs w:val="32"/>
          <w:highlight w:val="none"/>
          <w:lang w:val="en-US" w:eastAsia="zh-CN"/>
        </w:rPr>
      </w:pPr>
    </w:p>
    <w:p w14:paraId="66368855">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outlineLvl w:val="2"/>
        <w:rPr>
          <w:rFonts w:ascii="仿宋" w:hAnsi="仿宋" w:eastAsia="仿宋"/>
          <w:b/>
          <w:color w:val="auto"/>
          <w:sz w:val="32"/>
          <w:szCs w:val="32"/>
          <w:highlight w:val="none"/>
        </w:rPr>
      </w:pPr>
      <w:bookmarkStart w:id="17" w:name="_Toc15377212"/>
      <w:r>
        <w:rPr>
          <w:rFonts w:hint="eastAsia" w:ascii="仿宋" w:hAnsi="仿宋" w:eastAsia="仿宋"/>
          <w:b/>
          <w:color w:val="auto"/>
          <w:sz w:val="32"/>
          <w:szCs w:val="32"/>
          <w:highlight w:val="none"/>
        </w:rPr>
        <w:t>（三）一般公共预算财政拨款支出决算具体情况</w:t>
      </w:r>
      <w:bookmarkEnd w:id="17"/>
    </w:p>
    <w:p w14:paraId="370DACE3">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outlineLvl w:val="2"/>
        <w:rPr>
          <w:rStyle w:val="17"/>
          <w:rFonts w:hint="eastAsia" w:ascii="仿宋" w:hAnsi="仿宋" w:eastAsia="仿宋"/>
          <w:bCs/>
          <w:color w:val="auto"/>
          <w:sz w:val="32"/>
          <w:szCs w:val="32"/>
          <w:highlight w:val="none"/>
        </w:rPr>
      </w:pPr>
      <w:bookmarkStart w:id="18" w:name="_Toc15377213"/>
      <w:bookmarkStart w:id="19" w:name="_Toc15377444"/>
      <w:bookmarkStart w:id="20"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24</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val="en-US" w:eastAsia="zh-CN"/>
        </w:rPr>
        <w:t>度</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1146.92万元</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18"/>
      <w:bookmarkEnd w:id="19"/>
      <w:bookmarkEnd w:id="20"/>
    </w:p>
    <w:p w14:paraId="04CEBE6E">
      <w:pPr>
        <w:keepNext w:val="0"/>
        <w:keepLines w:val="0"/>
        <w:pageBreakBefore w:val="0"/>
        <w:widowControl w:val="0"/>
        <w:numPr>
          <w:ilvl w:val="0"/>
          <w:numId w:val="0"/>
        </w:numPr>
        <w:kinsoku/>
        <w:wordWrap/>
        <w:overflowPunct/>
        <w:topLinePunct w:val="0"/>
        <w:autoSpaceDE/>
        <w:autoSpaceDN/>
        <w:bidi w:val="0"/>
        <w:adjustRightInd/>
        <w:spacing w:line="600" w:lineRule="exact"/>
        <w:ind w:firstLine="643" w:firstLineChars="200"/>
        <w:textAlignment w:val="auto"/>
        <w:outlineLvl w:val="2"/>
        <w:rPr>
          <w:rFonts w:hint="eastAsia" w:ascii="仿宋_GB2312" w:hAnsi="仿宋_GB2312" w:eastAsia="仿宋_GB2312" w:cs="仿宋_GB2312"/>
          <w:color w:val="000000"/>
          <w:sz w:val="32"/>
          <w:szCs w:val="32"/>
          <w:lang w:eastAsia="zh-CN"/>
        </w:rPr>
      </w:pPr>
      <w:r>
        <w:rPr>
          <w:rStyle w:val="17"/>
          <w:rFonts w:hint="eastAsia" w:ascii="仿宋_GB2312" w:hAnsi="仿宋_GB2312" w:eastAsia="仿宋_GB2312" w:cs="仿宋_GB2312"/>
          <w:color w:val="000000"/>
          <w:sz w:val="32"/>
          <w:szCs w:val="32"/>
          <w:lang w:val="en-US" w:eastAsia="zh-CN"/>
        </w:rPr>
        <w:t>1.</w:t>
      </w:r>
      <w:r>
        <w:rPr>
          <w:rStyle w:val="17"/>
          <w:rFonts w:hint="eastAsia" w:ascii="仿宋_GB2312" w:hAnsi="仿宋_GB2312" w:eastAsia="仿宋_GB2312" w:cs="仿宋_GB2312"/>
          <w:color w:val="000000"/>
          <w:sz w:val="32"/>
          <w:szCs w:val="32"/>
        </w:rPr>
        <w:t>社会保障和就业</w:t>
      </w:r>
      <w:r>
        <w:rPr>
          <w:rStyle w:val="17"/>
          <w:rFonts w:hint="eastAsia" w:ascii="仿宋_GB2312" w:hAnsi="仿宋_GB2312" w:eastAsia="仿宋_GB2312" w:cs="仿宋_GB2312"/>
          <w:color w:val="000000"/>
          <w:sz w:val="32"/>
          <w:szCs w:val="32"/>
          <w:lang w:eastAsia="zh-CN"/>
        </w:rPr>
        <w:t>（类）：</w:t>
      </w:r>
      <w:r>
        <w:rPr>
          <w:rFonts w:hint="eastAsia" w:ascii="仿宋_GB2312" w:hAnsi="仿宋_GB2312" w:eastAsia="仿宋_GB2312" w:cs="仿宋_GB2312"/>
          <w:color w:val="000000"/>
          <w:sz w:val="32"/>
          <w:szCs w:val="32"/>
          <w:lang w:eastAsia="zh-CN"/>
        </w:rPr>
        <w:sym w:font="Wingdings" w:char="F081"/>
      </w:r>
      <w:r>
        <w:rPr>
          <w:rStyle w:val="17"/>
          <w:rFonts w:hint="eastAsia" w:ascii="仿宋_GB2312" w:hAnsi="仿宋_GB2312" w:eastAsia="仿宋_GB2312" w:cs="仿宋_GB2312"/>
          <w:color w:val="000000"/>
          <w:sz w:val="32"/>
          <w:szCs w:val="32"/>
          <w:lang w:eastAsia="zh-CN"/>
        </w:rPr>
        <w:t>行政事业单位养老支出（款）事业单位离退休（项）</w:t>
      </w:r>
      <w:r>
        <w:rPr>
          <w:rFonts w:hint="eastAsia" w:ascii="仿宋_GB2312" w:hAnsi="仿宋_GB2312" w:eastAsia="仿宋_GB2312" w:cs="仿宋_GB2312"/>
          <w:color w:val="000000"/>
          <w:sz w:val="32"/>
          <w:szCs w:val="32"/>
          <w:lang w:eastAsia="zh-CN"/>
        </w:rPr>
        <w:t>：支出决算为</w:t>
      </w:r>
      <w:r>
        <w:rPr>
          <w:rFonts w:hint="eastAsia" w:ascii="仿宋_GB2312" w:hAnsi="仿宋_GB2312" w:eastAsia="仿宋_GB2312" w:cs="仿宋_GB2312"/>
          <w:color w:val="000000"/>
          <w:sz w:val="32"/>
          <w:szCs w:val="32"/>
          <w:lang w:val="en-US" w:eastAsia="zh-CN"/>
        </w:rPr>
        <w:t>8.97万元，完成预算100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与预算数持平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eastAsia="zh-CN"/>
        </w:rPr>
        <w:sym w:font="Wingdings" w:char="F082"/>
      </w:r>
      <w:r>
        <w:rPr>
          <w:rStyle w:val="17"/>
          <w:rFonts w:hint="eastAsia" w:ascii="仿宋_GB2312" w:hAnsi="仿宋_GB2312" w:eastAsia="仿宋_GB2312" w:cs="仿宋_GB2312"/>
          <w:color w:val="000000"/>
          <w:sz w:val="32"/>
          <w:szCs w:val="32"/>
          <w:lang w:eastAsia="zh-CN"/>
        </w:rPr>
        <w:t>行政事业单位养老支出（款）机关事业单位基本养老保险缴费支出（项）</w:t>
      </w:r>
      <w:r>
        <w:rPr>
          <w:rFonts w:hint="eastAsia" w:ascii="仿宋_GB2312" w:hAnsi="仿宋_GB2312" w:eastAsia="仿宋_GB2312" w:cs="仿宋_GB2312"/>
          <w:color w:val="000000"/>
          <w:sz w:val="32"/>
          <w:szCs w:val="32"/>
          <w:lang w:eastAsia="zh-CN"/>
        </w:rPr>
        <w:t>：支出决算为</w:t>
      </w:r>
      <w:r>
        <w:rPr>
          <w:rFonts w:hint="eastAsia" w:ascii="仿宋_GB2312" w:hAnsi="仿宋_GB2312" w:eastAsia="仿宋_GB2312" w:cs="仿宋_GB2312"/>
          <w:color w:val="000000"/>
          <w:sz w:val="32"/>
          <w:szCs w:val="32"/>
          <w:lang w:val="en-US" w:eastAsia="zh-CN"/>
        </w:rPr>
        <w:t>65.45万元，完成预算100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与预算数持平</w:t>
      </w:r>
      <w:r>
        <w:rPr>
          <w:rFonts w:hint="eastAsia" w:ascii="仿宋_GB2312" w:hAnsi="仿宋_GB2312" w:eastAsia="仿宋_GB2312" w:cs="仿宋_GB2312"/>
          <w:color w:val="000000"/>
          <w:sz w:val="32"/>
          <w:szCs w:val="32"/>
          <w:lang w:eastAsia="zh-CN"/>
        </w:rPr>
        <w:t>；</w:t>
      </w:r>
      <w:r>
        <w:rPr>
          <w:rFonts w:hint="default" w:ascii="仿宋_GB2312" w:hAnsi="仿宋_GB2312" w:eastAsia="仿宋_GB2312" w:cs="仿宋_GB2312"/>
          <w:color w:val="000000"/>
          <w:sz w:val="32"/>
          <w:szCs w:val="32"/>
          <w:lang w:eastAsia="zh-CN"/>
        </w:rPr>
        <w:t>③</w:t>
      </w:r>
      <w:r>
        <w:rPr>
          <w:rStyle w:val="17"/>
          <w:rFonts w:hint="eastAsia" w:ascii="仿宋_GB2312" w:hAnsi="仿宋_GB2312" w:eastAsia="仿宋_GB2312" w:cs="仿宋_GB2312"/>
          <w:color w:val="000000"/>
          <w:sz w:val="32"/>
          <w:szCs w:val="32"/>
          <w:lang w:eastAsia="zh-CN"/>
        </w:rPr>
        <w:t>抚恤（款）死亡抚恤（项）</w:t>
      </w:r>
      <w:r>
        <w:rPr>
          <w:rFonts w:hint="eastAsia" w:ascii="仿宋_GB2312" w:hAnsi="仿宋_GB2312" w:eastAsia="仿宋_GB2312" w:cs="仿宋_GB2312"/>
          <w:color w:val="000000"/>
          <w:sz w:val="32"/>
          <w:szCs w:val="32"/>
          <w:lang w:eastAsia="zh-CN"/>
        </w:rPr>
        <w:t>：支出决算为</w:t>
      </w:r>
      <w:r>
        <w:rPr>
          <w:rFonts w:hint="eastAsia" w:ascii="仿宋_GB2312" w:hAnsi="仿宋_GB2312" w:eastAsia="仿宋_GB2312" w:cs="仿宋_GB2312"/>
          <w:color w:val="000000"/>
          <w:sz w:val="32"/>
          <w:szCs w:val="32"/>
          <w:lang w:val="en-US" w:eastAsia="zh-CN"/>
        </w:rPr>
        <w:t>0.18万元，完成预算100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与预算数持平</w:t>
      </w:r>
      <w:r>
        <w:rPr>
          <w:rFonts w:hint="eastAsia" w:ascii="仿宋_GB2312" w:hAnsi="仿宋_GB2312" w:eastAsia="仿宋_GB2312" w:cs="仿宋_GB2312"/>
          <w:color w:val="000000"/>
          <w:sz w:val="32"/>
          <w:szCs w:val="32"/>
          <w:lang w:eastAsia="zh-CN"/>
        </w:rPr>
        <w:t>；</w:t>
      </w:r>
      <w:r>
        <w:rPr>
          <w:rFonts w:hint="eastAsia" w:ascii="微软雅黑" w:hAnsi="微软雅黑" w:eastAsia="微软雅黑" w:cs="微软雅黑"/>
          <w:color w:val="000000"/>
          <w:sz w:val="32"/>
          <w:szCs w:val="32"/>
          <w:lang w:eastAsia="zh-CN"/>
        </w:rPr>
        <w:t>④</w:t>
      </w:r>
      <w:r>
        <w:rPr>
          <w:rStyle w:val="17"/>
          <w:rFonts w:hint="eastAsia" w:ascii="仿宋_GB2312" w:hAnsi="仿宋_GB2312" w:eastAsia="仿宋_GB2312" w:cs="仿宋_GB2312"/>
          <w:color w:val="000000"/>
          <w:sz w:val="32"/>
          <w:szCs w:val="32"/>
          <w:lang w:eastAsia="zh-CN"/>
        </w:rPr>
        <w:t>其他社会保障和就业支出（款）其他社会保障和就业支出（项）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支出</w:t>
      </w:r>
      <w:r>
        <w:rPr>
          <w:rFonts w:hint="eastAsia" w:ascii="仿宋_GB2312" w:hAnsi="仿宋_GB2312" w:eastAsia="仿宋_GB2312" w:cs="仿宋_GB2312"/>
          <w:color w:val="000000"/>
          <w:sz w:val="32"/>
          <w:szCs w:val="32"/>
        </w:rPr>
        <w:t>决算为</w:t>
      </w:r>
      <w:r>
        <w:rPr>
          <w:rFonts w:hint="eastAsia" w:ascii="仿宋_GB2312" w:hAnsi="仿宋_GB2312" w:eastAsia="仿宋_GB2312" w:cs="仿宋_GB2312"/>
          <w:color w:val="000000"/>
          <w:sz w:val="32"/>
          <w:szCs w:val="32"/>
          <w:lang w:val="en-US" w:eastAsia="zh-CN"/>
        </w:rPr>
        <w:t>4.26万</w:t>
      </w:r>
      <w:r>
        <w:rPr>
          <w:rFonts w:hint="eastAsia" w:ascii="仿宋_GB2312" w:hAnsi="仿宋_GB2312" w:eastAsia="仿宋_GB2312" w:cs="仿宋_GB2312"/>
          <w:color w:val="000000"/>
          <w:sz w:val="32"/>
          <w:szCs w:val="32"/>
        </w:rPr>
        <w:t>元，完成预算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与预算数持平</w:t>
      </w:r>
      <w:r>
        <w:rPr>
          <w:rFonts w:hint="eastAsia" w:ascii="仿宋_GB2312" w:hAnsi="仿宋_GB2312" w:eastAsia="仿宋_GB2312" w:cs="仿宋_GB2312"/>
          <w:color w:val="000000"/>
          <w:sz w:val="32"/>
          <w:szCs w:val="32"/>
          <w:lang w:eastAsia="zh-CN"/>
        </w:rPr>
        <w:t>。</w:t>
      </w:r>
    </w:p>
    <w:p w14:paraId="4EF8AB8B">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color w:val="000000"/>
          <w:sz w:val="32"/>
          <w:szCs w:val="32"/>
          <w:lang w:val="en-US" w:eastAsia="zh-CN"/>
        </w:rPr>
      </w:pPr>
      <w:r>
        <w:rPr>
          <w:rStyle w:val="17"/>
          <w:rFonts w:hint="eastAsia" w:ascii="仿宋_GB2312" w:eastAsia="仿宋_GB2312"/>
          <w:color w:val="000000"/>
          <w:sz w:val="32"/>
          <w:szCs w:val="32"/>
          <w:lang w:val="en-US" w:eastAsia="zh-CN"/>
        </w:rPr>
        <w:t>2</w:t>
      </w:r>
      <w:r>
        <w:rPr>
          <w:rStyle w:val="17"/>
          <w:rFonts w:hint="eastAsia" w:ascii="仿宋_GB2312" w:eastAsia="仿宋_GB2312"/>
          <w:color w:val="000000"/>
          <w:sz w:val="32"/>
          <w:szCs w:val="32"/>
        </w:rPr>
        <w:t>.</w:t>
      </w:r>
      <w:r>
        <w:rPr>
          <w:rStyle w:val="17"/>
          <w:rFonts w:hint="eastAsia" w:ascii="仿宋_GB2312" w:hAnsi="仿宋_GB2312" w:eastAsia="仿宋_GB2312" w:cs="仿宋_GB2312"/>
          <w:color w:val="000000"/>
          <w:sz w:val="32"/>
          <w:szCs w:val="32"/>
          <w:lang w:eastAsia="zh-CN"/>
        </w:rPr>
        <w:t>卫生健康（类</w:t>
      </w:r>
      <w:r>
        <w:rPr>
          <w:rStyle w:val="17"/>
          <w:rFonts w:hint="eastAsia" w:ascii="仿宋_GB2312" w:hAnsi="仿宋_GB2312" w:cs="仿宋_GB2312"/>
          <w:color w:val="000000"/>
          <w:sz w:val="32"/>
          <w:szCs w:val="32"/>
          <w:lang w:eastAsia="zh-CN"/>
        </w:rPr>
        <w:t>）</w:t>
      </w:r>
      <w:r>
        <w:rPr>
          <w:rStyle w:val="17"/>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eastAsia="zh-CN"/>
        </w:rPr>
        <w:sym w:font="Wingdings" w:char="F081"/>
      </w:r>
      <w:r>
        <w:rPr>
          <w:rStyle w:val="17"/>
          <w:rFonts w:hint="eastAsia" w:ascii="仿宋_GB2312" w:hAnsi="仿宋_GB2312" w:eastAsia="仿宋_GB2312" w:cs="仿宋_GB2312"/>
          <w:color w:val="000000"/>
          <w:sz w:val="32"/>
          <w:szCs w:val="32"/>
          <w:lang w:val="en-US" w:eastAsia="zh-CN"/>
        </w:rPr>
        <w:t>公共卫生（款）疾病预防控制机构（项）:</w:t>
      </w:r>
      <w:r>
        <w:rPr>
          <w:rFonts w:hint="eastAsia" w:ascii="仿宋_GB2312" w:hAnsi="仿宋_GB2312" w:eastAsia="仿宋_GB2312" w:cs="仿宋_GB2312"/>
          <w:color w:val="000000"/>
          <w:sz w:val="32"/>
          <w:szCs w:val="32"/>
          <w:lang w:val="en-US" w:eastAsia="zh-CN"/>
        </w:rPr>
        <w:t>支出决算为693.84万元，完成预算100%，与预算数持平；</w:t>
      </w:r>
      <w:r>
        <w:rPr>
          <w:rFonts w:hint="eastAsia" w:ascii="仿宋_GB2312" w:hAnsi="仿宋_GB2312" w:eastAsia="仿宋_GB2312" w:cs="仿宋_GB2312"/>
          <w:color w:val="000000"/>
          <w:sz w:val="32"/>
          <w:szCs w:val="32"/>
          <w:lang w:eastAsia="zh-CN"/>
        </w:rPr>
        <w:sym w:font="Wingdings" w:char="F082"/>
      </w:r>
      <w:r>
        <w:rPr>
          <w:rStyle w:val="17"/>
          <w:rFonts w:hint="eastAsia" w:ascii="仿宋_GB2312" w:hAnsi="仿宋_GB2312" w:eastAsia="仿宋_GB2312" w:cs="仿宋_GB2312"/>
          <w:color w:val="000000"/>
          <w:sz w:val="32"/>
          <w:szCs w:val="32"/>
          <w:lang w:val="en-US" w:eastAsia="zh-CN"/>
        </w:rPr>
        <w:t>公共卫生（款）重大公共卫生（项）:</w:t>
      </w:r>
      <w:r>
        <w:rPr>
          <w:rFonts w:hint="eastAsia" w:ascii="仿宋_GB2312" w:hAnsi="仿宋_GB2312" w:eastAsia="仿宋_GB2312" w:cs="仿宋_GB2312"/>
          <w:color w:val="000000"/>
          <w:sz w:val="32"/>
          <w:szCs w:val="32"/>
          <w:lang w:val="en-US" w:eastAsia="zh-CN"/>
        </w:rPr>
        <w:t>支出决算为188.42万元，完成预算100%，与预算数持平；</w:t>
      </w:r>
      <w:r>
        <w:rPr>
          <w:rStyle w:val="17"/>
          <w:rFonts w:hint="eastAsia" w:ascii="仿宋_GB2312" w:hAnsi="仿宋_GB2312" w:eastAsia="仿宋_GB2312" w:cs="仿宋_GB2312"/>
          <w:color w:val="000000"/>
          <w:sz w:val="32"/>
          <w:szCs w:val="32"/>
          <w:lang w:val="en-US" w:eastAsia="zh-CN"/>
        </w:rPr>
        <w:t>③公共卫生（款）突发公共卫生事件应急处置（项）:</w:t>
      </w:r>
      <w:r>
        <w:rPr>
          <w:rFonts w:hint="eastAsia" w:ascii="仿宋_GB2312" w:hAnsi="仿宋_GB2312" w:eastAsia="仿宋_GB2312" w:cs="仿宋_GB2312"/>
          <w:color w:val="000000"/>
          <w:sz w:val="32"/>
          <w:szCs w:val="32"/>
          <w:lang w:val="en-US" w:eastAsia="zh-CN"/>
        </w:rPr>
        <w:t>支出决算为50万元，完成预算100%，与预算数持平；</w:t>
      </w:r>
      <w:r>
        <w:rPr>
          <w:rStyle w:val="17"/>
          <w:rFonts w:hint="eastAsia" w:ascii="仿宋_GB2312" w:hAnsi="仿宋_GB2312" w:eastAsia="仿宋_GB2312" w:cs="仿宋_GB2312"/>
          <w:color w:val="000000"/>
          <w:sz w:val="32"/>
          <w:szCs w:val="32"/>
          <w:lang w:val="en-US" w:eastAsia="zh-CN"/>
        </w:rPr>
        <w:t>④行政事业单位医疗（款）事业单位医疗支出（项）：</w:t>
      </w:r>
      <w:r>
        <w:rPr>
          <w:rFonts w:hint="eastAsia" w:ascii="仿宋_GB2312" w:hAnsi="仿宋_GB2312" w:eastAsia="仿宋_GB2312" w:cs="仿宋_GB2312"/>
          <w:color w:val="000000"/>
          <w:sz w:val="32"/>
          <w:szCs w:val="32"/>
          <w:lang w:val="en-US" w:eastAsia="zh-CN"/>
        </w:rPr>
        <w:t>支出决算为26.38万元，完成预算100%，与预算数持平。</w:t>
      </w:r>
      <w:r>
        <w:rPr>
          <w:rStyle w:val="17"/>
          <w:rFonts w:hint="eastAsia" w:ascii="仿宋_GB2312" w:hAnsi="仿宋_GB2312" w:eastAsia="仿宋_GB2312" w:cs="仿宋_GB2312"/>
          <w:color w:val="000000"/>
          <w:sz w:val="32"/>
          <w:szCs w:val="32"/>
          <w:lang w:val="en-US" w:eastAsia="zh-CN"/>
        </w:rPr>
        <w:t>⑤其他卫生健康支出（款）其他卫生健康支出（项）：</w:t>
      </w:r>
      <w:r>
        <w:rPr>
          <w:rFonts w:hint="eastAsia" w:ascii="仿宋_GB2312" w:hAnsi="仿宋_GB2312" w:eastAsia="仿宋_GB2312" w:cs="仿宋_GB2312"/>
          <w:color w:val="000000"/>
          <w:sz w:val="32"/>
          <w:szCs w:val="32"/>
          <w:lang w:val="en-US" w:eastAsia="zh-CN"/>
        </w:rPr>
        <w:t>支出决算为60万元，完成预算100%，与预算数持平。</w:t>
      </w:r>
    </w:p>
    <w:p w14:paraId="69393900">
      <w:pPr>
        <w:keepNext w:val="0"/>
        <w:keepLines w:val="0"/>
        <w:pageBreakBefore w:val="0"/>
        <w:tabs>
          <w:tab w:val="right" w:pos="8306"/>
        </w:tabs>
        <w:kinsoku/>
        <w:wordWrap/>
        <w:overflowPunct/>
        <w:topLinePunct w:val="0"/>
        <w:autoSpaceDN/>
        <w:bidi w:val="0"/>
        <w:adjustRightInd/>
        <w:spacing w:line="600" w:lineRule="exact"/>
        <w:ind w:firstLine="640"/>
        <w:textAlignment w:val="auto"/>
        <w:outlineLvl w:val="1"/>
        <w:rPr>
          <w:rFonts w:hint="eastAsia" w:ascii="仿宋_GB2312" w:hAnsi="仿宋_GB2312" w:eastAsia="仿宋_GB2312" w:cs="仿宋_GB2312"/>
          <w:color w:val="000000"/>
          <w:sz w:val="32"/>
          <w:szCs w:val="32"/>
          <w:lang w:val="en-US" w:eastAsia="zh-CN"/>
        </w:rPr>
      </w:pPr>
      <w:r>
        <w:rPr>
          <w:rStyle w:val="17"/>
          <w:rFonts w:hint="eastAsia" w:ascii="仿宋_GB2312" w:hAnsi="仿宋_GB2312" w:eastAsia="仿宋_GB2312" w:cs="仿宋_GB2312"/>
          <w:color w:val="000000"/>
          <w:sz w:val="32"/>
          <w:szCs w:val="32"/>
          <w:lang w:val="en-US" w:eastAsia="zh-CN"/>
        </w:rPr>
        <w:t>3.住房保障（类）住房改革（款）住房公积金（项）：</w:t>
      </w:r>
      <w:r>
        <w:rPr>
          <w:rFonts w:hint="eastAsia" w:ascii="仿宋_GB2312" w:hAnsi="仿宋_GB2312" w:eastAsia="仿宋_GB2312" w:cs="仿宋_GB2312"/>
          <w:color w:val="000000"/>
          <w:sz w:val="32"/>
          <w:szCs w:val="32"/>
          <w:lang w:val="en-US" w:eastAsia="zh-CN"/>
        </w:rPr>
        <w:t>支出决算49.42万元，完成预算100%，与预算数持平。</w:t>
      </w:r>
    </w:p>
    <w:p w14:paraId="00BB3452">
      <w:pPr>
        <w:keepNext w:val="0"/>
        <w:keepLines w:val="0"/>
        <w:pageBreakBefore w:val="0"/>
        <w:tabs>
          <w:tab w:val="right" w:pos="8306"/>
        </w:tabs>
        <w:kinsoku/>
        <w:wordWrap/>
        <w:overflowPunct/>
        <w:topLinePunct w:val="0"/>
        <w:autoSpaceDN/>
        <w:bidi w:val="0"/>
        <w:adjustRightInd/>
        <w:spacing w:line="600" w:lineRule="exact"/>
        <w:ind w:firstLine="640"/>
        <w:textAlignment w:val="auto"/>
        <w:outlineLvl w:val="1"/>
        <w:rPr>
          <w:rStyle w:val="20"/>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般公共预算财政拨款基本支出决算情况说明</w:t>
      </w:r>
      <w:r>
        <w:rPr>
          <w:rStyle w:val="20"/>
          <w:rFonts w:ascii="黑体" w:hAnsi="黑体" w:eastAsia="黑体"/>
          <w:b w:val="0"/>
          <w:color w:val="auto"/>
          <w:highlight w:val="none"/>
        </w:rPr>
        <w:tab/>
      </w:r>
    </w:p>
    <w:p w14:paraId="53B9794C">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2024年度一般公共预算财政拨款基本支出661.50万元，其中：</w:t>
      </w:r>
    </w:p>
    <w:p w14:paraId="54ABCE92">
      <w:pPr>
        <w:keepNext w:val="0"/>
        <w:keepLines w:val="0"/>
        <w:pageBreakBefore w:val="0"/>
        <w:widowControl/>
        <w:kinsoku/>
        <w:wordWrap/>
        <w:overflowPunct/>
        <w:topLinePunct w:val="0"/>
        <w:autoSpaceDE/>
        <w:autoSpaceDN/>
        <w:bidi w:val="0"/>
        <w:adjustRightInd/>
        <w:snapToGrid/>
        <w:spacing w:line="600" w:lineRule="exact"/>
        <w:ind w:firstLine="645" w:firstLineChars="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2"/>
          <w:sz w:val="32"/>
          <w:szCs w:val="32"/>
          <w:lang w:val="en-US" w:eastAsia="zh-CN" w:bidi="ar-SA"/>
        </w:rPr>
        <w:t>人员经费596.25万元，</w:t>
      </w:r>
      <w:r>
        <w:rPr>
          <w:rFonts w:hint="eastAsia" w:ascii="仿宋" w:hAnsi="仿宋" w:eastAsia="仿宋"/>
          <w:color w:val="auto"/>
          <w:sz w:val="32"/>
          <w:szCs w:val="32"/>
          <w:highlight w:val="none"/>
        </w:rPr>
        <w:t>主</w:t>
      </w:r>
      <w:r>
        <w:rPr>
          <w:rFonts w:hint="eastAsia" w:ascii="仿宋_GB2312" w:hAnsi="仿宋_GB2312" w:eastAsia="仿宋_GB2312" w:cs="仿宋_GB2312"/>
          <w:color w:val="000000"/>
          <w:sz w:val="32"/>
          <w:szCs w:val="32"/>
          <w:lang w:val="en-US" w:eastAsia="zh-CN"/>
        </w:rPr>
        <w:t>要包括：基本工资、津贴补贴、绩效工资、机关事业单位基本养老保险缴费、职工医保缴费、其他社会保障缴费、其他工资福利支出、退休职工生活补助、奖励金、住房公积金、其他对个人和家庭的补助支出等。</w:t>
      </w:r>
    </w:p>
    <w:p w14:paraId="121DEF66">
      <w:pPr>
        <w:spacing w:line="600" w:lineRule="exact"/>
        <w:ind w:firstLine="645"/>
        <w:rPr>
          <w:rFonts w:ascii="仿宋" w:hAnsi="仿宋" w:eastAsia="仿宋"/>
          <w:color w:val="auto"/>
          <w:sz w:val="32"/>
          <w:szCs w:val="32"/>
          <w:highlight w:val="none"/>
        </w:rPr>
      </w:pPr>
      <w:r>
        <w:rPr>
          <w:rFonts w:hint="eastAsia" w:ascii="仿宋_GB2312" w:hAnsi="仿宋_GB2312" w:eastAsia="仿宋_GB2312" w:cs="仿宋_GB2312"/>
          <w:color w:val="000000"/>
          <w:kern w:val="2"/>
          <w:sz w:val="32"/>
          <w:szCs w:val="32"/>
          <w:lang w:val="en-US" w:eastAsia="zh-CN" w:bidi="ar-SA"/>
        </w:rPr>
        <w:t>公用经费65.25万元，</w:t>
      </w:r>
      <w:r>
        <w:rPr>
          <w:rFonts w:hint="eastAsia" w:ascii="仿宋" w:hAnsi="仿宋" w:eastAsia="仿宋"/>
          <w:color w:val="auto"/>
          <w:sz w:val="32"/>
          <w:szCs w:val="32"/>
          <w:highlight w:val="none"/>
        </w:rPr>
        <w:t>主</w:t>
      </w:r>
      <w:r>
        <w:rPr>
          <w:rFonts w:hint="eastAsia" w:ascii="仿宋_GB2312" w:hAnsi="仿宋_GB2312" w:eastAsia="仿宋_GB2312" w:cs="仿宋_GB2312"/>
          <w:color w:val="000000"/>
          <w:sz w:val="32"/>
          <w:szCs w:val="32"/>
          <w:lang w:val="en-US" w:eastAsia="zh-CN"/>
        </w:rPr>
        <w:t>要包括：办公费、印刷费、咨询费、水费、电费、邮电费、物业管理费、差旅费、维修（护）费、培训费、公务接待费、劳务费、工会经费、福利费、公务用车运行维护费、其他商品和服务支出等。</w:t>
      </w:r>
    </w:p>
    <w:p w14:paraId="2C466CE5">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N/>
        <w:bidi w:val="0"/>
        <w:adjustRightInd/>
        <w:spacing w:line="600" w:lineRule="exact"/>
        <w:ind w:firstLine="640"/>
        <w:textAlignment w:val="auto"/>
        <w:outlineLvl w:val="1"/>
        <w:rPr>
          <w:rStyle w:val="20"/>
          <w:rFonts w:ascii="黑体" w:hAnsi="黑体" w:eastAsia="黑体"/>
          <w:b w:val="0"/>
          <w:color w:val="auto"/>
          <w:highlight w:val="none"/>
        </w:rPr>
      </w:pPr>
      <w:bookmarkStart w:id="21" w:name="_Toc15396609"/>
      <w:bookmarkStart w:id="22" w:name="_Toc15377215"/>
      <w:r>
        <w:rPr>
          <w:rFonts w:hint="eastAsia" w:ascii="黑体" w:eastAsia="黑体"/>
          <w:color w:val="auto"/>
          <w:sz w:val="32"/>
          <w:szCs w:val="32"/>
          <w:highlight w:val="none"/>
        </w:rPr>
        <w:t>七、</w:t>
      </w:r>
      <w:r>
        <w:rPr>
          <w:rStyle w:val="20"/>
          <w:rFonts w:hint="eastAsia" w:ascii="黑体" w:hAnsi="黑体" w:eastAsia="黑体"/>
          <w:b w:val="0"/>
          <w:color w:val="auto"/>
          <w:highlight w:val="none"/>
        </w:rPr>
        <w:t>财政拨款</w:t>
      </w:r>
      <w:r>
        <w:rPr>
          <w:rStyle w:val="20"/>
          <w:rFonts w:hint="eastAsia" w:ascii="黑体" w:hAnsi="黑体" w:eastAsia="黑体"/>
          <w:color w:val="auto"/>
          <w:highlight w:val="none"/>
        </w:rPr>
        <w:t>“</w:t>
      </w:r>
      <w:r>
        <w:rPr>
          <w:rStyle w:val="20"/>
          <w:rFonts w:hint="eastAsia" w:ascii="黑体" w:hAnsi="黑体" w:eastAsia="黑体"/>
          <w:b w:val="0"/>
          <w:color w:val="auto"/>
          <w:highlight w:val="none"/>
        </w:rPr>
        <w:t>三公”经费支出决算情况说明</w:t>
      </w:r>
      <w:bookmarkEnd w:id="21"/>
      <w:bookmarkEnd w:id="22"/>
    </w:p>
    <w:p w14:paraId="427E9455">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N/>
        <w:bidi w:val="0"/>
        <w:adjustRightInd/>
        <w:spacing w:line="600" w:lineRule="exact"/>
        <w:ind w:firstLine="640"/>
        <w:textAlignment w:val="auto"/>
        <w:outlineLvl w:val="2"/>
        <w:rPr>
          <w:rFonts w:ascii="仿宋" w:hAnsi="仿宋" w:eastAsia="仿宋"/>
          <w:b/>
          <w:color w:val="auto"/>
          <w:sz w:val="32"/>
          <w:szCs w:val="32"/>
          <w:highlight w:val="none"/>
        </w:rPr>
      </w:pPr>
      <w:bookmarkStart w:id="23" w:name="_Toc15377216"/>
      <w:r>
        <w:rPr>
          <w:rFonts w:hint="eastAsia" w:ascii="仿宋" w:hAnsi="仿宋" w:eastAsia="仿宋"/>
          <w:b/>
          <w:color w:val="auto"/>
          <w:sz w:val="32"/>
          <w:szCs w:val="32"/>
          <w:highlight w:val="none"/>
        </w:rPr>
        <w:t>（一）“三公”经费财政拨款支出决算总体情况说明</w:t>
      </w:r>
      <w:bookmarkEnd w:id="23"/>
    </w:p>
    <w:p w14:paraId="6BE2D0F0">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2"/>
          <w:sz w:val="32"/>
          <w:szCs w:val="32"/>
          <w:lang w:val="en-US" w:eastAsia="zh-CN" w:bidi="ar-SA"/>
        </w:rPr>
        <w:t>2</w:t>
      </w:r>
      <w:r>
        <w:rPr>
          <w:rFonts w:hint="eastAsia" w:ascii="仿宋_GB2312" w:hAnsi="仿宋_GB2312" w:eastAsia="仿宋_GB2312" w:cs="仿宋_GB2312"/>
          <w:color w:val="000000"/>
          <w:sz w:val="32"/>
          <w:szCs w:val="32"/>
          <w:lang w:val="en-US" w:eastAsia="zh-CN"/>
        </w:rPr>
        <w:t>024年度“三公”经费财政拨款支出决算为10.23万元，完成预算37.08%，较上年减少2.93万元，下降22.26%。决算数小于预算数的主要原因是本年公务接待减少，本年公务接待减少，因新冠疫情结束，上级业务督导重点转在重大传染病防治方面，工作餐增加，接待相应减少；公务用车运行维护减少，本年因新冠疫情防控结束，疫苗配送次数减少，疫情防控期间，车辆新增及换新三辆，车辆维护费减少，单</w:t>
      </w:r>
      <w:r>
        <w:rPr>
          <w:rFonts w:hint="eastAsia" w:ascii="仿宋_GB2312" w:hAnsi="仿宋_GB2312" w:eastAsia="仿宋_GB2312" w:cs="仿宋_GB2312"/>
          <w:sz w:val="32"/>
          <w:szCs w:val="32"/>
          <w:lang w:val="en-US" w:eastAsia="zh-CN"/>
        </w:rPr>
        <w:t>位各科室业务用车，用车时间尽量调整一起，节省了车辆燃油费；本单位无因公出（国）境费用预算。</w:t>
      </w:r>
    </w:p>
    <w:p w14:paraId="19CED659">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val="0"/>
        <w:autoSpaceDN/>
        <w:bidi w:val="0"/>
        <w:adjustRightInd/>
        <w:snapToGrid w:val="0"/>
        <w:spacing w:line="600" w:lineRule="exact"/>
        <w:ind w:right="0" w:rightChars="0" w:firstLine="643" w:firstLineChars="200"/>
        <w:jc w:val="both"/>
        <w:textAlignment w:val="auto"/>
        <w:outlineLvl w:val="9"/>
        <w:rPr>
          <w:rFonts w:hint="eastAsia" w:ascii="仿宋" w:hAnsi="仿宋" w:eastAsia="仿宋"/>
          <w:b/>
          <w:color w:val="auto"/>
          <w:sz w:val="32"/>
          <w:szCs w:val="32"/>
          <w:highlight w:val="none"/>
        </w:rPr>
      </w:pPr>
      <w:bookmarkStart w:id="24" w:name="_Toc15377217"/>
      <w:r>
        <w:rPr>
          <w:rFonts w:hint="eastAsia" w:ascii="仿宋" w:hAnsi="仿宋" w:eastAsia="仿宋"/>
          <w:b/>
          <w:color w:val="auto"/>
          <w:sz w:val="32"/>
          <w:szCs w:val="32"/>
          <w:highlight w:val="none"/>
        </w:rPr>
        <w:t>“三公”经费财政拨款支出决算具体情况说明</w:t>
      </w:r>
      <w:bookmarkEnd w:id="24"/>
    </w:p>
    <w:p w14:paraId="6E5509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2024年度“三公”经费财政拨款支出决算中，因公出国（境）费支出决算0万元，占0%；公务用车购置及运行维护费支出决算9.98万元，占97.56%；公务接待费支出决算0.24万元，占2.34%。具体情况如下：</w:t>
      </w:r>
    </w:p>
    <w:p w14:paraId="038C579F">
      <w:pPr>
        <w:pStyle w:val="9"/>
        <w:pBdr>
          <w:top w:val="none" w:color="auto" w:sz="0" w:space="0"/>
          <w:left w:val="none" w:color="auto" w:sz="0" w:space="0"/>
          <w:bottom w:val="none" w:color="auto" w:sz="0" w:space="0"/>
          <w:right w:val="none" w:color="auto" w:sz="0" w:space="0"/>
          <w:between w:val="none" w:color="auto" w:sz="0" w:space="0"/>
        </w:pBdr>
        <w:ind w:left="0" w:leftChars="0" w:firstLine="0" w:firstLineChars="0"/>
        <w:rPr>
          <w:rFonts w:hint="eastAsia" w:ascii="仿宋" w:hAnsi="仿宋" w:eastAsia="仿宋"/>
          <w:color w:val="auto"/>
          <w:sz w:val="32"/>
          <w:szCs w:val="32"/>
          <w:highlight w:val="none"/>
        </w:rPr>
      </w:pPr>
      <w:r>
        <w:rPr>
          <w:rFonts w:hint="eastAsia" w:eastAsia="宋体"/>
          <w:lang w:eastAsia="zh-CN"/>
        </w:rPr>
        <w:pict>
          <v:shape id="_x0000_s1030" o:spid="_x0000_s1030" o:spt="75" type="#_x0000_t75" style="position:absolute;left:0pt;margin-left:26.2pt;margin-top:17.5pt;height:159.75pt;width:365.85pt;z-index:251665408;mso-width-relative:page;mso-height-relative:page;" o:ole="t" fillcolor="#FFFFFF" filled="t" o:preferrelative="t" stroked="t" coordsize="21600,21600">
            <v:path/>
            <v:fill on="t" color2="#FFFFFF" focussize="0,0"/>
            <v:stroke color="#FF0000" joinstyle="miter"/>
            <v:imagedata r:id="rId26" cropleft="1174f" cropright="5365f" cropbottom="5739f" o:title=""/>
            <o:lock v:ext="edit" aspectratio="f"/>
          </v:shape>
          <o:OLEObject Type="Embed" ProgID="Excel.Sheet.8" ShapeID="_x0000_s1030" DrawAspect="Content" ObjectID="_1468075730" r:id="rId25">
            <o:LockedField>false</o:LockedField>
          </o:OLEObject>
        </w:pict>
      </w:r>
    </w:p>
    <w:p w14:paraId="27161D0F">
      <w:pPr>
        <w:pStyle w:val="9"/>
        <w:rPr>
          <w:rFonts w:hint="eastAsia" w:ascii="仿宋" w:hAnsi="仿宋" w:eastAsia="仿宋"/>
          <w:color w:val="auto"/>
          <w:sz w:val="32"/>
          <w:szCs w:val="32"/>
          <w:highlight w:val="none"/>
        </w:rPr>
      </w:pPr>
    </w:p>
    <w:p w14:paraId="555263AF">
      <w:pPr>
        <w:pStyle w:val="9"/>
        <w:rPr>
          <w:rFonts w:hint="eastAsia" w:ascii="仿宋" w:hAnsi="仿宋" w:eastAsia="仿宋"/>
          <w:color w:val="auto"/>
          <w:sz w:val="32"/>
          <w:szCs w:val="32"/>
          <w:highlight w:val="none"/>
        </w:rPr>
      </w:pPr>
    </w:p>
    <w:p w14:paraId="42624397">
      <w:pPr>
        <w:pStyle w:val="9"/>
        <w:rPr>
          <w:rFonts w:hint="eastAsia" w:ascii="仿宋" w:hAnsi="仿宋" w:eastAsia="仿宋"/>
          <w:color w:val="auto"/>
          <w:sz w:val="32"/>
          <w:szCs w:val="32"/>
          <w:highlight w:val="none"/>
        </w:rPr>
      </w:pPr>
    </w:p>
    <w:p w14:paraId="29A4C538">
      <w:pPr>
        <w:pStyle w:val="9"/>
        <w:rPr>
          <w:rFonts w:hint="eastAsia" w:ascii="仿宋" w:hAnsi="仿宋" w:eastAsia="仿宋"/>
          <w:color w:val="auto"/>
          <w:sz w:val="32"/>
          <w:szCs w:val="32"/>
          <w:highlight w:val="none"/>
        </w:rPr>
      </w:pPr>
    </w:p>
    <w:p w14:paraId="0ED8D928">
      <w:pPr>
        <w:numPr>
          <w:ilvl w:val="-1"/>
          <w:numId w:val="0"/>
        </w:numPr>
        <w:spacing w:line="600"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（图7：“三公”经费财政拨款支出结构）（饼状图）</w:t>
      </w:r>
    </w:p>
    <w:p w14:paraId="57C44338">
      <w:pPr>
        <w:numPr>
          <w:ilvl w:val="-1"/>
          <w:numId w:val="0"/>
        </w:numPr>
        <w:spacing w:line="600" w:lineRule="exact"/>
        <w:ind w:firstLine="643" w:firstLineChars="200"/>
        <w:rPr>
          <w:rFonts w:hint="eastAsia" w:ascii="仿宋_GB2312" w:eastAsia="仿宋_GB2312"/>
          <w:b/>
          <w:color w:val="auto"/>
          <w:sz w:val="32"/>
          <w:szCs w:val="32"/>
          <w:highlight w:val="none"/>
          <w:lang w:val="en-US" w:eastAsia="zh-CN"/>
        </w:rPr>
      </w:pPr>
    </w:p>
    <w:p w14:paraId="6514DAB7">
      <w:pPr>
        <w:numPr>
          <w:ilvl w:val="-1"/>
          <w:numId w:val="0"/>
        </w:numPr>
        <w:spacing w:line="600" w:lineRule="exact"/>
        <w:ind w:firstLine="643"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eastAsia="仿宋_GB2312"/>
          <w:b/>
          <w:color w:val="auto"/>
          <w:sz w:val="32"/>
          <w:szCs w:val="32"/>
          <w:highlight w:val="none"/>
          <w:lang w:val="en-US" w:eastAsia="zh-CN"/>
        </w:rPr>
        <w:t>1</w:t>
      </w:r>
      <w:r>
        <w:rPr>
          <w:rFonts w:ascii="仿宋_GB2312" w:eastAsia="仿宋_GB2312"/>
          <w:b/>
          <w:color w:val="auto"/>
          <w:sz w:val="32"/>
          <w:szCs w:val="32"/>
          <w:highlight w:val="none"/>
        </w:rPr>
        <w:t>.</w:t>
      </w:r>
      <w:r>
        <w:rPr>
          <w:rFonts w:hint="eastAsia" w:ascii="仿宋_GB2312" w:eastAsia="仿宋_GB2312"/>
          <w:b/>
          <w:color w:val="000000"/>
          <w:sz w:val="32"/>
          <w:szCs w:val="32"/>
        </w:rPr>
        <w:t>因公出国（境）经费支出</w:t>
      </w:r>
      <w:r>
        <w:rPr>
          <w:rFonts w:hint="eastAsia" w:ascii="仿宋" w:hAnsi="仿宋" w:eastAsia="仿宋" w:cs="仿宋"/>
          <w:color w:val="000000"/>
          <w:sz w:val="32"/>
          <w:szCs w:val="32"/>
          <w:lang w:val="en-US" w:eastAsia="zh-CN"/>
        </w:rPr>
        <w:t>0</w:t>
      </w:r>
      <w:r>
        <w:rPr>
          <w:rFonts w:hint="eastAsia" w:ascii="仿宋_GB2312" w:hAnsi="仿宋_GB2312" w:eastAsia="仿宋_GB2312" w:cs="仿宋_GB2312"/>
          <w:color w:val="000000"/>
          <w:kern w:val="2"/>
          <w:sz w:val="32"/>
          <w:szCs w:val="32"/>
          <w:lang w:val="en-US" w:eastAsia="zh-CN" w:bidi="ar-SA"/>
        </w:rPr>
        <w:t>万元，完成预算100%。全年安排因公出国（境）团组0次，出国（境）0人。因公出国（境）支出决算与2023年度决算数持平。</w:t>
      </w:r>
    </w:p>
    <w:p w14:paraId="6287908D">
      <w:pPr>
        <w:spacing w:line="600" w:lineRule="exact"/>
        <w:ind w:firstLine="640"/>
        <w:rPr>
          <w:rFonts w:hint="eastAsia" w:ascii="仿宋_GB2312" w:hAnsi="仿宋_GB2312" w:eastAsia="仿宋_GB2312" w:cs="仿宋_GB2312"/>
          <w:color w:val="000000"/>
          <w:kern w:val="2"/>
          <w:sz w:val="32"/>
          <w:szCs w:val="32"/>
          <w:lang w:val="en-US" w:eastAsia="zh-CN" w:bidi="ar-SA"/>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hAnsi="仿宋_GB2312" w:eastAsia="仿宋_GB2312" w:cs="仿宋_GB2312"/>
          <w:color w:val="000000"/>
          <w:kern w:val="2"/>
          <w:sz w:val="32"/>
          <w:szCs w:val="32"/>
          <w:lang w:val="en-US" w:eastAsia="zh-CN" w:bidi="ar-SA"/>
        </w:rPr>
        <w:t>9.98万元,完成预算39.92%。公务用车购置及运行维护费支出决算比2023年度减少1.71万元，下降14.63%。主要原因是本年无公务用车购置，</w:t>
      </w:r>
      <w:r>
        <w:rPr>
          <w:rFonts w:hint="eastAsia" w:ascii="仿宋_GB2312" w:hAnsi="仿宋_GB2312" w:eastAsia="仿宋_GB2312" w:cs="仿宋_GB2312"/>
          <w:sz w:val="32"/>
          <w:szCs w:val="32"/>
          <w:lang w:val="en-US" w:eastAsia="zh-CN"/>
        </w:rPr>
        <w:t>因新冠疫情防控结束，疫苗配送次数减少，疫情防控期间，车辆新增及换新三辆，</w:t>
      </w:r>
      <w:r>
        <w:rPr>
          <w:rFonts w:hint="eastAsia" w:ascii="仿宋_GB2312" w:hAnsi="仿宋_GB2312" w:eastAsia="仿宋_GB2312" w:cs="仿宋_GB2312"/>
          <w:color w:val="000000"/>
          <w:kern w:val="2"/>
          <w:sz w:val="32"/>
          <w:szCs w:val="32"/>
          <w:lang w:val="en-US" w:eastAsia="zh-CN" w:bidi="ar-SA"/>
        </w:rPr>
        <w:t>公务用车运行维护减少。</w:t>
      </w:r>
    </w:p>
    <w:p w14:paraId="29E3158B">
      <w:pPr>
        <w:spacing w:line="600"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hAnsi="仿宋_GB2312" w:eastAsia="仿宋_GB2312" w:cs="仿宋_GB2312"/>
          <w:color w:val="000000"/>
          <w:kern w:val="2"/>
          <w:sz w:val="32"/>
          <w:szCs w:val="32"/>
          <w:lang w:val="en-US" w:eastAsia="zh-CN" w:bidi="ar-SA"/>
        </w:rPr>
        <w:t>截至2023年12月底，单位共有公务用车5辆，其中：轿车0辆、越野车2辆、救护车2辆，封闭式货车1辆。</w:t>
      </w:r>
    </w:p>
    <w:p w14:paraId="26A26F58">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eastAsia="仿宋_GB2312"/>
          <w:b/>
          <w:color w:val="auto"/>
          <w:sz w:val="32"/>
          <w:szCs w:val="32"/>
          <w:highlight w:val="none"/>
        </w:rPr>
        <w:t>公务用车运行维护费支出</w:t>
      </w:r>
      <w:r>
        <w:rPr>
          <w:rFonts w:hint="eastAsia" w:ascii="仿宋_GB2312" w:hAnsi="仿宋_GB2312" w:eastAsia="仿宋_GB2312" w:cs="仿宋_GB2312"/>
          <w:color w:val="000000"/>
          <w:kern w:val="2"/>
          <w:sz w:val="32"/>
          <w:szCs w:val="32"/>
          <w:lang w:val="en-US" w:eastAsia="zh-CN" w:bidi="ar-SA"/>
        </w:rPr>
        <w:t>9.98万元。主要用于全区各接种单位一、二类疫苗冷链配送，全区疫情防控应急采样，用于单位各业务科室公共卫生服务均等化督导、艾滋病防治、计划免疫、水质及医消监测、死因监测、地方病及慢病防治、结核病防治、急性传染病防控、突发公共卫生应急等专项工作开展所需的公务用车燃料费、维修费、过路过桥费、保险费等支出。</w:t>
      </w:r>
    </w:p>
    <w:p w14:paraId="59450F30">
      <w:pPr>
        <w:spacing w:line="600" w:lineRule="exact"/>
        <w:ind w:firstLine="640"/>
        <w:rPr>
          <w:rFonts w:hint="eastAsia" w:ascii="仿宋_GB2312" w:hAnsi="仿宋_GB2312" w:eastAsia="仿宋_GB2312" w:cs="仿宋_GB2312"/>
          <w:color w:val="000000"/>
          <w:kern w:val="2"/>
          <w:sz w:val="32"/>
          <w:szCs w:val="32"/>
          <w:lang w:val="en-US" w:eastAsia="zh-CN" w:bidi="ar-SA"/>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0.24</w:t>
      </w:r>
      <w:r>
        <w:rPr>
          <w:rFonts w:hint="eastAsia" w:ascii="仿宋_GB2312" w:eastAsia="仿宋_GB2312"/>
          <w:color w:val="auto"/>
          <w:sz w:val="32"/>
          <w:szCs w:val="32"/>
          <w:highlight w:val="none"/>
        </w:rPr>
        <w:t>万</w:t>
      </w:r>
      <w:r>
        <w:rPr>
          <w:rFonts w:hint="eastAsia" w:ascii="仿宋_GB2312" w:hAnsi="仿宋_GB2312" w:eastAsia="仿宋_GB2312" w:cs="仿宋_GB2312"/>
          <w:color w:val="000000"/>
          <w:kern w:val="2"/>
          <w:sz w:val="32"/>
          <w:szCs w:val="32"/>
          <w:lang w:val="en-US" w:eastAsia="zh-CN" w:bidi="ar-SA"/>
        </w:rPr>
        <w:t>元，完成预算9.27%。公务接待费支出决算比2023年度减少1.23万元，下降83.67%。主要原因是因新冠疫情结束，上级业务督导重点转在重大传染病防治方面，工作餐增加，接待相应大副减少。其中：</w:t>
      </w:r>
    </w:p>
    <w:p w14:paraId="7D7E0519">
      <w:pPr>
        <w:spacing w:line="600" w:lineRule="exact"/>
        <w:ind w:firstLine="640"/>
        <w:rPr>
          <w:rFonts w:hint="eastAsia" w:ascii="仿宋_GB2312" w:eastAsia="仿宋_GB2312"/>
          <w:color w:val="auto"/>
          <w:sz w:val="32"/>
          <w:szCs w:val="32"/>
          <w:highlight w:val="none"/>
          <w:lang w:val="en-US" w:eastAsia="zh-CN"/>
        </w:rPr>
      </w:pPr>
      <w:r>
        <w:rPr>
          <w:rFonts w:hint="eastAsia" w:ascii="仿宋" w:hAnsi="仿宋" w:eastAsia="仿宋"/>
          <w:b/>
          <w:color w:val="auto"/>
          <w:sz w:val="32"/>
          <w:szCs w:val="32"/>
          <w:highlight w:val="none"/>
        </w:rPr>
        <w:t>国内公务接待支出</w:t>
      </w:r>
      <w:r>
        <w:rPr>
          <w:rFonts w:hint="eastAsia" w:ascii="仿宋_GB2312" w:eastAsia="仿宋_GB2312"/>
          <w:color w:val="auto"/>
          <w:sz w:val="32"/>
          <w:szCs w:val="32"/>
          <w:highlight w:val="none"/>
          <w:lang w:val="en-US" w:eastAsia="zh-CN"/>
        </w:rPr>
        <w:t>0.24万元，主要用于执行公务、开展业务活动开支的交通费、用餐费等开支。国内公务</w:t>
      </w:r>
      <w:r>
        <w:rPr>
          <w:rFonts w:hint="eastAsia" w:ascii="仿宋_GB2312" w:hAnsi="仿宋_GB2312" w:eastAsia="仿宋_GB2312" w:cs="仿宋_GB2312"/>
          <w:sz w:val="32"/>
          <w:szCs w:val="32"/>
          <w:lang w:val="en-US" w:eastAsia="zh-CN"/>
        </w:rPr>
        <w:t>共接待6批次，47人次，</w:t>
      </w:r>
      <w:r>
        <w:rPr>
          <w:rFonts w:hint="eastAsia" w:ascii="仿宋_GB2312" w:eastAsia="仿宋_GB2312"/>
          <w:color w:val="auto"/>
          <w:sz w:val="32"/>
          <w:szCs w:val="32"/>
          <w:highlight w:val="none"/>
          <w:lang w:val="en-US" w:eastAsia="zh-CN"/>
        </w:rPr>
        <w:t>共计支出0.24万元，具体内容包括：2024年度公务接待费主要用于接待省市级部门项目专项工作检查，业务工作督导用餐支出0.24万元。</w:t>
      </w:r>
    </w:p>
    <w:p w14:paraId="41564DD9">
      <w:pPr>
        <w:spacing w:line="600" w:lineRule="exact"/>
        <w:ind w:firstLine="640"/>
        <w:rPr>
          <w:rFonts w:hint="eastAsia" w:ascii="仿宋_GB2312" w:eastAsia="仿宋_GB2312"/>
          <w:color w:val="auto"/>
          <w:sz w:val="32"/>
          <w:szCs w:val="32"/>
          <w:highlight w:val="none"/>
          <w:lang w:val="en-US" w:eastAsia="zh-CN"/>
        </w:rPr>
      </w:pPr>
      <w:r>
        <w:rPr>
          <w:rFonts w:hint="eastAsia" w:ascii="仿宋" w:hAnsi="仿宋" w:eastAsia="仿宋"/>
          <w:b/>
          <w:color w:val="auto"/>
          <w:sz w:val="32"/>
          <w:szCs w:val="32"/>
          <w:highlight w:val="none"/>
        </w:rPr>
        <w:t>外事接待支出</w:t>
      </w:r>
      <w:r>
        <w:rPr>
          <w:rFonts w:hint="eastAsia" w:ascii="仿宋_GB2312" w:eastAsia="仿宋_GB2312"/>
          <w:color w:val="auto"/>
          <w:sz w:val="32"/>
          <w:szCs w:val="32"/>
          <w:highlight w:val="none"/>
          <w:lang w:val="en-US" w:eastAsia="zh-CN"/>
        </w:rPr>
        <w:t>0万元，外事接待0批次，0人，共计支出0万元。</w:t>
      </w:r>
    </w:p>
    <w:p w14:paraId="0BCDBDDC">
      <w:pPr>
        <w:pStyle w:val="2"/>
        <w:rPr>
          <w:rFonts w:hint="eastAsia"/>
          <w:lang w:val="en-US" w:eastAsia="zh-CN"/>
        </w:rPr>
      </w:pPr>
    </w:p>
    <w:p w14:paraId="05EFCCA6">
      <w:pPr>
        <w:spacing w:line="600" w:lineRule="exact"/>
        <w:ind w:firstLine="640"/>
        <w:outlineLvl w:val="1"/>
        <w:rPr>
          <w:rStyle w:val="20"/>
          <w:rFonts w:ascii="黑体" w:hAnsi="黑体" w:eastAsia="黑体"/>
          <w:color w:val="auto"/>
          <w:highlight w:val="none"/>
        </w:rPr>
      </w:pPr>
      <w:r>
        <w:rPr>
          <w:rFonts w:hint="eastAsia" w:ascii="黑体" w:eastAsia="黑体"/>
          <w:color w:val="auto"/>
          <w:sz w:val="32"/>
          <w:szCs w:val="32"/>
          <w:highlight w:val="none"/>
        </w:rPr>
        <w:t>八、</w:t>
      </w:r>
      <w:r>
        <w:rPr>
          <w:rStyle w:val="20"/>
          <w:rFonts w:hint="eastAsia" w:ascii="黑体" w:hAnsi="黑体" w:eastAsia="黑体"/>
          <w:b w:val="0"/>
          <w:color w:val="auto"/>
          <w:highlight w:val="none"/>
        </w:rPr>
        <w:t>政府性基金预算支出决算情况说明</w:t>
      </w:r>
    </w:p>
    <w:p w14:paraId="7B4B915B">
      <w:pPr>
        <w:spacing w:line="600" w:lineRule="exact"/>
        <w:ind w:firstLine="64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2024年度政府性基金预算财政拨款支出190.24万元，占本年支出合计的14.23%。与2023年度相比，政府性基金预算财政拨款支出增加160.24万元，增长534.13%。主要变动原因是财政加大</w:t>
      </w:r>
      <w:r>
        <w:rPr>
          <w:rFonts w:hint="eastAsia" w:ascii="仿宋_GB2312" w:hAnsi="仿宋" w:eastAsia="仿宋_GB2312" w:cs="仿宋"/>
          <w:color w:val="000000"/>
          <w:sz w:val="32"/>
          <w:szCs w:val="32"/>
          <w:lang w:val="en-US" w:eastAsia="zh-CN"/>
        </w:rPr>
        <w:t>新冠疫情防控物资采购专项化债资金投入。</w:t>
      </w:r>
    </w:p>
    <w:p w14:paraId="103C14DC">
      <w:pPr>
        <w:numPr>
          <w:ilvl w:val="0"/>
          <w:numId w:val="4"/>
        </w:numPr>
        <w:spacing w:line="600" w:lineRule="exact"/>
        <w:ind w:firstLine="640"/>
        <w:outlineLvl w:val="1"/>
        <w:rPr>
          <w:rStyle w:val="20"/>
          <w:rFonts w:ascii="黑体" w:hAnsi="黑体" w:eastAsia="黑体"/>
          <w:b w:val="0"/>
          <w:color w:val="auto"/>
          <w:highlight w:val="none"/>
        </w:rPr>
      </w:pPr>
      <w:bookmarkStart w:id="25" w:name="_Toc15396611"/>
      <w:bookmarkStart w:id="26" w:name="_Toc15377219"/>
      <w:r>
        <w:rPr>
          <w:rStyle w:val="20"/>
          <w:rFonts w:hint="eastAsia" w:ascii="黑体" w:hAnsi="黑体" w:eastAsia="黑体"/>
          <w:b w:val="0"/>
          <w:color w:val="auto"/>
          <w:highlight w:val="none"/>
        </w:rPr>
        <w:t>国有资本经营预算支出决算情况说明</w:t>
      </w:r>
      <w:bookmarkEnd w:id="25"/>
      <w:bookmarkEnd w:id="26"/>
    </w:p>
    <w:p w14:paraId="5FC915DE">
      <w:pPr>
        <w:spacing w:line="600" w:lineRule="exact"/>
        <w:ind w:firstLine="64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2024年度国有资本经营预算财政拨款支出0万元，占本年支出合计的0%，与2023年度国有资本经营预算持平。</w:t>
      </w:r>
    </w:p>
    <w:p w14:paraId="2C6FC1B9">
      <w:pPr>
        <w:numPr>
          <w:ilvl w:val="0"/>
          <w:numId w:val="4"/>
        </w:numPr>
        <w:spacing w:line="600" w:lineRule="exact"/>
        <w:ind w:firstLine="640"/>
        <w:outlineLvl w:val="1"/>
        <w:rPr>
          <w:rStyle w:val="20"/>
          <w:rFonts w:hint="eastAsia" w:ascii="黑体" w:hAnsi="黑体" w:eastAsia="黑体"/>
          <w:b w:val="0"/>
          <w:color w:val="auto"/>
          <w:highlight w:val="none"/>
        </w:rPr>
      </w:pPr>
      <w:bookmarkStart w:id="27" w:name="_Toc15377221"/>
      <w:bookmarkStart w:id="28" w:name="_Toc15396612"/>
      <w:r>
        <w:rPr>
          <w:rStyle w:val="20"/>
          <w:rFonts w:hint="eastAsia" w:ascii="黑体" w:hAnsi="黑体" w:eastAsia="黑体"/>
          <w:b w:val="0"/>
          <w:color w:val="auto"/>
          <w:highlight w:val="none"/>
        </w:rPr>
        <w:t>其他重要事项的情况说明</w:t>
      </w:r>
      <w:bookmarkEnd w:id="27"/>
      <w:bookmarkEnd w:id="28"/>
    </w:p>
    <w:p w14:paraId="477F1E3F">
      <w:pPr>
        <w:spacing w:line="600" w:lineRule="exact"/>
        <w:ind w:firstLine="643" w:firstLineChars="200"/>
        <w:outlineLvl w:val="2"/>
        <w:rPr>
          <w:rFonts w:ascii="仿宋" w:hAnsi="仿宋" w:eastAsia="仿宋"/>
          <w:color w:val="auto"/>
          <w:sz w:val="32"/>
          <w:szCs w:val="32"/>
          <w:highlight w:val="none"/>
        </w:rPr>
      </w:pPr>
      <w:bookmarkStart w:id="29" w:name="_Toc15377222"/>
      <w:r>
        <w:rPr>
          <w:rFonts w:hint="eastAsia" w:ascii="仿宋" w:hAnsi="仿宋" w:eastAsia="仿宋"/>
          <w:b/>
          <w:color w:val="auto"/>
          <w:sz w:val="32"/>
          <w:szCs w:val="32"/>
          <w:highlight w:val="none"/>
        </w:rPr>
        <w:t>（一）机关运行经费支出情况</w:t>
      </w:r>
      <w:bookmarkEnd w:id="29"/>
    </w:p>
    <w:p w14:paraId="4E952061">
      <w:pPr>
        <w:spacing w:line="600" w:lineRule="exact"/>
        <w:ind w:firstLine="64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2024年度，安居疾控中心机关运行经费支出0万元，与2023年度决算数持平。安居疾控中心属全额事业单位，不属行政单位和参照公务员管理的事业单位，无机关运行经费支出。</w:t>
      </w:r>
    </w:p>
    <w:p w14:paraId="6060122E">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30" w:name="_Toc15377223"/>
      <w:r>
        <w:rPr>
          <w:rFonts w:hint="eastAsia" w:ascii="仿宋" w:hAnsi="仿宋" w:eastAsia="仿宋"/>
          <w:b/>
          <w:color w:val="auto"/>
          <w:sz w:val="32"/>
          <w:szCs w:val="32"/>
          <w:highlight w:val="none"/>
        </w:rPr>
        <w:t>（二）政府采购支出情况</w:t>
      </w:r>
      <w:bookmarkEnd w:id="30"/>
    </w:p>
    <w:p w14:paraId="488A299F">
      <w:pPr>
        <w:spacing w:line="600" w:lineRule="exact"/>
        <w:ind w:firstLine="64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2024年度，安居区疾控中心政府采购支出总额96万元，其中：政府采购货物支出96万元、政府采购工程支出0万元、政府采购服务支出0万元。主要用于购置试验室专用全自动固液扫捕集仪及气相色谱质谱联用仪设备一套，通过政府采购平台招标中型采购。授予中小企业合同金额96万元，占政府采购支出总额的100%，其中：授予小微企业合同金额0万元，占政府采购支出总额的0%。</w:t>
      </w:r>
    </w:p>
    <w:p w14:paraId="0C30B45B">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31" w:name="_Toc15377224"/>
      <w:r>
        <w:rPr>
          <w:rFonts w:hint="eastAsia" w:ascii="仿宋" w:hAnsi="仿宋" w:eastAsia="仿宋"/>
          <w:b/>
          <w:color w:val="auto"/>
          <w:sz w:val="32"/>
          <w:szCs w:val="32"/>
          <w:highlight w:val="none"/>
        </w:rPr>
        <w:t>（三）国有资产占有使用情况</w:t>
      </w:r>
      <w:bookmarkEnd w:id="31"/>
    </w:p>
    <w:p w14:paraId="3AE84529">
      <w:pPr>
        <w:spacing w:line="600" w:lineRule="exact"/>
        <w:ind w:firstLine="64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截至2024年12月31日，安居区疾控中心共有车辆5辆，其中：主要负责人用车0辆、机要通信用车0辆、应急保障用车0辆、其他用车5辆（特种专业技术用车），其他用车主要是用于疫情应急防控、日常公卫服务督导与疫苗运送等业务工作。单价100万元（含）以上设备（不含车辆）0台（套）。</w:t>
      </w:r>
    </w:p>
    <w:p w14:paraId="0EAC8868">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14:paraId="1E513EF3">
      <w:pPr>
        <w:spacing w:line="600" w:lineRule="exact"/>
        <w:ind w:firstLine="64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根据预算绩效管理要求，本部门在2024年度预算编制阶段，组织对实验室专用设备购置1个项目开展了预算事前绩效评估，对14个项目编制了绩效目标，预算执行过程中，选取14个项目开展绩效监控。</w:t>
      </w:r>
    </w:p>
    <w:p w14:paraId="2A419932">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仿宋_GB2312" w:eastAsia="仿宋_GB2312"/>
          <w:color w:val="auto"/>
          <w:sz w:val="32"/>
          <w:szCs w:val="32"/>
          <w:highlight w:val="none"/>
          <w:lang w:val="en-US" w:eastAsia="zh-CN"/>
        </w:rPr>
        <w:t>组织对2024年度一般公共预算、政府性基金预算、国有资本经营预算、社会保险基金预算以及资本资产、债券资金等全面开展绩效自评，形成遂宁市安居区疾控中心部门整体（含部门预算项目）绩效自评报告、地方病防治等14个专项预算项目绩效自评报告，其中，安居区疾控中心部门整体（含部门预算项目）绩效自评得分为97.22分，绩效自评综述：按照预算绩效管理要求，本部门对2024年度整体支出开展绩效自评，从评价情况来看，</w:t>
      </w:r>
      <w:r>
        <w:rPr>
          <w:rFonts w:hint="default" w:ascii="仿宋_GB2312" w:eastAsia="仿宋_GB2312"/>
          <w:color w:val="auto"/>
          <w:sz w:val="32"/>
          <w:szCs w:val="32"/>
          <w:highlight w:val="none"/>
          <w:lang w:val="en-US" w:eastAsia="zh-CN"/>
        </w:rPr>
        <w:t>全年基本支出保证了部门的正常运行和日常工作的正常开展，项目支出保障了重点工作的开展，</w:t>
      </w:r>
      <w:r>
        <w:rPr>
          <w:rFonts w:hint="eastAsia" w:ascii="仿宋_GB2312" w:eastAsia="仿宋_GB2312"/>
          <w:color w:val="auto"/>
          <w:sz w:val="32"/>
          <w:szCs w:val="32"/>
          <w:highlight w:val="none"/>
          <w:lang w:val="en-US" w:eastAsia="zh-CN"/>
        </w:rPr>
        <w:t>基本</w:t>
      </w:r>
      <w:r>
        <w:rPr>
          <w:rFonts w:hint="default" w:ascii="仿宋_GB2312" w:eastAsia="仿宋_GB2312"/>
          <w:color w:val="auto"/>
          <w:sz w:val="32"/>
          <w:szCs w:val="32"/>
          <w:highlight w:val="none"/>
          <w:lang w:val="en-US" w:eastAsia="zh-CN"/>
        </w:rPr>
        <w:t>达到预期绩效目标</w:t>
      </w:r>
      <w:r>
        <w:rPr>
          <w:rFonts w:hint="eastAsia" w:ascii="仿宋_GB2312" w:eastAsia="仿宋_GB2312"/>
          <w:color w:val="auto"/>
          <w:sz w:val="32"/>
          <w:szCs w:val="32"/>
          <w:highlight w:val="none"/>
          <w:lang w:val="en-US" w:eastAsia="zh-CN"/>
        </w:rPr>
        <w:t>。免疫规划专项预算项目绩效自评得分为95分，绩效自评综述：截至2024年12月31日，免疫规划免疫规划工作经费使用情况良好，全面完成年初制订的全区国家免疫规划实施及儿童预防接种工作任务，预防接种工作质量稳步提高，工作满意率100%；第二类疫苗预防接种服务专项预算项目绩效自评得分为95分，绩效自评综述：截至2024年12月31日，第二类疫苗预防接种服务工作经费使用情况良好，从项目的立项、资金申报与使用、项目完成进度和质量等多方面评价，工作满意率100%；地方病防治专项预算项目绩效自评得分为91分，绩效自评综述：截至2024年12月31日，地方病</w:t>
      </w:r>
      <w:r>
        <w:rPr>
          <w:rFonts w:hint="eastAsia" w:ascii="仿宋_GB2312" w:eastAsia="仿宋_GB2312"/>
          <w:color w:val="auto"/>
          <w:sz w:val="32"/>
          <w:szCs w:val="32"/>
          <w:highlight w:val="none"/>
          <w:lang w:val="zh-CN" w:eastAsia="zh-CN"/>
        </w:rPr>
        <w:t>防治项目</w:t>
      </w:r>
      <w:r>
        <w:rPr>
          <w:rFonts w:hint="eastAsia" w:ascii="仿宋_GB2312" w:eastAsia="仿宋_GB2312"/>
          <w:color w:val="auto"/>
          <w:sz w:val="32"/>
          <w:szCs w:val="32"/>
          <w:highlight w:val="none"/>
          <w:lang w:val="en-US" w:eastAsia="zh-CN"/>
        </w:rPr>
        <w:t>工作经费使用情况良好，全面完成年初制订的项目绩效目标工作任务，工作满意率100%；结核病防治专项预算项目绩效自评得分为92分，绩效自评综述：截至2024年12月31日，</w:t>
      </w:r>
      <w:r>
        <w:rPr>
          <w:rFonts w:hint="eastAsia" w:ascii="仿宋_GB2312" w:eastAsia="仿宋_GB2312"/>
          <w:color w:val="auto"/>
          <w:sz w:val="32"/>
          <w:szCs w:val="32"/>
          <w:highlight w:val="none"/>
          <w:lang w:val="zh-CN" w:eastAsia="zh-CN"/>
        </w:rPr>
        <w:t>结核病防治项目</w:t>
      </w:r>
      <w:r>
        <w:rPr>
          <w:rFonts w:hint="eastAsia" w:ascii="仿宋_GB2312" w:eastAsia="仿宋_GB2312"/>
          <w:color w:val="auto"/>
          <w:sz w:val="32"/>
          <w:szCs w:val="32"/>
          <w:highlight w:val="none"/>
          <w:lang w:val="en-US" w:eastAsia="zh-CN"/>
        </w:rPr>
        <w:t>工作经费使用情况良好，全面完成年初制订的项目绩效目标工作任务，工作满意率100%；</w:t>
      </w:r>
      <w:r>
        <w:rPr>
          <w:rFonts w:hint="eastAsia" w:ascii="仿宋_GB2312" w:eastAsia="仿宋_GB2312"/>
          <w:color w:val="auto"/>
          <w:sz w:val="32"/>
          <w:szCs w:val="32"/>
          <w:highlight w:val="none"/>
          <w:lang w:val="zh-CN" w:eastAsia="zh-CN"/>
        </w:rPr>
        <w:t>急性传染病防控及网络直报管理</w:t>
      </w:r>
      <w:r>
        <w:rPr>
          <w:rFonts w:hint="eastAsia" w:ascii="仿宋_GB2312" w:eastAsia="仿宋_GB2312"/>
          <w:color w:val="auto"/>
          <w:sz w:val="32"/>
          <w:szCs w:val="32"/>
          <w:highlight w:val="none"/>
          <w:lang w:val="en-US" w:eastAsia="zh-CN"/>
        </w:rPr>
        <w:t>专项预算项目绩效自评得分为95分，绩效自评综述：截至2024年12月31日，</w:t>
      </w:r>
      <w:r>
        <w:rPr>
          <w:rFonts w:hint="eastAsia" w:ascii="仿宋_GB2312" w:eastAsia="仿宋_GB2312"/>
          <w:color w:val="auto"/>
          <w:sz w:val="32"/>
          <w:szCs w:val="32"/>
          <w:highlight w:val="none"/>
          <w:lang w:val="zh-CN" w:eastAsia="zh-CN"/>
        </w:rPr>
        <w:t>急性传染病防控及网络直报管理</w:t>
      </w:r>
      <w:r>
        <w:rPr>
          <w:rFonts w:hint="eastAsia" w:ascii="仿宋_GB2312" w:eastAsia="仿宋_GB2312"/>
          <w:color w:val="auto"/>
          <w:sz w:val="32"/>
          <w:szCs w:val="32"/>
          <w:highlight w:val="none"/>
          <w:lang w:val="en-US" w:eastAsia="zh-CN"/>
        </w:rPr>
        <w:t>工作经费使用情况良好，全面完成年初制订的项目绩效目标工作任务，工作满意率100%；</w:t>
      </w:r>
      <w:r>
        <w:rPr>
          <w:rFonts w:hint="eastAsia" w:ascii="仿宋_GB2312" w:eastAsia="仿宋_GB2312"/>
          <w:color w:val="auto"/>
          <w:sz w:val="32"/>
          <w:szCs w:val="32"/>
          <w:highlight w:val="none"/>
          <w:lang w:val="zh-CN" w:eastAsia="zh-CN"/>
        </w:rPr>
        <w:t>性病防治</w:t>
      </w:r>
      <w:r>
        <w:rPr>
          <w:rFonts w:hint="eastAsia" w:ascii="仿宋_GB2312" w:eastAsia="仿宋_GB2312"/>
          <w:color w:val="auto"/>
          <w:sz w:val="32"/>
          <w:szCs w:val="32"/>
          <w:highlight w:val="none"/>
          <w:lang w:val="en-US" w:eastAsia="zh-CN"/>
        </w:rPr>
        <w:t>专项预算项目绩效自评得分为90分，绩效自评综述：截至2024年12月31日，性病防治工作经费使用情况良好，全面完成年初制订的项目绩效目标工作任务，工作满意率100%；卫生监测专项预算项目绩效自评得分为95分，绩效自评综述：截至2024年12月31日，卫生监测工作经费使用情况良好，全面完成年初制订的项目绩效目标工作任务，工作满意率100%；农村饮用水安全水质监测专项预算项目绩效自评得分为95分，绩效自评综述：截至2024年12月31日，农村饮用水安全水质监测工作经费使用情况良好，全面完成年初制订的项目绩效目标工作任务，工作满意率100%；职业病危害因素监测专项预算项目绩效自评得分为95分，绩效自评综述：截至2024年12月31日，职业病危害因素监测工作经费使用情况良好，全面完成年初制订的项目绩效目标工作任务，工作满意率100%；慢性病防治与健康促进专项预算项目绩效自评得分为94分，绩效自评综述：截至2024年12月31日，慢性病防治与健康促进工作经费使用情况良好，全面完成年初制订的项目绩效目标工作任务，工作满意率100%；死因监测专项预算项目绩效自评得分为95分，绩效自评综述：截至2024年12月31日，死因监测工作经费使用情况良好，全面完成年初制订的项目绩效目标工作任务，工作满意率100%；信息安全建设专项预算项目绩效自评得分为95分，绩效自评综述：截至2024年12月31日，信息安全建设工作经费使用情况良好，全面完成年初制订的项目绩效目标工作任务，工作满意率100%；实验室专用设备购置专项预算项目绩效自评得分为93分，绩效自评综述：截至2024年12月31日，实验室专用设备购置工作经费使用情况良好，全面完成年初制订的项目绩效目标工作任务，工作满意率100%。绩效自评报告详见附件。</w:t>
      </w:r>
    </w:p>
    <w:p w14:paraId="159BDFBA">
      <w:pPr>
        <w:keepNext w:val="0"/>
        <w:keepLines w:val="0"/>
        <w:pageBreakBefore w:val="0"/>
        <w:tabs>
          <w:tab w:val="right" w:pos="8306"/>
        </w:tabs>
        <w:kinsoku/>
        <w:wordWrap/>
        <w:overflowPunct/>
        <w:topLinePunct w:val="0"/>
        <w:autoSpaceDN/>
        <w:bidi w:val="0"/>
        <w:adjustRightInd/>
        <w:spacing w:line="600" w:lineRule="exact"/>
        <w:ind w:firstLine="640"/>
        <w:textAlignment w:val="auto"/>
        <w:outlineLvl w:val="1"/>
        <w:rPr>
          <w:rFonts w:hint="eastAsia" w:ascii="黑体" w:eastAsia="黑体"/>
          <w:color w:val="auto"/>
          <w:sz w:val="32"/>
          <w:szCs w:val="32"/>
          <w:highlight w:val="none"/>
        </w:rPr>
      </w:pPr>
    </w:p>
    <w:p w14:paraId="1FA2E31D">
      <w:pPr>
        <w:pStyle w:val="3"/>
      </w:pPr>
    </w:p>
    <w:p w14:paraId="013A6381">
      <w:pPr>
        <w:pStyle w:val="3"/>
      </w:pPr>
    </w:p>
    <w:p w14:paraId="3B0BFBF7">
      <w:pPr>
        <w:pStyle w:val="3"/>
      </w:pPr>
    </w:p>
    <w:p w14:paraId="497EC732">
      <w:pPr>
        <w:pStyle w:val="3"/>
      </w:pPr>
    </w:p>
    <w:p w14:paraId="3ED4D623">
      <w:pPr>
        <w:pStyle w:val="3"/>
      </w:pPr>
    </w:p>
    <w:p w14:paraId="025BC20C">
      <w:pPr>
        <w:pStyle w:val="3"/>
      </w:pPr>
    </w:p>
    <w:p w14:paraId="77A322C2">
      <w:pPr>
        <w:pStyle w:val="3"/>
      </w:pPr>
    </w:p>
    <w:p w14:paraId="6149FE64">
      <w:pPr>
        <w:pStyle w:val="3"/>
      </w:pPr>
    </w:p>
    <w:p w14:paraId="5696D0F8">
      <w:pPr>
        <w:pStyle w:val="3"/>
      </w:pPr>
    </w:p>
    <w:p w14:paraId="1E30830F">
      <w:pPr>
        <w:pStyle w:val="3"/>
      </w:pPr>
    </w:p>
    <w:p w14:paraId="3F895960">
      <w:pPr>
        <w:pStyle w:val="3"/>
      </w:pPr>
    </w:p>
    <w:p w14:paraId="61EB6E12">
      <w:pPr>
        <w:pStyle w:val="3"/>
      </w:pPr>
    </w:p>
    <w:p w14:paraId="71CF0EBB">
      <w:pPr>
        <w:pStyle w:val="3"/>
      </w:pPr>
    </w:p>
    <w:p w14:paraId="73B785CC">
      <w:pPr>
        <w:pStyle w:val="3"/>
      </w:pPr>
    </w:p>
    <w:p w14:paraId="5B11BCAC">
      <w:pPr>
        <w:pStyle w:val="3"/>
      </w:pPr>
    </w:p>
    <w:p w14:paraId="59FE2DB1">
      <w:pPr>
        <w:pStyle w:val="3"/>
      </w:pPr>
    </w:p>
    <w:p w14:paraId="3C2475E3">
      <w:pPr>
        <w:pStyle w:val="3"/>
      </w:pPr>
    </w:p>
    <w:p w14:paraId="129C04BE">
      <w:pPr>
        <w:pStyle w:val="3"/>
      </w:pPr>
    </w:p>
    <w:p w14:paraId="1A262C84">
      <w:pPr>
        <w:pStyle w:val="3"/>
      </w:pPr>
    </w:p>
    <w:p w14:paraId="5BAD9041">
      <w:pPr>
        <w:pStyle w:val="3"/>
      </w:pPr>
    </w:p>
    <w:p w14:paraId="21334856">
      <w:pPr>
        <w:pStyle w:val="3"/>
      </w:pPr>
    </w:p>
    <w:p w14:paraId="0361D942">
      <w:pPr>
        <w:pStyle w:val="3"/>
      </w:pPr>
    </w:p>
    <w:p w14:paraId="2BC8F757">
      <w:pPr>
        <w:pStyle w:val="3"/>
      </w:pPr>
    </w:p>
    <w:p w14:paraId="241BF056">
      <w:pPr>
        <w:pStyle w:val="3"/>
      </w:pPr>
    </w:p>
    <w:p w14:paraId="4EBF3493">
      <w:pPr>
        <w:pStyle w:val="3"/>
      </w:pPr>
    </w:p>
    <w:p w14:paraId="5C04A757">
      <w:pPr>
        <w:pStyle w:val="3"/>
      </w:pPr>
    </w:p>
    <w:p w14:paraId="6E5322A2">
      <w:pPr>
        <w:numPr>
          <w:ilvl w:val="0"/>
          <w:numId w:val="5"/>
        </w:numPr>
        <w:spacing w:line="600" w:lineRule="exact"/>
        <w:ind w:firstLine="660" w:firstLineChars="150"/>
        <w:jc w:val="center"/>
        <w:outlineLvl w:val="0"/>
        <w:rPr>
          <w:rStyle w:val="19"/>
          <w:rFonts w:ascii="黑体" w:hAnsi="黑体" w:eastAsia="黑体"/>
          <w:b w:val="0"/>
          <w:color w:val="auto"/>
          <w:highlight w:val="none"/>
        </w:rPr>
      </w:pPr>
      <w:bookmarkStart w:id="32" w:name="_Toc15377225"/>
      <w:bookmarkStart w:id="33" w:name="_Toc15396613"/>
      <w:r>
        <w:rPr>
          <w:rFonts w:hint="eastAsia" w:ascii="黑体" w:hAnsi="黑体" w:eastAsia="黑体"/>
          <w:color w:val="auto"/>
          <w:sz w:val="44"/>
          <w:szCs w:val="44"/>
          <w:highlight w:val="none"/>
        </w:rPr>
        <w:t>名</w:t>
      </w:r>
      <w:r>
        <w:rPr>
          <w:rStyle w:val="19"/>
          <w:rFonts w:hint="eastAsia" w:ascii="黑体" w:hAnsi="黑体" w:eastAsia="黑体"/>
          <w:b w:val="0"/>
          <w:color w:val="auto"/>
          <w:highlight w:val="none"/>
        </w:rPr>
        <w:t>词解释</w:t>
      </w:r>
      <w:bookmarkEnd w:id="32"/>
      <w:bookmarkEnd w:id="33"/>
    </w:p>
    <w:p w14:paraId="2391A89E">
      <w:pPr>
        <w:spacing w:line="600" w:lineRule="exact"/>
        <w:jc w:val="left"/>
        <w:rPr>
          <w:rFonts w:ascii="宋体"/>
          <w:b/>
          <w:color w:val="auto"/>
          <w:sz w:val="44"/>
          <w:szCs w:val="44"/>
          <w:highlight w:val="none"/>
        </w:rPr>
      </w:pPr>
    </w:p>
    <w:p w14:paraId="72A4F7CE">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2293D310">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24A32780">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0E45CED6">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p>
    <w:p w14:paraId="69538D24">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hAnsi="华文中宋"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3C8DCFB9">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1881A722">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p>
    <w:p w14:paraId="5B19E53C">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结余分配：指事业单位按照事业单位会计制度的规定从非财政补助结余中分配的事业基金和职工福利基金等。</w:t>
      </w:r>
    </w:p>
    <w:p w14:paraId="103C58B4">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、年末结转和结余：指单位按有关规定结转到下年或以后年度继续使用的资金。</w:t>
      </w:r>
    </w:p>
    <w:p w14:paraId="1BD87E13">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en-US" w:eastAsia="zh-CN"/>
        </w:rPr>
        <w:t>10</w:t>
      </w:r>
      <w:r>
        <w:rPr>
          <w:rFonts w:hint="eastAsia" w:ascii="仿宋_GB2312" w:hAnsi="Calibri" w:eastAsia="仿宋_GB2312" w:cs="仿宋"/>
          <w:color w:val="000000"/>
          <w:kern w:val="0"/>
          <w:sz w:val="32"/>
          <w:szCs w:val="32"/>
        </w:rPr>
        <w:t>、社会保障和就业（类）行政事业单位离退休（款）机关事业单位基本养老保险缴费支出（项）：反映机关事业单位实施养老保险制度由单位缴纳的基本养老保险费支出。</w:t>
      </w:r>
    </w:p>
    <w:p w14:paraId="79CEB258">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lang w:val="en-US" w:eastAsia="zh-CN"/>
        </w:rPr>
        <w:t>1</w:t>
      </w:r>
      <w:r>
        <w:rPr>
          <w:rFonts w:hint="eastAsia" w:ascii="仿宋_GB2312" w:hAnsi="Calibri" w:eastAsia="仿宋_GB2312" w:cs="仿宋"/>
          <w:color w:val="000000"/>
          <w:kern w:val="0"/>
          <w:sz w:val="32"/>
          <w:szCs w:val="32"/>
        </w:rPr>
        <w:t>、社会保障和就业（类）抚恤（款）死亡抚恤（项）：</w:t>
      </w:r>
      <w:r>
        <w:rPr>
          <w:rFonts w:ascii="仿宋_GB2312" w:hAnsi="Calibri" w:eastAsia="仿宋_GB2312" w:cs="仿宋"/>
          <w:color w:val="000000"/>
          <w:kern w:val="0"/>
          <w:sz w:val="32"/>
          <w:szCs w:val="32"/>
        </w:rPr>
        <w:t>反映按规定用于</w:t>
      </w:r>
      <w:r>
        <w:rPr>
          <w:rFonts w:hint="eastAsia" w:ascii="仿宋_GB2312" w:hAnsi="Calibri" w:eastAsia="仿宋_GB2312" w:cs="仿宋"/>
          <w:color w:val="000000"/>
          <w:kern w:val="0"/>
          <w:sz w:val="32"/>
          <w:szCs w:val="32"/>
        </w:rPr>
        <w:t>烈士和牺牲、病故人员家属的一次性和定期抚恤金以及丧葬补助费。</w:t>
      </w:r>
    </w:p>
    <w:p w14:paraId="30449C1B">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lang w:val="en-US" w:eastAsia="zh-CN"/>
        </w:rPr>
        <w:t>2</w:t>
      </w:r>
      <w:r>
        <w:rPr>
          <w:rFonts w:hint="eastAsia" w:ascii="仿宋_GB2312" w:hAnsi="Calibri" w:eastAsia="仿宋_GB2312" w:cs="仿宋"/>
          <w:color w:val="000000"/>
          <w:kern w:val="0"/>
          <w:sz w:val="32"/>
          <w:szCs w:val="32"/>
        </w:rPr>
        <w:t>、社会保障和就业（类）其他社会保障和就业（款）其他社会保障和就业（项）：</w:t>
      </w:r>
      <w:r>
        <w:rPr>
          <w:rFonts w:ascii="仿宋_GB2312" w:hAnsi="Calibri" w:eastAsia="仿宋_GB2312" w:cs="仿宋"/>
          <w:color w:val="000000"/>
          <w:kern w:val="0"/>
          <w:sz w:val="32"/>
          <w:szCs w:val="32"/>
        </w:rPr>
        <w:t>反映</w:t>
      </w:r>
      <w:r>
        <w:rPr>
          <w:rFonts w:hint="eastAsia" w:ascii="仿宋_GB2312" w:hAnsi="Calibri" w:eastAsia="仿宋_GB2312" w:cs="仿宋"/>
          <w:color w:val="000000"/>
          <w:kern w:val="0"/>
          <w:sz w:val="32"/>
          <w:szCs w:val="32"/>
        </w:rPr>
        <w:t>项目以外其他用于社会保障和就业方面的支出。</w:t>
      </w:r>
    </w:p>
    <w:p w14:paraId="576EDDB6">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lang w:val="en-US" w:eastAsia="zh-CN"/>
        </w:rPr>
        <w:t>3</w:t>
      </w:r>
      <w:r>
        <w:rPr>
          <w:rFonts w:hint="eastAsia"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lang w:eastAsia="zh-CN"/>
        </w:rPr>
        <w:t>卫生健康</w:t>
      </w:r>
      <w:r>
        <w:rPr>
          <w:rFonts w:hint="eastAsia" w:ascii="仿宋_GB2312" w:hAnsi="Calibri" w:eastAsia="仿宋_GB2312" w:cs="仿宋"/>
          <w:color w:val="000000"/>
          <w:kern w:val="0"/>
          <w:sz w:val="32"/>
          <w:szCs w:val="32"/>
        </w:rPr>
        <w:t>（类）基层医疗卫生机构（款）乡镇卫生院（项）：反映用于乡镇卫生院的支出。</w:t>
      </w:r>
    </w:p>
    <w:p w14:paraId="128CF52F">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lang w:val="en-US" w:eastAsia="zh-CN"/>
        </w:rPr>
        <w:t>4</w:t>
      </w:r>
      <w:r>
        <w:rPr>
          <w:rFonts w:hint="eastAsia"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lang w:eastAsia="zh-CN"/>
        </w:rPr>
        <w:t>卫生健康</w:t>
      </w:r>
      <w:r>
        <w:rPr>
          <w:rFonts w:hint="eastAsia" w:ascii="仿宋_GB2312" w:hAnsi="Calibri" w:eastAsia="仿宋_GB2312" w:cs="仿宋"/>
          <w:color w:val="000000"/>
          <w:kern w:val="0"/>
          <w:sz w:val="32"/>
          <w:szCs w:val="32"/>
        </w:rPr>
        <w:t>（类）公共卫生（款）疾病预防控制机构（项）：反映卫生和计划生育部门所属疾病预防控制机构的支出。</w:t>
      </w:r>
    </w:p>
    <w:p w14:paraId="1F7E6D59">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lang w:val="en-US" w:eastAsia="zh-CN"/>
        </w:rPr>
        <w:t>5</w:t>
      </w:r>
      <w:r>
        <w:rPr>
          <w:rFonts w:hint="eastAsia"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lang w:eastAsia="zh-CN"/>
        </w:rPr>
        <w:t>卫生健康</w:t>
      </w:r>
      <w:r>
        <w:rPr>
          <w:rFonts w:hint="eastAsia" w:ascii="仿宋_GB2312" w:hAnsi="Calibri" w:eastAsia="仿宋_GB2312" w:cs="仿宋"/>
          <w:color w:val="000000"/>
          <w:kern w:val="0"/>
          <w:sz w:val="32"/>
          <w:szCs w:val="32"/>
        </w:rPr>
        <w:t>（类）公共卫生（款）重大公共卫生专项（项）：反映重大疾病预防控制等重大公共卫生服务项目支出。</w:t>
      </w:r>
    </w:p>
    <w:p w14:paraId="65D76D7B">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lang w:val="en-US" w:eastAsia="zh-CN"/>
        </w:rPr>
        <w:t>6</w:t>
      </w:r>
      <w:r>
        <w:rPr>
          <w:rFonts w:hint="eastAsia"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lang w:eastAsia="zh-CN"/>
        </w:rPr>
        <w:t>卫生健康</w:t>
      </w:r>
      <w:r>
        <w:rPr>
          <w:rFonts w:hint="eastAsia" w:ascii="仿宋_GB2312" w:hAnsi="Calibri" w:eastAsia="仿宋_GB2312" w:cs="仿宋"/>
          <w:color w:val="000000"/>
          <w:kern w:val="0"/>
          <w:sz w:val="32"/>
          <w:szCs w:val="32"/>
        </w:rPr>
        <w:t>（类）公共卫生（款）突发公共卫生事件应急处理（项）：反映用于突发公共卫生事件应急处理的支出。</w:t>
      </w:r>
    </w:p>
    <w:p w14:paraId="02484DF1">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lang w:val="en-US" w:eastAsia="zh-CN"/>
        </w:rPr>
        <w:t>7</w:t>
      </w:r>
      <w:r>
        <w:rPr>
          <w:rFonts w:hint="eastAsia"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lang w:eastAsia="zh-CN"/>
        </w:rPr>
        <w:t>卫生健康</w:t>
      </w:r>
      <w:r>
        <w:rPr>
          <w:rFonts w:hint="eastAsia" w:ascii="仿宋_GB2312" w:hAnsi="Calibri" w:eastAsia="仿宋_GB2312" w:cs="仿宋"/>
          <w:color w:val="000000"/>
          <w:kern w:val="0"/>
          <w:sz w:val="32"/>
          <w:szCs w:val="32"/>
        </w:rPr>
        <w:t>（类）公共卫生（款）其他公共卫生支出（项）：反映除项目以外的其他用于公共卫生方面的支出。</w:t>
      </w:r>
    </w:p>
    <w:p w14:paraId="3B267A19">
      <w:pPr>
        <w:ind w:firstLine="640" w:firstLineChars="200"/>
        <w:rPr>
          <w:rFonts w:hint="eastAsia" w:ascii="仿宋_GB2312" w:hAnsi="Calibri" w:eastAsia="仿宋_GB2312" w:cs="仿宋"/>
          <w:color w:val="000000"/>
          <w:kern w:val="0"/>
          <w:sz w:val="32"/>
          <w:szCs w:val="32"/>
          <w:lang w:eastAsia="zh-CN"/>
        </w:rPr>
      </w:pPr>
      <w:r>
        <w:rPr>
          <w:rFonts w:hint="eastAsia"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lang w:val="en-US" w:eastAsia="zh-CN"/>
        </w:rPr>
        <w:t>8</w:t>
      </w:r>
      <w:r>
        <w:rPr>
          <w:rFonts w:hint="eastAsia"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lang w:eastAsia="zh-CN"/>
        </w:rPr>
        <w:t>卫生健康</w:t>
      </w:r>
      <w:r>
        <w:rPr>
          <w:rFonts w:hint="eastAsia" w:ascii="仿宋_GB2312" w:hAnsi="Calibri" w:eastAsia="仿宋_GB2312" w:cs="仿宋"/>
          <w:color w:val="000000"/>
          <w:kern w:val="0"/>
          <w:sz w:val="32"/>
          <w:szCs w:val="32"/>
        </w:rPr>
        <w:t xml:space="preserve">（类）行政事业单位医疗（款）事业单位医疗（项）：反映财政部门集中安排的事业单位缴纳的基本医疗保险缴费经费。 </w:t>
      </w:r>
    </w:p>
    <w:p w14:paraId="7ABFF45B">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lang w:val="en-US" w:eastAsia="zh-CN"/>
        </w:rPr>
        <w:t>9</w:t>
      </w:r>
      <w:r>
        <w:rPr>
          <w:rFonts w:hint="eastAsia"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lang w:eastAsia="zh-CN"/>
        </w:rPr>
        <w:t>卫生健康</w:t>
      </w:r>
      <w:r>
        <w:rPr>
          <w:rFonts w:hint="eastAsia" w:ascii="仿宋_GB2312" w:hAnsi="Calibri" w:eastAsia="仿宋_GB2312" w:cs="仿宋"/>
          <w:color w:val="000000"/>
          <w:kern w:val="0"/>
          <w:sz w:val="32"/>
          <w:szCs w:val="32"/>
        </w:rPr>
        <w:t>（类）行政事业单位医疗（款）公务员医疗补助（项）：反映财政部门集中安排的公务员医疗补助经费。</w:t>
      </w:r>
    </w:p>
    <w:p w14:paraId="22B5A550">
      <w:pPr>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、住房保障</w:t>
      </w:r>
      <w:r>
        <w:rPr>
          <w:rFonts w:hint="eastAsia" w:ascii="仿宋_GB2312"/>
          <w:sz w:val="32"/>
          <w:szCs w:val="32"/>
        </w:rPr>
        <w:t>（</w:t>
      </w:r>
      <w:r>
        <w:rPr>
          <w:rFonts w:hint="eastAsia" w:ascii="仿宋_GB2312" w:eastAsia="仿宋_GB2312"/>
          <w:sz w:val="32"/>
          <w:szCs w:val="32"/>
        </w:rPr>
        <w:t>类）住房改革（款）住房公积金（项）：反映行政事业单位按人力资源和社会保障部、财政部规定的基本工资和津贴补贴</w:t>
      </w:r>
      <w:r>
        <w:rPr>
          <w:rFonts w:hint="eastAsia" w:ascii="仿宋_GB2312" w:eastAsia="仿宋_GB2312"/>
          <w:sz w:val="32"/>
          <w:szCs w:val="32"/>
          <w:lang w:eastAsia="zh-CN"/>
        </w:rPr>
        <w:t>以及按规定比例</w:t>
      </w:r>
      <w:r>
        <w:rPr>
          <w:rFonts w:hint="eastAsia" w:ascii="仿宋_GB2312" w:eastAsia="仿宋_GB2312"/>
          <w:sz w:val="32"/>
          <w:szCs w:val="32"/>
        </w:rPr>
        <w:t>为职工缴纳的住房公积金。</w:t>
      </w:r>
    </w:p>
    <w:p w14:paraId="6A420892">
      <w:pPr>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0FB78ED3">
      <w:pPr>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14:paraId="7CE4CD6A">
      <w:pPr>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692EEC2A">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CE622DD">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CD5D8FF">
      <w:pPr>
        <w:pStyle w:val="22"/>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政府性基金：是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14:paraId="06BCD7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27.基本支出：指为保障机构正常运转、完成日常工作任务而发生的人员支出和公用支出。</w:t>
      </w:r>
    </w:p>
    <w:p w14:paraId="147C37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28.项目支出：指在基本支出之外为完成特定行政任务和事业发展目标所发生的支出。 </w:t>
      </w:r>
    </w:p>
    <w:p w14:paraId="54003D9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29.经营支出：指事业单位在专业业务活动及其辅助活动之外开展非独立核算经营活动发生的支出。</w:t>
      </w:r>
    </w:p>
    <w:p w14:paraId="031A23A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848033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C364D67">
      <w:pPr>
        <w:pStyle w:val="22"/>
        <w:spacing w:line="580" w:lineRule="exact"/>
        <w:ind w:firstLine="640" w:firstLineChars="200"/>
        <w:rPr>
          <w:rFonts w:hint="eastAsia" w:ascii="仿宋_GB2312" w:eastAsia="仿宋_GB2312"/>
          <w:sz w:val="32"/>
          <w:szCs w:val="32"/>
        </w:rPr>
      </w:pPr>
    </w:p>
    <w:p w14:paraId="079351D0">
      <w:pPr>
        <w:pStyle w:val="22"/>
        <w:spacing w:line="580" w:lineRule="exact"/>
        <w:ind w:firstLine="640" w:firstLineChars="200"/>
        <w:rPr>
          <w:rFonts w:ascii="仿宋_GB2312" w:eastAsia="仿宋_GB2312"/>
          <w:sz w:val="32"/>
          <w:szCs w:val="32"/>
        </w:rPr>
      </w:pPr>
    </w:p>
    <w:p w14:paraId="6639AD5D">
      <w:pPr>
        <w:spacing w:line="600" w:lineRule="exact"/>
        <w:jc w:val="center"/>
        <w:outlineLvl w:val="0"/>
        <w:rPr>
          <w:rStyle w:val="19"/>
          <w:rFonts w:hint="eastAsia" w:ascii="黑体" w:hAnsi="黑体" w:eastAsia="黑体"/>
          <w:b w:val="0"/>
          <w:color w:val="auto"/>
          <w:highlight w:val="none"/>
          <w:lang w:eastAsia="zh-CN"/>
        </w:rPr>
      </w:pPr>
      <w:r>
        <w:rPr>
          <w:rFonts w:ascii="宋体"/>
          <w:b/>
          <w:color w:val="auto"/>
          <w:sz w:val="44"/>
          <w:szCs w:val="44"/>
          <w:highlight w:val="none"/>
        </w:rPr>
        <w:br w:type="page"/>
      </w:r>
      <w:bookmarkStart w:id="34" w:name="_Toc15396614"/>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四部分 附件</w:t>
      </w:r>
      <w:bookmarkEnd w:id="34"/>
    </w:p>
    <w:p w14:paraId="32BF2416">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14:paraId="2B70B6DF">
      <w:pPr>
        <w:spacing w:line="700" w:lineRule="exact"/>
        <w:ind w:firstLine="880" w:firstLineChars="200"/>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遂宁市</w:t>
      </w:r>
      <w:r>
        <w:rPr>
          <w:rFonts w:hint="eastAsia" w:ascii="方正小标宋简体" w:eastAsia="方正小标宋简体"/>
          <w:sz w:val="44"/>
          <w:szCs w:val="44"/>
          <w:lang w:eastAsia="zh-CN"/>
        </w:rPr>
        <w:t>安居区</w:t>
      </w:r>
      <w:r>
        <w:rPr>
          <w:rFonts w:hint="eastAsia" w:ascii="方正小标宋简体" w:eastAsia="方正小标宋简体"/>
          <w:sz w:val="44"/>
          <w:szCs w:val="44"/>
          <w:lang w:val="en-US" w:eastAsia="zh-CN"/>
        </w:rPr>
        <w:t>疾病预防控制中心</w:t>
      </w:r>
    </w:p>
    <w:p w14:paraId="6FA19C28">
      <w:pPr>
        <w:ind w:firstLine="880" w:firstLineChars="200"/>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2024年度部门整体绩效评价报告</w:t>
      </w:r>
    </w:p>
    <w:p w14:paraId="126D102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cs="Times New Roman"/>
          <w:sz w:val="33"/>
          <w:szCs w:val="33"/>
        </w:rPr>
      </w:pPr>
      <w:r>
        <w:rPr>
          <w:rFonts w:hint="eastAsia" w:ascii="Times New Roman" w:hAnsi="Times New Roman" w:eastAsia="黑体" w:cs="Times New Roman"/>
          <w:color w:val="000000"/>
          <w:kern w:val="0"/>
          <w:sz w:val="33"/>
          <w:szCs w:val="33"/>
          <w:highlight w:val="none"/>
          <w:shd w:val="clear" w:color="auto" w:fill="FFFFFF"/>
          <w:lang w:val="zh-CN"/>
        </w:rPr>
        <w:t>一、</w:t>
      </w:r>
      <w:r>
        <w:rPr>
          <w:rFonts w:hint="default" w:ascii="Times New Roman" w:hAnsi="Times New Roman" w:eastAsia="黑体" w:cs="Times New Roman"/>
          <w:color w:val="000000"/>
          <w:kern w:val="0"/>
          <w:sz w:val="33"/>
          <w:szCs w:val="33"/>
          <w:highlight w:val="none"/>
          <w:shd w:val="clear" w:color="auto" w:fill="FFFFFF"/>
          <w:lang w:val="zh-CN"/>
        </w:rPr>
        <w:t>部门（单位）基本情况</w:t>
      </w:r>
    </w:p>
    <w:p w14:paraId="213E8BE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eastAsia" w:ascii="Times New Roman" w:hAnsi="Times New Roman" w:eastAsia="楷体_GB2312" w:cs="Times New Roman"/>
          <w:b/>
          <w:bCs/>
          <w:color w:val="000000"/>
          <w:kern w:val="0"/>
          <w:sz w:val="33"/>
          <w:szCs w:val="33"/>
          <w:highlight w:val="none"/>
          <w:shd w:val="clear" w:color="auto" w:fill="FFFFFF"/>
          <w:lang w:val="zh-CN"/>
        </w:rPr>
        <w:t>（一）</w:t>
      </w:r>
      <w:r>
        <w:rPr>
          <w:rFonts w:hint="default" w:ascii="Times New Roman" w:hAnsi="Times New Roman" w:eastAsia="楷体_GB2312" w:cs="Times New Roman"/>
          <w:b/>
          <w:bCs/>
          <w:color w:val="000000"/>
          <w:kern w:val="0"/>
          <w:sz w:val="33"/>
          <w:szCs w:val="33"/>
          <w:highlight w:val="none"/>
          <w:shd w:val="clear" w:color="auto" w:fill="FFFFFF"/>
          <w:lang w:val="zh-CN"/>
        </w:rPr>
        <w:t>机构组成。</w:t>
      </w:r>
    </w:p>
    <w:p w14:paraId="0C7511F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ascii="Times New Roman" w:hAnsi="Times New Roman" w:cs="Times New Roman"/>
          <w:sz w:val="33"/>
          <w:szCs w:val="33"/>
        </w:rPr>
      </w:pPr>
      <w:r>
        <w:rPr>
          <w:rFonts w:hint="eastAsia" w:ascii="仿宋_GB2312" w:hAnsi="仿宋_GB2312" w:eastAsia="仿宋_GB2312" w:cs="仿宋_GB2312"/>
          <w:b w:val="0"/>
          <w:bCs w:val="0"/>
          <w:sz w:val="32"/>
          <w:szCs w:val="32"/>
          <w:lang w:val="en-US" w:eastAsia="zh-CN"/>
        </w:rPr>
        <w:t>遂宁市安居区疾病预防控制中心，属全额拨款一级预算单位,执行政府会计制度。内设有行政综合管理科、财务科、免疫规划科、传管科兼应对突发公共卫生事件应急办公室、地方病与慢性病防治科、重传科、卫生监测与质量控制科、检验科、后勤管理科9个科室。</w:t>
      </w:r>
    </w:p>
    <w:p w14:paraId="7B4B9652">
      <w:pPr>
        <w:keepNext w:val="0"/>
        <w:keepLines w:val="0"/>
        <w:pageBreakBefore w:val="0"/>
        <w:widowControl w:val="0"/>
        <w:kinsoku/>
        <w:wordWrap/>
        <w:overflowPunct/>
        <w:topLinePunct w:val="0"/>
        <w:autoSpaceDE/>
        <w:autoSpaceDN/>
        <w:bidi w:val="0"/>
        <w:adjustRightInd/>
        <w:snapToGrid/>
        <w:spacing w:line="560" w:lineRule="exact"/>
        <w:ind w:firstLine="663" w:firstLineChars="200"/>
        <w:jc w:val="both"/>
        <w:textAlignment w:val="auto"/>
        <w:outlineLvl w:val="9"/>
        <w:rPr>
          <w:rFonts w:hint="eastAsia"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（二）机构职能</w:t>
      </w:r>
      <w:r>
        <w:rPr>
          <w:rFonts w:hint="eastAsia" w:ascii="Times New Roman" w:hAnsi="Times New Roman" w:eastAsia="楷体_GB2312" w:cs="Times New Roman"/>
          <w:b/>
          <w:bCs/>
          <w:color w:val="000000"/>
          <w:kern w:val="0"/>
          <w:sz w:val="33"/>
          <w:szCs w:val="33"/>
          <w:highlight w:val="none"/>
          <w:shd w:val="clear" w:color="auto" w:fill="FFFFFF"/>
          <w:lang w:val="zh-CN"/>
        </w:rPr>
        <w:t>。</w:t>
      </w:r>
    </w:p>
    <w:p w14:paraId="43A6C8C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对影响人群生存环境卫生质量及生命质量的危险因素进行食品、职业、环境、放射、学校卫生等卫生学监测，对传染病、地方病、寄生虫病、慢性非传染性疾病、职业病、学生常见病及意外伤害、中毒等发生、分布和发展的规律进行流行病学监测，并制定预防控制对策。</w:t>
      </w:r>
    </w:p>
    <w:p w14:paraId="2CA7838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2.为拟订与疾病预防控制和公共卫生相关的法规、政策标准、规划等提供科学依据，为卫生行政部门提供决策咨询。</w:t>
      </w:r>
    </w:p>
    <w:p w14:paraId="386C222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3.拟订并实施疾病预防控制工作方案，对方案实施进行质量和效果评估。</w:t>
      </w:r>
    </w:p>
    <w:p w14:paraId="65D6621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4.对传染病的发生流行和中毒、污染事件进行调查处理，为救灾防病和解决重大公共卫生问题提供技术支持。</w:t>
      </w:r>
    </w:p>
    <w:p w14:paraId="2FD1288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5.实施预防接种，负责预防用生物制品的使用与管理。</w:t>
      </w:r>
    </w:p>
    <w:p w14:paraId="48C85BC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6.负责人员培训，指导技术规范和技术措施的实施；承担爱国卫生运动中与疾病预防控制有关的技术指导。</w:t>
      </w:r>
    </w:p>
    <w:p w14:paraId="2024851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7.开展健康教育与健康促进，参与社会卫生服务工作，促进社会健康环境的建立和人群健康行为的形成。</w:t>
      </w:r>
    </w:p>
    <w:p w14:paraId="15335EB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8.承担疾病预防控制及有关公共卫生信息的报告、管理和预测、预报，为疾病预防控制决策提供科学依据。</w:t>
      </w:r>
    </w:p>
    <w:p w14:paraId="11346E4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开展卫生防病检验和实验室质量控制；受卫生行政部门指定，承担卫生监督监测检验、预防性健康检查、健康相关产品的技术审核和卫生质量检验、鉴定；对新建、改建、扩建建设项目的选址、设计和竣工验收进行卫生学评价。</w:t>
      </w:r>
    </w:p>
    <w:p w14:paraId="4C85256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10.进行应用性科学研究、开发和推广先进技术。</w:t>
      </w:r>
    </w:p>
    <w:p w14:paraId="3A857C3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11.开展对外交流与合作，引进和推广新技术、新方法。</w:t>
      </w:r>
    </w:p>
    <w:p w14:paraId="6CA8A3C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12.向社会提供相关的预防保健信息、健康咨询和预防医学诊疗等专业技术服务。</w:t>
      </w:r>
    </w:p>
    <w:p w14:paraId="265A2B1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en-US" w:eastAsia="zh-CN"/>
        </w:rPr>
        <w:t>13.完成卫生行政部门和上级部门交办的其他任务。</w:t>
      </w:r>
    </w:p>
    <w:p w14:paraId="056DEB12">
      <w:pPr>
        <w:keepNext w:val="0"/>
        <w:keepLines w:val="0"/>
        <w:pageBreakBefore w:val="0"/>
        <w:widowControl w:val="0"/>
        <w:kinsoku/>
        <w:wordWrap/>
        <w:overflowPunct/>
        <w:topLinePunct w:val="0"/>
        <w:autoSpaceDE/>
        <w:autoSpaceDN/>
        <w:bidi w:val="0"/>
        <w:adjustRightInd/>
        <w:snapToGrid/>
        <w:spacing w:line="560" w:lineRule="exact"/>
        <w:ind w:firstLine="663" w:firstLineChars="200"/>
        <w:jc w:val="both"/>
        <w:textAlignment w:val="auto"/>
        <w:outlineLvl w:val="9"/>
        <w:rPr>
          <w:rFonts w:hint="eastAsia"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）人员概况</w:t>
      </w:r>
      <w:r>
        <w:rPr>
          <w:rFonts w:hint="eastAsia" w:ascii="Times New Roman" w:hAnsi="Times New Roman" w:eastAsia="楷体_GB2312" w:cs="Times New Roman"/>
          <w:b/>
          <w:bCs/>
          <w:color w:val="000000"/>
          <w:kern w:val="0"/>
          <w:sz w:val="33"/>
          <w:szCs w:val="33"/>
          <w:highlight w:val="none"/>
          <w:shd w:val="clear" w:color="auto" w:fill="FFFFFF"/>
          <w:lang w:val="zh-CN"/>
        </w:rPr>
        <w:t>。</w:t>
      </w:r>
    </w:p>
    <w:p w14:paraId="2EE0383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截至202</w:t>
      </w:r>
      <w:r>
        <w:rPr>
          <w:rFonts w:hint="eastAsia" w:ascii="仿宋_GB2312" w:hAnsi="仿宋_GB2312" w:eastAsia="仿宋_GB2312" w:cs="仿宋_GB2312"/>
          <w:b w:val="0"/>
          <w:bCs w:val="0"/>
          <w:sz w:val="32"/>
          <w:szCs w:val="32"/>
          <w:lang w:val="en-US" w:eastAsia="zh-CN"/>
        </w:rPr>
        <w:t>4</w:t>
      </w:r>
      <w:r>
        <w:rPr>
          <w:rFonts w:hint="default" w:ascii="仿宋_GB2312" w:hAnsi="仿宋_GB2312" w:eastAsia="仿宋_GB2312" w:cs="仿宋_GB2312"/>
          <w:b w:val="0"/>
          <w:bCs w:val="0"/>
          <w:sz w:val="32"/>
          <w:szCs w:val="32"/>
          <w:lang w:val="en-US" w:eastAsia="zh-CN"/>
        </w:rPr>
        <w:t>年末，</w:t>
      </w:r>
      <w:r>
        <w:rPr>
          <w:rFonts w:hint="eastAsia" w:ascii="仿宋_GB2312" w:hAnsi="仿宋_GB2312" w:eastAsia="仿宋_GB2312" w:cs="仿宋_GB2312"/>
          <w:b w:val="0"/>
          <w:bCs w:val="0"/>
          <w:sz w:val="32"/>
          <w:szCs w:val="32"/>
          <w:lang w:val="en-US" w:eastAsia="zh-CN"/>
        </w:rPr>
        <w:t>区疾控中心年底实有事业编制人员33名,退休事业人员4名；另为创建二级甲等疾控机构等级评审做准备，业务项目扩大，中心借用区内乡镇卫生院专技人员2人，聘用编制外专技人员6人，特别服务岗工作人员8人。</w:t>
      </w:r>
    </w:p>
    <w:p w14:paraId="331C38D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rPr>
        <w:t>二、</w:t>
      </w:r>
      <w:r>
        <w:rPr>
          <w:rFonts w:hint="default" w:ascii="Times New Roman" w:hAnsi="Times New Roman" w:eastAsia="黑体" w:cs="Times New Roman"/>
          <w:color w:val="000000"/>
          <w:kern w:val="0"/>
          <w:sz w:val="33"/>
          <w:szCs w:val="33"/>
          <w:highlight w:val="none"/>
          <w:shd w:val="clear" w:color="auto" w:fill="FFFFFF"/>
          <w:lang w:eastAsia="zh-CN"/>
        </w:rPr>
        <w:t>部门</w:t>
      </w:r>
      <w:r>
        <w:rPr>
          <w:rFonts w:hint="default" w:ascii="Times New Roman" w:hAnsi="Times New Roman" w:eastAsia="黑体" w:cs="Times New Roman"/>
          <w:color w:val="000000"/>
          <w:kern w:val="0"/>
          <w:sz w:val="33"/>
          <w:szCs w:val="33"/>
          <w:highlight w:val="none"/>
          <w:shd w:val="clear" w:color="auto" w:fill="FFFFFF"/>
        </w:rPr>
        <w:t>资金收支情况</w:t>
      </w:r>
    </w:p>
    <w:p w14:paraId="0D5211ED">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N/>
        <w:bidi w:val="0"/>
        <w:adjustRightInd/>
        <w:ind w:left="0" w:right="0" w:firstLine="663" w:firstLineChars="200"/>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ascii="Times New Roman" w:hAnsi="Times New Roman" w:eastAsia="楷体_GB2312" w:cs="Times New Roman"/>
          <w:b/>
          <w:bCs/>
          <w:color w:val="000000"/>
          <w:kern w:val="0"/>
          <w:sz w:val="33"/>
          <w:szCs w:val="33"/>
          <w:highlight w:val="none"/>
          <w:shd w:val="clear" w:color="auto" w:fill="FFFFFF"/>
          <w:lang w:val="zh-CN"/>
        </w:rPr>
        <w:t>收入情况</w:t>
      </w:r>
      <w:r>
        <w:rPr>
          <w:rFonts w:hint="default" w:ascii="Times New Roman" w:hAnsi="Times New Roman" w:eastAsia="楷体_GB2312" w:cs="Times New Roman"/>
          <w:b/>
          <w:bCs/>
          <w:color w:val="000000"/>
          <w:kern w:val="0"/>
          <w:sz w:val="33"/>
          <w:szCs w:val="33"/>
          <w:highlight w:val="none"/>
          <w:shd w:val="clear" w:color="auto" w:fill="FFFFFF"/>
          <w:lang w:val="zh-CN"/>
        </w:rPr>
        <w:t>。</w:t>
      </w:r>
    </w:p>
    <w:p w14:paraId="35F0F6C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遂宁市安居区疾控中心2024年收入年初预算866.82万元，全部为一般公共预算财政拨款收入；调整预算数1337.16万元，其中一般公共预算拨款收入1146.92万元，政府性基金预算财政拨款收入190.24万元；年末决算数1146.92万元；决算数与调整预算数一致。</w:t>
      </w:r>
    </w:p>
    <w:p w14:paraId="5BF92522">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right="0" w:firstLine="663" w:firstLineChars="200"/>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eastAsia" w:ascii="Times New Roman" w:hAnsi="Times New Roman" w:eastAsia="楷体_GB2312" w:cs="Times New Roman"/>
          <w:b/>
          <w:bCs/>
          <w:color w:val="000000"/>
          <w:kern w:val="0"/>
          <w:sz w:val="33"/>
          <w:szCs w:val="33"/>
          <w:highlight w:val="none"/>
          <w:shd w:val="clear" w:color="auto" w:fill="FFFFFF"/>
          <w:lang w:val="zh-CN"/>
        </w:rPr>
        <w:t>支出情况</w:t>
      </w:r>
      <w:r>
        <w:rPr>
          <w:rFonts w:hint="default" w:ascii="Times New Roman" w:hAnsi="Times New Roman" w:eastAsia="楷体_GB2312" w:cs="Times New Roman"/>
          <w:b/>
          <w:bCs/>
          <w:color w:val="000000"/>
          <w:kern w:val="0"/>
          <w:sz w:val="33"/>
          <w:szCs w:val="33"/>
          <w:highlight w:val="none"/>
          <w:shd w:val="clear" w:color="auto" w:fill="FFFFFF"/>
          <w:lang w:val="zh-CN"/>
        </w:rPr>
        <w:t>。</w:t>
      </w:r>
    </w:p>
    <w:p w14:paraId="404B44CE">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en-US" w:eastAsia="zh-CN"/>
        </w:rPr>
        <w:t>遂宁市安居区疾控中心2024年支出年初预算866.82万元，其中：基本支出665.82万元，占77 %，项目支出201万元，占23%。支出调整预算数1337.16万元，其中基本支出预算数661.5万元，项目支出预算数675.66万元；决算数1337.16万元，决算数与支出调整预算数一致。</w:t>
      </w:r>
    </w:p>
    <w:p w14:paraId="385679D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eastAsia" w:ascii="Times New Roman" w:hAnsi="Times New Roman" w:eastAsia="楷体_GB2312" w:cs="Times New Roman"/>
          <w:b/>
          <w:sz w:val="33"/>
          <w:szCs w:val="33"/>
          <w:lang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default" w:ascii="Times New Roman" w:hAnsi="Times New Roman" w:eastAsia="楷体_GB2312" w:cs="Times New Roman"/>
          <w:b/>
          <w:sz w:val="33"/>
          <w:szCs w:val="33"/>
        </w:rPr>
        <w:t>结余分配和结转结余情况</w:t>
      </w:r>
      <w:r>
        <w:rPr>
          <w:rFonts w:hint="eastAsia" w:ascii="Times New Roman" w:hAnsi="Times New Roman" w:eastAsia="楷体_GB2312" w:cs="Times New Roman"/>
          <w:b/>
          <w:sz w:val="33"/>
          <w:szCs w:val="33"/>
          <w:lang w:eastAsia="zh-CN"/>
        </w:rPr>
        <w:t>。</w:t>
      </w:r>
    </w:p>
    <w:p w14:paraId="0DD7828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en-US" w:eastAsia="zh-CN"/>
        </w:rPr>
        <w:t>区疾控中心2024年末无结转结余资金</w:t>
      </w:r>
      <w:r>
        <w:rPr>
          <w:rFonts w:hint="default" w:ascii="仿宋_GB2312" w:hAnsi="仿宋_GB2312" w:eastAsia="仿宋_GB2312" w:cs="仿宋_GB2312"/>
          <w:b w:val="0"/>
          <w:bCs w:val="0"/>
          <w:sz w:val="32"/>
          <w:szCs w:val="32"/>
          <w:lang w:val="en-US" w:eastAsia="zh-CN"/>
        </w:rPr>
        <w:t>。</w:t>
      </w:r>
    </w:p>
    <w:p w14:paraId="460E78A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themeColor="text1"/>
          <w:kern w:val="0"/>
          <w:sz w:val="33"/>
          <w:szCs w:val="33"/>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 w:val="33"/>
          <w:szCs w:val="33"/>
          <w:highlight w:val="none"/>
          <w:shd w:val="clear" w:color="auto" w:fill="FFFFFF"/>
        </w:rPr>
        <w:t>三、</w:t>
      </w:r>
      <w:r>
        <w:rPr>
          <w:rFonts w:hint="default" w:ascii="Times New Roman" w:hAnsi="Times New Roman" w:eastAsia="黑体" w:cs="Times New Roman"/>
          <w:color w:val="000000"/>
          <w:kern w:val="0"/>
          <w:sz w:val="33"/>
          <w:szCs w:val="33"/>
          <w:highlight w:val="none"/>
          <w:u w:val="none"/>
          <w:shd w:val="clear" w:color="auto" w:fill="FFFFFF"/>
        </w:rPr>
        <w:t>部门</w:t>
      </w:r>
      <w:r>
        <w:rPr>
          <w:rFonts w:hint="default" w:ascii="Times New Roman" w:hAnsi="Times New Roman" w:eastAsia="黑体" w:cs="Times New Roman"/>
          <w:color w:val="000000"/>
          <w:kern w:val="0"/>
          <w:sz w:val="33"/>
          <w:szCs w:val="33"/>
          <w:highlight w:val="none"/>
          <w:u w:val="none"/>
          <w:shd w:val="clear" w:color="auto" w:fill="FFFFFF"/>
          <w:lang w:eastAsia="zh-CN"/>
        </w:rPr>
        <w:t>预算</w:t>
      </w:r>
      <w:r>
        <w:rPr>
          <w:rFonts w:hint="default" w:ascii="Times New Roman" w:hAnsi="Times New Roman" w:eastAsia="黑体" w:cs="Times New Roman"/>
          <w:color w:val="000000"/>
          <w:kern w:val="0"/>
          <w:sz w:val="33"/>
          <w:szCs w:val="33"/>
          <w:highlight w:val="none"/>
          <w:u w:val="none"/>
          <w:shd w:val="clear" w:color="auto" w:fill="FFFFFF"/>
        </w:rPr>
        <w:t>绩效</w:t>
      </w:r>
      <w:r>
        <w:rPr>
          <w:rFonts w:hint="default" w:ascii="Times New Roman" w:hAnsi="Times New Roman" w:eastAsia="黑体" w:cs="Times New Roman"/>
          <w:color w:val="000000"/>
          <w:kern w:val="0"/>
          <w:sz w:val="33"/>
          <w:szCs w:val="33"/>
          <w:highlight w:val="none"/>
          <w:u w:val="none"/>
          <w:shd w:val="clear" w:color="auto" w:fill="FFFFFF"/>
          <w:lang w:eastAsia="zh-CN"/>
        </w:rPr>
        <w:t>分析</w:t>
      </w:r>
    </w:p>
    <w:p w14:paraId="015D512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仿宋_GB2312" w:hAnsi="仿宋_GB2312" w:eastAsia="仿宋_GB2312" w:cs="仿宋_GB2312"/>
          <w:b w:val="0"/>
          <w:bCs w:val="0"/>
          <w:sz w:val="32"/>
          <w:szCs w:val="32"/>
          <w:lang w:val="zh-CN"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ascii="Times New Roman" w:hAnsi="Times New Roman" w:eastAsia="楷体_GB2312" w:cs="Times New Roman"/>
          <w:b/>
          <w:bCs/>
          <w:color w:val="000000"/>
          <w:kern w:val="0"/>
          <w:sz w:val="33"/>
          <w:szCs w:val="33"/>
          <w:highlight w:val="none"/>
          <w:shd w:val="clear" w:color="auto" w:fill="FFFFFF"/>
          <w:lang w:val="zh-CN"/>
        </w:rPr>
        <w:t>部门预算</w:t>
      </w:r>
      <w:r>
        <w:rPr>
          <w:rFonts w:hint="default" w:ascii="Times New Roman" w:hAnsi="Times New Roman" w:eastAsia="楷体_GB2312" w:cs="Times New Roman"/>
          <w:b/>
          <w:bCs/>
          <w:color w:val="000000"/>
          <w:kern w:val="0"/>
          <w:sz w:val="33"/>
          <w:szCs w:val="33"/>
          <w:highlight w:val="none"/>
          <w:shd w:val="clear" w:color="auto" w:fill="FFFFFF"/>
          <w:lang w:val="zh-CN"/>
        </w:rPr>
        <w:t>总体绩效分析。</w:t>
      </w:r>
      <w:r>
        <w:rPr>
          <w:rFonts w:hint="default" w:ascii="仿宋_GB2312" w:hAnsi="仿宋_GB2312" w:eastAsia="仿宋_GB2312" w:cs="仿宋_GB2312"/>
          <w:b w:val="0"/>
          <w:bCs w:val="0"/>
          <w:sz w:val="32"/>
          <w:szCs w:val="32"/>
          <w:lang w:val="zh-CN" w:eastAsia="zh-CN"/>
        </w:rPr>
        <w:t>根据部门预算绩效评价指标体系“总体绩效”涉及</w:t>
      </w:r>
      <w:r>
        <w:rPr>
          <w:rFonts w:hint="eastAsia" w:ascii="仿宋_GB2312" w:hAnsi="仿宋_GB2312" w:eastAsia="仿宋_GB2312" w:cs="仿宋_GB2312"/>
          <w:b w:val="0"/>
          <w:bCs w:val="0"/>
          <w:sz w:val="32"/>
          <w:szCs w:val="32"/>
          <w:lang w:val="zh-CN" w:eastAsia="zh-CN"/>
        </w:rPr>
        <w:t>二、三级</w:t>
      </w:r>
      <w:r>
        <w:rPr>
          <w:rFonts w:hint="default" w:ascii="仿宋_GB2312" w:hAnsi="仿宋_GB2312" w:eastAsia="仿宋_GB2312" w:cs="仿宋_GB2312"/>
          <w:b w:val="0"/>
          <w:bCs w:val="0"/>
          <w:sz w:val="32"/>
          <w:szCs w:val="32"/>
          <w:lang w:val="zh-CN" w:eastAsia="zh-CN"/>
        </w:rPr>
        <w:t>指标进行</w:t>
      </w:r>
      <w:r>
        <w:rPr>
          <w:rFonts w:hint="eastAsia" w:ascii="仿宋_GB2312" w:hAnsi="仿宋_GB2312" w:eastAsia="仿宋_GB2312" w:cs="仿宋_GB2312"/>
          <w:b w:val="0"/>
          <w:bCs w:val="0"/>
          <w:sz w:val="32"/>
          <w:szCs w:val="32"/>
          <w:lang w:val="zh-CN" w:eastAsia="zh-CN"/>
        </w:rPr>
        <w:t>逐项</w:t>
      </w:r>
      <w:r>
        <w:rPr>
          <w:rFonts w:hint="default" w:ascii="仿宋_GB2312" w:hAnsi="仿宋_GB2312" w:eastAsia="仿宋_GB2312" w:cs="仿宋_GB2312"/>
          <w:b w:val="0"/>
          <w:bCs w:val="0"/>
          <w:sz w:val="32"/>
          <w:szCs w:val="32"/>
          <w:lang w:val="zh-CN" w:eastAsia="zh-CN"/>
        </w:rPr>
        <w:t>绩效分析</w:t>
      </w:r>
      <w:r>
        <w:rPr>
          <w:rFonts w:hint="eastAsia" w:ascii="仿宋_GB2312" w:hAnsi="仿宋_GB2312" w:eastAsia="仿宋_GB2312" w:cs="仿宋_GB2312"/>
          <w:b w:val="0"/>
          <w:bCs w:val="0"/>
          <w:sz w:val="32"/>
          <w:szCs w:val="32"/>
          <w:lang w:val="zh-CN" w:eastAsia="zh-CN"/>
        </w:rPr>
        <w:t>并评分</w:t>
      </w:r>
      <w:r>
        <w:rPr>
          <w:rFonts w:hint="default" w:ascii="仿宋_GB2312" w:hAnsi="仿宋_GB2312" w:eastAsia="仿宋_GB2312" w:cs="仿宋_GB2312"/>
          <w:b w:val="0"/>
          <w:bCs w:val="0"/>
          <w:sz w:val="32"/>
          <w:szCs w:val="32"/>
          <w:lang w:val="zh-CN" w:eastAsia="zh-CN"/>
        </w:rPr>
        <w:t>，依次包括履职效能、预算管理、资产管理、采购</w:t>
      </w:r>
      <w:r>
        <w:rPr>
          <w:rFonts w:hint="eastAsia" w:ascii="仿宋_GB2312" w:hAnsi="仿宋_GB2312" w:eastAsia="仿宋_GB2312" w:cs="仿宋_GB2312"/>
          <w:b w:val="0"/>
          <w:bCs w:val="0"/>
          <w:sz w:val="32"/>
          <w:szCs w:val="32"/>
          <w:lang w:val="zh-CN" w:eastAsia="zh-CN"/>
        </w:rPr>
        <w:t>管理、</w:t>
      </w:r>
      <w:r>
        <w:rPr>
          <w:rFonts w:hint="default" w:ascii="仿宋_GB2312" w:hAnsi="仿宋_GB2312" w:eastAsia="仿宋_GB2312" w:cs="仿宋_GB2312"/>
          <w:b w:val="0"/>
          <w:bCs w:val="0"/>
          <w:sz w:val="32"/>
          <w:szCs w:val="32"/>
          <w:lang w:val="zh-CN" w:eastAsia="zh-CN"/>
        </w:rPr>
        <w:t>财务管理等情况。</w:t>
      </w:r>
    </w:p>
    <w:p w14:paraId="45AC4D4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cs="Times New Roman"/>
          <w:color w:val="000000"/>
          <w:kern w:val="0"/>
          <w:sz w:val="33"/>
          <w:szCs w:val="33"/>
          <w:highlight w:val="none"/>
          <w:shd w:val="clear" w:color="auto" w:fill="FFFFFF"/>
          <w:lang w:val="zh-CN"/>
        </w:rPr>
      </w:pPr>
      <w:r>
        <w:rPr>
          <w:rFonts w:hint="eastAsia" w:ascii="Times New Roman" w:hAnsi="Times New Roman" w:eastAsia="楷体_GB2312" w:cs="楷体_GB2312"/>
          <w:color w:val="000000"/>
          <w:kern w:val="0"/>
          <w:sz w:val="33"/>
          <w:szCs w:val="33"/>
          <w:highlight w:val="none"/>
          <w:shd w:val="clear" w:color="auto" w:fill="FFFFFF"/>
          <w:lang w:val="en-US" w:eastAsia="zh-CN"/>
        </w:rPr>
        <w:t>1.</w:t>
      </w:r>
      <w:r>
        <w:rPr>
          <w:rFonts w:hint="eastAsia" w:ascii="Times New Roman" w:hAnsi="Times New Roman" w:eastAsia="楷体_GB2312" w:cs="楷体_GB2312"/>
          <w:color w:val="000000"/>
          <w:kern w:val="0"/>
          <w:sz w:val="33"/>
          <w:szCs w:val="33"/>
          <w:highlight w:val="none"/>
          <w:shd w:val="clear" w:color="auto" w:fill="FFFFFF"/>
          <w:lang w:val="zh-CN"/>
        </w:rPr>
        <w:t>履职效能。</w:t>
      </w:r>
      <w:r>
        <w:rPr>
          <w:rFonts w:hint="eastAsia" w:ascii="仿宋_GB2312" w:hAnsi="仿宋_GB2312" w:eastAsia="仿宋_GB2312" w:cs="仿宋_GB2312"/>
          <w:b w:val="0"/>
          <w:bCs w:val="0"/>
          <w:sz w:val="32"/>
          <w:szCs w:val="32"/>
          <w:lang w:val="zh-CN" w:eastAsia="zh-CN"/>
        </w:rPr>
        <w:t>部门整体绩效目标中选定</w:t>
      </w:r>
      <w:r>
        <w:rPr>
          <w:rFonts w:hint="eastAsia" w:ascii="仿宋_GB2312" w:hAnsi="仿宋_GB2312" w:eastAsia="仿宋_GB2312" w:cs="仿宋_GB2312"/>
          <w:b w:val="0"/>
          <w:bCs w:val="0"/>
          <w:sz w:val="32"/>
          <w:szCs w:val="32"/>
          <w:lang w:val="en-US" w:eastAsia="zh-CN"/>
        </w:rPr>
        <w:t>3-5</w:t>
      </w:r>
      <w:r>
        <w:rPr>
          <w:rFonts w:hint="eastAsia" w:ascii="仿宋_GB2312" w:hAnsi="仿宋_GB2312" w:eastAsia="仿宋_GB2312" w:cs="仿宋_GB2312"/>
          <w:b w:val="0"/>
          <w:bCs w:val="0"/>
          <w:sz w:val="32"/>
          <w:szCs w:val="32"/>
          <w:lang w:val="zh-CN" w:eastAsia="zh-CN"/>
        </w:rPr>
        <w:t>个核心职能目标，对职能目标完成效果情况绩效分析。</w:t>
      </w:r>
    </w:p>
    <w:tbl>
      <w:tblPr>
        <w:tblStyle w:val="15"/>
        <w:tblW w:w="82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4"/>
        <w:gridCol w:w="3257"/>
        <w:gridCol w:w="1029"/>
        <w:gridCol w:w="900"/>
        <w:gridCol w:w="772"/>
        <w:gridCol w:w="1050"/>
      </w:tblGrid>
      <w:tr w14:paraId="5F154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0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1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8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9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1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2F6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自评分</w:t>
            </w:r>
          </w:p>
        </w:tc>
      </w:tr>
      <w:tr w14:paraId="4BFBC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80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82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本年度预算填报项目数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3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B2E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12</w:t>
            </w:r>
            <w:r>
              <w:rPr>
                <w:rFonts w:hint="eastAsia" w:ascii="宋体" w:hAnsi="宋体" w:eastAsia="宋体" w:cs="宋体"/>
                <w:i w:val="0"/>
                <w:iCs w:val="0"/>
                <w:color w:val="000000"/>
                <w:kern w:val="0"/>
                <w:sz w:val="18"/>
                <w:szCs w:val="18"/>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47E3">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9DB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r>
      <w:tr w14:paraId="6DD1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7B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5E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财政经费保证人数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1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D98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41</w:t>
            </w:r>
            <w:r>
              <w:rPr>
                <w:rFonts w:hint="eastAsia" w:ascii="宋体" w:hAnsi="宋体" w:eastAsia="宋体" w:cs="宋体"/>
                <w:i w:val="0"/>
                <w:iCs w:val="0"/>
                <w:color w:val="000000"/>
                <w:kern w:val="0"/>
                <w:sz w:val="18"/>
                <w:szCs w:val="18"/>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41A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611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r>
      <w:tr w14:paraId="0468B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E5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59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全区卫生机构基本公共卫生服务督导</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D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DA5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次</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BD84">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02A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r>
      <w:tr w14:paraId="25335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80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32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项目工作完成及时性</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D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A79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99</w:t>
            </w:r>
            <w:r>
              <w:rPr>
                <w:rFonts w:hint="eastAsia" w:ascii="宋体" w:hAnsi="宋体" w:eastAsia="宋体" w:cs="宋体"/>
                <w:i w:val="0"/>
                <w:iCs w:val="0"/>
                <w:color w:val="000000"/>
                <w:kern w:val="0"/>
                <w:sz w:val="18"/>
                <w:szCs w:val="18"/>
                <w:u w:val="none"/>
                <w:lang w:val="en-US" w:eastAsia="zh-CN" w:bidi="ar"/>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0C4B">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0A6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r>
      <w:tr w14:paraId="29C24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2F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95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本年度部门预算执行完成进度</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2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8C6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96</w:t>
            </w:r>
            <w:r>
              <w:rPr>
                <w:rFonts w:hint="eastAsia" w:ascii="宋体" w:hAnsi="宋体" w:eastAsia="宋体" w:cs="宋体"/>
                <w:i w:val="0"/>
                <w:iCs w:val="0"/>
                <w:color w:val="000000"/>
                <w:kern w:val="0"/>
                <w:sz w:val="18"/>
                <w:szCs w:val="18"/>
                <w:u w:val="none"/>
                <w:lang w:val="en-US" w:eastAsia="zh-CN" w:bidi="ar"/>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64BD">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141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r>
    </w:tbl>
    <w:p w14:paraId="76A8C27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年度年初预算项目填报数量为12个，实际开展项目12个，所有项目按照要求进行事前绩效评估，按照标准测算金额，资金拨付准确及时，项目绩效目标基本完成；财政经费保障41个人员，未拖欠相关人员工资薪酬，工资足额准时发放，保险按时足额缴纳；每个季度进行全区基本公共卫生服务督导，全年共督导十余次，超额完成绩效目标；每个项目按照进度要求和质量要求扎实推进，资金足额保障；本年度部门预算执行提前完成进度。整体目标绩效虽有效达成，但年初设定的目标值稍显保守，故此项得分8分。</w:t>
      </w:r>
    </w:p>
    <w:p w14:paraId="004F667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Times New Roman" w:hAnsi="Times New Roman" w:eastAsia="楷体_GB2312" w:cs="楷体_GB2312"/>
          <w:color w:val="000000"/>
          <w:kern w:val="0"/>
          <w:sz w:val="33"/>
          <w:szCs w:val="33"/>
          <w:highlight w:val="none"/>
          <w:shd w:val="clear" w:color="auto" w:fill="FFFFFF"/>
          <w:lang w:val="en-US" w:eastAsia="zh-CN"/>
        </w:rPr>
        <w:t>2.</w:t>
      </w:r>
      <w:r>
        <w:rPr>
          <w:rFonts w:hint="default" w:ascii="Times New Roman" w:hAnsi="Times New Roman" w:eastAsia="楷体_GB2312" w:cs="楷体_GB2312"/>
          <w:color w:val="000000"/>
          <w:kern w:val="0"/>
          <w:sz w:val="33"/>
          <w:szCs w:val="33"/>
          <w:highlight w:val="none"/>
          <w:shd w:val="clear" w:color="auto" w:fill="FFFFFF"/>
          <w:lang w:val="zh-CN"/>
        </w:rPr>
        <w:t>预算管理</w:t>
      </w:r>
      <w:r>
        <w:rPr>
          <w:rFonts w:hint="eastAsia" w:ascii="Times New Roman" w:hAnsi="Times New Roman" w:eastAsia="楷体_GB2312" w:cs="楷体_GB2312"/>
          <w:color w:val="000000"/>
          <w:kern w:val="0"/>
          <w:sz w:val="33"/>
          <w:szCs w:val="33"/>
          <w:highlight w:val="none"/>
          <w:shd w:val="clear" w:color="auto" w:fill="FFFFFF"/>
          <w:lang w:val="zh-CN"/>
        </w:rPr>
        <w:t>。</w:t>
      </w:r>
      <w:r>
        <w:rPr>
          <w:rFonts w:hint="eastAsia" w:ascii="仿宋_GB2312" w:hAnsi="仿宋_GB2312" w:eastAsia="仿宋_GB2312" w:cs="仿宋_GB2312"/>
          <w:b w:val="0"/>
          <w:bCs w:val="0"/>
          <w:sz w:val="32"/>
          <w:szCs w:val="32"/>
          <w:lang w:val="zh-CN" w:eastAsia="zh-CN"/>
        </w:rPr>
        <w:t>预算编制</w:t>
      </w:r>
      <w:r>
        <w:rPr>
          <w:rFonts w:hint="eastAsia" w:ascii="仿宋_GB2312" w:hAnsi="仿宋_GB2312" w:eastAsia="仿宋_GB2312" w:cs="仿宋_GB2312"/>
          <w:b w:val="0"/>
          <w:bCs w:val="0"/>
          <w:sz w:val="32"/>
          <w:szCs w:val="32"/>
          <w:lang w:val="en-US" w:eastAsia="zh-CN"/>
        </w:rPr>
        <w:t>前</w:t>
      </w:r>
      <w:r>
        <w:rPr>
          <w:rFonts w:hint="eastAsia" w:ascii="仿宋_GB2312" w:hAnsi="仿宋_GB2312" w:eastAsia="仿宋_GB2312" w:cs="仿宋_GB2312"/>
          <w:b w:val="0"/>
          <w:bCs w:val="0"/>
          <w:sz w:val="32"/>
          <w:szCs w:val="32"/>
          <w:lang w:val="zh-CN" w:eastAsia="zh-CN"/>
        </w:rPr>
        <w:t>评估预算编制的准确性、科学性与完整性，考察其是否紧密贴合</w:t>
      </w:r>
      <w:r>
        <w:rPr>
          <w:rFonts w:hint="eastAsia" w:ascii="仿宋_GB2312" w:hAnsi="仿宋_GB2312" w:eastAsia="仿宋_GB2312" w:cs="仿宋_GB2312"/>
          <w:b w:val="0"/>
          <w:bCs w:val="0"/>
          <w:sz w:val="32"/>
          <w:szCs w:val="32"/>
          <w:lang w:val="en-US" w:eastAsia="zh-CN"/>
        </w:rPr>
        <w:t>单位</w:t>
      </w:r>
      <w:r>
        <w:rPr>
          <w:rFonts w:hint="eastAsia" w:ascii="仿宋_GB2312" w:hAnsi="仿宋_GB2312" w:eastAsia="仿宋_GB2312" w:cs="仿宋_GB2312"/>
          <w:b w:val="0"/>
          <w:bCs w:val="0"/>
          <w:sz w:val="32"/>
          <w:szCs w:val="32"/>
          <w:lang w:val="zh-CN" w:eastAsia="zh-CN"/>
        </w:rPr>
        <w:t>实际业务需求与发展规划；单位收入统筹板块，全面分析</w:t>
      </w:r>
      <w:r>
        <w:rPr>
          <w:rFonts w:hint="eastAsia" w:ascii="仿宋_GB2312" w:hAnsi="仿宋_GB2312" w:eastAsia="仿宋_GB2312" w:cs="仿宋_GB2312"/>
          <w:b w:val="0"/>
          <w:bCs w:val="0"/>
          <w:sz w:val="32"/>
          <w:szCs w:val="32"/>
          <w:lang w:val="en-US" w:eastAsia="zh-CN"/>
        </w:rPr>
        <w:t>单位</w:t>
      </w:r>
      <w:r>
        <w:rPr>
          <w:rFonts w:hint="eastAsia" w:ascii="仿宋_GB2312" w:hAnsi="仿宋_GB2312" w:eastAsia="仿宋_GB2312" w:cs="仿宋_GB2312"/>
          <w:b w:val="0"/>
          <w:bCs w:val="0"/>
          <w:sz w:val="32"/>
          <w:szCs w:val="32"/>
          <w:lang w:val="zh-CN" w:eastAsia="zh-CN"/>
        </w:rPr>
        <w:t>对收入的整合能力</w:t>
      </w:r>
      <w:r>
        <w:rPr>
          <w:rFonts w:hint="eastAsia" w:ascii="仿宋_GB2312" w:hAnsi="仿宋_GB2312" w:eastAsia="仿宋_GB2312" w:cs="仿宋_GB2312"/>
          <w:b w:val="0"/>
          <w:bCs w:val="0"/>
          <w:sz w:val="32"/>
          <w:szCs w:val="32"/>
          <w:lang w:val="en-US" w:eastAsia="zh-CN"/>
        </w:rPr>
        <w:t>和</w:t>
      </w:r>
      <w:r>
        <w:rPr>
          <w:rFonts w:hint="eastAsia" w:ascii="仿宋_GB2312" w:hAnsi="仿宋_GB2312" w:eastAsia="仿宋_GB2312" w:cs="仿宋_GB2312"/>
          <w:b w:val="0"/>
          <w:bCs w:val="0"/>
          <w:sz w:val="32"/>
          <w:szCs w:val="32"/>
          <w:lang w:val="zh-CN" w:eastAsia="zh-CN"/>
        </w:rPr>
        <w:t>收入结构的合理性；严格审视资金拨付与使用的及时性、均衡性，判断是否存在支出滞后或超前等不合理现象；</w:t>
      </w:r>
      <w:r>
        <w:rPr>
          <w:rFonts w:hint="eastAsia" w:ascii="仿宋_GB2312" w:hAnsi="仿宋_GB2312" w:eastAsia="仿宋_GB2312" w:cs="仿宋_GB2312"/>
          <w:b w:val="0"/>
          <w:bCs w:val="0"/>
          <w:sz w:val="32"/>
          <w:szCs w:val="32"/>
          <w:lang w:val="en-US" w:eastAsia="zh-CN"/>
        </w:rPr>
        <w:t>本年度</w:t>
      </w:r>
      <w:r>
        <w:rPr>
          <w:rFonts w:hint="eastAsia" w:ascii="仿宋_GB2312" w:hAnsi="仿宋_GB2312" w:eastAsia="仿宋_GB2312" w:cs="仿宋_GB2312"/>
          <w:b w:val="0"/>
          <w:bCs w:val="0"/>
          <w:sz w:val="32"/>
          <w:szCs w:val="32"/>
          <w:lang w:val="zh-CN" w:eastAsia="zh-CN"/>
        </w:rPr>
        <w:t>预算</w:t>
      </w:r>
      <w:r>
        <w:rPr>
          <w:rFonts w:hint="eastAsia" w:ascii="仿宋_GB2312" w:hAnsi="仿宋_GB2312" w:eastAsia="仿宋_GB2312" w:cs="仿宋_GB2312"/>
          <w:b w:val="0"/>
          <w:bCs w:val="0"/>
          <w:sz w:val="32"/>
          <w:szCs w:val="32"/>
          <w:lang w:val="en-US" w:eastAsia="zh-CN"/>
        </w:rPr>
        <w:t>资金全额使用，无</w:t>
      </w:r>
      <w:r>
        <w:rPr>
          <w:rFonts w:hint="eastAsia" w:ascii="仿宋_GB2312" w:hAnsi="仿宋_GB2312" w:eastAsia="仿宋_GB2312" w:cs="仿宋_GB2312"/>
          <w:b w:val="0"/>
          <w:bCs w:val="0"/>
          <w:sz w:val="32"/>
          <w:szCs w:val="32"/>
          <w:lang w:val="zh-CN" w:eastAsia="zh-CN"/>
        </w:rPr>
        <w:t>年终</w:t>
      </w:r>
      <w:r>
        <w:rPr>
          <w:rFonts w:hint="eastAsia" w:ascii="仿宋_GB2312" w:hAnsi="仿宋_GB2312" w:eastAsia="仿宋_GB2312" w:cs="仿宋_GB2312"/>
          <w:b w:val="0"/>
          <w:bCs w:val="0"/>
          <w:sz w:val="32"/>
          <w:szCs w:val="32"/>
          <w:lang w:val="en-US" w:eastAsia="zh-CN"/>
        </w:rPr>
        <w:t>结转</w:t>
      </w:r>
      <w:r>
        <w:rPr>
          <w:rFonts w:hint="eastAsia" w:ascii="仿宋_GB2312" w:hAnsi="仿宋_GB2312" w:eastAsia="仿宋_GB2312" w:cs="仿宋_GB2312"/>
          <w:b w:val="0"/>
          <w:bCs w:val="0"/>
          <w:sz w:val="32"/>
          <w:szCs w:val="32"/>
          <w:lang w:val="zh-CN" w:eastAsia="zh-CN"/>
        </w:rPr>
        <w:t>结余；严控一般性支出方面，严格落实相关政策要求，切实压减非必要开支，优化支出结构，</w:t>
      </w:r>
      <w:r>
        <w:rPr>
          <w:rFonts w:hint="eastAsia" w:ascii="仿宋_GB2312" w:hAnsi="仿宋_GB2312" w:eastAsia="仿宋_GB2312" w:cs="仿宋_GB2312"/>
          <w:b w:val="0"/>
          <w:bCs w:val="0"/>
          <w:sz w:val="32"/>
          <w:szCs w:val="32"/>
          <w:lang w:val="en-US" w:eastAsia="zh-CN"/>
        </w:rPr>
        <w:t>本年实现压减一般性支出18%</w:t>
      </w:r>
      <w:r>
        <w:rPr>
          <w:rFonts w:hint="eastAsia" w:ascii="仿宋_GB2312" w:hAnsi="仿宋_GB2312" w:eastAsia="仿宋_GB2312" w:cs="仿宋_GB2312"/>
          <w:b w:val="0"/>
          <w:bCs w:val="0"/>
          <w:sz w:val="32"/>
          <w:szCs w:val="32"/>
          <w:lang w:val="zh-CN" w:eastAsia="zh-CN"/>
        </w:rPr>
        <w:t>。</w:t>
      </w:r>
    </w:p>
    <w:p w14:paraId="7C68D21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仿宋_GB2312" w:hAnsi="仿宋_GB2312" w:eastAsia="仿宋_GB2312" w:cs="仿宋_GB2312"/>
          <w:b w:val="0"/>
          <w:bCs w:val="0"/>
          <w:sz w:val="32"/>
          <w:szCs w:val="32"/>
          <w:lang w:val="zh-CN" w:eastAsia="zh-CN"/>
        </w:rPr>
      </w:pPr>
      <w:r>
        <w:rPr>
          <w:rFonts w:hint="eastAsia" w:eastAsia="楷体_GB2312" w:cs="楷体_GB2312"/>
          <w:color w:val="000000"/>
          <w:kern w:val="0"/>
          <w:sz w:val="33"/>
          <w:szCs w:val="33"/>
          <w:highlight w:val="none"/>
          <w:shd w:val="clear" w:color="auto" w:fill="FFFFFF"/>
          <w:lang w:val="en-US" w:eastAsia="zh-CN"/>
        </w:rPr>
        <w:t>3</w:t>
      </w:r>
      <w:r>
        <w:rPr>
          <w:rFonts w:hint="eastAsia" w:ascii="Times New Roman" w:hAnsi="Times New Roman" w:eastAsia="楷体_GB2312" w:cs="楷体_GB2312"/>
          <w:color w:val="000000"/>
          <w:kern w:val="0"/>
          <w:sz w:val="33"/>
          <w:szCs w:val="33"/>
          <w:highlight w:val="none"/>
          <w:shd w:val="clear" w:color="auto" w:fill="FFFFFF"/>
          <w:lang w:val="en-US" w:eastAsia="zh-CN"/>
        </w:rPr>
        <w:t>.</w:t>
      </w:r>
      <w:r>
        <w:rPr>
          <w:rFonts w:hint="default" w:ascii="Times New Roman" w:hAnsi="Times New Roman" w:eastAsia="楷体_GB2312" w:cs="楷体_GB2312"/>
          <w:color w:val="000000"/>
          <w:kern w:val="0"/>
          <w:sz w:val="33"/>
          <w:szCs w:val="33"/>
          <w:highlight w:val="none"/>
          <w:shd w:val="clear" w:color="auto" w:fill="FFFFFF"/>
          <w:lang w:val="zh-CN"/>
        </w:rPr>
        <w:t>资产管理</w:t>
      </w:r>
      <w:r>
        <w:rPr>
          <w:rFonts w:hint="eastAsia" w:ascii="Times New Roman" w:hAnsi="Times New Roman" w:eastAsia="楷体_GB2312" w:cs="楷体_GB2312"/>
          <w:color w:val="000000"/>
          <w:kern w:val="0"/>
          <w:sz w:val="33"/>
          <w:szCs w:val="33"/>
          <w:highlight w:val="none"/>
          <w:shd w:val="clear" w:color="auto" w:fill="FFFFFF"/>
          <w:lang w:val="zh-CN"/>
        </w:rPr>
        <w:t>。</w:t>
      </w:r>
      <w:r>
        <w:rPr>
          <w:rFonts w:hint="eastAsia" w:ascii="仿宋_GB2312" w:hAnsi="仿宋_GB2312" w:eastAsia="仿宋_GB2312" w:cs="仿宋_GB2312"/>
          <w:b w:val="0"/>
          <w:bCs w:val="0"/>
          <w:sz w:val="32"/>
          <w:szCs w:val="32"/>
          <w:lang w:val="zh-CN" w:eastAsia="zh-CN"/>
        </w:rPr>
        <w:t>人均资产变化率</w:t>
      </w:r>
      <w:r>
        <w:rPr>
          <w:rFonts w:hint="eastAsia" w:ascii="仿宋_GB2312" w:hAnsi="仿宋_GB2312" w:eastAsia="仿宋_GB2312" w:cs="仿宋_GB2312"/>
          <w:b w:val="0"/>
          <w:bCs w:val="0"/>
          <w:sz w:val="32"/>
          <w:szCs w:val="32"/>
          <w:lang w:val="en-US" w:eastAsia="zh-CN"/>
        </w:rPr>
        <w:t>为-10.33%，主要原因为本年新增固定资产较少，而固定资产折旧总额较高，导致资产净值相较去年减少；部门资产办公家具近几年未新购，原有资产利用率较高，办公设备新购部分，少量资产存在短期内闲置情况，整体</w:t>
      </w:r>
      <w:r>
        <w:rPr>
          <w:rFonts w:hint="eastAsia" w:ascii="仿宋_GB2312" w:hAnsi="仿宋_GB2312" w:eastAsia="仿宋_GB2312" w:cs="仿宋_GB2312"/>
          <w:b w:val="0"/>
          <w:bCs w:val="0"/>
          <w:sz w:val="32"/>
          <w:szCs w:val="32"/>
          <w:lang w:val="zh-CN" w:eastAsia="zh-CN"/>
        </w:rPr>
        <w:t>资产利用率</w:t>
      </w:r>
      <w:r>
        <w:rPr>
          <w:rFonts w:hint="eastAsia" w:ascii="仿宋_GB2312" w:hAnsi="仿宋_GB2312" w:eastAsia="仿宋_GB2312" w:cs="仿宋_GB2312"/>
          <w:b w:val="0"/>
          <w:bCs w:val="0"/>
          <w:sz w:val="32"/>
          <w:szCs w:val="32"/>
          <w:lang w:val="en-US" w:eastAsia="zh-CN"/>
        </w:rPr>
        <w:t>有待提高</w:t>
      </w:r>
      <w:r>
        <w:rPr>
          <w:rFonts w:hint="eastAsia" w:ascii="仿宋_GB2312" w:hAnsi="仿宋_GB2312" w:eastAsia="仿宋_GB2312" w:cs="仿宋_GB2312"/>
          <w:b w:val="0"/>
          <w:bCs w:val="0"/>
          <w:sz w:val="32"/>
          <w:szCs w:val="32"/>
          <w:lang w:val="zh-CN" w:eastAsia="zh-CN"/>
        </w:rPr>
        <w:t>、</w:t>
      </w:r>
      <w:r>
        <w:rPr>
          <w:rFonts w:hint="eastAsia" w:ascii="仿宋_GB2312" w:hAnsi="仿宋_GB2312" w:eastAsia="仿宋_GB2312" w:cs="仿宋_GB2312"/>
          <w:b w:val="0"/>
          <w:bCs w:val="0"/>
          <w:sz w:val="32"/>
          <w:szCs w:val="32"/>
          <w:lang w:val="en-US" w:eastAsia="zh-CN"/>
        </w:rPr>
        <w:t>因存在少量</w:t>
      </w:r>
      <w:r>
        <w:rPr>
          <w:rFonts w:hint="eastAsia" w:ascii="仿宋_GB2312" w:hAnsi="仿宋_GB2312" w:eastAsia="仿宋_GB2312" w:cs="仿宋_GB2312"/>
          <w:b w:val="0"/>
          <w:bCs w:val="0"/>
          <w:sz w:val="32"/>
          <w:szCs w:val="32"/>
          <w:lang w:val="zh-CN" w:eastAsia="zh-CN"/>
        </w:rPr>
        <w:t>资产</w:t>
      </w:r>
      <w:r>
        <w:rPr>
          <w:rFonts w:hint="eastAsia" w:ascii="仿宋_GB2312" w:hAnsi="仿宋_GB2312" w:eastAsia="仿宋_GB2312" w:cs="仿宋_GB2312"/>
          <w:b w:val="0"/>
          <w:bCs w:val="0"/>
          <w:sz w:val="32"/>
          <w:szCs w:val="32"/>
          <w:lang w:val="en-US" w:eastAsia="zh-CN"/>
        </w:rPr>
        <w:t>短时间闲置，正在盘活使用准备中，资产盘活率有待进一步加强</w:t>
      </w:r>
      <w:r>
        <w:rPr>
          <w:rFonts w:hint="eastAsia" w:ascii="仿宋_GB2312" w:hAnsi="仿宋_GB2312" w:eastAsia="仿宋_GB2312" w:cs="仿宋_GB2312"/>
          <w:b w:val="0"/>
          <w:bCs w:val="0"/>
          <w:sz w:val="32"/>
          <w:szCs w:val="32"/>
          <w:lang w:val="zh-CN" w:eastAsia="zh-CN"/>
        </w:rPr>
        <w:t>。</w:t>
      </w:r>
    </w:p>
    <w:p w14:paraId="6318BAD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cs="Times New Roman"/>
          <w:color w:val="000000"/>
          <w:kern w:val="0"/>
          <w:sz w:val="33"/>
          <w:szCs w:val="33"/>
          <w:highlight w:val="none"/>
          <w:shd w:val="clear" w:color="auto" w:fill="FFFFFF"/>
          <w:lang w:val="zh-CN"/>
        </w:rPr>
      </w:pPr>
      <w:r>
        <w:rPr>
          <w:rFonts w:hint="eastAsia" w:eastAsia="楷体_GB2312" w:cs="楷体_GB2312"/>
          <w:color w:val="000000"/>
          <w:kern w:val="0"/>
          <w:sz w:val="33"/>
          <w:szCs w:val="33"/>
          <w:highlight w:val="none"/>
          <w:shd w:val="clear" w:color="auto" w:fill="FFFFFF"/>
          <w:lang w:val="en-US" w:eastAsia="zh-CN"/>
        </w:rPr>
        <w:t>4</w:t>
      </w:r>
      <w:r>
        <w:rPr>
          <w:rFonts w:hint="eastAsia" w:ascii="Times New Roman" w:hAnsi="Times New Roman" w:eastAsia="楷体_GB2312" w:cs="楷体_GB2312"/>
          <w:color w:val="000000"/>
          <w:kern w:val="0"/>
          <w:sz w:val="33"/>
          <w:szCs w:val="33"/>
          <w:highlight w:val="none"/>
          <w:shd w:val="clear" w:color="auto" w:fill="FFFFFF"/>
          <w:lang w:val="en-US" w:eastAsia="zh-CN"/>
        </w:rPr>
        <w:t>.</w:t>
      </w:r>
      <w:r>
        <w:rPr>
          <w:rFonts w:hint="default" w:ascii="Times New Roman" w:hAnsi="Times New Roman" w:eastAsia="楷体_GB2312" w:cs="楷体_GB2312"/>
          <w:color w:val="000000"/>
          <w:kern w:val="0"/>
          <w:sz w:val="33"/>
          <w:szCs w:val="33"/>
          <w:highlight w:val="none"/>
          <w:shd w:val="clear" w:color="auto" w:fill="FFFFFF"/>
          <w:lang w:val="zh-CN"/>
        </w:rPr>
        <w:t>采购管理</w:t>
      </w:r>
      <w:r>
        <w:rPr>
          <w:rFonts w:hint="eastAsia" w:ascii="Times New Roman" w:hAnsi="Times New Roman" w:eastAsia="楷体_GB2312" w:cs="楷体_GB2312"/>
          <w:color w:val="000000"/>
          <w:kern w:val="0"/>
          <w:sz w:val="33"/>
          <w:szCs w:val="33"/>
          <w:highlight w:val="none"/>
          <w:shd w:val="clear" w:color="auto" w:fill="FFFFFF"/>
          <w:lang w:val="zh-CN"/>
        </w:rPr>
        <w:t>。</w:t>
      </w:r>
      <w:r>
        <w:rPr>
          <w:rFonts w:hint="eastAsia" w:ascii="仿宋_GB2312" w:hAnsi="仿宋_GB2312" w:eastAsia="仿宋_GB2312" w:cs="仿宋_GB2312"/>
          <w:b w:val="0"/>
          <w:bCs w:val="0"/>
          <w:sz w:val="32"/>
          <w:szCs w:val="32"/>
          <w:lang w:val="en-US" w:eastAsia="zh-CN"/>
        </w:rPr>
        <w:t>单位所有的政府采购项目均采用和中小企业合作的形式，</w:t>
      </w:r>
      <w:r>
        <w:rPr>
          <w:rFonts w:hint="eastAsia" w:ascii="仿宋_GB2312" w:hAnsi="仿宋_GB2312" w:eastAsia="仿宋_GB2312" w:cs="仿宋_GB2312"/>
          <w:b w:val="0"/>
          <w:bCs w:val="0"/>
          <w:sz w:val="32"/>
          <w:szCs w:val="32"/>
          <w:lang w:val="zh-CN" w:eastAsia="zh-CN"/>
        </w:rPr>
        <w:t>考量与中小企业沟通协作的顺畅程度以及对其诉求响应的效率，以衡量部门在推动中小企业健康发展上的贡献度与影响力。核查采购计划的制定是否科学合理、符合实际需求，严格审查采购流程的合规性、透明度与高效性，统计实际采购金额与计划采购金额的偏差情况，剖析导致采购执行率高低不等的因素，进而评估部门采购工作的管理水平与资源调配能力。</w:t>
      </w:r>
    </w:p>
    <w:p w14:paraId="7A5E358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仿宋_GB2312" w:hAnsi="仿宋_GB2312" w:eastAsia="仿宋_GB2312" w:cs="仿宋_GB2312"/>
          <w:b w:val="0"/>
          <w:bCs w:val="0"/>
          <w:sz w:val="32"/>
          <w:szCs w:val="32"/>
          <w:lang w:val="zh-CN" w:eastAsia="zh-CN"/>
        </w:rPr>
      </w:pPr>
      <w:r>
        <w:rPr>
          <w:rFonts w:hint="eastAsia" w:eastAsia="楷体_GB2312" w:cs="楷体_GB2312"/>
          <w:color w:val="000000"/>
          <w:kern w:val="0"/>
          <w:sz w:val="33"/>
          <w:szCs w:val="33"/>
          <w:highlight w:val="none"/>
          <w:shd w:val="clear" w:color="auto" w:fill="FFFFFF"/>
          <w:lang w:val="en-US" w:eastAsia="zh-CN"/>
        </w:rPr>
        <w:t>5</w:t>
      </w:r>
      <w:r>
        <w:rPr>
          <w:rFonts w:hint="eastAsia" w:ascii="Times New Roman" w:hAnsi="Times New Roman" w:eastAsia="楷体_GB2312" w:cs="楷体_GB2312"/>
          <w:color w:val="000000"/>
          <w:kern w:val="0"/>
          <w:sz w:val="33"/>
          <w:szCs w:val="33"/>
          <w:highlight w:val="none"/>
          <w:shd w:val="clear" w:color="auto" w:fill="FFFFFF"/>
          <w:lang w:val="en-US" w:eastAsia="zh-CN"/>
        </w:rPr>
        <w:t>.</w:t>
      </w:r>
      <w:r>
        <w:rPr>
          <w:rFonts w:hint="default" w:ascii="Times New Roman" w:hAnsi="Times New Roman" w:eastAsia="楷体_GB2312" w:cs="楷体_GB2312"/>
          <w:color w:val="000000"/>
          <w:kern w:val="0"/>
          <w:sz w:val="33"/>
          <w:szCs w:val="33"/>
          <w:highlight w:val="none"/>
          <w:shd w:val="clear" w:color="auto" w:fill="FFFFFF"/>
          <w:lang w:val="zh-CN"/>
        </w:rPr>
        <w:t>财务管理</w:t>
      </w:r>
      <w:r>
        <w:rPr>
          <w:rFonts w:hint="eastAsia" w:ascii="Times New Roman" w:hAnsi="Times New Roman" w:eastAsia="楷体_GB2312" w:cs="楷体_GB2312"/>
          <w:color w:val="000000"/>
          <w:kern w:val="0"/>
          <w:sz w:val="33"/>
          <w:szCs w:val="33"/>
          <w:highlight w:val="none"/>
          <w:shd w:val="clear" w:color="auto" w:fill="FFFFFF"/>
          <w:lang w:val="zh-CN"/>
        </w:rPr>
        <w:t>。</w:t>
      </w:r>
      <w:r>
        <w:rPr>
          <w:rFonts w:hint="eastAsia" w:ascii="仿宋_GB2312" w:hAnsi="仿宋_GB2312" w:eastAsia="仿宋_GB2312" w:cs="仿宋_GB2312"/>
          <w:b w:val="0"/>
          <w:bCs w:val="0"/>
          <w:sz w:val="32"/>
          <w:szCs w:val="32"/>
          <w:lang w:val="zh-CN" w:eastAsia="zh-CN"/>
        </w:rPr>
        <w:t>在财务管理制度方面，全面审视制度的完备性、合规性与执行力度，评估其是否覆盖财务工作全流程，能否有效防范财务风险，以及在实际操作中是否得到严格遵循，以此判断制度对部门财务活动的规范与保障作用，</w:t>
      </w:r>
      <w:r>
        <w:rPr>
          <w:rFonts w:hint="eastAsia" w:ascii="仿宋_GB2312" w:hAnsi="仿宋_GB2312" w:eastAsia="仿宋_GB2312" w:cs="仿宋_GB2312"/>
          <w:b w:val="0"/>
          <w:bCs w:val="0"/>
          <w:sz w:val="32"/>
          <w:szCs w:val="32"/>
          <w:lang w:val="en-US" w:eastAsia="zh-CN"/>
        </w:rPr>
        <w:t>制定并定时更新单位内部控制制度</w:t>
      </w:r>
      <w:r>
        <w:rPr>
          <w:rFonts w:hint="eastAsia" w:ascii="仿宋_GB2312" w:hAnsi="仿宋_GB2312" w:eastAsia="仿宋_GB2312" w:cs="仿宋_GB2312"/>
          <w:b w:val="0"/>
          <w:bCs w:val="0"/>
          <w:sz w:val="32"/>
          <w:szCs w:val="32"/>
          <w:lang w:val="zh-CN" w:eastAsia="zh-CN"/>
        </w:rPr>
        <w:t>。</w:t>
      </w:r>
      <w:r>
        <w:rPr>
          <w:rFonts w:hint="eastAsia" w:ascii="仿宋_GB2312" w:hAnsi="仿宋_GB2312" w:eastAsia="仿宋_GB2312" w:cs="仿宋_GB2312"/>
          <w:b w:val="0"/>
          <w:bCs w:val="0"/>
          <w:sz w:val="32"/>
          <w:szCs w:val="32"/>
          <w:lang w:val="en-US" w:eastAsia="zh-CN"/>
        </w:rPr>
        <w:t>合理设置财务岗位，职责分工明确，考虑</w:t>
      </w:r>
      <w:r>
        <w:rPr>
          <w:rFonts w:hint="eastAsia" w:ascii="仿宋_GB2312" w:hAnsi="仿宋_GB2312" w:eastAsia="仿宋_GB2312" w:cs="仿宋_GB2312"/>
          <w:b w:val="0"/>
          <w:bCs w:val="0"/>
          <w:sz w:val="32"/>
          <w:szCs w:val="32"/>
          <w:lang w:val="zh-CN" w:eastAsia="zh-CN"/>
        </w:rPr>
        <w:t>岗位配置的合理性</w:t>
      </w:r>
      <w:r>
        <w:rPr>
          <w:rFonts w:hint="eastAsia" w:ascii="仿宋_GB2312" w:hAnsi="仿宋_GB2312" w:eastAsia="仿宋_GB2312" w:cs="仿宋_GB2312"/>
          <w:b w:val="0"/>
          <w:bCs w:val="0"/>
          <w:sz w:val="32"/>
          <w:szCs w:val="32"/>
          <w:lang w:val="en-US" w:eastAsia="zh-CN"/>
        </w:rPr>
        <w:t>和</w:t>
      </w:r>
      <w:r>
        <w:rPr>
          <w:rFonts w:hint="eastAsia" w:ascii="仿宋_GB2312" w:hAnsi="仿宋_GB2312" w:eastAsia="仿宋_GB2312" w:cs="仿宋_GB2312"/>
          <w:b w:val="0"/>
          <w:bCs w:val="0"/>
          <w:sz w:val="32"/>
          <w:szCs w:val="32"/>
          <w:lang w:val="zh-CN" w:eastAsia="zh-CN"/>
        </w:rPr>
        <w:t>人员专业能力的适配性，确保财务工作高效有序开展。资金使用严格核查资金审批流程的严谨性、支出用途的合规性以及资金使用效益，检查是否存在违规使用、浪费资金等现象，衡量资金是否真正用于推动部门核心业务发展、实现预期目标。</w:t>
      </w:r>
    </w:p>
    <w:p w14:paraId="357CFCCF">
      <w:pPr>
        <w:keepNext w:val="0"/>
        <w:keepLines w:val="0"/>
        <w:pageBreakBefore w:val="0"/>
        <w:widowControl/>
        <w:kinsoku/>
        <w:wordWrap/>
        <w:overflowPunct/>
        <w:topLinePunct w:val="0"/>
        <w:autoSpaceDE/>
        <w:autoSpaceDN/>
        <w:bidi w:val="0"/>
        <w:adjustRightInd/>
        <w:snapToGrid/>
        <w:spacing w:line="590" w:lineRule="exact"/>
        <w:ind w:right="0" w:rightChars="0" w:firstLine="663" w:firstLineChars="200"/>
        <w:contextualSpacing/>
        <w:jc w:val="both"/>
        <w:textAlignment w:val="auto"/>
        <w:outlineLvl w:val="9"/>
        <w:rPr>
          <w:rFonts w:hint="eastAsia" w:ascii="仿宋_GB2312" w:hAnsi="仿宋_GB2312" w:eastAsia="仿宋_GB2312" w:cs="仿宋_GB2312"/>
          <w:b w:val="0"/>
          <w:bCs w:val="0"/>
          <w:sz w:val="32"/>
          <w:szCs w:val="32"/>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（二）部门预算项目绩效分析。</w:t>
      </w:r>
      <w:r>
        <w:rPr>
          <w:rFonts w:hint="eastAsia" w:ascii="仿宋_GB2312" w:hAnsi="仿宋_GB2312" w:eastAsia="仿宋_GB2312" w:cs="仿宋_GB2312"/>
          <w:b w:val="0"/>
          <w:bCs w:val="0"/>
          <w:sz w:val="32"/>
          <w:szCs w:val="32"/>
          <w:lang w:val="zh-CN" w:eastAsia="zh-CN"/>
        </w:rPr>
        <w:t>填报以下数据，并</w:t>
      </w:r>
      <w:r>
        <w:rPr>
          <w:rFonts w:hint="default" w:ascii="仿宋_GB2312" w:hAnsi="仿宋_GB2312" w:eastAsia="仿宋_GB2312" w:cs="仿宋_GB2312"/>
          <w:b w:val="0"/>
          <w:bCs w:val="0"/>
          <w:sz w:val="32"/>
          <w:szCs w:val="32"/>
          <w:lang w:val="zh-CN" w:eastAsia="zh-CN"/>
        </w:rPr>
        <w:t>根据部门预算绩效评价指标体系“项目绩效”涉及</w:t>
      </w:r>
      <w:r>
        <w:rPr>
          <w:rFonts w:hint="eastAsia" w:ascii="仿宋_GB2312" w:hAnsi="仿宋_GB2312" w:eastAsia="仿宋_GB2312" w:cs="仿宋_GB2312"/>
          <w:b w:val="0"/>
          <w:bCs w:val="0"/>
          <w:sz w:val="32"/>
          <w:szCs w:val="32"/>
          <w:lang w:val="zh-CN" w:eastAsia="zh-CN"/>
        </w:rPr>
        <w:t>二、三级</w:t>
      </w:r>
      <w:r>
        <w:rPr>
          <w:rFonts w:hint="default" w:ascii="仿宋_GB2312" w:hAnsi="仿宋_GB2312" w:eastAsia="仿宋_GB2312" w:cs="仿宋_GB2312"/>
          <w:b w:val="0"/>
          <w:bCs w:val="0"/>
          <w:sz w:val="32"/>
          <w:szCs w:val="32"/>
          <w:lang w:val="zh-CN" w:eastAsia="zh-CN"/>
        </w:rPr>
        <w:t>指标进行</w:t>
      </w:r>
      <w:r>
        <w:rPr>
          <w:rFonts w:hint="eastAsia" w:ascii="仿宋_GB2312" w:hAnsi="仿宋_GB2312" w:eastAsia="仿宋_GB2312" w:cs="仿宋_GB2312"/>
          <w:b w:val="0"/>
          <w:bCs w:val="0"/>
          <w:sz w:val="32"/>
          <w:szCs w:val="32"/>
          <w:lang w:val="zh-CN" w:eastAsia="zh-CN"/>
        </w:rPr>
        <w:t>逐项</w:t>
      </w:r>
      <w:r>
        <w:rPr>
          <w:rFonts w:hint="default" w:ascii="仿宋_GB2312" w:hAnsi="仿宋_GB2312" w:eastAsia="仿宋_GB2312" w:cs="仿宋_GB2312"/>
          <w:b w:val="0"/>
          <w:bCs w:val="0"/>
          <w:sz w:val="32"/>
          <w:szCs w:val="32"/>
          <w:lang w:val="zh-CN" w:eastAsia="zh-CN"/>
        </w:rPr>
        <w:t>绩效分析</w:t>
      </w:r>
      <w:r>
        <w:rPr>
          <w:rFonts w:hint="eastAsia" w:ascii="仿宋_GB2312" w:hAnsi="仿宋_GB2312" w:eastAsia="仿宋_GB2312" w:cs="仿宋_GB2312"/>
          <w:b w:val="0"/>
          <w:bCs w:val="0"/>
          <w:sz w:val="32"/>
          <w:szCs w:val="32"/>
          <w:lang w:val="zh-CN" w:eastAsia="zh-CN"/>
        </w:rPr>
        <w:t>并评分</w:t>
      </w:r>
      <w:r>
        <w:rPr>
          <w:rFonts w:hint="default" w:ascii="仿宋_GB2312" w:hAnsi="仿宋_GB2312" w:eastAsia="仿宋_GB2312" w:cs="仿宋_GB2312"/>
          <w:b w:val="0"/>
          <w:bCs w:val="0"/>
          <w:sz w:val="32"/>
          <w:szCs w:val="32"/>
          <w:lang w:val="zh-CN" w:eastAsia="zh-CN"/>
        </w:rPr>
        <w:t>，依次包括项目</w:t>
      </w:r>
      <w:r>
        <w:rPr>
          <w:rFonts w:hint="default" w:ascii="仿宋_GB2312" w:hAnsi="仿宋_GB2312" w:eastAsia="仿宋_GB2312" w:cs="仿宋_GB2312"/>
          <w:b w:val="0"/>
          <w:bCs w:val="0"/>
          <w:sz w:val="32"/>
          <w:szCs w:val="32"/>
          <w:lang w:val="en-US" w:eastAsia="zh-CN"/>
        </w:rPr>
        <w:t>决策、项目执行、目标实现等情况</w:t>
      </w:r>
      <w:r>
        <w:rPr>
          <w:rFonts w:hint="eastAsia" w:ascii="仿宋_GB2312" w:hAnsi="仿宋_GB2312" w:eastAsia="仿宋_GB2312" w:cs="仿宋_GB2312"/>
          <w:b w:val="0"/>
          <w:bCs w:val="0"/>
          <w:sz w:val="32"/>
          <w:szCs w:val="32"/>
          <w:lang w:val="en-US" w:eastAsia="zh-CN"/>
        </w:rPr>
        <w:t>。</w:t>
      </w:r>
    </w:p>
    <w:p w14:paraId="7D83BB72">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default" w:ascii="仿宋_GB2312" w:hAnsi="仿宋_GB2312" w:eastAsia="仿宋_GB2312" w:cs="仿宋_GB2312"/>
          <w:b w:val="0"/>
          <w:bCs w:val="0"/>
          <w:sz w:val="32"/>
          <w:szCs w:val="32"/>
          <w:lang w:val="zh-CN" w:eastAsia="zh-CN"/>
        </w:rPr>
      </w:pPr>
      <w:r>
        <w:rPr>
          <w:rFonts w:hint="default" w:ascii="仿宋_GB2312" w:hAnsi="仿宋_GB2312" w:eastAsia="仿宋_GB2312" w:cs="仿宋_GB2312"/>
          <w:b w:val="0"/>
          <w:bCs w:val="0"/>
          <w:sz w:val="32"/>
          <w:szCs w:val="32"/>
          <w:lang w:val="en-US" w:eastAsia="zh-CN"/>
        </w:rPr>
        <w:t>常年项目绩效分析。</w:t>
      </w:r>
      <w:r>
        <w:rPr>
          <w:rFonts w:hint="default" w:ascii="仿宋_GB2312" w:hAnsi="仿宋_GB2312" w:eastAsia="仿宋_GB2312" w:cs="仿宋_GB2312"/>
          <w:b w:val="0"/>
          <w:bCs w:val="0"/>
          <w:sz w:val="32"/>
          <w:szCs w:val="32"/>
          <w:lang w:val="zh-CN" w:eastAsia="zh-CN"/>
        </w:rPr>
        <w:t>该类项目总数</w:t>
      </w:r>
      <w:r>
        <w:rPr>
          <w:rFonts w:hint="default"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31</w:t>
      </w:r>
      <w:r>
        <w:rPr>
          <w:rFonts w:hint="default" w:ascii="仿宋_GB2312" w:hAnsi="仿宋_GB2312" w:eastAsia="仿宋_GB2312" w:cs="仿宋_GB2312"/>
          <w:b w:val="0"/>
          <w:bCs w:val="0"/>
          <w:sz w:val="32"/>
          <w:szCs w:val="32"/>
          <w:lang w:val="zh-CN" w:eastAsia="zh-CN"/>
        </w:rPr>
        <w:t>个，涉及预算总金额</w:t>
      </w:r>
      <w:r>
        <w:rPr>
          <w:rFonts w:hint="eastAsia" w:ascii="仿宋_GB2312" w:hAnsi="仿宋_GB2312" w:eastAsia="仿宋_GB2312" w:cs="仿宋_GB2312"/>
          <w:b w:val="0"/>
          <w:bCs w:val="0"/>
          <w:sz w:val="32"/>
          <w:szCs w:val="32"/>
          <w:lang w:val="en-US" w:eastAsia="zh-CN"/>
        </w:rPr>
        <w:t>766.82</w:t>
      </w:r>
      <w:r>
        <w:rPr>
          <w:rFonts w:hint="default" w:ascii="仿宋_GB2312" w:hAnsi="仿宋_GB2312" w:eastAsia="仿宋_GB2312" w:cs="仿宋_GB2312"/>
          <w:b w:val="0"/>
          <w:bCs w:val="0"/>
          <w:sz w:val="32"/>
          <w:szCs w:val="32"/>
          <w:lang w:val="zh-CN" w:eastAsia="zh-CN"/>
        </w:rPr>
        <w:t>万元，1</w:t>
      </w:r>
      <w:r>
        <w:rPr>
          <w:rFonts w:hint="eastAsia" w:ascii="仿宋_GB2312" w:hAnsi="仿宋_GB2312" w:eastAsia="仿宋_GB2312" w:cs="仿宋_GB2312"/>
          <w:b w:val="0"/>
          <w:bCs w:val="0"/>
          <w:sz w:val="32"/>
          <w:szCs w:val="32"/>
          <w:lang w:val="zh-CN" w:eastAsia="zh-CN"/>
        </w:rPr>
        <w:t>—</w:t>
      </w:r>
      <w:r>
        <w:rPr>
          <w:rFonts w:hint="default" w:ascii="仿宋_GB2312" w:hAnsi="仿宋_GB2312" w:eastAsia="仿宋_GB2312" w:cs="仿宋_GB2312"/>
          <w:b w:val="0"/>
          <w:bCs w:val="0"/>
          <w:sz w:val="32"/>
          <w:szCs w:val="32"/>
          <w:lang w:val="zh-CN" w:eastAsia="zh-CN"/>
        </w:rPr>
        <w:t>1</w:t>
      </w:r>
      <w:r>
        <w:rPr>
          <w:rFonts w:hint="default" w:ascii="仿宋_GB2312" w:hAnsi="仿宋_GB2312" w:eastAsia="仿宋_GB2312" w:cs="仿宋_GB2312"/>
          <w:b w:val="0"/>
          <w:bCs w:val="0"/>
          <w:sz w:val="32"/>
          <w:szCs w:val="32"/>
          <w:lang w:val="en-US" w:eastAsia="zh-CN"/>
        </w:rPr>
        <w:t>2</w:t>
      </w:r>
      <w:r>
        <w:rPr>
          <w:rFonts w:hint="default" w:ascii="仿宋_GB2312" w:hAnsi="仿宋_GB2312" w:eastAsia="仿宋_GB2312" w:cs="仿宋_GB2312"/>
          <w:b w:val="0"/>
          <w:bCs w:val="0"/>
          <w:sz w:val="32"/>
          <w:szCs w:val="32"/>
          <w:lang w:val="zh-CN" w:eastAsia="zh-CN"/>
        </w:rPr>
        <w:t>月预算执行总体进度</w:t>
      </w:r>
      <w:r>
        <w:rPr>
          <w:rFonts w:hint="eastAsia" w:ascii="仿宋_GB2312" w:hAnsi="仿宋_GB2312" w:eastAsia="仿宋_GB2312" w:cs="仿宋_GB2312"/>
          <w:b w:val="0"/>
          <w:bCs w:val="0"/>
          <w:sz w:val="32"/>
          <w:szCs w:val="32"/>
          <w:lang w:val="en-US" w:eastAsia="zh-CN"/>
        </w:rPr>
        <w:t>100</w:t>
      </w:r>
      <w:r>
        <w:rPr>
          <w:rFonts w:hint="default"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zh-CN" w:eastAsia="zh-CN"/>
        </w:rPr>
        <w:t>%，其中：预算结余率大于</w:t>
      </w:r>
      <w:r>
        <w:rPr>
          <w:rFonts w:hint="default" w:ascii="仿宋_GB2312" w:hAnsi="仿宋_GB2312" w:eastAsia="仿宋_GB2312" w:cs="仿宋_GB2312"/>
          <w:b w:val="0"/>
          <w:bCs w:val="0"/>
          <w:sz w:val="32"/>
          <w:szCs w:val="32"/>
          <w:lang w:val="en-US" w:eastAsia="zh-CN"/>
        </w:rPr>
        <w:t>10%</w:t>
      </w:r>
      <w:r>
        <w:rPr>
          <w:rFonts w:hint="default" w:ascii="仿宋_GB2312" w:hAnsi="仿宋_GB2312" w:eastAsia="仿宋_GB2312" w:cs="仿宋_GB2312"/>
          <w:b w:val="0"/>
          <w:bCs w:val="0"/>
          <w:sz w:val="32"/>
          <w:szCs w:val="32"/>
          <w:lang w:val="zh-CN" w:eastAsia="zh-CN"/>
        </w:rPr>
        <w:t>的项目共计</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lang w:val="zh-CN" w:eastAsia="zh-CN"/>
        </w:rPr>
        <w:t>个。</w:t>
      </w:r>
    </w:p>
    <w:p w14:paraId="4262D50B">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default" w:ascii="仿宋_GB2312" w:hAnsi="仿宋_GB2312" w:eastAsia="仿宋_GB2312" w:cs="仿宋_GB2312"/>
          <w:b w:val="0"/>
          <w:bCs w:val="0"/>
          <w:sz w:val="32"/>
          <w:szCs w:val="32"/>
          <w:lang w:val="zh-CN" w:eastAsia="zh-CN"/>
        </w:rPr>
      </w:pPr>
      <w:r>
        <w:rPr>
          <w:rFonts w:hint="default" w:ascii="仿宋_GB2312" w:hAnsi="仿宋_GB2312" w:eastAsia="仿宋_GB2312" w:cs="仿宋_GB2312"/>
          <w:b w:val="0"/>
          <w:bCs w:val="0"/>
          <w:sz w:val="32"/>
          <w:szCs w:val="32"/>
          <w:lang w:val="en-US" w:eastAsia="zh-CN"/>
        </w:rPr>
        <w:t>阶段</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一次性</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项目绩效分析。</w:t>
      </w:r>
      <w:r>
        <w:rPr>
          <w:rFonts w:hint="default" w:ascii="仿宋_GB2312" w:hAnsi="仿宋_GB2312" w:eastAsia="仿宋_GB2312" w:cs="仿宋_GB2312"/>
          <w:b w:val="0"/>
          <w:bCs w:val="0"/>
          <w:sz w:val="32"/>
          <w:szCs w:val="32"/>
          <w:lang w:val="zh-CN" w:eastAsia="zh-CN"/>
        </w:rPr>
        <w:t>该类项目总数</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lang w:val="zh-CN" w:eastAsia="zh-CN"/>
        </w:rPr>
        <w:t>个，涉及预算总金额</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lang w:val="zh-CN" w:eastAsia="zh-CN"/>
        </w:rPr>
        <w:t>万元，1</w:t>
      </w:r>
      <w:r>
        <w:rPr>
          <w:rFonts w:hint="eastAsia" w:ascii="仿宋_GB2312" w:hAnsi="仿宋_GB2312" w:eastAsia="仿宋_GB2312" w:cs="仿宋_GB2312"/>
          <w:b w:val="0"/>
          <w:bCs w:val="0"/>
          <w:sz w:val="32"/>
          <w:szCs w:val="32"/>
          <w:lang w:val="zh-CN" w:eastAsia="zh-CN"/>
        </w:rPr>
        <w:t>—</w:t>
      </w:r>
      <w:r>
        <w:rPr>
          <w:rFonts w:hint="default" w:ascii="仿宋_GB2312" w:hAnsi="仿宋_GB2312" w:eastAsia="仿宋_GB2312" w:cs="仿宋_GB2312"/>
          <w:b w:val="0"/>
          <w:bCs w:val="0"/>
          <w:sz w:val="32"/>
          <w:szCs w:val="32"/>
          <w:lang w:val="zh-CN" w:eastAsia="zh-CN"/>
        </w:rPr>
        <w:t>1</w:t>
      </w:r>
      <w:r>
        <w:rPr>
          <w:rFonts w:hint="default" w:ascii="仿宋_GB2312" w:hAnsi="仿宋_GB2312" w:eastAsia="仿宋_GB2312" w:cs="仿宋_GB2312"/>
          <w:b w:val="0"/>
          <w:bCs w:val="0"/>
          <w:sz w:val="32"/>
          <w:szCs w:val="32"/>
          <w:lang w:val="en-US" w:eastAsia="zh-CN"/>
        </w:rPr>
        <w:t>2</w:t>
      </w:r>
      <w:r>
        <w:rPr>
          <w:rFonts w:hint="default" w:ascii="仿宋_GB2312" w:hAnsi="仿宋_GB2312" w:eastAsia="仿宋_GB2312" w:cs="仿宋_GB2312"/>
          <w:b w:val="0"/>
          <w:bCs w:val="0"/>
          <w:sz w:val="32"/>
          <w:szCs w:val="32"/>
          <w:lang w:val="zh-CN" w:eastAsia="zh-CN"/>
        </w:rPr>
        <w:t>月预算执行总体进度为</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lang w:val="zh-CN" w:eastAsia="zh-CN"/>
        </w:rPr>
        <w:t>%，其中：预算结余率大于</w:t>
      </w:r>
      <w:r>
        <w:rPr>
          <w:rFonts w:hint="default" w:ascii="仿宋_GB2312" w:hAnsi="仿宋_GB2312" w:eastAsia="仿宋_GB2312" w:cs="仿宋_GB2312"/>
          <w:b w:val="0"/>
          <w:bCs w:val="0"/>
          <w:sz w:val="32"/>
          <w:szCs w:val="32"/>
          <w:lang w:val="en-US" w:eastAsia="zh-CN"/>
        </w:rPr>
        <w:t>10%</w:t>
      </w:r>
      <w:r>
        <w:rPr>
          <w:rFonts w:hint="default" w:ascii="仿宋_GB2312" w:hAnsi="仿宋_GB2312" w:eastAsia="仿宋_GB2312" w:cs="仿宋_GB2312"/>
          <w:b w:val="0"/>
          <w:bCs w:val="0"/>
          <w:sz w:val="32"/>
          <w:szCs w:val="32"/>
          <w:lang w:val="zh-CN" w:eastAsia="zh-CN"/>
        </w:rPr>
        <w:t>的项目共计</w:t>
      </w:r>
      <w:r>
        <w:rPr>
          <w:rFonts w:hint="eastAsia" w:ascii="仿宋_GB2312" w:hAnsi="仿宋_GB2312" w:eastAsia="仿宋_GB2312" w:cs="仿宋_GB2312"/>
          <w:b w:val="0"/>
          <w:bCs w:val="0"/>
          <w:sz w:val="32"/>
          <w:szCs w:val="32"/>
          <w:lang w:val="en-US" w:eastAsia="zh-CN"/>
        </w:rPr>
        <w:t>0</w:t>
      </w:r>
      <w:r>
        <w:rPr>
          <w:rFonts w:hint="default" w:ascii="仿宋_GB2312" w:hAnsi="仿宋_GB2312" w:eastAsia="仿宋_GB2312" w:cs="仿宋_GB2312"/>
          <w:b w:val="0"/>
          <w:bCs w:val="0"/>
          <w:sz w:val="32"/>
          <w:szCs w:val="32"/>
          <w:lang w:val="zh-CN" w:eastAsia="zh-CN"/>
        </w:rPr>
        <w:t>个。</w:t>
      </w:r>
    </w:p>
    <w:p w14:paraId="2E69D53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Times New Roman" w:hAnsi="Times New Roman" w:eastAsia="楷体_GB2312" w:cs="楷体_GB2312"/>
          <w:color w:val="000000"/>
          <w:kern w:val="0"/>
          <w:sz w:val="33"/>
          <w:szCs w:val="33"/>
          <w:highlight w:val="none"/>
          <w:shd w:val="clear" w:color="auto" w:fill="FFFFFF"/>
          <w:lang w:val="en-US" w:eastAsia="zh-CN"/>
        </w:rPr>
        <w:t>1.</w:t>
      </w:r>
      <w:r>
        <w:rPr>
          <w:rFonts w:hint="eastAsia" w:ascii="Times New Roman" w:hAnsi="Times New Roman" w:eastAsia="楷体_GB2312" w:cs="楷体_GB2312"/>
          <w:color w:val="000000"/>
          <w:kern w:val="0"/>
          <w:sz w:val="33"/>
          <w:szCs w:val="33"/>
          <w:highlight w:val="none"/>
          <w:shd w:val="clear" w:color="auto" w:fill="FFFFFF"/>
          <w:lang w:val="zh-CN"/>
        </w:rPr>
        <w:t>项目决策。</w:t>
      </w:r>
      <w:r>
        <w:rPr>
          <w:rFonts w:hint="eastAsia" w:ascii="仿宋_GB2312" w:hAnsi="仿宋_GB2312" w:eastAsia="仿宋_GB2312" w:cs="仿宋_GB2312"/>
          <w:b w:val="0"/>
          <w:bCs w:val="0"/>
          <w:sz w:val="32"/>
          <w:szCs w:val="32"/>
          <w:lang w:val="en-US" w:eastAsia="zh-CN"/>
        </w:rPr>
        <w:t>本单位</w:t>
      </w:r>
      <w:r>
        <w:rPr>
          <w:rFonts w:hint="default" w:ascii="仿宋_GB2312" w:hAnsi="仿宋_GB2312" w:eastAsia="仿宋_GB2312" w:cs="仿宋_GB2312"/>
          <w:b w:val="0"/>
          <w:bCs w:val="0"/>
          <w:sz w:val="32"/>
          <w:szCs w:val="32"/>
          <w:lang w:val="zh-CN" w:eastAsia="zh-CN"/>
        </w:rPr>
        <w:t>在项目决策上基本遵循既定流程，多数项目在立项前开展了</w:t>
      </w:r>
      <w:r>
        <w:rPr>
          <w:rFonts w:hint="eastAsia" w:ascii="仿宋_GB2312" w:hAnsi="仿宋_GB2312" w:eastAsia="仿宋_GB2312" w:cs="仿宋_GB2312"/>
          <w:b w:val="0"/>
          <w:bCs w:val="0"/>
          <w:sz w:val="32"/>
          <w:szCs w:val="32"/>
          <w:lang w:val="en-US" w:eastAsia="zh-CN"/>
        </w:rPr>
        <w:t>可行性评估等</w:t>
      </w:r>
      <w:r>
        <w:rPr>
          <w:rFonts w:hint="default" w:ascii="仿宋_GB2312" w:hAnsi="仿宋_GB2312" w:eastAsia="仿宋_GB2312" w:cs="仿宋_GB2312"/>
          <w:b w:val="0"/>
          <w:bCs w:val="0"/>
          <w:sz w:val="32"/>
          <w:szCs w:val="32"/>
          <w:lang w:val="zh-CN" w:eastAsia="zh-CN"/>
        </w:rPr>
        <w:t>前期工作，决策会议中各</w:t>
      </w:r>
      <w:r>
        <w:rPr>
          <w:rFonts w:hint="eastAsia" w:ascii="仿宋_GB2312" w:hAnsi="仿宋_GB2312" w:eastAsia="仿宋_GB2312" w:cs="仿宋_GB2312"/>
          <w:b w:val="0"/>
          <w:bCs w:val="0"/>
          <w:sz w:val="32"/>
          <w:szCs w:val="32"/>
          <w:lang w:val="en-US" w:eastAsia="zh-CN"/>
        </w:rPr>
        <w:t>科室</w:t>
      </w:r>
      <w:r>
        <w:rPr>
          <w:rFonts w:hint="default" w:ascii="仿宋_GB2312" w:hAnsi="仿宋_GB2312" w:eastAsia="仿宋_GB2312" w:cs="仿宋_GB2312"/>
          <w:b w:val="0"/>
          <w:bCs w:val="0"/>
          <w:sz w:val="32"/>
          <w:szCs w:val="32"/>
          <w:lang w:val="zh-CN" w:eastAsia="zh-CN"/>
        </w:rPr>
        <w:t>参与度较高，能够从不同专业角度提供意见，有效避免了决策的片面性。然而，部分项目决策过程中仍存在流程繁琐、耗时较长的问题，影响了项目推进的时效性。</w:t>
      </w:r>
      <w:r>
        <w:rPr>
          <w:rFonts w:hint="eastAsia" w:ascii="仿宋_GB2312" w:hAnsi="仿宋_GB2312" w:eastAsia="仿宋_GB2312" w:cs="仿宋_GB2312"/>
          <w:b w:val="0"/>
          <w:bCs w:val="0"/>
          <w:sz w:val="32"/>
          <w:szCs w:val="32"/>
          <w:lang w:val="en-US" w:eastAsia="zh-CN"/>
        </w:rPr>
        <w:t>目标设置方面</w:t>
      </w:r>
      <w:r>
        <w:rPr>
          <w:rFonts w:hint="default" w:ascii="仿宋_GB2312" w:hAnsi="仿宋_GB2312" w:eastAsia="仿宋_GB2312" w:cs="仿宋_GB2312"/>
          <w:b w:val="0"/>
          <w:bCs w:val="0"/>
          <w:sz w:val="32"/>
          <w:szCs w:val="32"/>
          <w:lang w:val="zh-CN" w:eastAsia="zh-CN"/>
        </w:rPr>
        <w:t>大部分项目目标明确，与整体战略目标紧密衔接，能够清晰地传达项目的预期成果和价值</w:t>
      </w:r>
      <w:r>
        <w:rPr>
          <w:rFonts w:hint="eastAsia" w:ascii="仿宋_GB2312" w:hAnsi="仿宋_GB2312" w:eastAsia="仿宋_GB2312" w:cs="仿宋_GB2312"/>
          <w:b w:val="0"/>
          <w:bCs w:val="0"/>
          <w:sz w:val="32"/>
          <w:szCs w:val="32"/>
          <w:lang w:val="zh-CN" w:eastAsia="zh-CN"/>
        </w:rPr>
        <w:t>。</w:t>
      </w:r>
      <w:r>
        <w:rPr>
          <w:rFonts w:hint="default" w:ascii="仿宋_GB2312" w:hAnsi="仿宋_GB2312" w:eastAsia="仿宋_GB2312" w:cs="仿宋_GB2312"/>
          <w:b w:val="0"/>
          <w:bCs w:val="0"/>
          <w:sz w:val="32"/>
          <w:szCs w:val="32"/>
          <w:lang w:val="zh-CN" w:eastAsia="zh-CN"/>
        </w:rPr>
        <w:t>部分项目存在不足</w:t>
      </w:r>
      <w:r>
        <w:rPr>
          <w:rFonts w:hint="eastAsia" w:ascii="仿宋_GB2312" w:hAnsi="仿宋_GB2312" w:eastAsia="仿宋_GB2312" w:cs="仿宋_GB2312"/>
          <w:b w:val="0"/>
          <w:bCs w:val="0"/>
          <w:sz w:val="32"/>
          <w:szCs w:val="32"/>
          <w:lang w:val="zh-CN" w:eastAsia="zh-CN"/>
        </w:rPr>
        <w:t>，</w:t>
      </w:r>
      <w:r>
        <w:rPr>
          <w:rFonts w:hint="default" w:ascii="仿宋_GB2312" w:hAnsi="仿宋_GB2312" w:eastAsia="仿宋_GB2312" w:cs="仿宋_GB2312"/>
          <w:b w:val="0"/>
          <w:bCs w:val="0"/>
          <w:sz w:val="32"/>
          <w:szCs w:val="32"/>
          <w:lang w:val="zh-CN" w:eastAsia="zh-CN"/>
        </w:rPr>
        <w:t>仅停留在定性描述层面，缺乏具体的量化指标，使得项目执行过程中的进度把控和效果评估缺乏客观依据。部门在项目入库审核上把关较为严格，建立了较为完善的项目筛选标准和审核流程，入库项目在技术可行性、经济效益、社会效益等方面均经过了一定程度的评估，整体质量较高。</w:t>
      </w:r>
    </w:p>
    <w:p w14:paraId="4B68BC5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仿宋_GB2312" w:hAnsi="仿宋_GB2312" w:eastAsia="仿宋_GB2312" w:cs="仿宋_GB2312"/>
          <w:b w:val="0"/>
          <w:bCs w:val="0"/>
          <w:sz w:val="32"/>
          <w:szCs w:val="32"/>
          <w:lang w:val="zh-CN" w:eastAsia="zh-CN"/>
        </w:rPr>
      </w:pPr>
      <w:r>
        <w:rPr>
          <w:rFonts w:hint="eastAsia" w:ascii="Times New Roman" w:hAnsi="Times New Roman" w:eastAsia="楷体_GB2312" w:cs="楷体_GB2312"/>
          <w:color w:val="000000"/>
          <w:kern w:val="0"/>
          <w:sz w:val="33"/>
          <w:szCs w:val="33"/>
          <w:highlight w:val="none"/>
          <w:shd w:val="clear" w:color="auto" w:fill="FFFFFF"/>
          <w:lang w:val="en-US" w:eastAsia="zh-CN"/>
        </w:rPr>
        <w:t>2.项目执行</w:t>
      </w:r>
      <w:r>
        <w:rPr>
          <w:rFonts w:hint="eastAsia" w:ascii="Times New Roman" w:hAnsi="Times New Roman" w:eastAsia="楷体_GB2312" w:cs="楷体_GB2312"/>
          <w:color w:val="000000"/>
          <w:kern w:val="0"/>
          <w:sz w:val="33"/>
          <w:szCs w:val="33"/>
          <w:highlight w:val="none"/>
          <w:shd w:val="clear" w:color="auto" w:fill="FFFFFF"/>
          <w:lang w:val="zh-CN"/>
        </w:rPr>
        <w:t>。</w:t>
      </w:r>
      <w:r>
        <w:rPr>
          <w:rFonts w:hint="default" w:ascii="仿宋_GB2312" w:hAnsi="仿宋_GB2312" w:eastAsia="仿宋_GB2312" w:cs="仿宋_GB2312"/>
          <w:b w:val="0"/>
          <w:bCs w:val="0"/>
          <w:sz w:val="32"/>
          <w:szCs w:val="32"/>
          <w:lang w:val="zh-CN" w:eastAsia="zh-CN"/>
        </w:rPr>
        <w:t>大部分项目资金执行与项目进度基本保持同向，资金能够按照项目计划有序投入，有效保障了项目的顺利开展。然而，部分项目在资金执行同向性方面存在一定问题。一方面，个别项目前期预算编制不够精准，对项目实施过程中可能出现的风险和变化预估不足，导致在项目推进过程中出现资金超支或资金使用进度滞后于项目进度的情况。项目调整经过了严格的审批程序，调整原因明确合理，且调整后的项目方案更具可行性和有效性。一些项目在业务拓展</w:t>
      </w:r>
      <w:r>
        <w:rPr>
          <w:rFonts w:hint="eastAsia" w:ascii="仿宋_GB2312" w:hAnsi="仿宋_GB2312" w:eastAsia="仿宋_GB2312" w:cs="仿宋_GB2312"/>
          <w:b w:val="0"/>
          <w:bCs w:val="0"/>
          <w:sz w:val="32"/>
          <w:szCs w:val="32"/>
          <w:lang w:val="en-US" w:eastAsia="zh-CN"/>
        </w:rPr>
        <w:t>和</w:t>
      </w:r>
      <w:r>
        <w:rPr>
          <w:rFonts w:hint="default" w:ascii="仿宋_GB2312" w:hAnsi="仿宋_GB2312" w:eastAsia="仿宋_GB2312" w:cs="仿宋_GB2312"/>
          <w:b w:val="0"/>
          <w:bCs w:val="0"/>
          <w:sz w:val="32"/>
          <w:szCs w:val="32"/>
          <w:lang w:val="zh-CN" w:eastAsia="zh-CN"/>
        </w:rPr>
        <w:t>社会效益等方面表现突出，达到了预期目标，甚至超出了预期</w:t>
      </w:r>
      <w:r>
        <w:rPr>
          <w:rFonts w:hint="eastAsia" w:ascii="仿宋_GB2312" w:hAnsi="仿宋_GB2312" w:eastAsia="仿宋_GB2312" w:cs="仿宋_GB2312"/>
          <w:b w:val="0"/>
          <w:bCs w:val="0"/>
          <w:sz w:val="32"/>
          <w:szCs w:val="32"/>
          <w:lang w:val="zh-CN" w:eastAsia="zh-CN"/>
        </w:rPr>
        <w:t>，</w:t>
      </w:r>
      <w:r>
        <w:rPr>
          <w:rFonts w:hint="eastAsia" w:ascii="仿宋_GB2312" w:hAnsi="仿宋_GB2312" w:eastAsia="仿宋_GB2312" w:cs="仿宋_GB2312"/>
          <w:b w:val="0"/>
          <w:bCs w:val="0"/>
          <w:sz w:val="32"/>
          <w:szCs w:val="32"/>
          <w:lang w:val="en-US" w:eastAsia="zh-CN"/>
        </w:rPr>
        <w:t>但</w:t>
      </w:r>
      <w:r>
        <w:rPr>
          <w:rFonts w:hint="default" w:ascii="仿宋_GB2312" w:hAnsi="仿宋_GB2312" w:eastAsia="仿宋_GB2312" w:cs="仿宋_GB2312"/>
          <w:b w:val="0"/>
          <w:bCs w:val="0"/>
          <w:sz w:val="32"/>
          <w:szCs w:val="32"/>
          <w:lang w:val="zh-CN" w:eastAsia="zh-CN"/>
        </w:rPr>
        <w:t>项目成果的可持续性也有待加强。</w:t>
      </w:r>
    </w:p>
    <w:p w14:paraId="750410C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Times New Roman" w:hAnsi="Times New Roman" w:eastAsia="楷体_GB2312" w:cs="楷体_GB2312"/>
          <w:color w:val="000000"/>
          <w:kern w:val="0"/>
          <w:sz w:val="33"/>
          <w:szCs w:val="33"/>
          <w:highlight w:val="none"/>
          <w:shd w:val="clear" w:color="auto" w:fill="FFFFFF"/>
          <w:lang w:val="en-US" w:eastAsia="zh-CN"/>
        </w:rPr>
        <w:t>3.</w:t>
      </w:r>
      <w:r>
        <w:rPr>
          <w:rFonts w:hint="eastAsia" w:ascii="Times New Roman" w:hAnsi="Times New Roman" w:eastAsia="楷体_GB2312" w:cs="楷体_GB2312"/>
          <w:color w:val="000000"/>
          <w:kern w:val="0"/>
          <w:sz w:val="33"/>
          <w:szCs w:val="33"/>
          <w:highlight w:val="none"/>
          <w:shd w:val="clear" w:color="auto" w:fill="FFFFFF"/>
          <w:lang w:val="zh-CN"/>
        </w:rPr>
        <w:t>目标实现。</w:t>
      </w:r>
      <w:r>
        <w:rPr>
          <w:rFonts w:hint="eastAsia" w:ascii="仿宋_GB2312" w:hAnsi="仿宋_GB2312" w:eastAsia="仿宋_GB2312" w:cs="仿宋_GB2312"/>
          <w:b w:val="0"/>
          <w:bCs w:val="0"/>
          <w:sz w:val="32"/>
          <w:szCs w:val="32"/>
          <w:lang w:val="zh-CN" w:eastAsia="zh-CN"/>
        </w:rPr>
        <w:t>围绕目标完成、目标偏离、实现效果</w:t>
      </w:r>
      <w:r>
        <w:rPr>
          <w:rFonts w:hint="default" w:ascii="仿宋_GB2312" w:hAnsi="仿宋_GB2312" w:eastAsia="仿宋_GB2312" w:cs="仿宋_GB2312"/>
          <w:b w:val="0"/>
          <w:bCs w:val="0"/>
          <w:sz w:val="32"/>
          <w:szCs w:val="32"/>
          <w:lang w:val="zh-CN" w:eastAsia="zh-CN"/>
        </w:rPr>
        <w:t>进行绩效分析</w:t>
      </w:r>
      <w:r>
        <w:rPr>
          <w:rFonts w:hint="eastAsia" w:ascii="仿宋_GB2312" w:hAnsi="仿宋_GB2312" w:eastAsia="仿宋_GB2312" w:cs="仿宋_GB2312"/>
          <w:b w:val="0"/>
          <w:bCs w:val="0"/>
          <w:sz w:val="32"/>
          <w:szCs w:val="32"/>
          <w:lang w:val="zh-CN" w:eastAsia="zh-CN"/>
        </w:rPr>
        <w:t>。项目在执行过程中，团队高效协作，资源合理配置，严格按照既定计划推进工作。</w:t>
      </w:r>
      <w:r>
        <w:rPr>
          <w:rFonts w:hint="eastAsia" w:ascii="仿宋_GB2312" w:hAnsi="仿宋_GB2312" w:eastAsia="仿宋_GB2312" w:cs="仿宋_GB2312"/>
          <w:b w:val="0"/>
          <w:bCs w:val="0"/>
          <w:sz w:val="32"/>
          <w:szCs w:val="32"/>
          <w:lang w:val="en-US" w:eastAsia="zh-CN"/>
        </w:rPr>
        <w:t>个别项目出现目标偏离的情况，由于</w:t>
      </w:r>
      <w:r>
        <w:rPr>
          <w:rFonts w:hint="eastAsia" w:ascii="仿宋_GB2312" w:hAnsi="仿宋_GB2312" w:eastAsia="仿宋_GB2312" w:cs="仿宋_GB2312"/>
          <w:b w:val="0"/>
          <w:bCs w:val="0"/>
          <w:sz w:val="32"/>
          <w:szCs w:val="32"/>
          <w:lang w:val="zh-CN" w:eastAsia="zh-CN"/>
        </w:rPr>
        <w:t>沟通不畅、信息传递不及时，导致工作衔接出现漏洞，项目团队成员能力与岗位需求不匹配，影响了工作效率和质量，实现效果仍有待提升。一些项目虽然完成了基本目标，但在可持续性方面表现不足。</w:t>
      </w:r>
    </w:p>
    <w:p w14:paraId="6F87214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default" w:ascii="Times New Roman" w:hAnsi="Times New Roman" w:eastAsia="楷体_GB2312" w:cs="Times New Roman"/>
          <w:b/>
          <w:bCs/>
          <w:color w:val="000000"/>
          <w:kern w:val="0"/>
          <w:sz w:val="33"/>
          <w:szCs w:val="33"/>
          <w:highlight w:val="none"/>
          <w:shd w:val="clear" w:color="auto" w:fill="FFFFFF"/>
          <w:lang w:val="zh-CN" w:eastAsia="zh-CN"/>
        </w:rPr>
        <w:t>重点领域</w:t>
      </w:r>
      <w:r>
        <w:rPr>
          <w:rFonts w:hint="default" w:ascii="Times New Roman" w:hAnsi="Times New Roman" w:eastAsia="楷体_GB2312" w:cs="Times New Roman"/>
          <w:b/>
          <w:bCs/>
          <w:color w:val="000000"/>
          <w:kern w:val="0"/>
          <w:sz w:val="33"/>
          <w:szCs w:val="33"/>
          <w:highlight w:val="none"/>
          <w:shd w:val="clear" w:color="auto" w:fill="FFFFFF"/>
          <w:lang w:val="zh-CN"/>
        </w:rPr>
        <w:t>绩效分析</w:t>
      </w:r>
      <w:r>
        <w:rPr>
          <w:rFonts w:hint="default" w:ascii="Times New Roman" w:hAnsi="Times New Roman" w:eastAsia="楷体_GB2312" w:cs="Times New Roman"/>
          <w:b/>
          <w:bCs/>
          <w:color w:val="000000"/>
          <w:kern w:val="0"/>
          <w:sz w:val="33"/>
          <w:szCs w:val="33"/>
          <w:highlight w:val="none"/>
          <w:shd w:val="clear" w:color="auto" w:fill="FFFFFF"/>
          <w:lang w:val="zh-CN" w:eastAsia="zh-CN"/>
        </w:rPr>
        <w:t>。</w:t>
      </w:r>
      <w:r>
        <w:rPr>
          <w:rFonts w:hint="eastAsia" w:ascii="仿宋_GB2312" w:hAnsi="仿宋_GB2312" w:eastAsia="仿宋_GB2312" w:cs="仿宋_GB2312"/>
          <w:b w:val="0"/>
          <w:bCs w:val="0"/>
          <w:sz w:val="32"/>
          <w:szCs w:val="32"/>
          <w:lang w:val="en-US" w:eastAsia="zh-CN"/>
        </w:rPr>
        <w:t>区疾控中心2024年度未</w:t>
      </w:r>
      <w:r>
        <w:rPr>
          <w:rFonts w:hint="default" w:ascii="仿宋_GB2312" w:hAnsi="仿宋_GB2312" w:eastAsia="仿宋_GB2312" w:cs="仿宋_GB2312"/>
          <w:b w:val="0"/>
          <w:bCs w:val="0"/>
          <w:sz w:val="32"/>
          <w:szCs w:val="32"/>
          <w:lang w:val="zh-CN" w:eastAsia="zh-CN"/>
        </w:rPr>
        <w:t>涉及国有资本</w:t>
      </w:r>
      <w:r>
        <w:rPr>
          <w:rFonts w:hint="eastAsia" w:ascii="仿宋_GB2312" w:hAnsi="仿宋_GB2312" w:eastAsia="仿宋_GB2312" w:cs="仿宋_GB2312"/>
          <w:b w:val="0"/>
          <w:bCs w:val="0"/>
          <w:sz w:val="32"/>
          <w:szCs w:val="32"/>
          <w:lang w:val="en-US" w:eastAsia="zh-CN"/>
        </w:rPr>
        <w:t>预算</w:t>
      </w:r>
      <w:r>
        <w:rPr>
          <w:rFonts w:hint="default" w:ascii="仿宋_GB2312" w:hAnsi="仿宋_GB2312" w:eastAsia="仿宋_GB2312" w:cs="仿宋_GB2312"/>
          <w:b w:val="0"/>
          <w:bCs w:val="0"/>
          <w:sz w:val="32"/>
          <w:szCs w:val="32"/>
          <w:lang w:val="zh-CN" w:eastAsia="zh-CN"/>
        </w:rPr>
        <w:t>、</w:t>
      </w:r>
      <w:r>
        <w:rPr>
          <w:rFonts w:hint="eastAsia" w:ascii="仿宋_GB2312" w:hAnsi="仿宋_GB2312" w:eastAsia="仿宋_GB2312" w:cs="仿宋_GB2312"/>
          <w:b w:val="0"/>
          <w:bCs w:val="0"/>
          <w:sz w:val="32"/>
          <w:szCs w:val="32"/>
          <w:lang w:val="en-US" w:eastAsia="zh-CN"/>
        </w:rPr>
        <w:t>调整预算数项目增加</w:t>
      </w:r>
      <w:r>
        <w:rPr>
          <w:rFonts w:hint="default" w:ascii="仿宋_GB2312" w:hAnsi="仿宋_GB2312" w:eastAsia="仿宋_GB2312" w:cs="仿宋_GB2312"/>
          <w:b w:val="0"/>
          <w:bCs w:val="0"/>
          <w:sz w:val="32"/>
          <w:szCs w:val="32"/>
          <w:lang w:val="zh-CN" w:eastAsia="zh-CN"/>
        </w:rPr>
        <w:t>债券资金</w:t>
      </w:r>
      <w:r>
        <w:rPr>
          <w:rFonts w:hint="eastAsia" w:ascii="仿宋_GB2312" w:hAnsi="仿宋_GB2312" w:eastAsia="仿宋_GB2312" w:cs="仿宋_GB2312"/>
          <w:b w:val="0"/>
          <w:bCs w:val="0"/>
          <w:sz w:val="32"/>
          <w:szCs w:val="32"/>
          <w:lang w:val="en-US" w:eastAsia="zh-CN"/>
        </w:rPr>
        <w:t>190万，用于新冠疫情防控结算支出</w:t>
      </w:r>
      <w:r>
        <w:rPr>
          <w:rFonts w:hint="default" w:ascii="仿宋_GB2312" w:hAnsi="仿宋_GB2312" w:eastAsia="仿宋_GB2312" w:cs="仿宋_GB2312"/>
          <w:b w:val="0"/>
          <w:bCs w:val="0"/>
          <w:sz w:val="32"/>
          <w:szCs w:val="32"/>
          <w:lang w:val="zh-CN" w:eastAsia="zh-CN"/>
        </w:rPr>
        <w:t>、</w:t>
      </w:r>
      <w:r>
        <w:rPr>
          <w:rFonts w:hint="eastAsia" w:ascii="仿宋_GB2312" w:hAnsi="仿宋_GB2312" w:eastAsia="仿宋_GB2312" w:cs="仿宋_GB2312"/>
          <w:b w:val="0"/>
          <w:bCs w:val="0"/>
          <w:sz w:val="32"/>
          <w:szCs w:val="32"/>
          <w:lang w:val="en-US" w:eastAsia="zh-CN"/>
        </w:rPr>
        <w:t>未预算</w:t>
      </w:r>
      <w:r>
        <w:rPr>
          <w:rFonts w:hint="default" w:ascii="仿宋_GB2312" w:hAnsi="仿宋_GB2312" w:eastAsia="仿宋_GB2312" w:cs="仿宋_GB2312"/>
          <w:b w:val="0"/>
          <w:bCs w:val="0"/>
          <w:sz w:val="32"/>
          <w:szCs w:val="32"/>
          <w:lang w:val="zh-CN" w:eastAsia="zh-CN"/>
        </w:rPr>
        <w:t>政府采购和政府购买服务</w:t>
      </w:r>
      <w:r>
        <w:rPr>
          <w:rFonts w:hint="eastAsia" w:ascii="仿宋_GB2312" w:hAnsi="仿宋_GB2312" w:eastAsia="仿宋_GB2312" w:cs="仿宋_GB2312"/>
          <w:b w:val="0"/>
          <w:bCs w:val="0"/>
          <w:sz w:val="32"/>
          <w:szCs w:val="32"/>
          <w:lang w:val="en-US" w:eastAsia="zh-CN"/>
        </w:rPr>
        <w:t>资金</w:t>
      </w:r>
      <w:r>
        <w:rPr>
          <w:rFonts w:hint="eastAsia" w:ascii="仿宋_GB2312" w:hAnsi="仿宋_GB2312" w:eastAsia="仿宋_GB2312" w:cs="仿宋_GB2312"/>
          <w:b w:val="0"/>
          <w:bCs w:val="0"/>
          <w:sz w:val="32"/>
          <w:szCs w:val="32"/>
          <w:lang w:val="zh-CN" w:eastAsia="zh-CN"/>
        </w:rPr>
        <w:t>。</w:t>
      </w:r>
    </w:p>
    <w:p w14:paraId="541C520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3"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Times New Roman" w:hAnsi="Times New Roman" w:eastAsia="楷体_GB2312" w:cs="Times New Roman"/>
          <w:b/>
          <w:bCs/>
          <w:sz w:val="33"/>
          <w:szCs w:val="33"/>
          <w:lang w:val="zh-CN"/>
        </w:rPr>
        <w:t>（四）绩效结果应用情况</w:t>
      </w:r>
      <w:r>
        <w:rPr>
          <w:rFonts w:hint="eastAsia" w:ascii="Times New Roman" w:hAnsi="Times New Roman" w:eastAsia="楷体_GB2312" w:cs="Times New Roman"/>
          <w:b/>
          <w:bCs/>
          <w:sz w:val="33"/>
          <w:szCs w:val="33"/>
          <w:lang w:val="zh-CN"/>
        </w:rPr>
        <w:t>。</w:t>
      </w:r>
      <w:r>
        <w:rPr>
          <w:rFonts w:hint="eastAsia" w:ascii="仿宋_GB2312" w:hAnsi="仿宋_GB2312" w:eastAsia="仿宋_GB2312" w:cs="仿宋_GB2312"/>
          <w:b w:val="0"/>
          <w:bCs w:val="0"/>
          <w:sz w:val="32"/>
          <w:szCs w:val="32"/>
          <w:lang w:val="en-US" w:eastAsia="zh-CN"/>
        </w:rPr>
        <w:t>绩效结果为单位预算调整、业务流程优化提供了重要依据，部分业务工作因绩效反馈得到及时修正。通过政府网站公开，及时、准确地向社会公众公开绩效评价结果，保障了公众的知情权。针对绩效评价中发现的问题，各项目负责人均制定了相应的整改计划，明确了整改措施、责任人和时间节点。目前，大部分问题已得到初步解决，部分项目绩效得到明显改善。</w:t>
      </w:r>
    </w:p>
    <w:p w14:paraId="2EDA593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lang w:eastAsia="zh-CN"/>
        </w:rPr>
        <w:t>四、</w:t>
      </w:r>
      <w:r>
        <w:rPr>
          <w:rFonts w:hint="default" w:ascii="Times New Roman" w:hAnsi="Times New Roman" w:eastAsia="黑体" w:cs="Times New Roman"/>
          <w:color w:val="000000"/>
          <w:kern w:val="0"/>
          <w:sz w:val="33"/>
          <w:szCs w:val="33"/>
          <w:highlight w:val="none"/>
          <w:shd w:val="clear" w:color="auto" w:fill="FFFFFF"/>
        </w:rPr>
        <w:t>评价结论及建议</w:t>
      </w:r>
    </w:p>
    <w:p w14:paraId="18BC59C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仿宋_GB2312" w:hAnsi="仿宋_GB2312" w:eastAsia="仿宋_GB2312" w:cs="仿宋_GB2312"/>
          <w:b w:val="0"/>
          <w:bCs w:val="0"/>
          <w:sz w:val="32"/>
          <w:szCs w:val="32"/>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（一）评价结论。</w:t>
      </w:r>
      <w:r>
        <w:rPr>
          <w:rFonts w:hint="eastAsia" w:ascii="仿宋_GB2312" w:hAnsi="仿宋_GB2312" w:eastAsia="仿宋_GB2312" w:cs="仿宋_GB2312"/>
          <w:b w:val="0"/>
          <w:bCs w:val="0"/>
          <w:sz w:val="32"/>
          <w:szCs w:val="32"/>
          <w:lang w:val="en-US" w:eastAsia="zh-CN"/>
        </w:rPr>
        <w:t>单位整体在预算管理、资金管理、资产管理、内控管理、项目执行管理等方面有较好的绩效目标实现，自评得分为97.22分。</w:t>
      </w:r>
    </w:p>
    <w:p w14:paraId="59D51A54">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eastAsia" w:ascii="Times New Roman" w:hAnsi="Times New Roman" w:eastAsia="楷体_GB2312" w:cs="Times New Roman"/>
          <w:b/>
          <w:bCs/>
          <w:color w:val="000000"/>
          <w:kern w:val="0"/>
          <w:sz w:val="33"/>
          <w:szCs w:val="33"/>
          <w:highlight w:val="none"/>
          <w:shd w:val="clear" w:color="auto" w:fill="FFFFFF"/>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（二）存在问题。</w:t>
      </w:r>
      <w:r>
        <w:rPr>
          <w:rFonts w:hint="eastAsia" w:ascii="仿宋_GB2312" w:hAnsi="仿宋_GB2312" w:eastAsia="仿宋_GB2312" w:cs="仿宋_GB2312"/>
          <w:b w:val="0"/>
          <w:bCs w:val="0"/>
          <w:sz w:val="32"/>
          <w:szCs w:val="32"/>
          <w:lang w:val="en-US" w:eastAsia="zh-CN"/>
        </w:rPr>
        <w:t>部分年初设置的绩效目标相对保守，同时绩效目标完成情况的应用方面需进一步加强。</w:t>
      </w:r>
    </w:p>
    <w:p w14:paraId="4F5E40F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eastAsia" w:ascii="仿宋_GB2312" w:hAnsi="仿宋_GB2312" w:eastAsia="仿宋_GB2312" w:cs="仿宋_GB2312"/>
          <w:b w:val="0"/>
          <w:bCs w:val="0"/>
          <w:sz w:val="32"/>
          <w:szCs w:val="32"/>
          <w:lang w:val="en" w:eastAsia="zh-CN"/>
        </w:rPr>
      </w:pPr>
      <w:r>
        <w:rPr>
          <w:rFonts w:hint="default" w:ascii="Times New Roman" w:hAnsi="Times New Roman" w:eastAsia="楷体_GB2312" w:cs="Times New Roman"/>
          <w:b/>
          <w:bCs/>
          <w:color w:val="000000"/>
          <w:kern w:val="0"/>
          <w:sz w:val="33"/>
          <w:szCs w:val="33"/>
          <w:highlight w:val="none"/>
          <w:shd w:val="clear" w:color="auto" w:fill="FFFFFF"/>
          <w:lang w:val="zh-CN" w:eastAsia="zh-CN"/>
        </w:rPr>
        <w:t>（三）改进建议。</w:t>
      </w:r>
      <w:r>
        <w:rPr>
          <w:rFonts w:hint="eastAsia" w:ascii="仿宋_GB2312" w:hAnsi="仿宋_GB2312" w:eastAsia="仿宋_GB2312" w:cs="仿宋_GB2312"/>
          <w:b w:val="0"/>
          <w:bCs w:val="0"/>
          <w:sz w:val="32"/>
          <w:szCs w:val="32"/>
          <w:lang w:val="en-US" w:eastAsia="zh-CN"/>
        </w:rPr>
        <w:t>简要阐述</w:t>
      </w:r>
      <w:bookmarkStart w:id="35" w:name="_Hlk110546638"/>
      <w:r>
        <w:rPr>
          <w:rFonts w:hint="eastAsia" w:ascii="仿宋_GB2312" w:hAnsi="仿宋_GB2312" w:eastAsia="仿宋_GB2312" w:cs="仿宋_GB2312"/>
          <w:b w:val="0"/>
          <w:bCs w:val="0"/>
          <w:sz w:val="32"/>
          <w:szCs w:val="32"/>
          <w:lang w:val="en" w:eastAsia="zh-CN"/>
        </w:rPr>
        <w:t>预算安排、完善政策、改进管理等方面的</w:t>
      </w:r>
      <w:r>
        <w:rPr>
          <w:rFonts w:hint="eastAsia" w:ascii="仿宋_GB2312" w:hAnsi="仿宋_GB2312" w:eastAsia="仿宋_GB2312" w:cs="仿宋_GB2312"/>
          <w:b w:val="0"/>
          <w:bCs w:val="0"/>
          <w:sz w:val="32"/>
          <w:szCs w:val="32"/>
          <w:lang w:val="en-US" w:eastAsia="zh-CN"/>
        </w:rPr>
        <w:t>措施</w:t>
      </w:r>
      <w:r>
        <w:rPr>
          <w:rFonts w:hint="eastAsia" w:ascii="仿宋_GB2312" w:hAnsi="仿宋_GB2312" w:eastAsia="仿宋_GB2312" w:cs="仿宋_GB2312"/>
          <w:b w:val="0"/>
          <w:bCs w:val="0"/>
          <w:sz w:val="32"/>
          <w:szCs w:val="32"/>
          <w:lang w:val="en" w:eastAsia="zh-CN"/>
        </w:rPr>
        <w:t>建议，其中</w:t>
      </w:r>
      <w:r>
        <w:rPr>
          <w:rFonts w:hint="eastAsia" w:ascii="仿宋_GB2312" w:hAnsi="仿宋_GB2312" w:eastAsia="仿宋_GB2312" w:cs="仿宋_GB2312"/>
          <w:b w:val="0"/>
          <w:bCs w:val="0"/>
          <w:sz w:val="32"/>
          <w:szCs w:val="32"/>
          <w:lang w:val="en-US" w:eastAsia="zh-CN"/>
        </w:rPr>
        <w:t>必须对应评价发现的主要问题一一提出措施建议。年初预算时充分考虑本年的重点工作，做好预算项目资金测算工作，减少中途调整频率，严格按照预算安排执行，按时完成绩效目标，目标由领导和项目负责人共同协商设定、充分考虑目标的可行性和合理性，根据每年目标实际完成值设定。侧重对绩效考核评价的应用。</w:t>
      </w:r>
    </w:p>
    <w:bookmarkEnd w:id="35"/>
    <w:p w14:paraId="61510392">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color w:val="000000"/>
          <w:kern w:val="0"/>
          <w:sz w:val="33"/>
          <w:szCs w:val="33"/>
          <w:highlight w:val="none"/>
          <w:shd w:val="clear" w:color="auto" w:fill="FFFFFF"/>
          <w:lang w:val="en-US" w:eastAsia="zh-CN"/>
        </w:rPr>
      </w:pPr>
    </w:p>
    <w:p w14:paraId="3D4CABB3">
      <w:pPr>
        <w:rPr>
          <w:rFonts w:hint="default" w:ascii="Times New Roman"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6"/>
          <w:szCs w:val="36"/>
          <w:lang w:val="en-US" w:eastAsia="zh-CN" w:bidi="ar-SA"/>
        </w:rPr>
        <w:t xml:space="preserve">附表： </w:t>
      </w:r>
      <w:r>
        <w:rPr>
          <w:rFonts w:hint="eastAsia" w:ascii="Times New Roman" w:hAnsi="仿宋_GB2312" w:eastAsia="仿宋_GB2312" w:cs="仿宋_GB2312"/>
          <w:b w:val="0"/>
          <w:bCs w:val="0"/>
          <w:kern w:val="2"/>
          <w:sz w:val="32"/>
          <w:szCs w:val="32"/>
          <w:lang w:val="en-US" w:eastAsia="zh-CN" w:bidi="ar-SA"/>
        </w:rPr>
        <w:t>部门整体支出绩效自评表</w:t>
      </w:r>
      <w:r>
        <w:rPr>
          <w:rFonts w:hint="eastAsia" w:hAnsi="仿宋_GB2312" w:eastAsia="仿宋_GB2312" w:cs="仿宋_GB2312"/>
          <w:b w:val="0"/>
          <w:bCs w:val="0"/>
          <w:kern w:val="2"/>
          <w:sz w:val="32"/>
          <w:szCs w:val="32"/>
          <w:lang w:val="en-US" w:eastAsia="zh-CN" w:bidi="ar-SA"/>
        </w:rPr>
        <w:t>（2024年度）</w:t>
      </w:r>
    </w:p>
    <w:p w14:paraId="5E31BA39">
      <w:pPr>
        <w:ind w:firstLine="1280" w:firstLineChars="400"/>
        <w:rPr>
          <w:rFonts w:hint="eastAsia"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部门</w:t>
      </w:r>
      <w:r>
        <w:rPr>
          <w:rFonts w:hint="eastAsia" w:hAnsi="仿宋_GB2312" w:eastAsia="仿宋_GB2312" w:cs="仿宋_GB2312"/>
          <w:b w:val="0"/>
          <w:bCs w:val="0"/>
          <w:kern w:val="2"/>
          <w:sz w:val="32"/>
          <w:szCs w:val="32"/>
          <w:lang w:val="en-US" w:eastAsia="zh-CN" w:bidi="ar-SA"/>
        </w:rPr>
        <w:t>预算项目</w:t>
      </w:r>
      <w:r>
        <w:rPr>
          <w:rFonts w:hint="default" w:ascii="仿宋_GB2312" w:hAnsi="仿宋_GB2312" w:eastAsia="仿宋_GB2312" w:cs="仿宋_GB2312"/>
          <w:b w:val="0"/>
          <w:bCs w:val="0"/>
          <w:kern w:val="2"/>
          <w:sz w:val="32"/>
          <w:szCs w:val="32"/>
          <w:lang w:val="en-US" w:eastAsia="zh-CN" w:bidi="ar-SA"/>
        </w:rPr>
        <w:t>支出绩效自评表</w:t>
      </w:r>
      <w:r>
        <w:rPr>
          <w:rFonts w:hint="eastAsia" w:hAnsi="仿宋_GB2312" w:eastAsia="仿宋_GB2312" w:cs="仿宋_GB2312"/>
          <w:b w:val="0"/>
          <w:bCs w:val="0"/>
          <w:kern w:val="2"/>
          <w:sz w:val="32"/>
          <w:szCs w:val="32"/>
          <w:lang w:val="en-US" w:eastAsia="zh-CN" w:bidi="ar-SA"/>
        </w:rPr>
        <w:t>（2024年度）</w:t>
      </w:r>
    </w:p>
    <w:p w14:paraId="5F5E87C5">
      <w:pPr>
        <w:pStyle w:val="9"/>
        <w:ind w:left="0" w:leftChars="0" w:firstLine="0" w:firstLineChars="0"/>
        <w:rPr>
          <w:rFonts w:hint="eastAsia" w:hAnsi="仿宋_GB2312" w:eastAsia="仿宋_GB2312" w:cs="仿宋_GB2312"/>
          <w:b w:val="0"/>
          <w:bCs w:val="0"/>
          <w:kern w:val="2"/>
          <w:sz w:val="32"/>
          <w:szCs w:val="32"/>
          <w:lang w:val="en-US" w:eastAsia="zh-CN" w:bidi="ar-SA"/>
        </w:rPr>
        <w:sectPr>
          <w:headerReference r:id="rId6" w:type="first"/>
          <w:footerReference r:id="rId8" w:type="first"/>
          <w:headerReference r:id="rId5" w:type="default"/>
          <w:footerReference r:id="rId7" w:type="default"/>
          <w:pgSz w:w="11906" w:h="16838"/>
          <w:pgMar w:top="1440" w:right="1800" w:bottom="1440" w:left="1800" w:header="851" w:footer="992" w:gutter="0"/>
          <w:pgNumType w:fmt="decimal" w:start="1"/>
          <w:cols w:space="425" w:num="1"/>
          <w:docGrid w:type="lines" w:linePitch="312" w:charSpace="0"/>
        </w:sectPr>
      </w:pPr>
    </w:p>
    <w:tbl>
      <w:tblPr>
        <w:tblStyle w:val="15"/>
        <w:tblW w:w="139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653"/>
        <w:gridCol w:w="1453"/>
        <w:gridCol w:w="1720"/>
        <w:gridCol w:w="1724"/>
        <w:gridCol w:w="1676"/>
        <w:gridCol w:w="521"/>
        <w:gridCol w:w="1107"/>
        <w:gridCol w:w="504"/>
        <w:gridCol w:w="613"/>
        <w:gridCol w:w="2132"/>
        <w:gridCol w:w="222"/>
      </w:tblGrid>
      <w:tr w14:paraId="3B4F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3901" w:type="dxa"/>
            <w:gridSpan w:val="12"/>
            <w:tcBorders>
              <w:top w:val="nil"/>
              <w:left w:val="nil"/>
              <w:bottom w:val="nil"/>
              <w:right w:val="nil"/>
            </w:tcBorders>
            <w:shd w:val="clear" w:color="auto" w:fill="auto"/>
            <w:vAlign w:val="center"/>
          </w:tcPr>
          <w:tbl>
            <w:tblPr>
              <w:tblStyle w:val="15"/>
              <w:tblW w:w="13888"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753"/>
              <w:gridCol w:w="949"/>
              <w:gridCol w:w="1311"/>
              <w:gridCol w:w="884"/>
              <w:gridCol w:w="1829"/>
              <w:gridCol w:w="5424"/>
              <w:gridCol w:w="1439"/>
              <w:gridCol w:w="1294"/>
            </w:tblGrid>
            <w:tr w14:paraId="6214E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645" w:hRule="atLeast"/>
              </w:trPr>
              <w:tc>
                <w:tcPr>
                  <w:tcW w:w="13883" w:type="dxa"/>
                  <w:gridSpan w:val="8"/>
                  <w:tcBorders>
                    <w:top w:val="nil"/>
                    <w:left w:val="nil"/>
                    <w:bottom w:val="nil"/>
                    <w:right w:val="nil"/>
                  </w:tcBorders>
                  <w:shd w:val="clear" w:color="auto" w:fill="auto"/>
                  <w:vAlign w:val="center"/>
                </w:tcPr>
                <w:p w14:paraId="470939B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部门整体支出绩效自评表</w:t>
                  </w:r>
                </w:p>
              </w:tc>
            </w:tr>
            <w:tr w14:paraId="590CF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9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5BE41D">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绩效指标</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51A0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指标解释</w:t>
                  </w:r>
                </w:p>
              </w:tc>
              <w:tc>
                <w:tcPr>
                  <w:tcW w:w="5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3A90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评分说明</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A464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自评得分</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C805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09F54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8" w:type="dxa"/>
                  <w:gridSpan w:val="2"/>
                  <w:tcBorders>
                    <w:top w:val="single" w:color="000000" w:sz="4" w:space="0"/>
                    <w:left w:val="single" w:color="000000" w:sz="4" w:space="0"/>
                    <w:bottom w:val="single" w:color="000000" w:sz="4" w:space="0"/>
                    <w:right w:val="nil"/>
                  </w:tcBorders>
                  <w:shd w:val="clear" w:color="auto" w:fill="auto"/>
                  <w:vAlign w:val="center"/>
                </w:tcPr>
                <w:p w14:paraId="5153824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一级指标</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B6D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二级指标</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B28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三级指标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16E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指标分值</w:t>
                  </w: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F06EA">
                  <w:pPr>
                    <w:jc w:val="center"/>
                    <w:rPr>
                      <w:rFonts w:hint="eastAsia" w:ascii="黑体" w:hAnsi="宋体" w:eastAsia="黑体" w:cs="黑体"/>
                      <w:i w:val="0"/>
                      <w:iCs w:val="0"/>
                      <w:color w:val="000000"/>
                      <w:sz w:val="24"/>
                      <w:szCs w:val="24"/>
                      <w:u w:val="none"/>
                    </w:rPr>
                  </w:pPr>
                </w:p>
              </w:tc>
              <w:tc>
                <w:tcPr>
                  <w:tcW w:w="5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69F23">
                  <w:pPr>
                    <w:jc w:val="center"/>
                    <w:rPr>
                      <w:rFonts w:hint="eastAsia" w:ascii="黑体" w:hAnsi="宋体" w:eastAsia="黑体" w:cs="黑体"/>
                      <w:i w:val="0"/>
                      <w:iCs w:val="0"/>
                      <w:color w:val="000000"/>
                      <w:sz w:val="24"/>
                      <w:szCs w:val="24"/>
                      <w:u w:val="none"/>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33DAE">
                  <w:pPr>
                    <w:jc w:val="center"/>
                    <w:rPr>
                      <w:rFonts w:hint="eastAsia" w:ascii="黑体" w:hAnsi="宋体" w:eastAsia="黑体" w:cs="黑体"/>
                      <w:i w:val="0"/>
                      <w:iCs w:val="0"/>
                      <w:color w:val="000000"/>
                      <w:sz w:val="24"/>
                      <w:szCs w:val="24"/>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F8864">
                  <w:pPr>
                    <w:jc w:val="center"/>
                    <w:rPr>
                      <w:rFonts w:hint="eastAsia" w:ascii="黑体" w:hAnsi="宋体" w:eastAsia="黑体" w:cs="黑体"/>
                      <w:i w:val="0"/>
                      <w:iCs w:val="0"/>
                      <w:color w:val="000000"/>
                      <w:sz w:val="24"/>
                      <w:szCs w:val="24"/>
                      <w:u w:val="none"/>
                    </w:rPr>
                  </w:pPr>
                </w:p>
              </w:tc>
            </w:tr>
            <w:tr w14:paraId="2CD6F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9B0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总体绩效</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（65分）</w:t>
                  </w:r>
                </w:p>
              </w:tc>
              <w:tc>
                <w:tcPr>
                  <w:tcW w:w="949" w:type="dxa"/>
                  <w:vMerge w:val="restart"/>
                  <w:tcBorders>
                    <w:top w:val="single" w:color="000000" w:sz="4" w:space="0"/>
                    <w:left w:val="single" w:color="000000" w:sz="4" w:space="0"/>
                    <w:bottom w:val="nil"/>
                    <w:right w:val="single" w:color="000000" w:sz="4" w:space="0"/>
                  </w:tcBorders>
                  <w:shd w:val="clear" w:color="auto" w:fill="auto"/>
                  <w:vAlign w:val="center"/>
                </w:tcPr>
                <w:p w14:paraId="752E1C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履职效能</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（19分）</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3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履职效果</w:t>
                  </w:r>
                </w:p>
              </w:tc>
              <w:tc>
                <w:tcPr>
                  <w:tcW w:w="884" w:type="dxa"/>
                  <w:vMerge w:val="restart"/>
                  <w:tcBorders>
                    <w:top w:val="single" w:color="000000" w:sz="4" w:space="0"/>
                    <w:left w:val="single" w:color="000000" w:sz="4" w:space="0"/>
                    <w:bottom w:val="nil"/>
                    <w:right w:val="single" w:color="000000" w:sz="4" w:space="0"/>
                  </w:tcBorders>
                  <w:shd w:val="clear" w:color="auto" w:fill="auto"/>
                  <w:vAlign w:val="center"/>
                </w:tcPr>
                <w:p w14:paraId="60294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29" w:type="dxa"/>
                  <w:vMerge w:val="restart"/>
                  <w:tcBorders>
                    <w:top w:val="single" w:color="000000" w:sz="4" w:space="0"/>
                    <w:left w:val="single" w:color="000000" w:sz="4" w:space="0"/>
                    <w:bottom w:val="nil"/>
                    <w:right w:val="single" w:color="000000" w:sz="4" w:space="0"/>
                  </w:tcBorders>
                  <w:shd w:val="clear" w:color="auto" w:fill="auto"/>
                  <w:vAlign w:val="center"/>
                </w:tcPr>
                <w:p w14:paraId="6E8FA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部门整体绩效目标中选定4-6个核心职能目标，反映该项职能目标完成效果情况</w:t>
                  </w:r>
                </w:p>
              </w:tc>
              <w:tc>
                <w:tcPr>
                  <w:tcW w:w="5424" w:type="dxa"/>
                  <w:vMerge w:val="restart"/>
                  <w:tcBorders>
                    <w:top w:val="single" w:color="000000" w:sz="4" w:space="0"/>
                    <w:left w:val="single" w:color="000000" w:sz="4" w:space="0"/>
                    <w:bottom w:val="nil"/>
                    <w:right w:val="single" w:color="000000" w:sz="4" w:space="0"/>
                  </w:tcBorders>
                  <w:shd w:val="clear" w:color="auto" w:fill="auto"/>
                  <w:vAlign w:val="center"/>
                </w:tcPr>
                <w:p w14:paraId="5CA9C2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1439" w:type="dxa"/>
                  <w:vMerge w:val="restart"/>
                  <w:tcBorders>
                    <w:top w:val="single" w:color="000000" w:sz="4" w:space="0"/>
                    <w:left w:val="single" w:color="000000" w:sz="4" w:space="0"/>
                    <w:bottom w:val="nil"/>
                    <w:right w:val="single" w:color="000000" w:sz="4" w:space="0"/>
                  </w:tcBorders>
                  <w:shd w:val="clear" w:color="auto" w:fill="auto"/>
                  <w:vAlign w:val="center"/>
                </w:tcPr>
                <w:p w14:paraId="79680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94" w:type="dxa"/>
                  <w:vMerge w:val="restart"/>
                  <w:tcBorders>
                    <w:top w:val="single" w:color="000000" w:sz="4" w:space="0"/>
                    <w:left w:val="single" w:color="000000" w:sz="4" w:space="0"/>
                    <w:bottom w:val="nil"/>
                    <w:right w:val="single" w:color="000000" w:sz="4" w:space="0"/>
                  </w:tcBorders>
                  <w:shd w:val="clear" w:color="auto" w:fill="auto"/>
                  <w:vAlign w:val="center"/>
                </w:tcPr>
                <w:p w14:paraId="56B8C5F0">
                  <w:pPr>
                    <w:jc w:val="center"/>
                    <w:rPr>
                      <w:rFonts w:hint="eastAsia" w:ascii="宋体" w:hAnsi="宋体" w:eastAsia="宋体" w:cs="宋体"/>
                      <w:i w:val="0"/>
                      <w:iCs w:val="0"/>
                      <w:color w:val="000000"/>
                      <w:sz w:val="24"/>
                      <w:szCs w:val="24"/>
                      <w:u w:val="none"/>
                    </w:rPr>
                  </w:pPr>
                </w:p>
              </w:tc>
            </w:tr>
            <w:tr w14:paraId="7D364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9090C">
                  <w:pPr>
                    <w:jc w:val="center"/>
                    <w:rPr>
                      <w:rFonts w:hint="eastAsia" w:ascii="宋体" w:hAnsi="宋体" w:eastAsia="宋体" w:cs="宋体"/>
                      <w:b/>
                      <w:bCs/>
                      <w:i w:val="0"/>
                      <w:iCs w:val="0"/>
                      <w:color w:val="000000"/>
                      <w:sz w:val="24"/>
                      <w:szCs w:val="24"/>
                      <w:u w:val="none"/>
                    </w:rPr>
                  </w:pPr>
                </w:p>
              </w:tc>
              <w:tc>
                <w:tcPr>
                  <w:tcW w:w="949" w:type="dxa"/>
                  <w:vMerge w:val="continue"/>
                  <w:tcBorders>
                    <w:top w:val="single" w:color="000000" w:sz="4" w:space="0"/>
                    <w:left w:val="single" w:color="000000" w:sz="4" w:space="0"/>
                    <w:bottom w:val="nil"/>
                    <w:right w:val="single" w:color="000000" w:sz="4" w:space="0"/>
                  </w:tcBorders>
                  <w:shd w:val="clear" w:color="auto" w:fill="auto"/>
                  <w:vAlign w:val="center"/>
                </w:tcPr>
                <w:p w14:paraId="04179CA7">
                  <w:pPr>
                    <w:jc w:val="center"/>
                    <w:rPr>
                      <w:rFonts w:hint="eastAsia" w:ascii="宋体" w:hAnsi="宋体" w:eastAsia="宋体" w:cs="宋体"/>
                      <w:b/>
                      <w:bCs/>
                      <w:i w:val="0"/>
                      <w:iCs w:val="0"/>
                      <w:color w:val="000000"/>
                      <w:sz w:val="24"/>
                      <w:szCs w:val="24"/>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5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履职效果</w:t>
                  </w:r>
                </w:p>
              </w:tc>
              <w:tc>
                <w:tcPr>
                  <w:tcW w:w="884" w:type="dxa"/>
                  <w:vMerge w:val="continue"/>
                  <w:tcBorders>
                    <w:top w:val="single" w:color="000000" w:sz="4" w:space="0"/>
                    <w:left w:val="single" w:color="000000" w:sz="4" w:space="0"/>
                    <w:bottom w:val="nil"/>
                    <w:right w:val="single" w:color="000000" w:sz="4" w:space="0"/>
                  </w:tcBorders>
                  <w:shd w:val="clear" w:color="auto" w:fill="auto"/>
                  <w:vAlign w:val="center"/>
                </w:tcPr>
                <w:p w14:paraId="57E1377D">
                  <w:pPr>
                    <w:jc w:val="center"/>
                    <w:rPr>
                      <w:rFonts w:hint="eastAsia" w:ascii="宋体" w:hAnsi="宋体" w:eastAsia="宋体" w:cs="宋体"/>
                      <w:i w:val="0"/>
                      <w:iCs w:val="0"/>
                      <w:color w:val="000000"/>
                      <w:sz w:val="24"/>
                      <w:szCs w:val="24"/>
                      <w:u w:val="none"/>
                    </w:rPr>
                  </w:pPr>
                </w:p>
              </w:tc>
              <w:tc>
                <w:tcPr>
                  <w:tcW w:w="1829" w:type="dxa"/>
                  <w:vMerge w:val="continue"/>
                  <w:tcBorders>
                    <w:top w:val="single" w:color="000000" w:sz="4" w:space="0"/>
                    <w:left w:val="single" w:color="000000" w:sz="4" w:space="0"/>
                    <w:bottom w:val="nil"/>
                    <w:right w:val="single" w:color="000000" w:sz="4" w:space="0"/>
                  </w:tcBorders>
                  <w:shd w:val="clear" w:color="auto" w:fill="auto"/>
                  <w:vAlign w:val="center"/>
                </w:tcPr>
                <w:p w14:paraId="568AAF51">
                  <w:pPr>
                    <w:jc w:val="center"/>
                    <w:rPr>
                      <w:rFonts w:hint="eastAsia" w:ascii="宋体" w:hAnsi="宋体" w:eastAsia="宋体" w:cs="宋体"/>
                      <w:i w:val="0"/>
                      <w:iCs w:val="0"/>
                      <w:color w:val="000000"/>
                      <w:sz w:val="24"/>
                      <w:szCs w:val="24"/>
                      <w:u w:val="none"/>
                    </w:rPr>
                  </w:pPr>
                </w:p>
              </w:tc>
              <w:tc>
                <w:tcPr>
                  <w:tcW w:w="5424" w:type="dxa"/>
                  <w:vMerge w:val="continue"/>
                  <w:tcBorders>
                    <w:top w:val="single" w:color="000000" w:sz="4" w:space="0"/>
                    <w:left w:val="single" w:color="000000" w:sz="4" w:space="0"/>
                    <w:bottom w:val="nil"/>
                    <w:right w:val="single" w:color="000000" w:sz="4" w:space="0"/>
                  </w:tcBorders>
                  <w:shd w:val="clear" w:color="auto" w:fill="auto"/>
                  <w:vAlign w:val="center"/>
                </w:tcPr>
                <w:p w14:paraId="46DD491B">
                  <w:pPr>
                    <w:jc w:val="left"/>
                    <w:rPr>
                      <w:rFonts w:hint="eastAsia" w:ascii="宋体" w:hAnsi="宋体" w:eastAsia="宋体" w:cs="宋体"/>
                      <w:i w:val="0"/>
                      <w:iCs w:val="0"/>
                      <w:color w:val="000000"/>
                      <w:sz w:val="24"/>
                      <w:szCs w:val="24"/>
                      <w:u w:val="none"/>
                    </w:rPr>
                  </w:pPr>
                </w:p>
              </w:tc>
              <w:tc>
                <w:tcPr>
                  <w:tcW w:w="1439" w:type="dxa"/>
                  <w:vMerge w:val="continue"/>
                  <w:tcBorders>
                    <w:top w:val="single" w:color="000000" w:sz="4" w:space="0"/>
                    <w:left w:val="single" w:color="000000" w:sz="4" w:space="0"/>
                    <w:bottom w:val="nil"/>
                    <w:right w:val="single" w:color="000000" w:sz="4" w:space="0"/>
                  </w:tcBorders>
                  <w:shd w:val="clear" w:color="auto" w:fill="auto"/>
                  <w:vAlign w:val="center"/>
                </w:tcPr>
                <w:p w14:paraId="3FAC3420">
                  <w:pPr>
                    <w:jc w:val="center"/>
                    <w:rPr>
                      <w:rFonts w:hint="eastAsia" w:ascii="宋体" w:hAnsi="宋体" w:eastAsia="宋体" w:cs="宋体"/>
                      <w:i w:val="0"/>
                      <w:iCs w:val="0"/>
                      <w:color w:val="000000"/>
                      <w:sz w:val="24"/>
                      <w:szCs w:val="24"/>
                      <w:u w:val="none"/>
                    </w:rPr>
                  </w:pPr>
                </w:p>
              </w:tc>
              <w:tc>
                <w:tcPr>
                  <w:tcW w:w="1294" w:type="dxa"/>
                  <w:vMerge w:val="continue"/>
                  <w:tcBorders>
                    <w:top w:val="single" w:color="000000" w:sz="4" w:space="0"/>
                    <w:left w:val="single" w:color="000000" w:sz="4" w:space="0"/>
                    <w:bottom w:val="nil"/>
                    <w:right w:val="single" w:color="000000" w:sz="4" w:space="0"/>
                  </w:tcBorders>
                  <w:shd w:val="clear" w:color="auto" w:fill="auto"/>
                  <w:vAlign w:val="center"/>
                </w:tcPr>
                <w:p w14:paraId="477596BF">
                  <w:pPr>
                    <w:jc w:val="center"/>
                    <w:rPr>
                      <w:rFonts w:hint="eastAsia" w:ascii="宋体" w:hAnsi="宋体" w:eastAsia="宋体" w:cs="宋体"/>
                      <w:i w:val="0"/>
                      <w:iCs w:val="0"/>
                      <w:color w:val="000000"/>
                      <w:sz w:val="24"/>
                      <w:szCs w:val="24"/>
                      <w:u w:val="none"/>
                    </w:rPr>
                  </w:pPr>
                </w:p>
              </w:tc>
            </w:tr>
            <w:tr w14:paraId="3636E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745A5">
                  <w:pPr>
                    <w:jc w:val="center"/>
                    <w:rPr>
                      <w:rFonts w:hint="eastAsia" w:ascii="宋体" w:hAnsi="宋体" w:eastAsia="宋体" w:cs="宋体"/>
                      <w:b/>
                      <w:bCs/>
                      <w:i w:val="0"/>
                      <w:iCs w:val="0"/>
                      <w:color w:val="000000"/>
                      <w:sz w:val="24"/>
                      <w:szCs w:val="24"/>
                      <w:u w:val="none"/>
                    </w:rPr>
                  </w:pPr>
                </w:p>
              </w:tc>
              <w:tc>
                <w:tcPr>
                  <w:tcW w:w="949" w:type="dxa"/>
                  <w:vMerge w:val="continue"/>
                  <w:tcBorders>
                    <w:top w:val="single" w:color="000000" w:sz="4" w:space="0"/>
                    <w:left w:val="single" w:color="000000" w:sz="4" w:space="0"/>
                    <w:bottom w:val="nil"/>
                    <w:right w:val="single" w:color="000000" w:sz="4" w:space="0"/>
                  </w:tcBorders>
                  <w:shd w:val="clear" w:color="auto" w:fill="auto"/>
                  <w:vAlign w:val="center"/>
                </w:tcPr>
                <w:p w14:paraId="57E6C418">
                  <w:pPr>
                    <w:jc w:val="center"/>
                    <w:rPr>
                      <w:rFonts w:hint="eastAsia" w:ascii="宋体" w:hAnsi="宋体" w:eastAsia="宋体" w:cs="宋体"/>
                      <w:b/>
                      <w:bCs/>
                      <w:i w:val="0"/>
                      <w:iCs w:val="0"/>
                      <w:color w:val="000000"/>
                      <w:sz w:val="24"/>
                      <w:szCs w:val="24"/>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C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履职效果</w:t>
                  </w:r>
                </w:p>
              </w:tc>
              <w:tc>
                <w:tcPr>
                  <w:tcW w:w="884" w:type="dxa"/>
                  <w:vMerge w:val="continue"/>
                  <w:tcBorders>
                    <w:top w:val="single" w:color="000000" w:sz="4" w:space="0"/>
                    <w:left w:val="single" w:color="000000" w:sz="4" w:space="0"/>
                    <w:bottom w:val="nil"/>
                    <w:right w:val="single" w:color="000000" w:sz="4" w:space="0"/>
                  </w:tcBorders>
                  <w:shd w:val="clear" w:color="auto" w:fill="auto"/>
                  <w:vAlign w:val="center"/>
                </w:tcPr>
                <w:p w14:paraId="581A78EB">
                  <w:pPr>
                    <w:jc w:val="center"/>
                    <w:rPr>
                      <w:rFonts w:hint="eastAsia" w:ascii="宋体" w:hAnsi="宋体" w:eastAsia="宋体" w:cs="宋体"/>
                      <w:i w:val="0"/>
                      <w:iCs w:val="0"/>
                      <w:color w:val="000000"/>
                      <w:sz w:val="24"/>
                      <w:szCs w:val="24"/>
                      <w:u w:val="none"/>
                    </w:rPr>
                  </w:pPr>
                </w:p>
              </w:tc>
              <w:tc>
                <w:tcPr>
                  <w:tcW w:w="1829" w:type="dxa"/>
                  <w:vMerge w:val="continue"/>
                  <w:tcBorders>
                    <w:top w:val="single" w:color="000000" w:sz="4" w:space="0"/>
                    <w:left w:val="single" w:color="000000" w:sz="4" w:space="0"/>
                    <w:bottom w:val="nil"/>
                    <w:right w:val="single" w:color="000000" w:sz="4" w:space="0"/>
                  </w:tcBorders>
                  <w:shd w:val="clear" w:color="auto" w:fill="auto"/>
                  <w:vAlign w:val="center"/>
                </w:tcPr>
                <w:p w14:paraId="5A72A53D">
                  <w:pPr>
                    <w:jc w:val="center"/>
                    <w:rPr>
                      <w:rFonts w:hint="eastAsia" w:ascii="宋体" w:hAnsi="宋体" w:eastAsia="宋体" w:cs="宋体"/>
                      <w:i w:val="0"/>
                      <w:iCs w:val="0"/>
                      <w:color w:val="000000"/>
                      <w:sz w:val="24"/>
                      <w:szCs w:val="24"/>
                      <w:u w:val="none"/>
                    </w:rPr>
                  </w:pPr>
                </w:p>
              </w:tc>
              <w:tc>
                <w:tcPr>
                  <w:tcW w:w="5424" w:type="dxa"/>
                  <w:vMerge w:val="continue"/>
                  <w:tcBorders>
                    <w:top w:val="single" w:color="000000" w:sz="4" w:space="0"/>
                    <w:left w:val="single" w:color="000000" w:sz="4" w:space="0"/>
                    <w:bottom w:val="nil"/>
                    <w:right w:val="single" w:color="000000" w:sz="4" w:space="0"/>
                  </w:tcBorders>
                  <w:shd w:val="clear" w:color="auto" w:fill="auto"/>
                  <w:vAlign w:val="center"/>
                </w:tcPr>
                <w:p w14:paraId="2E2B55C2">
                  <w:pPr>
                    <w:jc w:val="left"/>
                    <w:rPr>
                      <w:rFonts w:hint="eastAsia" w:ascii="宋体" w:hAnsi="宋体" w:eastAsia="宋体" w:cs="宋体"/>
                      <w:i w:val="0"/>
                      <w:iCs w:val="0"/>
                      <w:color w:val="000000"/>
                      <w:sz w:val="24"/>
                      <w:szCs w:val="24"/>
                      <w:u w:val="none"/>
                    </w:rPr>
                  </w:pPr>
                </w:p>
              </w:tc>
              <w:tc>
                <w:tcPr>
                  <w:tcW w:w="1439" w:type="dxa"/>
                  <w:vMerge w:val="continue"/>
                  <w:tcBorders>
                    <w:top w:val="single" w:color="000000" w:sz="4" w:space="0"/>
                    <w:left w:val="single" w:color="000000" w:sz="4" w:space="0"/>
                    <w:bottom w:val="nil"/>
                    <w:right w:val="single" w:color="000000" w:sz="4" w:space="0"/>
                  </w:tcBorders>
                  <w:shd w:val="clear" w:color="auto" w:fill="auto"/>
                  <w:vAlign w:val="center"/>
                </w:tcPr>
                <w:p w14:paraId="149530D7">
                  <w:pPr>
                    <w:jc w:val="center"/>
                    <w:rPr>
                      <w:rFonts w:hint="eastAsia" w:ascii="宋体" w:hAnsi="宋体" w:eastAsia="宋体" w:cs="宋体"/>
                      <w:i w:val="0"/>
                      <w:iCs w:val="0"/>
                      <w:color w:val="000000"/>
                      <w:sz w:val="24"/>
                      <w:szCs w:val="24"/>
                      <w:u w:val="none"/>
                    </w:rPr>
                  </w:pPr>
                </w:p>
              </w:tc>
              <w:tc>
                <w:tcPr>
                  <w:tcW w:w="1294" w:type="dxa"/>
                  <w:vMerge w:val="continue"/>
                  <w:tcBorders>
                    <w:top w:val="single" w:color="000000" w:sz="4" w:space="0"/>
                    <w:left w:val="single" w:color="000000" w:sz="4" w:space="0"/>
                    <w:bottom w:val="nil"/>
                    <w:right w:val="single" w:color="000000" w:sz="4" w:space="0"/>
                  </w:tcBorders>
                  <w:shd w:val="clear" w:color="auto" w:fill="auto"/>
                  <w:vAlign w:val="center"/>
                </w:tcPr>
                <w:p w14:paraId="01C0475D">
                  <w:pPr>
                    <w:jc w:val="center"/>
                    <w:rPr>
                      <w:rFonts w:hint="eastAsia" w:ascii="宋体" w:hAnsi="宋体" w:eastAsia="宋体" w:cs="宋体"/>
                      <w:i w:val="0"/>
                      <w:iCs w:val="0"/>
                      <w:color w:val="000000"/>
                      <w:sz w:val="24"/>
                      <w:szCs w:val="24"/>
                      <w:u w:val="none"/>
                    </w:rPr>
                  </w:pPr>
                </w:p>
              </w:tc>
            </w:tr>
            <w:tr w14:paraId="16E2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DBA9E">
                  <w:pPr>
                    <w:jc w:val="center"/>
                    <w:rPr>
                      <w:rFonts w:hint="eastAsia" w:ascii="宋体" w:hAnsi="宋体" w:eastAsia="宋体" w:cs="宋体"/>
                      <w:b/>
                      <w:bCs/>
                      <w:i w:val="0"/>
                      <w:iCs w:val="0"/>
                      <w:color w:val="000000"/>
                      <w:sz w:val="24"/>
                      <w:szCs w:val="24"/>
                      <w:u w:val="none"/>
                    </w:rPr>
                  </w:pPr>
                </w:p>
              </w:tc>
              <w:tc>
                <w:tcPr>
                  <w:tcW w:w="949" w:type="dxa"/>
                  <w:vMerge w:val="continue"/>
                  <w:tcBorders>
                    <w:top w:val="single" w:color="000000" w:sz="4" w:space="0"/>
                    <w:left w:val="single" w:color="000000" w:sz="4" w:space="0"/>
                    <w:bottom w:val="nil"/>
                    <w:right w:val="single" w:color="000000" w:sz="4" w:space="0"/>
                  </w:tcBorders>
                  <w:shd w:val="clear" w:color="auto" w:fill="auto"/>
                  <w:vAlign w:val="center"/>
                </w:tcPr>
                <w:p w14:paraId="55F3AAB6">
                  <w:pPr>
                    <w:jc w:val="center"/>
                    <w:rPr>
                      <w:rFonts w:hint="eastAsia" w:ascii="宋体" w:hAnsi="宋体" w:eastAsia="宋体" w:cs="宋体"/>
                      <w:b/>
                      <w:bCs/>
                      <w:i w:val="0"/>
                      <w:iCs w:val="0"/>
                      <w:color w:val="000000"/>
                      <w:sz w:val="24"/>
                      <w:szCs w:val="24"/>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B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履职效果</w:t>
                  </w:r>
                </w:p>
              </w:tc>
              <w:tc>
                <w:tcPr>
                  <w:tcW w:w="884" w:type="dxa"/>
                  <w:vMerge w:val="continue"/>
                  <w:tcBorders>
                    <w:top w:val="single" w:color="000000" w:sz="4" w:space="0"/>
                    <w:left w:val="single" w:color="000000" w:sz="4" w:space="0"/>
                    <w:bottom w:val="nil"/>
                    <w:right w:val="single" w:color="000000" w:sz="4" w:space="0"/>
                  </w:tcBorders>
                  <w:shd w:val="clear" w:color="auto" w:fill="auto"/>
                  <w:vAlign w:val="center"/>
                </w:tcPr>
                <w:p w14:paraId="38A376BF">
                  <w:pPr>
                    <w:jc w:val="center"/>
                    <w:rPr>
                      <w:rFonts w:hint="eastAsia" w:ascii="宋体" w:hAnsi="宋体" w:eastAsia="宋体" w:cs="宋体"/>
                      <w:i w:val="0"/>
                      <w:iCs w:val="0"/>
                      <w:color w:val="000000"/>
                      <w:sz w:val="24"/>
                      <w:szCs w:val="24"/>
                      <w:u w:val="none"/>
                    </w:rPr>
                  </w:pPr>
                </w:p>
              </w:tc>
              <w:tc>
                <w:tcPr>
                  <w:tcW w:w="1829" w:type="dxa"/>
                  <w:vMerge w:val="continue"/>
                  <w:tcBorders>
                    <w:top w:val="single" w:color="000000" w:sz="4" w:space="0"/>
                    <w:left w:val="single" w:color="000000" w:sz="4" w:space="0"/>
                    <w:bottom w:val="nil"/>
                    <w:right w:val="single" w:color="000000" w:sz="4" w:space="0"/>
                  </w:tcBorders>
                  <w:shd w:val="clear" w:color="auto" w:fill="auto"/>
                  <w:vAlign w:val="center"/>
                </w:tcPr>
                <w:p w14:paraId="0F83D64B">
                  <w:pPr>
                    <w:jc w:val="center"/>
                    <w:rPr>
                      <w:rFonts w:hint="eastAsia" w:ascii="宋体" w:hAnsi="宋体" w:eastAsia="宋体" w:cs="宋体"/>
                      <w:i w:val="0"/>
                      <w:iCs w:val="0"/>
                      <w:color w:val="000000"/>
                      <w:sz w:val="24"/>
                      <w:szCs w:val="24"/>
                      <w:u w:val="none"/>
                    </w:rPr>
                  </w:pPr>
                </w:p>
              </w:tc>
              <w:tc>
                <w:tcPr>
                  <w:tcW w:w="5424" w:type="dxa"/>
                  <w:vMerge w:val="continue"/>
                  <w:tcBorders>
                    <w:top w:val="single" w:color="000000" w:sz="4" w:space="0"/>
                    <w:left w:val="single" w:color="000000" w:sz="4" w:space="0"/>
                    <w:bottom w:val="nil"/>
                    <w:right w:val="single" w:color="000000" w:sz="4" w:space="0"/>
                  </w:tcBorders>
                  <w:shd w:val="clear" w:color="auto" w:fill="auto"/>
                  <w:vAlign w:val="center"/>
                </w:tcPr>
                <w:p w14:paraId="25F4B226">
                  <w:pPr>
                    <w:jc w:val="left"/>
                    <w:rPr>
                      <w:rFonts w:hint="eastAsia" w:ascii="宋体" w:hAnsi="宋体" w:eastAsia="宋体" w:cs="宋体"/>
                      <w:i w:val="0"/>
                      <w:iCs w:val="0"/>
                      <w:color w:val="000000"/>
                      <w:sz w:val="24"/>
                      <w:szCs w:val="24"/>
                      <w:u w:val="none"/>
                    </w:rPr>
                  </w:pPr>
                </w:p>
              </w:tc>
              <w:tc>
                <w:tcPr>
                  <w:tcW w:w="1439" w:type="dxa"/>
                  <w:vMerge w:val="continue"/>
                  <w:tcBorders>
                    <w:top w:val="single" w:color="000000" w:sz="4" w:space="0"/>
                    <w:left w:val="single" w:color="000000" w:sz="4" w:space="0"/>
                    <w:bottom w:val="nil"/>
                    <w:right w:val="single" w:color="000000" w:sz="4" w:space="0"/>
                  </w:tcBorders>
                  <w:shd w:val="clear" w:color="auto" w:fill="auto"/>
                  <w:vAlign w:val="center"/>
                </w:tcPr>
                <w:p w14:paraId="1F74B73C">
                  <w:pPr>
                    <w:jc w:val="center"/>
                    <w:rPr>
                      <w:rFonts w:hint="eastAsia" w:ascii="宋体" w:hAnsi="宋体" w:eastAsia="宋体" w:cs="宋体"/>
                      <w:i w:val="0"/>
                      <w:iCs w:val="0"/>
                      <w:color w:val="000000"/>
                      <w:sz w:val="24"/>
                      <w:szCs w:val="24"/>
                      <w:u w:val="none"/>
                    </w:rPr>
                  </w:pPr>
                </w:p>
              </w:tc>
              <w:tc>
                <w:tcPr>
                  <w:tcW w:w="1294" w:type="dxa"/>
                  <w:vMerge w:val="continue"/>
                  <w:tcBorders>
                    <w:top w:val="single" w:color="000000" w:sz="4" w:space="0"/>
                    <w:left w:val="single" w:color="000000" w:sz="4" w:space="0"/>
                    <w:bottom w:val="nil"/>
                    <w:right w:val="single" w:color="000000" w:sz="4" w:space="0"/>
                  </w:tcBorders>
                  <w:shd w:val="clear" w:color="auto" w:fill="auto"/>
                  <w:vAlign w:val="center"/>
                </w:tcPr>
                <w:p w14:paraId="0A1A8631">
                  <w:pPr>
                    <w:jc w:val="center"/>
                    <w:rPr>
                      <w:rFonts w:hint="eastAsia" w:ascii="宋体" w:hAnsi="宋体" w:eastAsia="宋体" w:cs="宋体"/>
                      <w:i w:val="0"/>
                      <w:iCs w:val="0"/>
                      <w:color w:val="000000"/>
                      <w:sz w:val="24"/>
                      <w:szCs w:val="24"/>
                      <w:u w:val="none"/>
                    </w:rPr>
                  </w:pPr>
                </w:p>
              </w:tc>
            </w:tr>
            <w:tr w14:paraId="6F871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5377D">
                  <w:pPr>
                    <w:jc w:val="center"/>
                    <w:rPr>
                      <w:rFonts w:hint="eastAsia" w:ascii="宋体" w:hAnsi="宋体" w:eastAsia="宋体" w:cs="宋体"/>
                      <w:b/>
                      <w:bCs/>
                      <w:i w:val="0"/>
                      <w:iCs w:val="0"/>
                      <w:color w:val="000000"/>
                      <w:sz w:val="24"/>
                      <w:szCs w:val="24"/>
                      <w:u w:val="none"/>
                    </w:rPr>
                  </w:pPr>
                </w:p>
              </w:tc>
              <w:tc>
                <w:tcPr>
                  <w:tcW w:w="949" w:type="dxa"/>
                  <w:vMerge w:val="continue"/>
                  <w:tcBorders>
                    <w:top w:val="single" w:color="000000" w:sz="4" w:space="0"/>
                    <w:left w:val="single" w:color="000000" w:sz="4" w:space="0"/>
                    <w:bottom w:val="nil"/>
                    <w:right w:val="single" w:color="000000" w:sz="4" w:space="0"/>
                  </w:tcBorders>
                  <w:shd w:val="clear" w:color="auto" w:fill="auto"/>
                  <w:vAlign w:val="center"/>
                </w:tcPr>
                <w:p w14:paraId="0A099B34">
                  <w:pPr>
                    <w:jc w:val="center"/>
                    <w:rPr>
                      <w:rFonts w:hint="eastAsia" w:ascii="宋体" w:hAnsi="宋体" w:eastAsia="宋体" w:cs="宋体"/>
                      <w:b/>
                      <w:bCs/>
                      <w:i w:val="0"/>
                      <w:iCs w:val="0"/>
                      <w:color w:val="000000"/>
                      <w:sz w:val="24"/>
                      <w:szCs w:val="24"/>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B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履职效果</w:t>
                  </w:r>
                </w:p>
              </w:tc>
              <w:tc>
                <w:tcPr>
                  <w:tcW w:w="884" w:type="dxa"/>
                  <w:vMerge w:val="continue"/>
                  <w:tcBorders>
                    <w:top w:val="single" w:color="000000" w:sz="4" w:space="0"/>
                    <w:left w:val="single" w:color="000000" w:sz="4" w:space="0"/>
                    <w:bottom w:val="nil"/>
                    <w:right w:val="single" w:color="000000" w:sz="4" w:space="0"/>
                  </w:tcBorders>
                  <w:shd w:val="clear" w:color="auto" w:fill="auto"/>
                  <w:vAlign w:val="center"/>
                </w:tcPr>
                <w:p w14:paraId="09DCF65A">
                  <w:pPr>
                    <w:jc w:val="center"/>
                    <w:rPr>
                      <w:rFonts w:hint="eastAsia" w:ascii="宋体" w:hAnsi="宋体" w:eastAsia="宋体" w:cs="宋体"/>
                      <w:i w:val="0"/>
                      <w:iCs w:val="0"/>
                      <w:color w:val="000000"/>
                      <w:sz w:val="24"/>
                      <w:szCs w:val="24"/>
                      <w:u w:val="none"/>
                    </w:rPr>
                  </w:pPr>
                </w:p>
              </w:tc>
              <w:tc>
                <w:tcPr>
                  <w:tcW w:w="1829" w:type="dxa"/>
                  <w:vMerge w:val="continue"/>
                  <w:tcBorders>
                    <w:top w:val="single" w:color="000000" w:sz="4" w:space="0"/>
                    <w:left w:val="single" w:color="000000" w:sz="4" w:space="0"/>
                    <w:bottom w:val="nil"/>
                    <w:right w:val="single" w:color="000000" w:sz="4" w:space="0"/>
                  </w:tcBorders>
                  <w:shd w:val="clear" w:color="auto" w:fill="auto"/>
                  <w:vAlign w:val="center"/>
                </w:tcPr>
                <w:p w14:paraId="176CFA12">
                  <w:pPr>
                    <w:jc w:val="center"/>
                    <w:rPr>
                      <w:rFonts w:hint="eastAsia" w:ascii="宋体" w:hAnsi="宋体" w:eastAsia="宋体" w:cs="宋体"/>
                      <w:i w:val="0"/>
                      <w:iCs w:val="0"/>
                      <w:color w:val="000000"/>
                      <w:sz w:val="24"/>
                      <w:szCs w:val="24"/>
                      <w:u w:val="none"/>
                    </w:rPr>
                  </w:pPr>
                </w:p>
              </w:tc>
              <w:tc>
                <w:tcPr>
                  <w:tcW w:w="5424" w:type="dxa"/>
                  <w:vMerge w:val="continue"/>
                  <w:tcBorders>
                    <w:top w:val="single" w:color="000000" w:sz="4" w:space="0"/>
                    <w:left w:val="single" w:color="000000" w:sz="4" w:space="0"/>
                    <w:bottom w:val="nil"/>
                    <w:right w:val="single" w:color="000000" w:sz="4" w:space="0"/>
                  </w:tcBorders>
                  <w:shd w:val="clear" w:color="auto" w:fill="auto"/>
                  <w:vAlign w:val="center"/>
                </w:tcPr>
                <w:p w14:paraId="4E9FA9C6">
                  <w:pPr>
                    <w:jc w:val="left"/>
                    <w:rPr>
                      <w:rFonts w:hint="eastAsia" w:ascii="宋体" w:hAnsi="宋体" w:eastAsia="宋体" w:cs="宋体"/>
                      <w:i w:val="0"/>
                      <w:iCs w:val="0"/>
                      <w:color w:val="000000"/>
                      <w:sz w:val="24"/>
                      <w:szCs w:val="24"/>
                      <w:u w:val="none"/>
                    </w:rPr>
                  </w:pPr>
                </w:p>
              </w:tc>
              <w:tc>
                <w:tcPr>
                  <w:tcW w:w="1439" w:type="dxa"/>
                  <w:vMerge w:val="continue"/>
                  <w:tcBorders>
                    <w:top w:val="single" w:color="000000" w:sz="4" w:space="0"/>
                    <w:left w:val="single" w:color="000000" w:sz="4" w:space="0"/>
                    <w:bottom w:val="nil"/>
                    <w:right w:val="single" w:color="000000" w:sz="4" w:space="0"/>
                  </w:tcBorders>
                  <w:shd w:val="clear" w:color="auto" w:fill="auto"/>
                  <w:vAlign w:val="center"/>
                </w:tcPr>
                <w:p w14:paraId="7984E81B">
                  <w:pPr>
                    <w:jc w:val="center"/>
                    <w:rPr>
                      <w:rFonts w:hint="eastAsia" w:ascii="宋体" w:hAnsi="宋体" w:eastAsia="宋体" w:cs="宋体"/>
                      <w:i w:val="0"/>
                      <w:iCs w:val="0"/>
                      <w:color w:val="000000"/>
                      <w:sz w:val="24"/>
                      <w:szCs w:val="24"/>
                      <w:u w:val="none"/>
                    </w:rPr>
                  </w:pPr>
                </w:p>
              </w:tc>
              <w:tc>
                <w:tcPr>
                  <w:tcW w:w="1294" w:type="dxa"/>
                  <w:vMerge w:val="continue"/>
                  <w:tcBorders>
                    <w:top w:val="single" w:color="000000" w:sz="4" w:space="0"/>
                    <w:left w:val="single" w:color="000000" w:sz="4" w:space="0"/>
                    <w:bottom w:val="nil"/>
                    <w:right w:val="single" w:color="000000" w:sz="4" w:space="0"/>
                  </w:tcBorders>
                  <w:shd w:val="clear" w:color="auto" w:fill="auto"/>
                  <w:vAlign w:val="center"/>
                </w:tcPr>
                <w:p w14:paraId="2C8FA09A">
                  <w:pPr>
                    <w:jc w:val="center"/>
                    <w:rPr>
                      <w:rFonts w:hint="eastAsia" w:ascii="宋体" w:hAnsi="宋体" w:eastAsia="宋体" w:cs="宋体"/>
                      <w:i w:val="0"/>
                      <w:iCs w:val="0"/>
                      <w:color w:val="000000"/>
                      <w:sz w:val="24"/>
                      <w:szCs w:val="24"/>
                      <w:u w:val="none"/>
                    </w:rPr>
                  </w:pPr>
                </w:p>
              </w:tc>
            </w:tr>
            <w:tr w14:paraId="01381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133A9">
                  <w:pPr>
                    <w:jc w:val="center"/>
                    <w:rPr>
                      <w:rFonts w:hint="eastAsia" w:ascii="宋体" w:hAnsi="宋体" w:eastAsia="宋体" w:cs="宋体"/>
                      <w:b/>
                      <w:bCs/>
                      <w:i w:val="0"/>
                      <w:iCs w:val="0"/>
                      <w:color w:val="000000"/>
                      <w:sz w:val="24"/>
                      <w:szCs w:val="24"/>
                      <w:u w:val="none"/>
                    </w:rPr>
                  </w:pP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1B9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（21分）</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2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预算编制质量</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9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7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部门是否严格按要求编制年初部门预算，年初预算编制的科学性和准确性</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AE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该项指标得分=（1-财政拨款预算偏离度）×100%×8。偏离度=|预算执行数-调整预算数|÷调整预算数。</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A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43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预算执行数=调整预算数</w:t>
                  </w:r>
                </w:p>
              </w:tc>
            </w:tr>
            <w:tr w14:paraId="144FF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C8589">
                  <w:pPr>
                    <w:jc w:val="center"/>
                    <w:rPr>
                      <w:rFonts w:hint="eastAsia" w:ascii="宋体" w:hAnsi="宋体" w:eastAsia="宋体" w:cs="宋体"/>
                      <w:b/>
                      <w:bCs/>
                      <w:i w:val="0"/>
                      <w:iCs w:val="0"/>
                      <w:color w:val="000000"/>
                      <w:sz w:val="24"/>
                      <w:szCs w:val="24"/>
                      <w:u w:val="none"/>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053B7">
                  <w:pPr>
                    <w:jc w:val="center"/>
                    <w:rPr>
                      <w:rFonts w:hint="eastAsia" w:ascii="宋体" w:hAnsi="宋体" w:eastAsia="宋体" w:cs="宋体"/>
                      <w:b/>
                      <w:bCs/>
                      <w:i w:val="0"/>
                      <w:iCs w:val="0"/>
                      <w:color w:val="000000"/>
                      <w:sz w:val="24"/>
                      <w:szCs w:val="24"/>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E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支出执行进度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5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4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部门1至12月预算执行情况</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8D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w:t>
                  </w:r>
                  <w:r>
                    <w:rPr>
                      <w:rFonts w:hint="eastAsia" w:ascii="宋体" w:hAnsi="宋体" w:cs="宋体"/>
                      <w:i w:val="0"/>
                      <w:iCs w:val="0"/>
                      <w:color w:val="000000"/>
                      <w:kern w:val="0"/>
                      <w:sz w:val="24"/>
                      <w:szCs w:val="24"/>
                      <w:u w:val="none"/>
                      <w:lang w:val="en-US" w:eastAsia="zh-CN" w:bidi="ar"/>
                    </w:rPr>
                    <w:t>中央、省委</w:t>
                  </w:r>
                  <w:r>
                    <w:rPr>
                      <w:rFonts w:hint="eastAsia" w:ascii="宋体" w:hAnsi="宋体" w:eastAsia="宋体" w:cs="宋体"/>
                      <w:i w:val="0"/>
                      <w:iCs w:val="0"/>
                      <w:color w:val="000000"/>
                      <w:kern w:val="0"/>
                      <w:sz w:val="24"/>
                      <w:szCs w:val="24"/>
                      <w:u w:val="none"/>
                      <w:lang w:val="en-US" w:eastAsia="zh-CN" w:bidi="ar"/>
                    </w:rPr>
                    <w:t>转移支付资金1至12月实际支出数÷1-12月预算数*3+专项债券资金实际支出数÷1-12月部门预算数*3+专项预算项目1至12月实际支出数÷1-12月预算数*3。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5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61CA">
                  <w:pPr>
                    <w:rPr>
                      <w:rFonts w:hint="eastAsia" w:ascii="宋体" w:hAnsi="宋体" w:eastAsia="宋体" w:cs="宋体"/>
                      <w:i w:val="0"/>
                      <w:iCs w:val="0"/>
                      <w:color w:val="000000"/>
                      <w:sz w:val="24"/>
                      <w:szCs w:val="24"/>
                      <w:u w:val="none"/>
                    </w:rPr>
                  </w:pPr>
                </w:p>
              </w:tc>
            </w:tr>
            <w:tr w14:paraId="04CCE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F603D">
                  <w:pPr>
                    <w:jc w:val="center"/>
                    <w:rPr>
                      <w:rFonts w:hint="eastAsia" w:ascii="宋体" w:hAnsi="宋体" w:eastAsia="宋体" w:cs="宋体"/>
                      <w:b/>
                      <w:bCs/>
                      <w:i w:val="0"/>
                      <w:iCs w:val="0"/>
                      <w:color w:val="000000"/>
                      <w:sz w:val="24"/>
                      <w:szCs w:val="24"/>
                      <w:u w:val="none"/>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7E889">
                  <w:pPr>
                    <w:jc w:val="center"/>
                    <w:rPr>
                      <w:rFonts w:hint="eastAsia" w:ascii="宋体" w:hAnsi="宋体" w:eastAsia="宋体" w:cs="宋体"/>
                      <w:b/>
                      <w:bCs/>
                      <w:i w:val="0"/>
                      <w:iCs w:val="0"/>
                      <w:color w:val="000000"/>
                      <w:sz w:val="24"/>
                      <w:szCs w:val="24"/>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2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预算年终结余</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A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0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部门整体年终预算结余情况</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FB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该项指标得分=（1-部门整体预算结余率）×100%×8部门整体预算结余率为当年年终部门预算注销金额和结转金额占部门预算总金额的比率。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6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8E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年终预算结余=0</w:t>
                  </w:r>
                </w:p>
              </w:tc>
            </w:tr>
            <w:tr w14:paraId="1D15A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DE33A">
                  <w:pPr>
                    <w:jc w:val="center"/>
                    <w:rPr>
                      <w:rFonts w:hint="eastAsia" w:ascii="宋体" w:hAnsi="宋体" w:eastAsia="宋体" w:cs="宋体"/>
                      <w:b/>
                      <w:bCs/>
                      <w:i w:val="0"/>
                      <w:iCs w:val="0"/>
                      <w:color w:val="000000"/>
                      <w:sz w:val="24"/>
                      <w:szCs w:val="24"/>
                      <w:u w:val="none"/>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8A19C">
                  <w:pPr>
                    <w:jc w:val="center"/>
                    <w:rPr>
                      <w:rFonts w:hint="eastAsia" w:ascii="宋体" w:hAnsi="宋体" w:eastAsia="宋体" w:cs="宋体"/>
                      <w:b/>
                      <w:bCs/>
                      <w:i w:val="0"/>
                      <w:iCs w:val="0"/>
                      <w:color w:val="000000"/>
                      <w:sz w:val="24"/>
                      <w:szCs w:val="24"/>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C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严控一般性支出</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C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6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部门严控“三公”经费、会议、培训、差旅、办节办展、办公设备购置、信息网络及软件购置更新、课题经费等8项一般性支出情况</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EF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该项指标得分=基础分值+加分值。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1.基础分值。一般性支出财政拨款年初预算较上年实现压减得1.5分；一般性支出财政拨款预算执行较上年实现压减得1.5分。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2.加分值。一般性支出财政拨款年初预算较上年每压减1%得0.2分，累计不超过1分；一般性支出财政拨款预算执行较上年每压减1%得0.4分，累计不超过2分。</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C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F2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2024年预算数和执行数=20.07万。2023年预算数和执行数=24.49万。</w:t>
                  </w:r>
                </w:p>
              </w:tc>
            </w:tr>
            <w:tr w14:paraId="31FF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CF481">
                  <w:pPr>
                    <w:jc w:val="center"/>
                    <w:rPr>
                      <w:rFonts w:hint="eastAsia" w:ascii="宋体" w:hAnsi="宋体" w:eastAsia="宋体" w:cs="宋体"/>
                      <w:b/>
                      <w:bCs/>
                      <w:i w:val="0"/>
                      <w:iCs w:val="0"/>
                      <w:color w:val="000000"/>
                      <w:sz w:val="24"/>
                      <w:szCs w:val="24"/>
                      <w:u w:val="none"/>
                    </w:rPr>
                  </w:pP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C486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资产管理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3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人均资产变化率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D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4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部门人均资产变化情况</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D5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区直行政事业单位人均资产变化率平均值N为-4.63%，Y≤N，得3分；N＜Y≤0.8N（即-3.704%），得2分；0.8N＜Y≤0.5N（即-2.32%），得1分；Y＞0.5N，得0分。</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6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DD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y=-10.33%（18096769.85/33-20182397.22/33）/（20182397.22/33）</w:t>
                  </w:r>
                </w:p>
              </w:tc>
            </w:tr>
            <w:tr w14:paraId="46B9C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CCC61">
                  <w:pPr>
                    <w:jc w:val="center"/>
                    <w:rPr>
                      <w:rFonts w:hint="eastAsia" w:ascii="宋体" w:hAnsi="宋体" w:eastAsia="宋体" w:cs="宋体"/>
                      <w:b/>
                      <w:bCs/>
                      <w:i w:val="0"/>
                      <w:iCs w:val="0"/>
                      <w:color w:val="000000"/>
                      <w:sz w:val="24"/>
                      <w:szCs w:val="24"/>
                      <w:u w:val="none"/>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5DC0B">
                  <w:pPr>
                    <w:jc w:val="center"/>
                    <w:rPr>
                      <w:rFonts w:hint="eastAsia" w:ascii="宋体" w:hAnsi="宋体" w:eastAsia="宋体" w:cs="宋体"/>
                      <w:b/>
                      <w:bCs/>
                      <w:i w:val="0"/>
                      <w:iCs w:val="0"/>
                      <w:color w:val="000000"/>
                      <w:sz w:val="24"/>
                      <w:szCs w:val="24"/>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9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资产利用率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1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5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部门资产超最低使用年限情况</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AF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该项指标得分=（超最低使用年限的办公家具账面原值÷办公家具账面原值×100%×1.5）+（超最低使用年限的办公设备账面原值÷办公设备账面原值×100%×1.5）。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37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A4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1.5+0.88*1.5</w:t>
                  </w:r>
                </w:p>
              </w:tc>
            </w:tr>
            <w:tr w14:paraId="0DD67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7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C07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总体绩效</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（65分）</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E4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资产管理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1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资产盘活率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4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6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部门闲置一年以上的资产盘活情况</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EA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D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E9A1">
                  <w:pPr>
                    <w:jc w:val="center"/>
                    <w:rPr>
                      <w:rFonts w:hint="eastAsia" w:ascii="宋体" w:hAnsi="宋体" w:eastAsia="宋体" w:cs="宋体"/>
                      <w:i w:val="0"/>
                      <w:iCs w:val="0"/>
                      <w:color w:val="000000"/>
                      <w:sz w:val="24"/>
                      <w:szCs w:val="24"/>
                      <w:u w:val="none"/>
                    </w:rPr>
                  </w:pPr>
                </w:p>
              </w:tc>
            </w:tr>
            <w:tr w14:paraId="274D8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1B774">
                  <w:pPr>
                    <w:jc w:val="center"/>
                    <w:rPr>
                      <w:rFonts w:hint="eastAsia" w:ascii="宋体" w:hAnsi="宋体" w:eastAsia="宋体" w:cs="宋体"/>
                      <w:b/>
                      <w:bCs/>
                      <w:i w:val="0"/>
                      <w:iCs w:val="0"/>
                      <w:color w:val="000000"/>
                      <w:sz w:val="24"/>
                      <w:szCs w:val="24"/>
                      <w:u w:val="none"/>
                    </w:rPr>
                  </w:pP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F4B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（6分）</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6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支持中小企业发展</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7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2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部门是否严格执行政府采购促进中小企业发展相关管理办法</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C7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对适宜由中小企业提供的采购项目和采购包，预留采购份额专门面向中小企业采购，并在采购预算中单独列示，不符合要求的扣3分。</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3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50288">
                  <w:pPr>
                    <w:jc w:val="center"/>
                    <w:rPr>
                      <w:rFonts w:hint="eastAsia" w:ascii="宋体" w:hAnsi="宋体" w:eastAsia="宋体" w:cs="宋体"/>
                      <w:i w:val="0"/>
                      <w:iCs w:val="0"/>
                      <w:color w:val="000000"/>
                      <w:sz w:val="24"/>
                      <w:szCs w:val="24"/>
                      <w:u w:val="none"/>
                    </w:rPr>
                  </w:pPr>
                </w:p>
              </w:tc>
            </w:tr>
            <w:tr w14:paraId="27961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C92D4">
                  <w:pPr>
                    <w:jc w:val="center"/>
                    <w:rPr>
                      <w:rFonts w:hint="eastAsia" w:ascii="宋体" w:hAnsi="宋体" w:eastAsia="宋体" w:cs="宋体"/>
                      <w:b/>
                      <w:bCs/>
                      <w:i w:val="0"/>
                      <w:iCs w:val="0"/>
                      <w:color w:val="000000"/>
                      <w:sz w:val="24"/>
                      <w:szCs w:val="24"/>
                      <w:u w:val="none"/>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80E9C">
                  <w:pPr>
                    <w:jc w:val="center"/>
                    <w:rPr>
                      <w:rFonts w:hint="eastAsia" w:ascii="宋体" w:hAnsi="宋体" w:eastAsia="宋体" w:cs="宋体"/>
                      <w:b/>
                      <w:bCs/>
                      <w:i w:val="0"/>
                      <w:iCs w:val="0"/>
                      <w:color w:val="000000"/>
                      <w:sz w:val="24"/>
                      <w:szCs w:val="24"/>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8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采购执行率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D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E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部门政府采购项目资金支付比例情况</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1D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该项指标得分=当年政府采购实际支付总金额÷（当年政府采购总预算数-当年已完成采购项目节约金额）×100%×3。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9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82162">
                  <w:pPr>
                    <w:jc w:val="center"/>
                    <w:rPr>
                      <w:rFonts w:hint="eastAsia" w:ascii="宋体" w:hAnsi="宋体" w:eastAsia="宋体" w:cs="宋体"/>
                      <w:i w:val="0"/>
                      <w:iCs w:val="0"/>
                      <w:color w:val="000000"/>
                      <w:sz w:val="24"/>
                      <w:szCs w:val="24"/>
                      <w:u w:val="none"/>
                    </w:rPr>
                  </w:pPr>
                </w:p>
              </w:tc>
            </w:tr>
            <w:tr w14:paraId="11FB7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7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8B5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项目绩效</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（35分）</w:t>
                  </w:r>
                </w:p>
              </w:tc>
              <w:tc>
                <w:tcPr>
                  <w:tcW w:w="949" w:type="dxa"/>
                  <w:vMerge w:val="restart"/>
                  <w:tcBorders>
                    <w:top w:val="single" w:color="000000" w:sz="4" w:space="0"/>
                    <w:left w:val="single" w:color="000000" w:sz="4" w:space="0"/>
                    <w:bottom w:val="nil"/>
                    <w:right w:val="single" w:color="000000" w:sz="4" w:space="0"/>
                  </w:tcBorders>
                  <w:shd w:val="clear" w:color="auto" w:fill="auto"/>
                  <w:vAlign w:val="center"/>
                </w:tcPr>
                <w:p w14:paraId="2E533D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项目决策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（12分）</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8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决策程序</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2A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4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部门预算项目设立是否按规定履行评估论证、申报程序</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31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7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999D">
                  <w:pPr>
                    <w:jc w:val="center"/>
                    <w:rPr>
                      <w:rFonts w:hint="eastAsia" w:ascii="宋体" w:hAnsi="宋体" w:eastAsia="宋体" w:cs="宋体"/>
                      <w:i w:val="0"/>
                      <w:iCs w:val="0"/>
                      <w:color w:val="000000"/>
                      <w:sz w:val="24"/>
                      <w:szCs w:val="24"/>
                      <w:u w:val="none"/>
                    </w:rPr>
                  </w:pPr>
                </w:p>
              </w:tc>
            </w:tr>
            <w:tr w14:paraId="5E27A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7879E">
                  <w:pPr>
                    <w:jc w:val="center"/>
                    <w:rPr>
                      <w:rFonts w:hint="eastAsia" w:ascii="宋体" w:hAnsi="宋体" w:eastAsia="宋体" w:cs="宋体"/>
                      <w:b/>
                      <w:bCs/>
                      <w:i w:val="0"/>
                      <w:iCs w:val="0"/>
                      <w:color w:val="000000"/>
                      <w:sz w:val="24"/>
                      <w:szCs w:val="24"/>
                      <w:u w:val="none"/>
                    </w:rPr>
                  </w:pPr>
                </w:p>
              </w:tc>
              <w:tc>
                <w:tcPr>
                  <w:tcW w:w="949" w:type="dxa"/>
                  <w:vMerge w:val="continue"/>
                  <w:tcBorders>
                    <w:top w:val="single" w:color="000000" w:sz="4" w:space="0"/>
                    <w:left w:val="single" w:color="000000" w:sz="4" w:space="0"/>
                    <w:bottom w:val="nil"/>
                    <w:right w:val="single" w:color="000000" w:sz="4" w:space="0"/>
                  </w:tcBorders>
                  <w:shd w:val="clear" w:color="auto" w:fill="auto"/>
                  <w:vAlign w:val="center"/>
                </w:tcPr>
                <w:p w14:paraId="0C0C9C67">
                  <w:pPr>
                    <w:jc w:val="center"/>
                    <w:rPr>
                      <w:rFonts w:hint="eastAsia" w:ascii="宋体" w:hAnsi="宋体" w:eastAsia="宋体" w:cs="宋体"/>
                      <w:b/>
                      <w:bCs/>
                      <w:i w:val="0"/>
                      <w:iCs w:val="0"/>
                      <w:color w:val="000000"/>
                      <w:sz w:val="24"/>
                      <w:szCs w:val="24"/>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2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目标设置</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E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4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部门预算项目绩效目标与计划期内的任务量、预算安排的资金量匹配情况，绩效目标设置是否科学合理、规范完整、量化细化、预算匹配</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20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1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9135">
                  <w:pPr>
                    <w:jc w:val="center"/>
                    <w:rPr>
                      <w:rFonts w:hint="eastAsia" w:ascii="宋体" w:hAnsi="宋体" w:eastAsia="宋体" w:cs="宋体"/>
                      <w:i w:val="0"/>
                      <w:iCs w:val="0"/>
                      <w:color w:val="000000"/>
                      <w:sz w:val="24"/>
                      <w:szCs w:val="24"/>
                      <w:u w:val="none"/>
                    </w:rPr>
                  </w:pPr>
                </w:p>
              </w:tc>
            </w:tr>
            <w:tr w14:paraId="06BBA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0EF21">
                  <w:pPr>
                    <w:jc w:val="center"/>
                    <w:rPr>
                      <w:rFonts w:hint="eastAsia" w:ascii="宋体" w:hAnsi="宋体" w:eastAsia="宋体" w:cs="宋体"/>
                      <w:b/>
                      <w:bCs/>
                      <w:i w:val="0"/>
                      <w:iCs w:val="0"/>
                      <w:color w:val="000000"/>
                      <w:sz w:val="24"/>
                      <w:szCs w:val="24"/>
                      <w:u w:val="none"/>
                    </w:rPr>
                  </w:pPr>
                </w:p>
              </w:tc>
              <w:tc>
                <w:tcPr>
                  <w:tcW w:w="949" w:type="dxa"/>
                  <w:vMerge w:val="continue"/>
                  <w:tcBorders>
                    <w:top w:val="single" w:color="000000" w:sz="4" w:space="0"/>
                    <w:left w:val="single" w:color="000000" w:sz="4" w:space="0"/>
                    <w:bottom w:val="nil"/>
                    <w:right w:val="single" w:color="000000" w:sz="4" w:space="0"/>
                  </w:tcBorders>
                  <w:shd w:val="clear" w:color="auto" w:fill="auto"/>
                  <w:vAlign w:val="center"/>
                </w:tcPr>
                <w:p w14:paraId="38B6B770">
                  <w:pPr>
                    <w:jc w:val="center"/>
                    <w:rPr>
                      <w:rFonts w:hint="eastAsia" w:ascii="宋体" w:hAnsi="宋体" w:eastAsia="宋体" w:cs="宋体"/>
                      <w:b/>
                      <w:bCs/>
                      <w:i w:val="0"/>
                      <w:iCs w:val="0"/>
                      <w:color w:val="000000"/>
                      <w:sz w:val="24"/>
                      <w:szCs w:val="24"/>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7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项目入库</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2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2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部门预算项目是否在规定时间完成项目入库</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D3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该项指标得分=4-规定时间未入财政库部门预算阶段项目（含一次性项目）数量÷最终安排部门预算阶段项目（含一次性项目）总数×100%×4。（默认满分）</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0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422C">
                  <w:pPr>
                    <w:jc w:val="center"/>
                    <w:rPr>
                      <w:rFonts w:hint="eastAsia" w:ascii="宋体" w:hAnsi="宋体" w:eastAsia="宋体" w:cs="宋体"/>
                      <w:i w:val="0"/>
                      <w:iCs w:val="0"/>
                      <w:color w:val="000000"/>
                      <w:sz w:val="24"/>
                      <w:szCs w:val="24"/>
                      <w:u w:val="none"/>
                    </w:rPr>
                  </w:pPr>
                </w:p>
              </w:tc>
            </w:tr>
            <w:tr w14:paraId="66F9D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4A78E">
                  <w:pPr>
                    <w:jc w:val="center"/>
                    <w:rPr>
                      <w:rFonts w:hint="eastAsia" w:ascii="宋体" w:hAnsi="宋体" w:eastAsia="宋体" w:cs="宋体"/>
                      <w:b/>
                      <w:bCs/>
                      <w:i w:val="0"/>
                      <w:iCs w:val="0"/>
                      <w:color w:val="000000"/>
                      <w:sz w:val="24"/>
                      <w:szCs w:val="24"/>
                      <w:u w:val="none"/>
                    </w:rPr>
                  </w:pPr>
                </w:p>
              </w:tc>
              <w:tc>
                <w:tcPr>
                  <w:tcW w:w="949" w:type="dxa"/>
                  <w:vMerge w:val="restart"/>
                  <w:tcBorders>
                    <w:top w:val="single" w:color="000000" w:sz="4" w:space="0"/>
                    <w:left w:val="single" w:color="000000" w:sz="4" w:space="0"/>
                    <w:bottom w:val="nil"/>
                    <w:right w:val="single" w:color="000000" w:sz="4" w:space="0"/>
                  </w:tcBorders>
                  <w:shd w:val="clear" w:color="auto" w:fill="auto"/>
                  <w:vAlign w:val="center"/>
                </w:tcPr>
                <w:p w14:paraId="0B1452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项目执行</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（12分）</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F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执行同向</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4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8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部门预算项目实际列支内容是否与绩效目标设置方向相符</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E4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该项指标得分=4-实际列支内容与绩效目标设置方向不相符的部门预算阶段项目（含一次性项目）数量÷部门预算阶段项目（含一次性项目）总数×100%×5。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B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CA25">
                  <w:pPr>
                    <w:jc w:val="center"/>
                    <w:rPr>
                      <w:rFonts w:hint="eastAsia" w:ascii="宋体" w:hAnsi="宋体" w:eastAsia="宋体" w:cs="宋体"/>
                      <w:i w:val="0"/>
                      <w:iCs w:val="0"/>
                      <w:color w:val="000000"/>
                      <w:sz w:val="24"/>
                      <w:szCs w:val="24"/>
                      <w:u w:val="none"/>
                    </w:rPr>
                  </w:pPr>
                </w:p>
              </w:tc>
            </w:tr>
            <w:tr w14:paraId="275AA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D3BAF">
                  <w:pPr>
                    <w:jc w:val="center"/>
                    <w:rPr>
                      <w:rFonts w:hint="eastAsia" w:ascii="宋体" w:hAnsi="宋体" w:eastAsia="宋体" w:cs="宋体"/>
                      <w:b/>
                      <w:bCs/>
                      <w:i w:val="0"/>
                      <w:iCs w:val="0"/>
                      <w:color w:val="000000"/>
                      <w:sz w:val="24"/>
                      <w:szCs w:val="24"/>
                      <w:u w:val="none"/>
                    </w:rPr>
                  </w:pPr>
                </w:p>
              </w:tc>
              <w:tc>
                <w:tcPr>
                  <w:tcW w:w="949" w:type="dxa"/>
                  <w:vMerge w:val="continue"/>
                  <w:tcBorders>
                    <w:top w:val="single" w:color="000000" w:sz="4" w:space="0"/>
                    <w:left w:val="single" w:color="000000" w:sz="4" w:space="0"/>
                    <w:bottom w:val="nil"/>
                    <w:right w:val="single" w:color="000000" w:sz="4" w:space="0"/>
                  </w:tcBorders>
                  <w:shd w:val="clear" w:color="auto" w:fill="auto"/>
                  <w:vAlign w:val="center"/>
                </w:tcPr>
                <w:p w14:paraId="552EA220">
                  <w:pPr>
                    <w:jc w:val="center"/>
                    <w:rPr>
                      <w:rFonts w:hint="eastAsia" w:ascii="宋体" w:hAnsi="宋体" w:eastAsia="宋体" w:cs="宋体"/>
                      <w:b/>
                      <w:bCs/>
                      <w:i w:val="0"/>
                      <w:iCs w:val="0"/>
                      <w:color w:val="000000"/>
                      <w:sz w:val="24"/>
                      <w:szCs w:val="24"/>
                      <w:u w:val="none"/>
                    </w:rPr>
                  </w:pPr>
                </w:p>
              </w:tc>
              <w:tc>
                <w:tcPr>
                  <w:tcW w:w="1311" w:type="dxa"/>
                  <w:tcBorders>
                    <w:top w:val="single" w:color="000000" w:sz="4" w:space="0"/>
                    <w:left w:val="single" w:color="000000" w:sz="4" w:space="0"/>
                    <w:bottom w:val="nil"/>
                    <w:right w:val="single" w:color="000000" w:sz="4" w:space="0"/>
                  </w:tcBorders>
                  <w:shd w:val="clear" w:color="auto" w:fill="auto"/>
                  <w:vAlign w:val="center"/>
                </w:tcPr>
                <w:p w14:paraId="2FCA5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项目调整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F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2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部门预算项目是否采取对应调整措施</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38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C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E5F9">
                  <w:pPr>
                    <w:jc w:val="center"/>
                    <w:rPr>
                      <w:rFonts w:hint="eastAsia" w:ascii="宋体" w:hAnsi="宋体" w:eastAsia="宋体" w:cs="宋体"/>
                      <w:i w:val="0"/>
                      <w:iCs w:val="0"/>
                      <w:color w:val="000000"/>
                      <w:sz w:val="24"/>
                      <w:szCs w:val="24"/>
                      <w:u w:val="none"/>
                    </w:rPr>
                  </w:pPr>
                </w:p>
              </w:tc>
            </w:tr>
            <w:tr w14:paraId="41A64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0E2A1">
                  <w:pPr>
                    <w:jc w:val="center"/>
                    <w:rPr>
                      <w:rFonts w:hint="eastAsia" w:ascii="宋体" w:hAnsi="宋体" w:eastAsia="宋体" w:cs="宋体"/>
                      <w:b/>
                      <w:bCs/>
                      <w:i w:val="0"/>
                      <w:iCs w:val="0"/>
                      <w:color w:val="000000"/>
                      <w:sz w:val="24"/>
                      <w:szCs w:val="24"/>
                      <w:u w:val="none"/>
                    </w:rPr>
                  </w:pPr>
                </w:p>
              </w:tc>
              <w:tc>
                <w:tcPr>
                  <w:tcW w:w="949" w:type="dxa"/>
                  <w:vMerge w:val="continue"/>
                  <w:tcBorders>
                    <w:top w:val="single" w:color="000000" w:sz="4" w:space="0"/>
                    <w:left w:val="single" w:color="000000" w:sz="4" w:space="0"/>
                    <w:bottom w:val="nil"/>
                    <w:right w:val="single" w:color="000000" w:sz="4" w:space="0"/>
                  </w:tcBorders>
                  <w:shd w:val="clear" w:color="auto" w:fill="auto"/>
                  <w:vAlign w:val="center"/>
                </w:tcPr>
                <w:p w14:paraId="4BD0B07C">
                  <w:pPr>
                    <w:jc w:val="center"/>
                    <w:rPr>
                      <w:rFonts w:hint="eastAsia" w:ascii="宋体" w:hAnsi="宋体" w:eastAsia="宋体" w:cs="宋体"/>
                      <w:b/>
                      <w:bCs/>
                      <w:i w:val="0"/>
                      <w:iCs w:val="0"/>
                      <w:color w:val="000000"/>
                      <w:sz w:val="24"/>
                      <w:szCs w:val="24"/>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5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执行结果</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4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9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部门预算项目预算执行情况</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40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8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647C">
                  <w:pPr>
                    <w:jc w:val="center"/>
                    <w:rPr>
                      <w:rFonts w:hint="eastAsia" w:ascii="宋体" w:hAnsi="宋体" w:eastAsia="宋体" w:cs="宋体"/>
                      <w:i w:val="0"/>
                      <w:iCs w:val="0"/>
                      <w:color w:val="000000"/>
                      <w:sz w:val="24"/>
                      <w:szCs w:val="24"/>
                      <w:u w:val="none"/>
                    </w:rPr>
                  </w:pPr>
                </w:p>
              </w:tc>
            </w:tr>
            <w:tr w14:paraId="39BB5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3C43C">
                  <w:pPr>
                    <w:jc w:val="center"/>
                    <w:rPr>
                      <w:rFonts w:hint="eastAsia" w:ascii="宋体" w:hAnsi="宋体" w:eastAsia="宋体" w:cs="宋体"/>
                      <w:b/>
                      <w:bCs/>
                      <w:i w:val="0"/>
                      <w:iCs w:val="0"/>
                      <w:color w:val="000000"/>
                      <w:sz w:val="24"/>
                      <w:szCs w:val="24"/>
                      <w:u w:val="none"/>
                    </w:rPr>
                  </w:pP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32C4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目标实现</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（11分）</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D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目标完成</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E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4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部门预算项目绩效目标数量指标完成情况</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BD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该项指标得分=完成绩效目标数量指标的部门预算阶段项目（含一次性项目）数量÷部门预算阶段项目（含一次性项目）总数×100%×6。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5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C2FE">
                  <w:pPr>
                    <w:jc w:val="center"/>
                    <w:rPr>
                      <w:rFonts w:hint="eastAsia" w:ascii="宋体" w:hAnsi="宋体" w:eastAsia="宋体" w:cs="宋体"/>
                      <w:i w:val="0"/>
                      <w:iCs w:val="0"/>
                      <w:color w:val="000000"/>
                      <w:sz w:val="24"/>
                      <w:szCs w:val="24"/>
                      <w:u w:val="none"/>
                    </w:rPr>
                  </w:pPr>
                </w:p>
              </w:tc>
            </w:tr>
            <w:tr w14:paraId="57FF0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91316">
                  <w:pPr>
                    <w:jc w:val="center"/>
                    <w:rPr>
                      <w:rFonts w:hint="eastAsia" w:ascii="宋体" w:hAnsi="宋体" w:eastAsia="宋体" w:cs="宋体"/>
                      <w:b/>
                      <w:bCs/>
                      <w:i w:val="0"/>
                      <w:iCs w:val="0"/>
                      <w:color w:val="000000"/>
                      <w:sz w:val="24"/>
                      <w:szCs w:val="24"/>
                      <w:u w:val="none"/>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EDC2C">
                  <w:pPr>
                    <w:jc w:val="center"/>
                    <w:rPr>
                      <w:rFonts w:hint="eastAsia" w:ascii="宋体" w:hAnsi="宋体" w:eastAsia="宋体" w:cs="宋体"/>
                      <w:b/>
                      <w:bCs/>
                      <w:i w:val="0"/>
                      <w:iCs w:val="0"/>
                      <w:color w:val="000000"/>
                      <w:sz w:val="24"/>
                      <w:szCs w:val="24"/>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B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目标偏离</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1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9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部门预算项目绩效目标数量指标实现程度与预期目标的偏离情况</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40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F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F264">
                  <w:pPr>
                    <w:jc w:val="center"/>
                    <w:rPr>
                      <w:rFonts w:hint="eastAsia" w:ascii="宋体" w:hAnsi="宋体" w:eastAsia="宋体" w:cs="宋体"/>
                      <w:i w:val="0"/>
                      <w:iCs w:val="0"/>
                      <w:color w:val="000000"/>
                      <w:sz w:val="24"/>
                      <w:szCs w:val="24"/>
                      <w:u w:val="none"/>
                    </w:rPr>
                  </w:pPr>
                </w:p>
              </w:tc>
            </w:tr>
            <w:tr w14:paraId="6B1EE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08560">
                  <w:pPr>
                    <w:jc w:val="center"/>
                    <w:rPr>
                      <w:rFonts w:hint="eastAsia" w:ascii="宋体" w:hAnsi="宋体" w:eastAsia="宋体" w:cs="宋体"/>
                      <w:b/>
                      <w:bCs/>
                      <w:i w:val="0"/>
                      <w:iCs w:val="0"/>
                      <w:color w:val="000000"/>
                      <w:sz w:val="24"/>
                      <w:szCs w:val="24"/>
                      <w:u w:val="none"/>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729FB">
                  <w:pPr>
                    <w:jc w:val="center"/>
                    <w:rPr>
                      <w:rFonts w:hint="eastAsia" w:ascii="宋体" w:hAnsi="宋体" w:eastAsia="宋体" w:cs="宋体"/>
                      <w:b/>
                      <w:bCs/>
                      <w:i w:val="0"/>
                      <w:iCs w:val="0"/>
                      <w:color w:val="000000"/>
                      <w:sz w:val="24"/>
                      <w:szCs w:val="24"/>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4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实现效果</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7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C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部门预算项目绩效目标效益指标实施效果</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96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该项指标得分=完成绩效目标效益指标的部门预算阶段项目（含一次性项目）数量÷部门预算阶段项目（含一次性项目）总数×100%×5。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6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5B98">
                  <w:pPr>
                    <w:jc w:val="center"/>
                    <w:rPr>
                      <w:rFonts w:hint="eastAsia" w:ascii="宋体" w:hAnsi="宋体" w:eastAsia="宋体" w:cs="宋体"/>
                      <w:i w:val="0"/>
                      <w:iCs w:val="0"/>
                      <w:color w:val="000000"/>
                      <w:sz w:val="24"/>
                      <w:szCs w:val="24"/>
                      <w:u w:val="none"/>
                    </w:rPr>
                  </w:pPr>
                </w:p>
              </w:tc>
            </w:tr>
            <w:tr w14:paraId="58424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7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11A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扣分项</w:t>
                  </w: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F29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财务管理</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F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财务管理制度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3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A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部门财务管理制度建立情况</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20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部门未制定内部财务管理制度等制度机制的,财务管理制度未得到落实，发现一处扣1分，扣完为止。</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B122">
                  <w:pPr>
                    <w:jc w:val="center"/>
                    <w:rPr>
                      <w:rFonts w:hint="eastAsia" w:ascii="宋体" w:hAnsi="宋体" w:eastAsia="宋体" w:cs="宋体"/>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6B22">
                  <w:pPr>
                    <w:jc w:val="center"/>
                    <w:rPr>
                      <w:rFonts w:hint="eastAsia" w:ascii="宋体" w:hAnsi="宋体" w:eastAsia="宋体" w:cs="宋体"/>
                      <w:i w:val="0"/>
                      <w:iCs w:val="0"/>
                      <w:color w:val="000000"/>
                      <w:sz w:val="24"/>
                      <w:szCs w:val="24"/>
                      <w:u w:val="none"/>
                    </w:rPr>
                  </w:pPr>
                </w:p>
              </w:tc>
            </w:tr>
            <w:tr w14:paraId="3191E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4795A">
                  <w:pPr>
                    <w:jc w:val="center"/>
                    <w:rPr>
                      <w:rFonts w:hint="eastAsia" w:ascii="宋体" w:hAnsi="宋体" w:eastAsia="宋体" w:cs="宋体"/>
                      <w:b/>
                      <w:bCs/>
                      <w:i w:val="0"/>
                      <w:iCs w:val="0"/>
                      <w:color w:val="000000"/>
                      <w:sz w:val="24"/>
                      <w:szCs w:val="24"/>
                      <w:u w:val="none"/>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052C9">
                  <w:pPr>
                    <w:jc w:val="center"/>
                    <w:rPr>
                      <w:rFonts w:hint="eastAsia" w:ascii="宋体" w:hAnsi="宋体" w:eastAsia="宋体" w:cs="宋体"/>
                      <w:b/>
                      <w:bCs/>
                      <w:i w:val="0"/>
                      <w:iCs w:val="0"/>
                      <w:color w:val="000000"/>
                      <w:sz w:val="24"/>
                      <w:szCs w:val="24"/>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8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财务岗位设置</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E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9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部门财务岗位设置是否符合相关财务管理制度要求</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EE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部门未合理设置财务工作岗位，职责权限不明确，未严格实行不相容岗位分离，发现一处扣1分，扣完为止。</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E150">
                  <w:pPr>
                    <w:jc w:val="center"/>
                    <w:rPr>
                      <w:rFonts w:hint="eastAsia" w:ascii="宋体" w:hAnsi="宋体" w:eastAsia="宋体" w:cs="宋体"/>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237B">
                  <w:pPr>
                    <w:jc w:val="center"/>
                    <w:rPr>
                      <w:rFonts w:hint="eastAsia" w:ascii="宋体" w:hAnsi="宋体" w:eastAsia="宋体" w:cs="宋体"/>
                      <w:i w:val="0"/>
                      <w:iCs w:val="0"/>
                      <w:color w:val="000000"/>
                      <w:sz w:val="24"/>
                      <w:szCs w:val="24"/>
                      <w:u w:val="none"/>
                    </w:rPr>
                  </w:pPr>
                </w:p>
              </w:tc>
            </w:tr>
            <w:tr w14:paraId="7E65F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EE0EA">
                  <w:pPr>
                    <w:jc w:val="center"/>
                    <w:rPr>
                      <w:rFonts w:hint="eastAsia" w:ascii="宋体" w:hAnsi="宋体" w:eastAsia="宋体" w:cs="宋体"/>
                      <w:b/>
                      <w:bCs/>
                      <w:i w:val="0"/>
                      <w:iCs w:val="0"/>
                      <w:color w:val="000000"/>
                      <w:sz w:val="24"/>
                      <w:szCs w:val="24"/>
                      <w:u w:val="none"/>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DC5F1">
                  <w:pPr>
                    <w:jc w:val="center"/>
                    <w:rPr>
                      <w:rFonts w:hint="eastAsia" w:ascii="宋体" w:hAnsi="宋体" w:eastAsia="宋体" w:cs="宋体"/>
                      <w:b/>
                      <w:bCs/>
                      <w:i w:val="0"/>
                      <w:iCs w:val="0"/>
                      <w:color w:val="000000"/>
                      <w:sz w:val="24"/>
                      <w:szCs w:val="24"/>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5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资金使用规范</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00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6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部门资金使用是否符合相关财务管理制度规定</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FE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部门资金使用不符合相关财务管理制度规定的，发现一处扣1分，扣完为止。</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4E1D">
                  <w:pPr>
                    <w:jc w:val="center"/>
                    <w:rPr>
                      <w:rFonts w:hint="eastAsia" w:ascii="宋体" w:hAnsi="宋体" w:eastAsia="宋体" w:cs="宋体"/>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914E">
                  <w:pPr>
                    <w:jc w:val="center"/>
                    <w:rPr>
                      <w:rFonts w:hint="eastAsia" w:ascii="宋体" w:hAnsi="宋体" w:eastAsia="宋体" w:cs="宋体"/>
                      <w:i w:val="0"/>
                      <w:iCs w:val="0"/>
                      <w:color w:val="000000"/>
                      <w:sz w:val="24"/>
                      <w:szCs w:val="24"/>
                      <w:u w:val="none"/>
                    </w:rPr>
                  </w:pPr>
                </w:p>
              </w:tc>
            </w:tr>
            <w:tr w14:paraId="6919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911B7">
                  <w:pPr>
                    <w:jc w:val="center"/>
                    <w:rPr>
                      <w:rFonts w:hint="eastAsia" w:ascii="宋体" w:hAnsi="宋体" w:eastAsia="宋体" w:cs="宋体"/>
                      <w:b/>
                      <w:bCs/>
                      <w:i w:val="0"/>
                      <w:iCs w:val="0"/>
                      <w:color w:val="000000"/>
                      <w:sz w:val="24"/>
                      <w:szCs w:val="24"/>
                      <w:u w:val="none"/>
                    </w:rPr>
                  </w:pP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64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预算绩效存在问题</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F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A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预算管理和绩效管理工作存在问题</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28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378C">
                  <w:pPr>
                    <w:jc w:val="center"/>
                    <w:rPr>
                      <w:rFonts w:hint="eastAsia" w:ascii="宋体" w:hAnsi="宋体" w:eastAsia="宋体" w:cs="宋体"/>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4885">
                  <w:pPr>
                    <w:jc w:val="center"/>
                    <w:rPr>
                      <w:rFonts w:hint="eastAsia" w:ascii="宋体" w:hAnsi="宋体" w:eastAsia="宋体" w:cs="宋体"/>
                      <w:i w:val="0"/>
                      <w:iCs w:val="0"/>
                      <w:color w:val="000000"/>
                      <w:sz w:val="24"/>
                      <w:szCs w:val="24"/>
                      <w:u w:val="none"/>
                    </w:rPr>
                  </w:pPr>
                </w:p>
              </w:tc>
            </w:tr>
            <w:tr w14:paraId="1C8F9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56387">
                  <w:pPr>
                    <w:jc w:val="center"/>
                    <w:rPr>
                      <w:rFonts w:hint="eastAsia" w:ascii="宋体" w:hAnsi="宋体" w:eastAsia="宋体" w:cs="宋体"/>
                      <w:b/>
                      <w:bCs/>
                      <w:i w:val="0"/>
                      <w:iCs w:val="0"/>
                      <w:color w:val="000000"/>
                      <w:sz w:val="24"/>
                      <w:szCs w:val="24"/>
                      <w:u w:val="none"/>
                    </w:rPr>
                  </w:pP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05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被评价部门配合度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3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8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被评价对象工作配合情况</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FE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评价工作开展过程中，被评价对象拖延推诿、提交资料不及时等拒不配合评价工作的，每发现一次扣1分，扣完为止。</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4F2A">
                  <w:pPr>
                    <w:jc w:val="center"/>
                    <w:rPr>
                      <w:rFonts w:hint="eastAsia" w:ascii="宋体" w:hAnsi="宋体" w:eastAsia="宋体" w:cs="宋体"/>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A346">
                  <w:pPr>
                    <w:jc w:val="center"/>
                    <w:rPr>
                      <w:rFonts w:hint="eastAsia" w:ascii="宋体" w:hAnsi="宋体" w:eastAsia="宋体" w:cs="宋体"/>
                      <w:i w:val="0"/>
                      <w:iCs w:val="0"/>
                      <w:color w:val="000000"/>
                      <w:sz w:val="24"/>
                      <w:szCs w:val="24"/>
                      <w:u w:val="none"/>
                    </w:rPr>
                  </w:pPr>
                </w:p>
              </w:tc>
            </w:tr>
            <w:tr w14:paraId="0CA17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E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5450">
                  <w:pPr>
                    <w:jc w:val="center"/>
                    <w:rPr>
                      <w:rFonts w:hint="eastAsia" w:ascii="宋体" w:hAnsi="宋体" w:eastAsia="宋体" w:cs="宋体"/>
                      <w:i w:val="0"/>
                      <w:iCs w:val="0"/>
                      <w:color w:val="000000"/>
                      <w:sz w:val="22"/>
                      <w:szCs w:val="22"/>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2EE5">
                  <w:pPr>
                    <w:jc w:val="center"/>
                    <w:rPr>
                      <w:rFonts w:hint="eastAsia" w:ascii="宋体" w:hAnsi="宋体" w:eastAsia="宋体" w:cs="宋体"/>
                      <w:i w:val="0"/>
                      <w:iCs w:val="0"/>
                      <w:color w:val="000000"/>
                      <w:sz w:val="22"/>
                      <w:szCs w:val="22"/>
                      <w:u w:val="none"/>
                    </w:rPr>
                  </w:pPr>
                </w:p>
              </w:tc>
              <w:tc>
                <w:tcPr>
                  <w:tcW w:w="5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BBC9">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F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97.22</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D672">
                  <w:pPr>
                    <w:jc w:val="center"/>
                    <w:rPr>
                      <w:rFonts w:hint="eastAsia" w:ascii="宋体" w:hAnsi="宋体" w:eastAsia="宋体" w:cs="宋体"/>
                      <w:i w:val="0"/>
                      <w:iCs w:val="0"/>
                      <w:color w:val="000000"/>
                      <w:sz w:val="22"/>
                      <w:szCs w:val="22"/>
                      <w:u w:val="none"/>
                    </w:rPr>
                  </w:pPr>
                </w:p>
              </w:tc>
            </w:tr>
          </w:tbl>
          <w:p w14:paraId="429055D7">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466BE03E">
            <w:pPr>
              <w:pStyle w:val="2"/>
              <w:rPr>
                <w:rFonts w:hint="eastAsia" w:ascii="宋体" w:hAnsi="宋体" w:eastAsia="宋体" w:cs="宋体"/>
                <w:b/>
                <w:bCs/>
                <w:i w:val="0"/>
                <w:iCs w:val="0"/>
                <w:color w:val="000000"/>
                <w:kern w:val="0"/>
                <w:sz w:val="40"/>
                <w:szCs w:val="40"/>
                <w:u w:val="none"/>
                <w:lang w:val="en-US" w:eastAsia="zh-CN" w:bidi="ar"/>
              </w:rPr>
            </w:pPr>
          </w:p>
          <w:p w14:paraId="2C62BE45">
            <w:pPr>
              <w:pStyle w:val="3"/>
              <w:rPr>
                <w:rFonts w:hint="eastAsia" w:ascii="宋体" w:hAnsi="宋体" w:eastAsia="宋体" w:cs="宋体"/>
                <w:b/>
                <w:bCs/>
                <w:i w:val="0"/>
                <w:iCs w:val="0"/>
                <w:color w:val="000000"/>
                <w:kern w:val="0"/>
                <w:sz w:val="40"/>
                <w:szCs w:val="40"/>
                <w:u w:val="none"/>
                <w:lang w:val="en-US" w:eastAsia="zh-CN" w:bidi="ar"/>
              </w:rPr>
            </w:pPr>
          </w:p>
          <w:p w14:paraId="5D0ECC62">
            <w:pPr>
              <w:pStyle w:val="3"/>
              <w:rPr>
                <w:rFonts w:hint="eastAsia" w:ascii="宋体" w:hAnsi="宋体" w:eastAsia="宋体" w:cs="宋体"/>
                <w:b/>
                <w:bCs/>
                <w:i w:val="0"/>
                <w:iCs w:val="0"/>
                <w:color w:val="000000"/>
                <w:kern w:val="0"/>
                <w:sz w:val="40"/>
                <w:szCs w:val="40"/>
                <w:u w:val="none"/>
                <w:lang w:val="en-US" w:eastAsia="zh-CN" w:bidi="ar"/>
              </w:rPr>
            </w:pPr>
          </w:p>
          <w:p w14:paraId="76B7C5A6">
            <w:pPr>
              <w:pStyle w:val="3"/>
              <w:rPr>
                <w:rFonts w:hint="eastAsia" w:ascii="宋体" w:hAnsi="宋体" w:eastAsia="宋体" w:cs="宋体"/>
                <w:b/>
                <w:bCs/>
                <w:i w:val="0"/>
                <w:iCs w:val="0"/>
                <w:color w:val="000000"/>
                <w:kern w:val="0"/>
                <w:sz w:val="40"/>
                <w:szCs w:val="40"/>
                <w:u w:val="none"/>
                <w:lang w:val="en-US" w:eastAsia="zh-CN" w:bidi="ar"/>
              </w:rPr>
            </w:pPr>
          </w:p>
          <w:p w14:paraId="3CAE335F">
            <w:pPr>
              <w:pStyle w:val="3"/>
              <w:rPr>
                <w:rFonts w:hint="eastAsia" w:ascii="宋体" w:hAnsi="宋体" w:eastAsia="宋体" w:cs="宋体"/>
                <w:b/>
                <w:bCs/>
                <w:i w:val="0"/>
                <w:iCs w:val="0"/>
                <w:color w:val="000000"/>
                <w:kern w:val="0"/>
                <w:sz w:val="40"/>
                <w:szCs w:val="40"/>
                <w:u w:val="none"/>
                <w:lang w:val="en-US" w:eastAsia="zh-CN" w:bidi="ar"/>
              </w:rPr>
            </w:pPr>
          </w:p>
          <w:p w14:paraId="6381C0D9">
            <w:pPr>
              <w:pStyle w:val="3"/>
              <w:rPr>
                <w:rFonts w:hint="eastAsia" w:ascii="宋体" w:hAnsi="宋体" w:eastAsia="宋体" w:cs="宋体"/>
                <w:b/>
                <w:bCs/>
                <w:i w:val="0"/>
                <w:iCs w:val="0"/>
                <w:color w:val="000000"/>
                <w:kern w:val="0"/>
                <w:sz w:val="40"/>
                <w:szCs w:val="40"/>
                <w:u w:val="none"/>
                <w:lang w:val="en-US" w:eastAsia="zh-CN" w:bidi="ar"/>
              </w:rPr>
            </w:pPr>
          </w:p>
          <w:p w14:paraId="07743EC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部门预算项目支出绩效自评表</w:t>
            </w:r>
          </w:p>
        </w:tc>
      </w:tr>
      <w:tr w14:paraId="25B4C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528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6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8AA7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51090424T000011120202-免疫规划</w:t>
            </w:r>
          </w:p>
        </w:tc>
      </w:tr>
      <w:tr w14:paraId="7C7EE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AB7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1249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遂宁市安居区卫生健康局</w:t>
            </w:r>
          </w:p>
        </w:tc>
        <w:tc>
          <w:tcPr>
            <w:tcW w:w="1107" w:type="dxa"/>
            <w:tcBorders>
              <w:top w:val="nil"/>
              <w:left w:val="nil"/>
              <w:bottom w:val="nil"/>
              <w:right w:val="nil"/>
            </w:tcBorders>
            <w:shd w:val="clear" w:color="auto" w:fill="auto"/>
            <w:vAlign w:val="center"/>
          </w:tcPr>
          <w:p w14:paraId="26EE57DF">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34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D44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w:t>
            </w:r>
          </w:p>
        </w:tc>
      </w:tr>
      <w:tr w14:paraId="1D29F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4E8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C0B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86B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E302B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0DE2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4EDEF">
            <w:pP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F34F7">
            <w:pPr>
              <w:rPr>
                <w:rFonts w:hint="eastAsia" w:ascii="宋体" w:hAnsi="宋体" w:eastAsia="宋体" w:cs="宋体"/>
                <w:i w:val="0"/>
                <w:iCs w:val="0"/>
                <w:color w:val="000000"/>
                <w:sz w:val="18"/>
                <w:szCs w:val="18"/>
                <w:u w:val="none"/>
              </w:rPr>
            </w:pP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DC64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一是组织实施国家免疫规划策略，开展免疫规划宣传培训工作；二是完成适龄儿童建卡建证和预防接种工作，有效降低和控制相应传染病的发生； 三是提高非免疫规划疫苗接种率，有效控制传染病的暴发和流行，满足群众防病需求。</w:t>
            </w:r>
          </w:p>
        </w:tc>
        <w:tc>
          <w:tcPr>
            <w:tcW w:w="45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1AB6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auto"/>
                <w:kern w:val="0"/>
                <w:sz w:val="18"/>
                <w:szCs w:val="18"/>
                <w:highlight w:val="none"/>
                <w:u w:val="none"/>
                <w:lang w:val="en-US" w:eastAsia="zh-CN" w:bidi="ar"/>
              </w:rPr>
              <w:t>对照年度目标，说明相关任务目标的完成情况（100字以内）</w:t>
            </w:r>
          </w:p>
        </w:tc>
      </w:tr>
      <w:tr w14:paraId="1D2D8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D06BC">
            <w:pP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C9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6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32FB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导区内各接种点规范开展预防接种工作，通过常规接种、查漏补种和入托入学儿童接种证查验等方式，提高各类疫苗接种水平。强调安全接种和疫苗规范管理，杜绝接种事故和疫苗事故的发生。根据预防接种工作规范的要求，开展免疫规划针对传染病的各项监测工作，不断完善各项措施，逐渐提高疾病预防控制、疫情监测及处置能力。</w:t>
            </w:r>
          </w:p>
        </w:tc>
      </w:tr>
      <w:tr w14:paraId="4994D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CE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6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   （万元）</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3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8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8CC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8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3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7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CF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65ED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7F234">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4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5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1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7DB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D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7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4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FA6BB">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912C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21C91">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2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C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C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AAD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4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C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2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B325B">
            <w:pPr>
              <w:rPr>
                <w:rFonts w:hint="eastAsia" w:ascii="黑体" w:hAnsi="黑体" w:eastAsia="黑体" w:cs="黑体"/>
                <w:i w:val="0"/>
                <w:iCs w:val="0"/>
                <w:color w:val="000000"/>
                <w:sz w:val="16"/>
                <w:szCs w:val="16"/>
                <w:u w:val="none"/>
              </w:rPr>
            </w:pPr>
          </w:p>
        </w:tc>
      </w:tr>
      <w:tr w14:paraId="65F71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4A863">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E6F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3985">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DCDD">
            <w:pPr>
              <w:jc w:val="center"/>
              <w:rPr>
                <w:rFonts w:hint="eastAsia" w:ascii="宋体" w:hAnsi="宋体" w:eastAsia="宋体" w:cs="宋体"/>
                <w:i w:val="0"/>
                <w:iCs w:val="0"/>
                <w:color w:val="000000"/>
                <w:sz w:val="18"/>
                <w:szCs w:val="18"/>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CFB43">
            <w:pPr>
              <w:jc w:val="center"/>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9F13">
            <w:pPr>
              <w:jc w:val="center"/>
              <w:rPr>
                <w:rFonts w:hint="eastAsia"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DD00">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E494">
            <w:pPr>
              <w:jc w:val="center"/>
              <w:rPr>
                <w:rFonts w:hint="eastAsia" w:ascii="宋体" w:hAnsi="宋体" w:eastAsia="宋体" w:cs="宋体"/>
                <w:i w:val="0"/>
                <w:iCs w:val="0"/>
                <w:color w:val="000000"/>
                <w:sz w:val="18"/>
                <w:szCs w:val="18"/>
                <w:u w:val="none"/>
              </w:rPr>
            </w:pPr>
          </w:p>
        </w:tc>
        <w:tc>
          <w:tcPr>
            <w:tcW w:w="23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A9B58">
            <w:pPr>
              <w:rPr>
                <w:rFonts w:hint="eastAsia" w:ascii="黑体" w:hAnsi="黑体" w:eastAsia="黑体" w:cs="黑体"/>
                <w:i w:val="0"/>
                <w:iCs w:val="0"/>
                <w:color w:val="000000"/>
                <w:sz w:val="16"/>
                <w:szCs w:val="16"/>
                <w:u w:val="none"/>
              </w:rPr>
            </w:pPr>
          </w:p>
        </w:tc>
      </w:tr>
      <w:tr w14:paraId="12F5F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406D1">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D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A05D">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A50D">
            <w:pPr>
              <w:jc w:val="center"/>
              <w:rPr>
                <w:rFonts w:hint="eastAsia" w:ascii="宋体" w:hAnsi="宋体" w:eastAsia="宋体" w:cs="宋体"/>
                <w:i w:val="0"/>
                <w:iCs w:val="0"/>
                <w:color w:val="000000"/>
                <w:sz w:val="18"/>
                <w:szCs w:val="18"/>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37B583">
            <w:pPr>
              <w:jc w:val="center"/>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46F4">
            <w:pPr>
              <w:jc w:val="center"/>
              <w:rPr>
                <w:rFonts w:hint="eastAsia"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2FAB">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CB08">
            <w:pPr>
              <w:jc w:val="center"/>
              <w:rPr>
                <w:rFonts w:hint="eastAsia" w:ascii="宋体" w:hAnsi="宋体" w:eastAsia="宋体" w:cs="宋体"/>
                <w:i w:val="0"/>
                <w:iCs w:val="0"/>
                <w:color w:val="000000"/>
                <w:sz w:val="18"/>
                <w:szCs w:val="18"/>
                <w:u w:val="none"/>
              </w:rPr>
            </w:pPr>
          </w:p>
        </w:tc>
        <w:tc>
          <w:tcPr>
            <w:tcW w:w="23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139FF">
            <w:pPr>
              <w:rPr>
                <w:rFonts w:hint="eastAsia" w:ascii="黑体" w:hAnsi="黑体" w:eastAsia="黑体" w:cs="黑体"/>
                <w:i w:val="0"/>
                <w:iCs w:val="0"/>
                <w:color w:val="000000"/>
                <w:sz w:val="16"/>
                <w:szCs w:val="16"/>
                <w:u w:val="none"/>
              </w:rPr>
            </w:pPr>
          </w:p>
        </w:tc>
      </w:tr>
      <w:tr w14:paraId="4F53C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2B8E7">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D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9F60">
            <w:pPr>
              <w:jc w:val="center"/>
              <w:rPr>
                <w:rFonts w:hint="eastAsia" w:ascii="微软雅黑" w:hAnsi="微软雅黑" w:eastAsia="微软雅黑" w:cs="微软雅黑"/>
                <w:i/>
                <w:iCs/>
                <w:color w:val="000000"/>
                <w:sz w:val="16"/>
                <w:szCs w:val="16"/>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2064">
            <w:pPr>
              <w:jc w:val="center"/>
              <w:rPr>
                <w:rFonts w:hint="eastAsia" w:ascii="微软雅黑" w:hAnsi="微软雅黑" w:eastAsia="微软雅黑" w:cs="微软雅黑"/>
                <w:i/>
                <w:iCs/>
                <w:color w:val="000000"/>
                <w:sz w:val="16"/>
                <w:szCs w:val="16"/>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FD0C7">
            <w:pPr>
              <w:jc w:val="center"/>
              <w:rPr>
                <w:rFonts w:hint="eastAsia" w:ascii="微软雅黑" w:hAnsi="微软雅黑" w:eastAsia="微软雅黑" w:cs="微软雅黑"/>
                <w:i/>
                <w:iCs/>
                <w:color w:val="000000"/>
                <w:sz w:val="16"/>
                <w:szCs w:val="16"/>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BF2F">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7D74">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8735">
            <w:pPr>
              <w:jc w:val="center"/>
              <w:rPr>
                <w:rFonts w:hint="eastAsia" w:ascii="宋体" w:hAnsi="宋体" w:eastAsia="宋体" w:cs="宋体"/>
                <w:i w:val="0"/>
                <w:iCs w:val="0"/>
                <w:color w:val="000000"/>
                <w:sz w:val="18"/>
                <w:szCs w:val="18"/>
                <w:u w:val="none"/>
              </w:rPr>
            </w:pPr>
          </w:p>
        </w:tc>
        <w:tc>
          <w:tcPr>
            <w:tcW w:w="23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E64FC">
            <w:pPr>
              <w:rPr>
                <w:rFonts w:hint="eastAsia" w:ascii="黑体" w:hAnsi="黑体" w:eastAsia="黑体" w:cs="黑体"/>
                <w:i w:val="0"/>
                <w:iCs w:val="0"/>
                <w:color w:val="000000"/>
                <w:sz w:val="16"/>
                <w:szCs w:val="16"/>
                <w:u w:val="none"/>
              </w:rPr>
            </w:pPr>
          </w:p>
        </w:tc>
      </w:tr>
      <w:tr w14:paraId="5B7B6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E9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1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0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8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2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7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C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F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E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F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1F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2F4A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E769C">
            <w:pPr>
              <w:jc w:val="center"/>
              <w:rPr>
                <w:rFonts w:hint="eastAsia" w:ascii="宋体" w:hAnsi="宋体" w:eastAsia="宋体" w:cs="宋体"/>
                <w:i w:val="0"/>
                <w:iCs w:val="0"/>
                <w:color w:val="000000"/>
                <w:sz w:val="18"/>
                <w:szCs w:val="18"/>
                <w:u w:val="none"/>
              </w:rPr>
            </w:pP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551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F98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52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宣传“4.25”“7.28”各一次</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B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2D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3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03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8E3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7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6DBCA">
            <w:pPr>
              <w:jc w:val="center"/>
              <w:rPr>
                <w:rFonts w:hint="eastAsia" w:ascii="微软雅黑" w:hAnsi="微软雅黑" w:eastAsia="微软雅黑" w:cs="微软雅黑"/>
                <w:i/>
                <w:iCs/>
                <w:color w:val="000000"/>
                <w:sz w:val="16"/>
                <w:szCs w:val="16"/>
                <w:u w:val="none"/>
              </w:rPr>
            </w:pPr>
          </w:p>
        </w:tc>
      </w:tr>
      <w:tr w14:paraId="690AF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BC50B">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557E9">
            <w:pPr>
              <w:rPr>
                <w:rFonts w:hint="eastAsia" w:ascii="宋体" w:hAnsi="宋体" w:eastAsia="宋体" w:cs="宋体"/>
                <w:i w:val="0"/>
                <w:iCs w:val="0"/>
                <w:color w:val="000000"/>
                <w:sz w:val="18"/>
                <w:szCs w:val="18"/>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36138">
            <w:pP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0D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冷链运转及维护更新每天运转，每年维护1-2次</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4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1B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B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C3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7E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5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E6397">
            <w:pPr>
              <w:jc w:val="center"/>
              <w:rPr>
                <w:rFonts w:hint="eastAsia" w:ascii="微软雅黑" w:hAnsi="微软雅黑" w:eastAsia="微软雅黑" w:cs="微软雅黑"/>
                <w:i/>
                <w:iCs/>
                <w:color w:val="000000"/>
                <w:sz w:val="16"/>
                <w:szCs w:val="16"/>
                <w:u w:val="none"/>
              </w:rPr>
            </w:pPr>
          </w:p>
        </w:tc>
      </w:tr>
      <w:tr w14:paraId="5BA9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2ECDD">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67F71">
            <w:pPr>
              <w:rPr>
                <w:rFonts w:hint="eastAsia" w:ascii="宋体" w:hAnsi="宋体" w:eastAsia="宋体" w:cs="宋体"/>
                <w:i w:val="0"/>
                <w:iCs w:val="0"/>
                <w:color w:val="000000"/>
                <w:sz w:val="18"/>
                <w:szCs w:val="18"/>
                <w:u w:val="none"/>
              </w:rPr>
            </w:pP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9CD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5E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入托入学查验预防接种证工作补证率≥98、补种率≥90%</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9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39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7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88C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EB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6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8DE6D">
            <w:pPr>
              <w:jc w:val="center"/>
              <w:rPr>
                <w:rFonts w:hint="eastAsia" w:ascii="微软雅黑" w:hAnsi="微软雅黑" w:eastAsia="微软雅黑" w:cs="微软雅黑"/>
                <w:i/>
                <w:iCs/>
                <w:color w:val="000000"/>
                <w:sz w:val="16"/>
                <w:szCs w:val="16"/>
                <w:u w:val="none"/>
              </w:rPr>
            </w:pPr>
          </w:p>
        </w:tc>
      </w:tr>
      <w:tr w14:paraId="6262A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AB09B">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692AC">
            <w:pPr>
              <w:rPr>
                <w:rFonts w:hint="eastAsia" w:ascii="宋体" w:hAnsi="宋体" w:eastAsia="宋体" w:cs="宋体"/>
                <w:i w:val="0"/>
                <w:iCs w:val="0"/>
                <w:color w:val="000000"/>
                <w:sz w:val="18"/>
                <w:szCs w:val="18"/>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2A0F2">
            <w:pP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23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AEFI监测县覆盖率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6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D3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6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70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406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0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02FF6">
            <w:pPr>
              <w:jc w:val="center"/>
              <w:rPr>
                <w:rFonts w:hint="eastAsia" w:ascii="微软雅黑" w:hAnsi="微软雅黑" w:eastAsia="微软雅黑" w:cs="微软雅黑"/>
                <w:i/>
                <w:iCs/>
                <w:color w:val="000000"/>
                <w:sz w:val="16"/>
                <w:szCs w:val="16"/>
                <w:u w:val="none"/>
              </w:rPr>
            </w:pPr>
          </w:p>
        </w:tc>
      </w:tr>
      <w:tr w14:paraId="440A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F71FB">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17469">
            <w:pPr>
              <w:rPr>
                <w:rFonts w:hint="eastAsia" w:ascii="宋体" w:hAnsi="宋体" w:eastAsia="宋体" w:cs="宋体"/>
                <w:i w:val="0"/>
                <w:iCs w:val="0"/>
                <w:color w:val="000000"/>
                <w:sz w:val="18"/>
                <w:szCs w:val="18"/>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9BE15">
            <w:pP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91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麻疹监测排除麻疹风疹病例报告发病率达2/10万以上、AFP监测15岁以下儿童AFP病例报告发病率达 1/10 万以上</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8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D6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7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1A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DD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4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DD58F">
            <w:pPr>
              <w:jc w:val="center"/>
              <w:rPr>
                <w:rFonts w:hint="eastAsia" w:ascii="微软雅黑" w:hAnsi="微软雅黑" w:eastAsia="微软雅黑" w:cs="微软雅黑"/>
                <w:i/>
                <w:iCs/>
                <w:color w:val="000000"/>
                <w:sz w:val="16"/>
                <w:szCs w:val="16"/>
                <w:u w:val="none"/>
              </w:rPr>
            </w:pPr>
          </w:p>
        </w:tc>
      </w:tr>
      <w:tr w14:paraId="21CB8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4C0F9">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B9638">
            <w:pP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31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B0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规定时间节点完成</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5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39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F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58E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BA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A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0749A">
            <w:pPr>
              <w:jc w:val="center"/>
              <w:rPr>
                <w:rFonts w:hint="eastAsia" w:ascii="微软雅黑" w:hAnsi="微软雅黑" w:eastAsia="微软雅黑" w:cs="微软雅黑"/>
                <w:i/>
                <w:iCs/>
                <w:color w:val="000000"/>
                <w:sz w:val="16"/>
                <w:szCs w:val="16"/>
                <w:u w:val="none"/>
              </w:rPr>
            </w:pPr>
          </w:p>
        </w:tc>
      </w:tr>
      <w:tr w14:paraId="2FF4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BBAD0">
            <w:pPr>
              <w:jc w:val="center"/>
              <w:rPr>
                <w:rFonts w:hint="eastAsia" w:ascii="宋体" w:hAnsi="宋体" w:eastAsia="宋体" w:cs="宋体"/>
                <w:i w:val="0"/>
                <w:iCs w:val="0"/>
                <w:color w:val="000000"/>
                <w:sz w:val="18"/>
                <w:szCs w:val="18"/>
                <w:u w:val="none"/>
              </w:rPr>
            </w:pP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DE7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BE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DC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疫苗针对传染病发病率维持在较低水平</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D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9A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0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A1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3D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5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481E4">
            <w:pPr>
              <w:jc w:val="center"/>
              <w:rPr>
                <w:rFonts w:hint="eastAsia" w:ascii="微软雅黑" w:hAnsi="微软雅黑" w:eastAsia="微软雅黑" w:cs="微软雅黑"/>
                <w:i/>
                <w:iCs/>
                <w:color w:val="000000"/>
                <w:sz w:val="16"/>
                <w:szCs w:val="16"/>
                <w:u w:val="none"/>
              </w:rPr>
            </w:pPr>
          </w:p>
        </w:tc>
      </w:tr>
      <w:tr w14:paraId="011E6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D2D91">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6E821">
            <w:pP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21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94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预防接种知识知晓率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C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36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F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69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D7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8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032B2">
            <w:pPr>
              <w:jc w:val="center"/>
              <w:rPr>
                <w:rFonts w:hint="eastAsia" w:ascii="微软雅黑" w:hAnsi="微软雅黑" w:eastAsia="微软雅黑" w:cs="微软雅黑"/>
                <w:i/>
                <w:iCs/>
                <w:color w:val="000000"/>
                <w:sz w:val="16"/>
                <w:szCs w:val="16"/>
                <w:u w:val="none"/>
              </w:rPr>
            </w:pPr>
          </w:p>
        </w:tc>
      </w:tr>
      <w:tr w14:paraId="6A27B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CD4C2">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C8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2B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87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免疫规划相关投诉≤20次</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3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7E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5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B5C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E73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0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DA349">
            <w:pPr>
              <w:jc w:val="center"/>
              <w:rPr>
                <w:rFonts w:hint="eastAsia" w:ascii="微软雅黑" w:hAnsi="微软雅黑" w:eastAsia="微软雅黑" w:cs="微软雅黑"/>
                <w:i/>
                <w:iCs/>
                <w:color w:val="000000"/>
                <w:sz w:val="16"/>
                <w:szCs w:val="16"/>
                <w:u w:val="none"/>
              </w:rPr>
            </w:pPr>
          </w:p>
        </w:tc>
      </w:tr>
      <w:tr w14:paraId="04DC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DB134">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FB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2D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BD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宣传印刷、冷链运转、卫生材料、维护等支出2万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9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EE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0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D0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9E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3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D7B65">
            <w:pPr>
              <w:jc w:val="center"/>
              <w:rPr>
                <w:rFonts w:hint="eastAsia" w:ascii="微软雅黑" w:hAnsi="微软雅黑" w:eastAsia="微软雅黑" w:cs="微软雅黑"/>
                <w:i/>
                <w:iCs/>
                <w:color w:val="000000"/>
                <w:sz w:val="16"/>
                <w:szCs w:val="16"/>
                <w:u w:val="none"/>
              </w:rPr>
            </w:pPr>
          </w:p>
        </w:tc>
      </w:tr>
      <w:tr w14:paraId="1109D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BCF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3FB5">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8E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DBAC2">
            <w:pPr>
              <w:rPr>
                <w:rFonts w:hint="eastAsia" w:ascii="宋体" w:hAnsi="宋体" w:eastAsia="宋体" w:cs="宋体"/>
                <w:i w:val="0"/>
                <w:iCs w:val="0"/>
                <w:color w:val="000000"/>
                <w:sz w:val="18"/>
                <w:szCs w:val="18"/>
                <w:u w:val="none"/>
              </w:rPr>
            </w:pPr>
          </w:p>
        </w:tc>
      </w:tr>
      <w:tr w14:paraId="43BBD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E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2C51E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截至2024年12月31日，免疫规划工作经费使用情况良好，全面完成年初制订的全区国家免疫规划实施及儿童预防接种工作任务，预防接种工作质量稳步提高，工作满意率100%。按照预算绩效管理要求，本部门对该项目开展绩效自评，自评得分95分，从项目的立项、资金申报与使用、项目完成进度和质量等多方面评价。该项目完成绩效目标情况很好。</w:t>
            </w:r>
          </w:p>
        </w:tc>
      </w:tr>
      <w:tr w14:paraId="3474E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1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6CFAC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部分接种单位免疫规划工作管理不规范，免疫规划相关资料收集整理不齐全，告知书及预检登记等资料监护人或本人签字不完整；因市内的医疗废物处置公司不具备处理过期疫苗的资质，不能对过期疫苗进行及时规范处置；部分单位对麻疹、AFP监测方案培训力度不够；入托入学查验与补种工作存在脱节现象，补种率较低；个别单位免疫规划专业人员更替频繁。</w:t>
            </w:r>
          </w:p>
        </w:tc>
      </w:tr>
      <w:tr w14:paraId="77B11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3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3311D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加强领导，增加投入，加强免疫规划队伍建设。二是提高常规接种率，免疫规划接种率维持在95%以上。三是加强全区预防接种门诊建设和预防接种手机APP应用，提高预防接种门诊管理水平，保证接种安全，避免接种事故，减少预防接种异常反应的发生。四是加强AFP监测,做好消灭脊灰证实后续工作。五是各医疗卫生单位加强麻疹监测,做好监测并及时录入软件上报,达到各项监测指标要求。六是全区加强生物制品的计划管理和冷链设备的使用维护及更新。七是严格执行《国家入托、入学查验预防接种证工作实施方案》，建立和健全入托、入学查验预防接种证制度。八是树立安全注射意识，避免接种异常反应和事故发生。九是加强督导，宣传及业务培训、考核。</w:t>
            </w:r>
          </w:p>
        </w:tc>
      </w:tr>
      <w:tr w14:paraId="42376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438FA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项目负责人：钟雪梦</w:t>
            </w:r>
          </w:p>
        </w:tc>
        <w:tc>
          <w:tcPr>
            <w:tcW w:w="67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0A7B2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财务负责人：吴霞</w:t>
            </w:r>
          </w:p>
        </w:tc>
      </w:tr>
      <w:tr w14:paraId="37EDB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904" w:hRule="atLeast"/>
        </w:trPr>
        <w:tc>
          <w:tcPr>
            <w:tcW w:w="13679" w:type="dxa"/>
            <w:gridSpan w:val="11"/>
            <w:tcBorders>
              <w:top w:val="nil"/>
              <w:left w:val="nil"/>
              <w:bottom w:val="nil"/>
              <w:right w:val="nil"/>
            </w:tcBorders>
            <w:shd w:val="clear" w:color="auto" w:fill="auto"/>
            <w:vAlign w:val="center"/>
          </w:tcPr>
          <w:p w14:paraId="0129FFD6">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377E9DD1">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部门预算项目支出绩效自评表</w:t>
            </w:r>
          </w:p>
        </w:tc>
      </w:tr>
      <w:tr w14:paraId="1E47A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60" w:hRule="atLeast"/>
        </w:trPr>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CFA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1268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51090424T000011120310-结核病防治</w:t>
            </w:r>
          </w:p>
        </w:tc>
      </w:tr>
      <w:tr w14:paraId="6EB74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12" w:hRule="atLeast"/>
        </w:trPr>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CF3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05D3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遂宁市安居区卫生健康局</w:t>
            </w:r>
          </w:p>
        </w:tc>
        <w:tc>
          <w:tcPr>
            <w:tcW w:w="1107" w:type="dxa"/>
            <w:tcBorders>
              <w:top w:val="nil"/>
              <w:left w:val="nil"/>
              <w:bottom w:val="nil"/>
              <w:right w:val="nil"/>
            </w:tcBorders>
            <w:shd w:val="clear" w:color="auto" w:fill="auto"/>
            <w:vAlign w:val="center"/>
          </w:tcPr>
          <w:p w14:paraId="1838AF02">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CA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w:t>
            </w:r>
          </w:p>
        </w:tc>
      </w:tr>
      <w:tr w14:paraId="3D11E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7FF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F82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2EA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40C33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CBBB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4D518">
            <w:pP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8241F">
            <w:pPr>
              <w:rPr>
                <w:rFonts w:hint="eastAsia" w:ascii="宋体" w:hAnsi="宋体" w:eastAsia="宋体" w:cs="宋体"/>
                <w:i w:val="0"/>
                <w:iCs w:val="0"/>
                <w:color w:val="000000"/>
                <w:sz w:val="18"/>
                <w:szCs w:val="18"/>
                <w:u w:val="none"/>
              </w:rPr>
            </w:pP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9C13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-2025）进一步完善政府领导、部门各负其责、全社会共同参与的结核病防治机制。健全“三位一体”综合防治服务体系，进一步提高防治服务能力，实现结核患者早发现和规范治疗管理，提供公平可及的预防、治疗、康复等公共卫生服务。医疗保障政策逐步完善，患者疾病负担进一步减轻。肺结核发病和死亡人数进一步减少，肺结核发病率下降到58/10万以下。</w:t>
            </w:r>
          </w:p>
        </w:tc>
        <w:tc>
          <w:tcPr>
            <w:tcW w:w="4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BAB6B2">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对照年度目标，说明相关任务目标的完成情况（100字以内）</w:t>
            </w:r>
          </w:p>
        </w:tc>
      </w:tr>
      <w:tr w14:paraId="1175B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3E864">
            <w:pP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FE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F4B0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截至</w:t>
            </w:r>
            <w:r>
              <w:rPr>
                <w:rFonts w:ascii="宋体" w:hAnsi="宋体" w:eastAsia="宋体" w:cs="宋体"/>
                <w:i w:val="0"/>
                <w:iCs w:val="0"/>
                <w:color w:val="000000"/>
                <w:kern w:val="0"/>
                <w:sz w:val="18"/>
                <w:szCs w:val="18"/>
                <w:u w:val="none"/>
                <w:lang w:val="en-US" w:eastAsia="zh-CN" w:bidi="ar"/>
              </w:rPr>
              <w:t>12月底，在项目实施过程中，我中心完成了以下工作：负责全区结核病人确诊、登记、报告、治疗、转诊和管理工作，对结核病进行监测、统计、分析和预测，掌握疫情动态，开展有关结核病防治的技术指导、人员培训、健康教育以及预防性肺结核病体检，加强学校结核病疫情处置，学校结核散发、暴发疫情密切接触者筛查工作任务。</w:t>
            </w:r>
          </w:p>
        </w:tc>
      </w:tr>
      <w:tr w14:paraId="5E3E2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0E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3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   （万元）</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8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D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F10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2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1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9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9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FDA1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C850D">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C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7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4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9F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5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6E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9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1052D">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ADEF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4015A">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9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5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E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41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F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B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2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A3A9F">
            <w:pPr>
              <w:rPr>
                <w:rFonts w:hint="eastAsia" w:ascii="黑体" w:hAnsi="黑体" w:eastAsia="黑体" w:cs="黑体"/>
                <w:i w:val="0"/>
                <w:iCs w:val="0"/>
                <w:color w:val="000000"/>
                <w:sz w:val="16"/>
                <w:szCs w:val="16"/>
                <w:u w:val="none"/>
              </w:rPr>
            </w:pPr>
          </w:p>
        </w:tc>
      </w:tr>
      <w:tr w14:paraId="25C1B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8D626">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E3A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18E7">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2685">
            <w:pPr>
              <w:jc w:val="center"/>
              <w:rPr>
                <w:rFonts w:hint="eastAsia" w:ascii="宋体" w:hAnsi="宋体" w:eastAsia="宋体" w:cs="宋体"/>
                <w:i w:val="0"/>
                <w:iCs w:val="0"/>
                <w:color w:val="000000"/>
                <w:sz w:val="18"/>
                <w:szCs w:val="18"/>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3A1F9">
            <w:pPr>
              <w:jc w:val="center"/>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79EE">
            <w:pPr>
              <w:jc w:val="center"/>
              <w:rPr>
                <w:rFonts w:hint="eastAsia"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631F">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FD81">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B975C">
            <w:pPr>
              <w:rPr>
                <w:rFonts w:hint="eastAsia" w:ascii="黑体" w:hAnsi="黑体" w:eastAsia="黑体" w:cs="黑体"/>
                <w:i w:val="0"/>
                <w:iCs w:val="0"/>
                <w:color w:val="000000"/>
                <w:sz w:val="16"/>
                <w:szCs w:val="16"/>
                <w:u w:val="none"/>
              </w:rPr>
            </w:pPr>
          </w:p>
        </w:tc>
      </w:tr>
      <w:tr w14:paraId="202B7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1C4F3">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6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0730">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A5D8">
            <w:pPr>
              <w:jc w:val="center"/>
              <w:rPr>
                <w:rFonts w:hint="eastAsia" w:ascii="宋体" w:hAnsi="宋体" w:eastAsia="宋体" w:cs="宋体"/>
                <w:i w:val="0"/>
                <w:iCs w:val="0"/>
                <w:color w:val="000000"/>
                <w:sz w:val="18"/>
                <w:szCs w:val="18"/>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6D2214">
            <w:pPr>
              <w:jc w:val="center"/>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50D5">
            <w:pPr>
              <w:jc w:val="center"/>
              <w:rPr>
                <w:rFonts w:hint="eastAsia"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BC83">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5242">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55D1C">
            <w:pPr>
              <w:rPr>
                <w:rFonts w:hint="eastAsia" w:ascii="黑体" w:hAnsi="黑体" w:eastAsia="黑体" w:cs="黑体"/>
                <w:i w:val="0"/>
                <w:iCs w:val="0"/>
                <w:color w:val="000000"/>
                <w:sz w:val="16"/>
                <w:szCs w:val="16"/>
                <w:u w:val="none"/>
              </w:rPr>
            </w:pPr>
          </w:p>
        </w:tc>
      </w:tr>
      <w:tr w14:paraId="335A8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BF9F1">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D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B394">
            <w:pPr>
              <w:jc w:val="center"/>
              <w:rPr>
                <w:rFonts w:hint="eastAsia" w:ascii="微软雅黑" w:hAnsi="微软雅黑" w:eastAsia="微软雅黑" w:cs="微软雅黑"/>
                <w:i/>
                <w:iCs/>
                <w:color w:val="000000"/>
                <w:sz w:val="16"/>
                <w:szCs w:val="16"/>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FBD9">
            <w:pPr>
              <w:jc w:val="center"/>
              <w:rPr>
                <w:rFonts w:hint="eastAsia" w:ascii="微软雅黑" w:hAnsi="微软雅黑" w:eastAsia="微软雅黑" w:cs="微软雅黑"/>
                <w:i/>
                <w:iCs/>
                <w:color w:val="000000"/>
                <w:sz w:val="16"/>
                <w:szCs w:val="16"/>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5505A2">
            <w:pPr>
              <w:jc w:val="center"/>
              <w:rPr>
                <w:rFonts w:hint="eastAsia" w:ascii="微软雅黑" w:hAnsi="微软雅黑" w:eastAsia="微软雅黑" w:cs="微软雅黑"/>
                <w:i/>
                <w:iCs/>
                <w:color w:val="000000"/>
                <w:sz w:val="16"/>
                <w:szCs w:val="16"/>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987F">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CCC4">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E6BE">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A09EB">
            <w:pPr>
              <w:rPr>
                <w:rFonts w:hint="eastAsia" w:ascii="黑体" w:hAnsi="黑体" w:eastAsia="黑体" w:cs="黑体"/>
                <w:i w:val="0"/>
                <w:iCs w:val="0"/>
                <w:color w:val="000000"/>
                <w:sz w:val="16"/>
                <w:szCs w:val="16"/>
                <w:u w:val="none"/>
              </w:rPr>
            </w:pPr>
          </w:p>
        </w:tc>
      </w:tr>
      <w:tr w14:paraId="26AF8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17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A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8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1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8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9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7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7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3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5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7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40EF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F2095">
            <w:pPr>
              <w:jc w:val="center"/>
              <w:rPr>
                <w:rFonts w:hint="eastAsia" w:ascii="宋体" w:hAnsi="宋体" w:eastAsia="宋体" w:cs="宋体"/>
                <w:i w:val="0"/>
                <w:iCs w:val="0"/>
                <w:color w:val="000000"/>
                <w:sz w:val="18"/>
                <w:szCs w:val="18"/>
                <w:u w:val="none"/>
              </w:rPr>
            </w:pP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4A1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D72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82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登记管理患者数330人</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2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49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A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730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73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5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96E1">
            <w:pPr>
              <w:jc w:val="center"/>
              <w:rPr>
                <w:rFonts w:hint="eastAsia" w:ascii="微软雅黑" w:hAnsi="微软雅黑" w:eastAsia="微软雅黑" w:cs="微软雅黑"/>
                <w:i/>
                <w:iCs/>
                <w:color w:val="000000"/>
                <w:sz w:val="16"/>
                <w:szCs w:val="16"/>
                <w:u w:val="none"/>
              </w:rPr>
            </w:pPr>
          </w:p>
        </w:tc>
      </w:tr>
      <w:tr w14:paraId="52452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E959B">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1CB07">
            <w:pPr>
              <w:rPr>
                <w:rFonts w:hint="eastAsia" w:ascii="宋体" w:hAnsi="宋体" w:eastAsia="宋体" w:cs="宋体"/>
                <w:i w:val="0"/>
                <w:iCs w:val="0"/>
                <w:color w:val="000000"/>
                <w:sz w:val="18"/>
                <w:szCs w:val="18"/>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D2925">
            <w:pP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D2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开展结核培训、开展大型宣传活动各2次</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2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D9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E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F1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D6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8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C586">
            <w:pPr>
              <w:jc w:val="center"/>
              <w:rPr>
                <w:rFonts w:hint="eastAsia" w:ascii="微软雅黑" w:hAnsi="微软雅黑" w:eastAsia="微软雅黑" w:cs="微软雅黑"/>
                <w:i/>
                <w:iCs/>
                <w:color w:val="000000"/>
                <w:sz w:val="16"/>
                <w:szCs w:val="16"/>
                <w:u w:val="none"/>
              </w:rPr>
            </w:pPr>
          </w:p>
        </w:tc>
      </w:tr>
      <w:tr w14:paraId="1126A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E0307">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5150A">
            <w:pPr>
              <w:rPr>
                <w:rFonts w:hint="eastAsia" w:ascii="宋体" w:hAnsi="宋体" w:eastAsia="宋体" w:cs="宋体"/>
                <w:i w:val="0"/>
                <w:iCs w:val="0"/>
                <w:color w:val="000000"/>
                <w:sz w:val="18"/>
                <w:szCs w:val="18"/>
                <w:u w:val="none"/>
              </w:rPr>
            </w:pP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1ED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0B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病原学检查阳性率50%</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E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46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1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C6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49F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A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870E">
            <w:pPr>
              <w:jc w:val="center"/>
              <w:rPr>
                <w:rFonts w:hint="eastAsia" w:ascii="微软雅黑" w:hAnsi="微软雅黑" w:eastAsia="微软雅黑" w:cs="微软雅黑"/>
                <w:i/>
                <w:iCs/>
                <w:color w:val="000000"/>
                <w:sz w:val="16"/>
                <w:szCs w:val="16"/>
                <w:u w:val="none"/>
              </w:rPr>
            </w:pPr>
          </w:p>
        </w:tc>
      </w:tr>
      <w:tr w14:paraId="1C9DA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34FE2">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5B825">
            <w:pPr>
              <w:rPr>
                <w:rFonts w:hint="eastAsia" w:ascii="宋体" w:hAnsi="宋体" w:eastAsia="宋体" w:cs="宋体"/>
                <w:i w:val="0"/>
                <w:iCs w:val="0"/>
                <w:color w:val="000000"/>
                <w:sz w:val="18"/>
                <w:szCs w:val="18"/>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2FAFF">
            <w:pP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12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对肺结核患者和疑似肺结核患者进行网络直报报告率100%、报告总体到位率≥95%</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E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45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4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CC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313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A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D410">
            <w:pPr>
              <w:jc w:val="center"/>
              <w:rPr>
                <w:rFonts w:hint="eastAsia" w:ascii="微软雅黑" w:hAnsi="微软雅黑" w:eastAsia="微软雅黑" w:cs="微软雅黑"/>
                <w:i/>
                <w:iCs/>
                <w:color w:val="000000"/>
                <w:sz w:val="16"/>
                <w:szCs w:val="16"/>
                <w:u w:val="none"/>
              </w:rPr>
            </w:pPr>
          </w:p>
        </w:tc>
      </w:tr>
      <w:tr w14:paraId="798C9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C2987">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32FDB">
            <w:pPr>
              <w:rPr>
                <w:rFonts w:hint="eastAsia" w:ascii="宋体" w:hAnsi="宋体" w:eastAsia="宋体" w:cs="宋体"/>
                <w:i w:val="0"/>
                <w:iCs w:val="0"/>
                <w:color w:val="000000"/>
                <w:sz w:val="18"/>
                <w:szCs w:val="18"/>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33490">
            <w:pP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4F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新涂阳结核患者治愈率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C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0F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2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D9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0C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7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6BE1">
            <w:pPr>
              <w:jc w:val="center"/>
              <w:rPr>
                <w:rFonts w:hint="eastAsia" w:ascii="微软雅黑" w:hAnsi="微软雅黑" w:eastAsia="微软雅黑" w:cs="微软雅黑"/>
                <w:i/>
                <w:iCs/>
                <w:color w:val="000000"/>
                <w:sz w:val="16"/>
                <w:szCs w:val="16"/>
                <w:u w:val="none"/>
              </w:rPr>
            </w:pPr>
          </w:p>
        </w:tc>
      </w:tr>
      <w:tr w14:paraId="54220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9F138">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EAEEA">
            <w:pP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7F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11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在实施方案规定的时间内完成</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0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00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1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26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92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E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E02C">
            <w:pPr>
              <w:jc w:val="center"/>
              <w:rPr>
                <w:rFonts w:hint="eastAsia" w:ascii="微软雅黑" w:hAnsi="微软雅黑" w:eastAsia="微软雅黑" w:cs="微软雅黑"/>
                <w:i/>
                <w:iCs/>
                <w:color w:val="000000"/>
                <w:sz w:val="16"/>
                <w:szCs w:val="16"/>
                <w:u w:val="none"/>
              </w:rPr>
            </w:pPr>
          </w:p>
        </w:tc>
      </w:tr>
      <w:tr w14:paraId="1CA4A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5A605">
            <w:pPr>
              <w:jc w:val="center"/>
              <w:rPr>
                <w:rFonts w:hint="eastAsia" w:ascii="宋体" w:hAnsi="宋体" w:eastAsia="宋体" w:cs="宋体"/>
                <w:i w:val="0"/>
                <w:iCs w:val="0"/>
                <w:color w:val="000000"/>
                <w:sz w:val="18"/>
                <w:szCs w:val="18"/>
                <w:u w:val="none"/>
              </w:rPr>
            </w:pP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E0E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CE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B7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结核发病率下降5%</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0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B9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8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F6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6C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2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37F7">
            <w:pPr>
              <w:jc w:val="center"/>
              <w:rPr>
                <w:rFonts w:hint="eastAsia" w:ascii="微软雅黑" w:hAnsi="微软雅黑" w:eastAsia="微软雅黑" w:cs="微软雅黑"/>
                <w:i/>
                <w:iCs/>
                <w:color w:val="000000"/>
                <w:sz w:val="16"/>
                <w:szCs w:val="16"/>
                <w:u w:val="none"/>
              </w:rPr>
            </w:pPr>
          </w:p>
        </w:tc>
      </w:tr>
      <w:tr w14:paraId="03EF6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66B4D">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7A21C">
            <w:pP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B5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20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公众结核病防治核心知识知晓率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0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70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5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39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A3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0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C890">
            <w:pPr>
              <w:jc w:val="center"/>
              <w:rPr>
                <w:rFonts w:hint="eastAsia" w:ascii="微软雅黑" w:hAnsi="微软雅黑" w:eastAsia="微软雅黑" w:cs="微软雅黑"/>
                <w:i/>
                <w:iCs/>
                <w:color w:val="000000"/>
                <w:sz w:val="16"/>
                <w:szCs w:val="16"/>
                <w:u w:val="none"/>
              </w:rPr>
            </w:pPr>
          </w:p>
        </w:tc>
      </w:tr>
      <w:tr w14:paraId="1C7D6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9B373">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F9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F2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7E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结核项目管理部满意度</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5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78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E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43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2B8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8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58C6">
            <w:pPr>
              <w:jc w:val="center"/>
              <w:rPr>
                <w:rFonts w:hint="eastAsia" w:ascii="微软雅黑" w:hAnsi="微软雅黑" w:eastAsia="微软雅黑" w:cs="微软雅黑"/>
                <w:i/>
                <w:iCs/>
                <w:color w:val="000000"/>
                <w:sz w:val="16"/>
                <w:szCs w:val="16"/>
                <w:u w:val="none"/>
              </w:rPr>
            </w:pPr>
          </w:p>
        </w:tc>
      </w:tr>
      <w:tr w14:paraId="0662E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7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3E551">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5B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19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C8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宣传印刷、专用材料、培训、网络运行等支出2万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E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69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0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7A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93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9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90C6">
            <w:pPr>
              <w:jc w:val="center"/>
              <w:rPr>
                <w:rFonts w:hint="eastAsia" w:ascii="微软雅黑" w:hAnsi="微软雅黑" w:eastAsia="微软雅黑" w:cs="微软雅黑"/>
                <w:i/>
                <w:iCs/>
                <w:color w:val="000000"/>
                <w:sz w:val="16"/>
                <w:szCs w:val="16"/>
                <w:u w:val="none"/>
              </w:rPr>
            </w:pPr>
          </w:p>
        </w:tc>
      </w:tr>
      <w:tr w14:paraId="2531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286" w:hRule="atLeast"/>
        </w:trPr>
        <w:tc>
          <w:tcPr>
            <w:tcW w:w="104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825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EC3E">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953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365F">
            <w:pPr>
              <w:rPr>
                <w:rFonts w:hint="eastAsia" w:ascii="宋体" w:hAnsi="宋体" w:eastAsia="宋体" w:cs="宋体"/>
                <w:i w:val="0"/>
                <w:iCs w:val="0"/>
                <w:color w:val="000000"/>
                <w:sz w:val="18"/>
                <w:szCs w:val="18"/>
                <w:u w:val="none"/>
              </w:rPr>
            </w:pPr>
          </w:p>
        </w:tc>
      </w:tr>
      <w:tr w14:paraId="20016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F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FAC69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截至2023年12月31日，结核病防治项目工作经费使用情况良好，全面完成年初制订的项目绩效目标工作任务，工作满意率100%。按照预算绩效管理要求，本部门对该项目开展绩效自评，自评得分92分，从项目的立项、资金申报与使用、项目完成进度和质量等多方面评价。该项目完成绩效目标情况良好。</w:t>
            </w:r>
          </w:p>
        </w:tc>
      </w:tr>
      <w:tr w14:paraId="31F44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E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B3A4F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政府领导，多部门合作，全社会参与”工作机制还不完善；肺结核病人管理质量待提高；专业技术人才配置不足；流动人口结核患者、结核／艾滋病毒双重感染者由于其流动性等特殊原因，给追踪、治疗和管理带来困难；能力建设及人力不足，定点医疗机构诊治场所、检测设备还不完善，专业技术人员业务技能需进一步提高；痰检工作相关重要指标低；定点医疗机构主动反馈信息少，导致病人信息掌握不全；学校结核病疫情形式严峻，结核病防控常规工作有待加强；结核病健康促进力度、深度还不够，群众结核病防治知识知晓率还很低。</w:t>
            </w:r>
          </w:p>
        </w:tc>
      </w:tr>
      <w:tr w14:paraId="49685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2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99B23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加强结核病综合防治服务体系建设；加大综合防治力度，不断提升结核病防治工作质量；广泛开展结核病健康促进工作；加强基层队伍建设，提升防治能力；强化结核病防治监测与评价分析；开展痰培养、分枝杆菌快速和传统药物敏感诊断；加强抗结核药品供应与管理；进一步加强学校结核病防治；认真落实耐多药结核病防治。</w:t>
            </w:r>
          </w:p>
        </w:tc>
      </w:tr>
      <w:tr w14:paraId="4A6DC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7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0C5D5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项目负责人：宋昌军</w:t>
            </w:r>
          </w:p>
        </w:tc>
        <w:tc>
          <w:tcPr>
            <w:tcW w:w="65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07BA0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财务负责人：吴霞</w:t>
            </w:r>
          </w:p>
        </w:tc>
      </w:tr>
      <w:tr w14:paraId="77911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904" w:hRule="atLeast"/>
        </w:trPr>
        <w:tc>
          <w:tcPr>
            <w:tcW w:w="13679" w:type="dxa"/>
            <w:gridSpan w:val="11"/>
            <w:tcBorders>
              <w:top w:val="nil"/>
              <w:left w:val="nil"/>
              <w:bottom w:val="nil"/>
              <w:right w:val="nil"/>
            </w:tcBorders>
            <w:shd w:val="clear" w:color="auto" w:fill="auto"/>
            <w:vAlign w:val="center"/>
          </w:tcPr>
          <w:p w14:paraId="276BCC91">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3082688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部门预算项目支出绩效自评表</w:t>
            </w:r>
          </w:p>
        </w:tc>
      </w:tr>
      <w:tr w14:paraId="75B74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60" w:hRule="atLeast"/>
        </w:trPr>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09C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9F58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51090424T000011120344-性病防治</w:t>
            </w:r>
          </w:p>
        </w:tc>
      </w:tr>
      <w:tr w14:paraId="40F06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12" w:hRule="atLeast"/>
        </w:trPr>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264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1A94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遂宁市安居区卫生健康局</w:t>
            </w:r>
          </w:p>
        </w:tc>
        <w:tc>
          <w:tcPr>
            <w:tcW w:w="1107" w:type="dxa"/>
            <w:tcBorders>
              <w:top w:val="nil"/>
              <w:left w:val="nil"/>
              <w:bottom w:val="nil"/>
              <w:right w:val="nil"/>
            </w:tcBorders>
            <w:shd w:val="clear" w:color="auto" w:fill="auto"/>
            <w:vAlign w:val="center"/>
          </w:tcPr>
          <w:p w14:paraId="4E27E215">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06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w:t>
            </w:r>
          </w:p>
        </w:tc>
      </w:tr>
      <w:tr w14:paraId="176B5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9F9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0FA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23B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BD71F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F2F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28D07">
            <w:pP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F1334">
            <w:pPr>
              <w:rPr>
                <w:rFonts w:hint="eastAsia" w:ascii="宋体" w:hAnsi="宋体" w:eastAsia="宋体" w:cs="宋体"/>
                <w:i w:val="0"/>
                <w:iCs w:val="0"/>
                <w:color w:val="000000"/>
                <w:sz w:val="18"/>
                <w:szCs w:val="18"/>
                <w:u w:val="none"/>
              </w:rPr>
            </w:pP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55DF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坚持预防为主、防治结合的方针。遵循依法防治、科学管理、分级负责、专业指导、部门合作、社会参与的原则，将性病防治与艾滋病防治工作相结合，整合防治资源，实行性病艾滋病综合防治，有效控制性病艾滋病传播。</w:t>
            </w:r>
          </w:p>
        </w:tc>
        <w:tc>
          <w:tcPr>
            <w:tcW w:w="4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81F62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7DF2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5743C">
            <w:pP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2C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CA49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截至</w:t>
            </w:r>
            <w:r>
              <w:rPr>
                <w:rFonts w:ascii="宋体" w:hAnsi="宋体" w:eastAsia="宋体" w:cs="宋体"/>
                <w:i w:val="0"/>
                <w:iCs w:val="0"/>
                <w:color w:val="000000"/>
                <w:kern w:val="0"/>
                <w:sz w:val="18"/>
                <w:szCs w:val="18"/>
                <w:u w:val="none"/>
                <w:lang w:val="en-US" w:eastAsia="zh-CN" w:bidi="ar"/>
              </w:rPr>
              <w:t>12月底，在项目实施过程中，我中心完成了以下工作：加强防治保障，提升防治能力，落实防治措施，维持性病疫情低流行态势。完成省、市、区级规定的性病防治技术措施数量质量考核指标。</w:t>
            </w:r>
          </w:p>
        </w:tc>
      </w:tr>
      <w:tr w14:paraId="0F7BC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2E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9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   （万元）</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4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D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E2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C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E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8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9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722C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3DDCE">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D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D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1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5E6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B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B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D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148F1">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6406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69544">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0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6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D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870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3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4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2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E604D">
            <w:pPr>
              <w:rPr>
                <w:rFonts w:hint="eastAsia" w:ascii="黑体" w:hAnsi="黑体" w:eastAsia="黑体" w:cs="黑体"/>
                <w:i w:val="0"/>
                <w:iCs w:val="0"/>
                <w:color w:val="000000"/>
                <w:sz w:val="16"/>
                <w:szCs w:val="16"/>
                <w:u w:val="none"/>
              </w:rPr>
            </w:pPr>
          </w:p>
        </w:tc>
      </w:tr>
      <w:tr w14:paraId="210A7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ADE16">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A33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7A1B">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7C5F">
            <w:pPr>
              <w:jc w:val="center"/>
              <w:rPr>
                <w:rFonts w:hint="eastAsia" w:ascii="宋体" w:hAnsi="宋体" w:eastAsia="宋体" w:cs="宋体"/>
                <w:i w:val="0"/>
                <w:iCs w:val="0"/>
                <w:color w:val="000000"/>
                <w:sz w:val="18"/>
                <w:szCs w:val="18"/>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3FC9C2">
            <w:pPr>
              <w:jc w:val="center"/>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DB6F">
            <w:pPr>
              <w:jc w:val="center"/>
              <w:rPr>
                <w:rFonts w:hint="eastAsia"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83DD">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317A">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14734">
            <w:pPr>
              <w:rPr>
                <w:rFonts w:hint="eastAsia" w:ascii="黑体" w:hAnsi="黑体" w:eastAsia="黑体" w:cs="黑体"/>
                <w:i w:val="0"/>
                <w:iCs w:val="0"/>
                <w:color w:val="000000"/>
                <w:sz w:val="16"/>
                <w:szCs w:val="16"/>
                <w:u w:val="none"/>
              </w:rPr>
            </w:pPr>
          </w:p>
        </w:tc>
      </w:tr>
      <w:tr w14:paraId="5D4BE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B2945">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8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838E">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ACF8">
            <w:pPr>
              <w:jc w:val="center"/>
              <w:rPr>
                <w:rFonts w:hint="eastAsia" w:ascii="宋体" w:hAnsi="宋体" w:eastAsia="宋体" w:cs="宋体"/>
                <w:i w:val="0"/>
                <w:iCs w:val="0"/>
                <w:color w:val="000000"/>
                <w:sz w:val="18"/>
                <w:szCs w:val="18"/>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DA715">
            <w:pPr>
              <w:jc w:val="center"/>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43AE">
            <w:pPr>
              <w:jc w:val="center"/>
              <w:rPr>
                <w:rFonts w:hint="eastAsia"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CED0">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C5A5">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EB60D">
            <w:pPr>
              <w:rPr>
                <w:rFonts w:hint="eastAsia" w:ascii="黑体" w:hAnsi="黑体" w:eastAsia="黑体" w:cs="黑体"/>
                <w:i w:val="0"/>
                <w:iCs w:val="0"/>
                <w:color w:val="000000"/>
                <w:sz w:val="16"/>
                <w:szCs w:val="16"/>
                <w:u w:val="none"/>
              </w:rPr>
            </w:pPr>
          </w:p>
        </w:tc>
      </w:tr>
      <w:tr w14:paraId="1C029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E6E1D">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E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8552">
            <w:pPr>
              <w:jc w:val="center"/>
              <w:rPr>
                <w:rFonts w:hint="eastAsia" w:ascii="微软雅黑" w:hAnsi="微软雅黑" w:eastAsia="微软雅黑" w:cs="微软雅黑"/>
                <w:i/>
                <w:iCs/>
                <w:color w:val="000000"/>
                <w:sz w:val="16"/>
                <w:szCs w:val="16"/>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72E0">
            <w:pPr>
              <w:jc w:val="center"/>
              <w:rPr>
                <w:rFonts w:hint="eastAsia" w:ascii="微软雅黑" w:hAnsi="微软雅黑" w:eastAsia="微软雅黑" w:cs="微软雅黑"/>
                <w:i/>
                <w:iCs/>
                <w:color w:val="000000"/>
                <w:sz w:val="16"/>
                <w:szCs w:val="16"/>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86E233">
            <w:pPr>
              <w:jc w:val="center"/>
              <w:rPr>
                <w:rFonts w:hint="eastAsia" w:ascii="微软雅黑" w:hAnsi="微软雅黑" w:eastAsia="微软雅黑" w:cs="微软雅黑"/>
                <w:i/>
                <w:iCs/>
                <w:color w:val="000000"/>
                <w:sz w:val="16"/>
                <w:szCs w:val="16"/>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676A">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32A1">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FC53">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18067">
            <w:pPr>
              <w:rPr>
                <w:rFonts w:hint="eastAsia" w:ascii="黑体" w:hAnsi="黑体" w:eastAsia="黑体" w:cs="黑体"/>
                <w:i w:val="0"/>
                <w:iCs w:val="0"/>
                <w:color w:val="000000"/>
                <w:sz w:val="16"/>
                <w:szCs w:val="16"/>
                <w:u w:val="none"/>
              </w:rPr>
            </w:pPr>
          </w:p>
        </w:tc>
      </w:tr>
      <w:tr w14:paraId="4E0D2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FA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0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5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C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7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0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9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6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F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5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F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EC83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79819">
            <w:pPr>
              <w:jc w:val="center"/>
              <w:rPr>
                <w:rFonts w:hint="eastAsia" w:ascii="宋体" w:hAnsi="宋体" w:eastAsia="宋体" w:cs="宋体"/>
                <w:i w:val="0"/>
                <w:iCs w:val="0"/>
                <w:color w:val="000000"/>
                <w:sz w:val="18"/>
                <w:szCs w:val="18"/>
                <w:u w:val="none"/>
              </w:rPr>
            </w:pP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90D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B03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8A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主动开展梅毒检测200人次</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E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E7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B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9CE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A7A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1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D7F6">
            <w:pPr>
              <w:jc w:val="center"/>
              <w:rPr>
                <w:rFonts w:hint="eastAsia" w:ascii="微软雅黑" w:hAnsi="微软雅黑" w:eastAsia="微软雅黑" w:cs="微软雅黑"/>
                <w:i/>
                <w:iCs/>
                <w:color w:val="000000"/>
                <w:sz w:val="16"/>
                <w:szCs w:val="16"/>
                <w:u w:val="none"/>
              </w:rPr>
            </w:pPr>
          </w:p>
        </w:tc>
      </w:tr>
      <w:tr w14:paraId="47C8D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93C84">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CBABA">
            <w:pPr>
              <w:rPr>
                <w:rFonts w:hint="eastAsia" w:ascii="宋体" w:hAnsi="宋体" w:eastAsia="宋体" w:cs="宋体"/>
                <w:i w:val="0"/>
                <w:iCs w:val="0"/>
                <w:color w:val="000000"/>
                <w:sz w:val="18"/>
                <w:szCs w:val="18"/>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73DCA">
            <w:pP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AD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开展梅毒知晓率调查200人份</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2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99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0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981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78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2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CD59">
            <w:pPr>
              <w:jc w:val="center"/>
              <w:rPr>
                <w:rFonts w:hint="eastAsia" w:ascii="微软雅黑" w:hAnsi="微软雅黑" w:eastAsia="微软雅黑" w:cs="微软雅黑"/>
                <w:i/>
                <w:iCs/>
                <w:color w:val="000000"/>
                <w:sz w:val="16"/>
                <w:szCs w:val="16"/>
                <w:u w:val="none"/>
              </w:rPr>
            </w:pPr>
          </w:p>
        </w:tc>
      </w:tr>
      <w:tr w14:paraId="6182F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3B816">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B54DA">
            <w:pPr>
              <w:rPr>
                <w:rFonts w:hint="eastAsia" w:ascii="宋体" w:hAnsi="宋体" w:eastAsia="宋体" w:cs="宋体"/>
                <w:i w:val="0"/>
                <w:iCs w:val="0"/>
                <w:color w:val="000000"/>
                <w:sz w:val="18"/>
                <w:szCs w:val="18"/>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5E4DD">
            <w:pP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E7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开展性病防治工作督导、性病病例漏报调查等每年2次</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5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1C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D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9E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DD2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A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E569">
            <w:pPr>
              <w:jc w:val="center"/>
              <w:rPr>
                <w:rFonts w:hint="eastAsia" w:ascii="微软雅黑" w:hAnsi="微软雅黑" w:eastAsia="微软雅黑" w:cs="微软雅黑"/>
                <w:i/>
                <w:iCs/>
                <w:color w:val="000000"/>
                <w:sz w:val="16"/>
                <w:szCs w:val="16"/>
                <w:u w:val="none"/>
              </w:rPr>
            </w:pPr>
          </w:p>
        </w:tc>
      </w:tr>
      <w:tr w14:paraId="1720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E7127">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43500">
            <w:pPr>
              <w:rPr>
                <w:rFonts w:hint="eastAsia" w:ascii="宋体" w:hAnsi="宋体" w:eastAsia="宋体" w:cs="宋体"/>
                <w:i w:val="0"/>
                <w:iCs w:val="0"/>
                <w:color w:val="000000"/>
                <w:sz w:val="18"/>
                <w:szCs w:val="18"/>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6262E">
            <w:pP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1C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协助公安针对卖淫嫖娼人员强制性病检测100人次</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E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82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D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D84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12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3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6EE6">
            <w:pPr>
              <w:jc w:val="center"/>
              <w:rPr>
                <w:rFonts w:hint="eastAsia" w:ascii="微软雅黑" w:hAnsi="微软雅黑" w:eastAsia="微软雅黑" w:cs="微软雅黑"/>
                <w:i/>
                <w:iCs/>
                <w:color w:val="000000"/>
                <w:sz w:val="16"/>
                <w:szCs w:val="16"/>
                <w:u w:val="none"/>
              </w:rPr>
            </w:pPr>
          </w:p>
        </w:tc>
      </w:tr>
      <w:tr w14:paraId="7056A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F9CBF">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2CBA3">
            <w:pPr>
              <w:rPr>
                <w:rFonts w:hint="eastAsia" w:ascii="宋体" w:hAnsi="宋体" w:eastAsia="宋体" w:cs="宋体"/>
                <w:i w:val="0"/>
                <w:iCs w:val="0"/>
                <w:color w:val="000000"/>
                <w:sz w:val="18"/>
                <w:szCs w:val="18"/>
                <w:u w:val="none"/>
              </w:rPr>
            </w:pP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383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2F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梅毒终期期评估知晓率调查知晓率：城市≧95%，农村≧85%，流动人口≧88%， 暗娼和男同≧95%</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3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E9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D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FC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66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D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604C">
            <w:pPr>
              <w:jc w:val="center"/>
              <w:rPr>
                <w:rFonts w:hint="eastAsia" w:ascii="微软雅黑" w:hAnsi="微软雅黑" w:eastAsia="微软雅黑" w:cs="微软雅黑"/>
                <w:i/>
                <w:iCs/>
                <w:color w:val="000000"/>
                <w:sz w:val="16"/>
                <w:szCs w:val="16"/>
                <w:u w:val="none"/>
              </w:rPr>
            </w:pPr>
          </w:p>
        </w:tc>
      </w:tr>
      <w:tr w14:paraId="2B1CC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B1382">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7DE9E">
            <w:pPr>
              <w:rPr>
                <w:rFonts w:hint="eastAsia" w:ascii="宋体" w:hAnsi="宋体" w:eastAsia="宋体" w:cs="宋体"/>
                <w:i w:val="0"/>
                <w:iCs w:val="0"/>
                <w:color w:val="000000"/>
                <w:sz w:val="18"/>
                <w:szCs w:val="18"/>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8DE5C">
            <w:pP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58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梅毒患者接受规范治疗率、可疑患者及时转诊率≧90%</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4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04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0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BD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C3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1D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C56D">
            <w:pPr>
              <w:jc w:val="center"/>
              <w:rPr>
                <w:rFonts w:hint="eastAsia" w:ascii="微软雅黑" w:hAnsi="微软雅黑" w:eastAsia="微软雅黑" w:cs="微软雅黑"/>
                <w:i/>
                <w:iCs/>
                <w:color w:val="000000"/>
                <w:sz w:val="16"/>
                <w:szCs w:val="16"/>
                <w:u w:val="none"/>
              </w:rPr>
            </w:pPr>
          </w:p>
        </w:tc>
      </w:tr>
      <w:tr w14:paraId="44FA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B5EE7">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F83CE">
            <w:pPr>
              <w:rPr>
                <w:rFonts w:hint="eastAsia" w:ascii="宋体" w:hAnsi="宋体" w:eastAsia="宋体" w:cs="宋体"/>
                <w:i w:val="0"/>
                <w:iCs w:val="0"/>
                <w:color w:val="000000"/>
                <w:sz w:val="18"/>
                <w:szCs w:val="18"/>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0A4FB">
            <w:pP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9A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公共场所安全套摆放率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F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0D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2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59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A9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3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8EED">
            <w:pPr>
              <w:jc w:val="center"/>
              <w:rPr>
                <w:rFonts w:hint="eastAsia" w:ascii="微软雅黑" w:hAnsi="微软雅黑" w:eastAsia="微软雅黑" w:cs="微软雅黑"/>
                <w:i/>
                <w:iCs/>
                <w:color w:val="000000"/>
                <w:sz w:val="16"/>
                <w:szCs w:val="16"/>
                <w:u w:val="none"/>
              </w:rPr>
            </w:pPr>
          </w:p>
        </w:tc>
      </w:tr>
      <w:tr w14:paraId="4827D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C7C50">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EB380">
            <w:pP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75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54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在实施方案规定的时间内完成</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E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72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A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35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85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C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E6CA">
            <w:pPr>
              <w:jc w:val="center"/>
              <w:rPr>
                <w:rFonts w:hint="eastAsia" w:ascii="微软雅黑" w:hAnsi="微软雅黑" w:eastAsia="微软雅黑" w:cs="微软雅黑"/>
                <w:i/>
                <w:iCs/>
                <w:color w:val="000000"/>
                <w:sz w:val="16"/>
                <w:szCs w:val="16"/>
                <w:u w:val="none"/>
              </w:rPr>
            </w:pPr>
          </w:p>
        </w:tc>
      </w:tr>
      <w:tr w14:paraId="7FE67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A99AE">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55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8E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0C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提高性病发现率、降低性病传播</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0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43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D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137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78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3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4A27">
            <w:pPr>
              <w:jc w:val="center"/>
              <w:rPr>
                <w:rFonts w:hint="eastAsia" w:ascii="微软雅黑" w:hAnsi="微软雅黑" w:eastAsia="微软雅黑" w:cs="微软雅黑"/>
                <w:i/>
                <w:iCs/>
                <w:color w:val="000000"/>
                <w:sz w:val="16"/>
                <w:szCs w:val="16"/>
                <w:u w:val="none"/>
              </w:rPr>
            </w:pPr>
          </w:p>
        </w:tc>
      </w:tr>
      <w:tr w14:paraId="6A4EA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38946">
            <w:pPr>
              <w:jc w:val="center"/>
              <w:rPr>
                <w:rFonts w:hint="eastAsia" w:ascii="宋体" w:hAnsi="宋体" w:eastAsia="宋体" w:cs="宋体"/>
                <w:i w:val="0"/>
                <w:iCs w:val="0"/>
                <w:color w:val="000000"/>
                <w:sz w:val="18"/>
                <w:szCs w:val="18"/>
                <w:u w:val="none"/>
              </w:rPr>
            </w:pP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F64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22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ED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感染者/病人认可度</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C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E5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7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56D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FF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C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54B0">
            <w:pPr>
              <w:jc w:val="center"/>
              <w:rPr>
                <w:rFonts w:hint="eastAsia" w:ascii="微软雅黑" w:hAnsi="微软雅黑" w:eastAsia="微软雅黑" w:cs="微软雅黑"/>
                <w:i/>
                <w:iCs/>
                <w:color w:val="000000"/>
                <w:sz w:val="16"/>
                <w:szCs w:val="16"/>
                <w:u w:val="none"/>
              </w:rPr>
            </w:pPr>
          </w:p>
        </w:tc>
      </w:tr>
      <w:tr w14:paraId="3E950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3A150">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6856E">
            <w:pP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26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F0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性病项目管理部门满意度</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4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07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4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EB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C2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8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FB27">
            <w:pPr>
              <w:jc w:val="center"/>
              <w:rPr>
                <w:rFonts w:hint="eastAsia" w:ascii="微软雅黑" w:hAnsi="微软雅黑" w:eastAsia="微软雅黑" w:cs="微软雅黑"/>
                <w:i/>
                <w:iCs/>
                <w:color w:val="000000"/>
                <w:sz w:val="16"/>
                <w:szCs w:val="16"/>
                <w:u w:val="none"/>
              </w:rPr>
            </w:pPr>
          </w:p>
        </w:tc>
      </w:tr>
      <w:tr w14:paraId="3DD4C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AF997">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A2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54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7E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宣传印刷、培训、网络运行、培训等支出2万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4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56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C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315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06C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A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F307">
            <w:pPr>
              <w:jc w:val="center"/>
              <w:rPr>
                <w:rFonts w:hint="eastAsia" w:ascii="微软雅黑" w:hAnsi="微软雅黑" w:eastAsia="微软雅黑" w:cs="微软雅黑"/>
                <w:i/>
                <w:iCs/>
                <w:color w:val="000000"/>
                <w:sz w:val="16"/>
                <w:szCs w:val="16"/>
                <w:u w:val="none"/>
              </w:rPr>
            </w:pPr>
          </w:p>
        </w:tc>
      </w:tr>
      <w:tr w14:paraId="2690A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286" w:hRule="atLeast"/>
        </w:trPr>
        <w:tc>
          <w:tcPr>
            <w:tcW w:w="104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E68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9939">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FE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8969">
            <w:pPr>
              <w:rPr>
                <w:rFonts w:hint="eastAsia" w:ascii="宋体" w:hAnsi="宋体" w:eastAsia="宋体" w:cs="宋体"/>
                <w:i w:val="0"/>
                <w:iCs w:val="0"/>
                <w:color w:val="000000"/>
                <w:sz w:val="18"/>
                <w:szCs w:val="18"/>
                <w:u w:val="none"/>
              </w:rPr>
            </w:pPr>
          </w:p>
        </w:tc>
      </w:tr>
      <w:tr w14:paraId="3F076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C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9176A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截至2024年12月31日，性病防治工作经费使用情况良好，全面完成年初制订的项目绩效目标工作任务，工作满意率100%。按照预算绩效管理要求，本部门对该项目开展绩效自评，自评得分90分，从项目的立项、资金申报与使用、项目完成进度和质量等多方面评价。该项目完成绩效目标情况良好。</w:t>
            </w:r>
          </w:p>
        </w:tc>
      </w:tr>
      <w:tr w14:paraId="0D455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D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29E77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完善监测网络，及时准确掌握流行趋势，应加快区疾控中心CD4检测实验室和梅毒确认实验室建设，引导重点和高危人群参加免费的自愿咨询和初筛检测。</w:t>
            </w:r>
          </w:p>
        </w:tc>
      </w:tr>
      <w:tr w14:paraId="0EEB8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B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66C4E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多争取政府与各级部门支持，性病防控工作需要多部门参与，应加大经费投入，扩大流动人员的管理和干预，特别是加大对社会组织参与性病防控工作经费的支持力度，有效遏制性病的传播蔓延。</w:t>
            </w:r>
          </w:p>
        </w:tc>
      </w:tr>
      <w:tr w14:paraId="5487C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7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01BC0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项目负责人：宋昌军</w:t>
            </w:r>
          </w:p>
        </w:tc>
        <w:tc>
          <w:tcPr>
            <w:tcW w:w="65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9251B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财务负责人：吴霞</w:t>
            </w:r>
          </w:p>
        </w:tc>
      </w:tr>
      <w:tr w14:paraId="7899C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904" w:hRule="atLeast"/>
        </w:trPr>
        <w:tc>
          <w:tcPr>
            <w:tcW w:w="13679" w:type="dxa"/>
            <w:gridSpan w:val="11"/>
            <w:tcBorders>
              <w:top w:val="nil"/>
              <w:left w:val="nil"/>
              <w:bottom w:val="nil"/>
              <w:right w:val="nil"/>
            </w:tcBorders>
            <w:shd w:val="clear" w:color="auto" w:fill="auto"/>
            <w:vAlign w:val="center"/>
          </w:tcPr>
          <w:p w14:paraId="4E760057">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5A570086">
            <w:pPr>
              <w:pStyle w:val="2"/>
              <w:rPr>
                <w:rFonts w:hint="eastAsia" w:ascii="宋体" w:hAnsi="宋体" w:eastAsia="宋体" w:cs="宋体"/>
                <w:b/>
                <w:bCs/>
                <w:i w:val="0"/>
                <w:iCs w:val="0"/>
                <w:color w:val="000000"/>
                <w:kern w:val="0"/>
                <w:sz w:val="40"/>
                <w:szCs w:val="40"/>
                <w:u w:val="none"/>
                <w:lang w:val="en-US" w:eastAsia="zh-CN" w:bidi="ar"/>
              </w:rPr>
            </w:pPr>
          </w:p>
          <w:p w14:paraId="1C4CD582">
            <w:pPr>
              <w:pStyle w:val="3"/>
              <w:rPr>
                <w:rFonts w:hint="eastAsia"/>
                <w:lang w:val="en-US" w:eastAsia="zh-CN"/>
              </w:rPr>
            </w:pPr>
          </w:p>
          <w:p w14:paraId="37E47820">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部门预算项目支出绩效自评表</w:t>
            </w:r>
          </w:p>
        </w:tc>
      </w:tr>
      <w:tr w14:paraId="7D22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60" w:hRule="atLeast"/>
        </w:trPr>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F57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AB59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51090424T000011120370-地方病防治</w:t>
            </w:r>
          </w:p>
        </w:tc>
      </w:tr>
      <w:tr w14:paraId="32DF7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12" w:hRule="atLeast"/>
        </w:trPr>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C7B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9433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遂宁市安居区卫生健康局</w:t>
            </w:r>
          </w:p>
        </w:tc>
        <w:tc>
          <w:tcPr>
            <w:tcW w:w="1107" w:type="dxa"/>
            <w:tcBorders>
              <w:top w:val="nil"/>
              <w:left w:val="nil"/>
              <w:bottom w:val="nil"/>
              <w:right w:val="nil"/>
            </w:tcBorders>
            <w:shd w:val="clear" w:color="auto" w:fill="auto"/>
            <w:vAlign w:val="center"/>
          </w:tcPr>
          <w:p w14:paraId="74EF673C">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BCC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w:t>
            </w:r>
          </w:p>
        </w:tc>
      </w:tr>
      <w:tr w14:paraId="4235C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43A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1C3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4B9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CD2BF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A9AF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E5569">
            <w:pP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7674E">
            <w:pPr>
              <w:rPr>
                <w:rFonts w:hint="eastAsia" w:ascii="宋体" w:hAnsi="宋体" w:eastAsia="宋体" w:cs="宋体"/>
                <w:i w:val="0"/>
                <w:iCs w:val="0"/>
                <w:color w:val="000000"/>
                <w:sz w:val="18"/>
                <w:szCs w:val="18"/>
                <w:u w:val="none"/>
              </w:rPr>
            </w:pP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4AA5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和完善地方病防控工作体系，加强地方病防治队伍建设，提高专业人员技术水平和服务能力，规范开展地方病综合监测，干预和评估，完善地方病信息管理系统，探索适合于本区的地方病防控策略、措施和长效管理模式。</w:t>
            </w:r>
          </w:p>
        </w:tc>
        <w:tc>
          <w:tcPr>
            <w:tcW w:w="4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DC586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767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17276">
            <w:pP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E7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651E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截至</w:t>
            </w:r>
            <w:r>
              <w:rPr>
                <w:rFonts w:ascii="宋体" w:hAnsi="宋体" w:eastAsia="宋体" w:cs="宋体"/>
                <w:i w:val="0"/>
                <w:iCs w:val="0"/>
                <w:color w:val="000000"/>
                <w:kern w:val="0"/>
                <w:sz w:val="18"/>
                <w:szCs w:val="18"/>
                <w:u w:val="none"/>
                <w:lang w:val="en-US" w:eastAsia="zh-CN" w:bidi="ar"/>
              </w:rPr>
              <w:t>12月底，在项目实施过程中，我中心完成了以下工作：实施地方病防治业务工作的指导、培训、督导考核工作，开展相关技术规范、指南、标准的业务培训和推广应用，对辖区各医疗机构和社区卫生服务机构开展基本公共卫生服务均等化技术指导、督导考核和效果评估工作，加强地方病防治的宣传力度，提高群众对各种地方病的认识，保障人民群众的身体健康。</w:t>
            </w:r>
          </w:p>
        </w:tc>
      </w:tr>
      <w:tr w14:paraId="767DA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DE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9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   （万元）</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A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3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4E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8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2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8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B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FE58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0EF38">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9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0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E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DCD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8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1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F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979C1">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27C3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0CF04">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1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8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3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14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F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D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1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E415A">
            <w:pPr>
              <w:rPr>
                <w:rFonts w:hint="eastAsia" w:ascii="黑体" w:hAnsi="黑体" w:eastAsia="黑体" w:cs="黑体"/>
                <w:i w:val="0"/>
                <w:iCs w:val="0"/>
                <w:color w:val="000000"/>
                <w:sz w:val="16"/>
                <w:szCs w:val="16"/>
                <w:u w:val="none"/>
              </w:rPr>
            </w:pPr>
          </w:p>
        </w:tc>
      </w:tr>
      <w:tr w14:paraId="2948C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6EAD4">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837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FBDD">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C882">
            <w:pPr>
              <w:jc w:val="center"/>
              <w:rPr>
                <w:rFonts w:hint="eastAsia" w:ascii="宋体" w:hAnsi="宋体" w:eastAsia="宋体" w:cs="宋体"/>
                <w:i w:val="0"/>
                <w:iCs w:val="0"/>
                <w:color w:val="000000"/>
                <w:sz w:val="18"/>
                <w:szCs w:val="18"/>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B82760">
            <w:pPr>
              <w:jc w:val="center"/>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691A">
            <w:pPr>
              <w:jc w:val="center"/>
              <w:rPr>
                <w:rFonts w:hint="eastAsia"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2B8E">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542D">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3DFA4">
            <w:pPr>
              <w:rPr>
                <w:rFonts w:hint="eastAsia" w:ascii="黑体" w:hAnsi="黑体" w:eastAsia="黑体" w:cs="黑体"/>
                <w:i w:val="0"/>
                <w:iCs w:val="0"/>
                <w:color w:val="000000"/>
                <w:sz w:val="16"/>
                <w:szCs w:val="16"/>
                <w:u w:val="none"/>
              </w:rPr>
            </w:pPr>
          </w:p>
        </w:tc>
      </w:tr>
      <w:tr w14:paraId="5BC1E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16D60">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D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4812">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8F0D">
            <w:pPr>
              <w:jc w:val="center"/>
              <w:rPr>
                <w:rFonts w:hint="eastAsia" w:ascii="宋体" w:hAnsi="宋体" w:eastAsia="宋体" w:cs="宋体"/>
                <w:i w:val="0"/>
                <w:iCs w:val="0"/>
                <w:color w:val="000000"/>
                <w:sz w:val="18"/>
                <w:szCs w:val="18"/>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3302B">
            <w:pPr>
              <w:jc w:val="center"/>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23AC">
            <w:pPr>
              <w:jc w:val="center"/>
              <w:rPr>
                <w:rFonts w:hint="eastAsia"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CF13">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E3C4">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B23F4">
            <w:pPr>
              <w:rPr>
                <w:rFonts w:hint="eastAsia" w:ascii="黑体" w:hAnsi="黑体" w:eastAsia="黑体" w:cs="黑体"/>
                <w:i w:val="0"/>
                <w:iCs w:val="0"/>
                <w:color w:val="000000"/>
                <w:sz w:val="16"/>
                <w:szCs w:val="16"/>
                <w:u w:val="none"/>
              </w:rPr>
            </w:pPr>
          </w:p>
        </w:tc>
      </w:tr>
      <w:tr w14:paraId="2A656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99C06">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7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4348">
            <w:pPr>
              <w:jc w:val="center"/>
              <w:rPr>
                <w:rFonts w:hint="eastAsia" w:ascii="微软雅黑" w:hAnsi="微软雅黑" w:eastAsia="微软雅黑" w:cs="微软雅黑"/>
                <w:i/>
                <w:iCs/>
                <w:color w:val="000000"/>
                <w:sz w:val="16"/>
                <w:szCs w:val="16"/>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2564">
            <w:pPr>
              <w:jc w:val="center"/>
              <w:rPr>
                <w:rFonts w:hint="eastAsia" w:ascii="微软雅黑" w:hAnsi="微软雅黑" w:eastAsia="微软雅黑" w:cs="微软雅黑"/>
                <w:i/>
                <w:iCs/>
                <w:color w:val="000000"/>
                <w:sz w:val="16"/>
                <w:szCs w:val="16"/>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D48B9B">
            <w:pPr>
              <w:jc w:val="center"/>
              <w:rPr>
                <w:rFonts w:hint="eastAsia" w:ascii="微软雅黑" w:hAnsi="微软雅黑" w:eastAsia="微软雅黑" w:cs="微软雅黑"/>
                <w:i/>
                <w:iCs/>
                <w:color w:val="000000"/>
                <w:sz w:val="16"/>
                <w:szCs w:val="16"/>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257F">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C33F">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BE74">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31238">
            <w:pPr>
              <w:rPr>
                <w:rFonts w:hint="eastAsia" w:ascii="黑体" w:hAnsi="黑体" w:eastAsia="黑体" w:cs="黑体"/>
                <w:i w:val="0"/>
                <w:iCs w:val="0"/>
                <w:color w:val="000000"/>
                <w:sz w:val="16"/>
                <w:szCs w:val="16"/>
                <w:u w:val="none"/>
              </w:rPr>
            </w:pPr>
          </w:p>
        </w:tc>
      </w:tr>
      <w:tr w14:paraId="1531C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2D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E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5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C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6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E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1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F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E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D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3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8C43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E37A8">
            <w:pPr>
              <w:jc w:val="center"/>
              <w:rPr>
                <w:rFonts w:hint="eastAsia" w:ascii="宋体" w:hAnsi="宋体" w:eastAsia="宋体" w:cs="宋体"/>
                <w:i w:val="0"/>
                <w:iCs w:val="0"/>
                <w:color w:val="000000"/>
                <w:sz w:val="18"/>
                <w:szCs w:val="18"/>
                <w:u w:val="none"/>
              </w:rPr>
            </w:pP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421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E23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85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发热病人疟原虫血检户籍人口数的0.5‰</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9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2E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F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BF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89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2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C46C">
            <w:pPr>
              <w:jc w:val="center"/>
              <w:rPr>
                <w:rFonts w:hint="eastAsia" w:ascii="微软雅黑" w:hAnsi="微软雅黑" w:eastAsia="微软雅黑" w:cs="微软雅黑"/>
                <w:i/>
                <w:iCs/>
                <w:color w:val="000000"/>
                <w:sz w:val="16"/>
                <w:szCs w:val="16"/>
                <w:u w:val="none"/>
              </w:rPr>
            </w:pPr>
          </w:p>
        </w:tc>
      </w:tr>
      <w:tr w14:paraId="1A5CF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FC35F">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7FF35">
            <w:pPr>
              <w:rPr>
                <w:rFonts w:hint="eastAsia" w:ascii="宋体" w:hAnsi="宋体" w:eastAsia="宋体" w:cs="宋体"/>
                <w:i w:val="0"/>
                <w:iCs w:val="0"/>
                <w:color w:val="000000"/>
                <w:sz w:val="18"/>
                <w:szCs w:val="18"/>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88FDF">
            <w:pP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1C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8-10岁儿童尿碘、盐碘200人,孕妇尿碘、盐碘100人</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2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00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8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BA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AE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5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582C">
            <w:pPr>
              <w:jc w:val="center"/>
              <w:rPr>
                <w:rFonts w:hint="eastAsia" w:ascii="微软雅黑" w:hAnsi="微软雅黑" w:eastAsia="微软雅黑" w:cs="微软雅黑"/>
                <w:i/>
                <w:iCs/>
                <w:color w:val="000000"/>
                <w:sz w:val="16"/>
                <w:szCs w:val="16"/>
                <w:u w:val="none"/>
              </w:rPr>
            </w:pPr>
          </w:p>
        </w:tc>
      </w:tr>
      <w:tr w14:paraId="69434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9902B">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B5A28">
            <w:pPr>
              <w:rPr>
                <w:rFonts w:hint="eastAsia" w:ascii="宋体" w:hAnsi="宋体" w:eastAsia="宋体" w:cs="宋体"/>
                <w:i w:val="0"/>
                <w:iCs w:val="0"/>
                <w:color w:val="000000"/>
                <w:sz w:val="18"/>
                <w:szCs w:val="18"/>
                <w:u w:val="none"/>
              </w:rPr>
            </w:pP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49D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00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碘盐覆盖率95%,合格碘盐食用率90%</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A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14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1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7A2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5D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3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A355">
            <w:pPr>
              <w:jc w:val="center"/>
              <w:rPr>
                <w:rFonts w:hint="eastAsia" w:ascii="微软雅黑" w:hAnsi="微软雅黑" w:eastAsia="微软雅黑" w:cs="微软雅黑"/>
                <w:i/>
                <w:iCs/>
                <w:color w:val="000000"/>
                <w:sz w:val="16"/>
                <w:szCs w:val="16"/>
                <w:u w:val="none"/>
              </w:rPr>
            </w:pPr>
          </w:p>
        </w:tc>
      </w:tr>
      <w:tr w14:paraId="3F6EF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6A6C6">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39578">
            <w:pPr>
              <w:rPr>
                <w:rFonts w:hint="eastAsia" w:ascii="宋体" w:hAnsi="宋体" w:eastAsia="宋体" w:cs="宋体"/>
                <w:i w:val="0"/>
                <w:iCs w:val="0"/>
                <w:color w:val="000000"/>
                <w:sz w:val="18"/>
                <w:szCs w:val="18"/>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F79D5">
            <w:pP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71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疟疾患者24小时内报告率、个案调查率、疫点调查率、规范治疗率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C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39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1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92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535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9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AE7E">
            <w:pPr>
              <w:jc w:val="center"/>
              <w:rPr>
                <w:rFonts w:hint="eastAsia" w:ascii="微软雅黑" w:hAnsi="微软雅黑" w:eastAsia="微软雅黑" w:cs="微软雅黑"/>
                <w:i/>
                <w:iCs/>
                <w:color w:val="000000"/>
                <w:sz w:val="16"/>
                <w:szCs w:val="16"/>
                <w:u w:val="none"/>
              </w:rPr>
            </w:pPr>
          </w:p>
        </w:tc>
      </w:tr>
      <w:tr w14:paraId="47E6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B7FCF">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2FC85">
            <w:pP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FD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CD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项目完成时间节点</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9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D5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2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98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E6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8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9D14">
            <w:pPr>
              <w:jc w:val="center"/>
              <w:rPr>
                <w:rFonts w:hint="eastAsia" w:ascii="微软雅黑" w:hAnsi="微软雅黑" w:eastAsia="微软雅黑" w:cs="微软雅黑"/>
                <w:i/>
                <w:iCs/>
                <w:color w:val="000000"/>
                <w:sz w:val="16"/>
                <w:szCs w:val="16"/>
                <w:u w:val="none"/>
              </w:rPr>
            </w:pPr>
          </w:p>
        </w:tc>
      </w:tr>
      <w:tr w14:paraId="3547F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B3AB0">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54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70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C3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社会群众对地方病的防治认识</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0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71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C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3BA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50D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2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9ABC">
            <w:pPr>
              <w:jc w:val="center"/>
              <w:rPr>
                <w:rFonts w:hint="eastAsia" w:ascii="微软雅黑" w:hAnsi="微软雅黑" w:eastAsia="微软雅黑" w:cs="微软雅黑"/>
                <w:i/>
                <w:iCs/>
                <w:color w:val="000000"/>
                <w:sz w:val="16"/>
                <w:szCs w:val="16"/>
                <w:u w:val="none"/>
              </w:rPr>
            </w:pPr>
          </w:p>
        </w:tc>
      </w:tr>
      <w:tr w14:paraId="6C81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9E161">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1A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B7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C6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省市级考核满意度</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A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13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E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9A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AB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4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0B61">
            <w:pPr>
              <w:jc w:val="center"/>
              <w:rPr>
                <w:rFonts w:hint="eastAsia" w:ascii="微软雅黑" w:hAnsi="微软雅黑" w:eastAsia="微软雅黑" w:cs="微软雅黑"/>
                <w:i/>
                <w:iCs/>
                <w:color w:val="000000"/>
                <w:sz w:val="16"/>
                <w:szCs w:val="16"/>
                <w:u w:val="none"/>
              </w:rPr>
            </w:pPr>
          </w:p>
        </w:tc>
      </w:tr>
      <w:tr w14:paraId="78AEB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24E2D">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A8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3B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75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宣传印刷、培训、邮电网络、委托业务等2万元</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B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92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8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EE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50C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C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C1F5">
            <w:pPr>
              <w:jc w:val="center"/>
              <w:rPr>
                <w:rFonts w:hint="eastAsia" w:ascii="微软雅黑" w:hAnsi="微软雅黑" w:eastAsia="微软雅黑" w:cs="微软雅黑"/>
                <w:i/>
                <w:iCs/>
                <w:color w:val="000000"/>
                <w:sz w:val="16"/>
                <w:szCs w:val="16"/>
                <w:u w:val="none"/>
              </w:rPr>
            </w:pPr>
          </w:p>
        </w:tc>
      </w:tr>
      <w:tr w14:paraId="439CE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286" w:hRule="atLeast"/>
        </w:trPr>
        <w:tc>
          <w:tcPr>
            <w:tcW w:w="104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0FA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7C8A">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A3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F309">
            <w:pPr>
              <w:rPr>
                <w:rFonts w:hint="eastAsia" w:ascii="宋体" w:hAnsi="宋体" w:eastAsia="宋体" w:cs="宋体"/>
                <w:i w:val="0"/>
                <w:iCs w:val="0"/>
                <w:color w:val="000000"/>
                <w:sz w:val="18"/>
                <w:szCs w:val="18"/>
                <w:u w:val="none"/>
              </w:rPr>
            </w:pPr>
          </w:p>
        </w:tc>
      </w:tr>
      <w:tr w14:paraId="4E62F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F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83271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截至2024年12月31日，地方病防治项目工作经费使用情况良好，全面完成年初制订的项目绩效目标工作任务，工作满意率100%。按照预算绩效管理要求，本部门对该项目开展绩效自评，自评得分91分，从项目的立项、资金申报与使用、项目完成进度和质量等多方面评价。该项目完成绩效目标情况良好。</w:t>
            </w:r>
          </w:p>
        </w:tc>
      </w:tr>
      <w:tr w14:paraId="47332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5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6C4DF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地方病防治任务重，专业人员缺乏，给防治工作带来很大困难，专业人员的防治技术有待于进一步提高，宣传力度有待于加强。</w:t>
            </w:r>
          </w:p>
        </w:tc>
      </w:tr>
      <w:tr w14:paraId="09A10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5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E7312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地方病监测力度，规范监测流程，为防控措施的调整和落实提供科学依据，完善地方病综合防治长效工作机制。拓宽宣传渠道、丰富宣传手段，普及防治知识，增强广大群众防病意识。完善碘盐销售网络的合理设置，方便群众就近购买。</w:t>
            </w:r>
          </w:p>
        </w:tc>
      </w:tr>
      <w:tr w14:paraId="74CC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7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8C608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项目负责人：陈胜春</w:t>
            </w:r>
          </w:p>
        </w:tc>
        <w:tc>
          <w:tcPr>
            <w:tcW w:w="65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8E48B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财务负责人：吴霞</w:t>
            </w:r>
          </w:p>
        </w:tc>
      </w:tr>
      <w:tr w14:paraId="10E39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904" w:hRule="atLeast"/>
        </w:trPr>
        <w:tc>
          <w:tcPr>
            <w:tcW w:w="13679" w:type="dxa"/>
            <w:gridSpan w:val="11"/>
            <w:tcBorders>
              <w:top w:val="nil"/>
              <w:left w:val="nil"/>
              <w:bottom w:val="nil"/>
              <w:right w:val="nil"/>
            </w:tcBorders>
            <w:shd w:val="clear" w:color="auto" w:fill="auto"/>
            <w:vAlign w:val="center"/>
          </w:tcPr>
          <w:p w14:paraId="1408CA66">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13E17300">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部门预算项目支出绩效自评表</w:t>
            </w:r>
          </w:p>
        </w:tc>
      </w:tr>
      <w:tr w14:paraId="4A083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60" w:hRule="atLeast"/>
        </w:trPr>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E1E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FAD6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51090424T000011120409-慢性病防治及健康促进</w:t>
            </w:r>
          </w:p>
        </w:tc>
      </w:tr>
      <w:tr w14:paraId="097A1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12" w:hRule="atLeast"/>
        </w:trPr>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326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B3DA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遂宁市安居区卫生健康局</w:t>
            </w:r>
          </w:p>
        </w:tc>
        <w:tc>
          <w:tcPr>
            <w:tcW w:w="1107" w:type="dxa"/>
            <w:tcBorders>
              <w:top w:val="nil"/>
              <w:left w:val="nil"/>
              <w:bottom w:val="nil"/>
              <w:right w:val="nil"/>
            </w:tcBorders>
            <w:shd w:val="clear" w:color="auto" w:fill="auto"/>
            <w:vAlign w:val="center"/>
          </w:tcPr>
          <w:p w14:paraId="63E863CC">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09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w:t>
            </w:r>
          </w:p>
        </w:tc>
      </w:tr>
      <w:tr w14:paraId="1D5A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E5A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2F9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7C7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31D26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859B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220E9">
            <w:pP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45ACD">
            <w:pPr>
              <w:rPr>
                <w:rFonts w:hint="eastAsia" w:ascii="宋体" w:hAnsi="宋体" w:eastAsia="宋体" w:cs="宋体"/>
                <w:i w:val="0"/>
                <w:iCs w:val="0"/>
                <w:color w:val="000000"/>
                <w:sz w:val="18"/>
                <w:szCs w:val="18"/>
                <w:u w:val="none"/>
              </w:rPr>
            </w:pP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AC7A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通过全面努力地发现慢病病人、及早治疗和实施系统管理，以及提高广大群众对慢病防治知识的知晓率和改变不良生活习惯等，降低慢病的发生率和病死率，提高全民健康水平。</w:t>
            </w:r>
          </w:p>
        </w:tc>
        <w:tc>
          <w:tcPr>
            <w:tcW w:w="4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D75CE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A7AF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95221">
            <w:pP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CD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3A57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截至</w:t>
            </w:r>
            <w:r>
              <w:rPr>
                <w:rFonts w:ascii="宋体" w:hAnsi="宋体" w:eastAsia="宋体" w:cs="宋体"/>
                <w:i w:val="0"/>
                <w:iCs w:val="0"/>
                <w:color w:val="000000"/>
                <w:kern w:val="0"/>
                <w:sz w:val="18"/>
                <w:szCs w:val="18"/>
                <w:u w:val="none"/>
                <w:lang w:val="en-US" w:eastAsia="zh-CN" w:bidi="ar"/>
              </w:rPr>
              <w:t>12月底，在项目实施过程中，我中心完成了以下工作：实施慢性非传染性疾病防治业务工作的指导、培训、督导考核工作，开展相关技术规范、指南、标准的业务培训和推广应用，对辖区各医疗机构和社区卫生服务机构开展基本公共卫生服务均等化技术指导、督导考核和效果评估工作，加强慢病防治的宣传力度，提高群众对各种慢性病的认识，保障人民群众的身体健康。</w:t>
            </w:r>
          </w:p>
        </w:tc>
      </w:tr>
      <w:tr w14:paraId="3B92C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DC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D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   （万元）</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C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D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B7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7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A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6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2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99A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E6E11">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D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5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2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15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F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D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4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87A6C">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C3A8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43D71">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4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7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7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6D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6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6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8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F20D0">
            <w:pPr>
              <w:rPr>
                <w:rFonts w:hint="eastAsia" w:ascii="黑体" w:hAnsi="黑体" w:eastAsia="黑体" w:cs="黑体"/>
                <w:i w:val="0"/>
                <w:iCs w:val="0"/>
                <w:color w:val="000000"/>
                <w:sz w:val="16"/>
                <w:szCs w:val="16"/>
                <w:u w:val="none"/>
              </w:rPr>
            </w:pPr>
          </w:p>
        </w:tc>
      </w:tr>
      <w:tr w14:paraId="69FC1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BDDA7">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07F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B6B0">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C0FD">
            <w:pPr>
              <w:jc w:val="center"/>
              <w:rPr>
                <w:rFonts w:hint="eastAsia" w:ascii="宋体" w:hAnsi="宋体" w:eastAsia="宋体" w:cs="宋体"/>
                <w:i w:val="0"/>
                <w:iCs w:val="0"/>
                <w:color w:val="000000"/>
                <w:sz w:val="18"/>
                <w:szCs w:val="18"/>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E325B">
            <w:pPr>
              <w:jc w:val="center"/>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C7E5">
            <w:pPr>
              <w:jc w:val="center"/>
              <w:rPr>
                <w:rFonts w:hint="eastAsia"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8F0D">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4E8F">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0C218">
            <w:pPr>
              <w:rPr>
                <w:rFonts w:hint="eastAsia" w:ascii="黑体" w:hAnsi="黑体" w:eastAsia="黑体" w:cs="黑体"/>
                <w:i w:val="0"/>
                <w:iCs w:val="0"/>
                <w:color w:val="000000"/>
                <w:sz w:val="16"/>
                <w:szCs w:val="16"/>
                <w:u w:val="none"/>
              </w:rPr>
            </w:pPr>
          </w:p>
        </w:tc>
      </w:tr>
      <w:tr w14:paraId="3B996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3DDEE">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6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89DE">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16F5">
            <w:pPr>
              <w:jc w:val="center"/>
              <w:rPr>
                <w:rFonts w:hint="eastAsia" w:ascii="宋体" w:hAnsi="宋体" w:eastAsia="宋体" w:cs="宋体"/>
                <w:i w:val="0"/>
                <w:iCs w:val="0"/>
                <w:color w:val="000000"/>
                <w:sz w:val="18"/>
                <w:szCs w:val="18"/>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4CF48">
            <w:pPr>
              <w:jc w:val="center"/>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1D06">
            <w:pPr>
              <w:jc w:val="center"/>
              <w:rPr>
                <w:rFonts w:hint="eastAsia"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A598">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5248">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ACB41">
            <w:pPr>
              <w:rPr>
                <w:rFonts w:hint="eastAsia" w:ascii="黑体" w:hAnsi="黑体" w:eastAsia="黑体" w:cs="黑体"/>
                <w:i w:val="0"/>
                <w:iCs w:val="0"/>
                <w:color w:val="000000"/>
                <w:sz w:val="16"/>
                <w:szCs w:val="16"/>
                <w:u w:val="none"/>
              </w:rPr>
            </w:pPr>
          </w:p>
        </w:tc>
      </w:tr>
      <w:tr w14:paraId="5D213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F585E">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9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C14C">
            <w:pPr>
              <w:jc w:val="center"/>
              <w:rPr>
                <w:rFonts w:hint="eastAsia" w:ascii="微软雅黑" w:hAnsi="微软雅黑" w:eastAsia="微软雅黑" w:cs="微软雅黑"/>
                <w:i/>
                <w:iCs/>
                <w:color w:val="000000"/>
                <w:sz w:val="16"/>
                <w:szCs w:val="16"/>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B8F8">
            <w:pPr>
              <w:jc w:val="center"/>
              <w:rPr>
                <w:rFonts w:hint="eastAsia" w:ascii="微软雅黑" w:hAnsi="微软雅黑" w:eastAsia="微软雅黑" w:cs="微软雅黑"/>
                <w:i/>
                <w:iCs/>
                <w:color w:val="000000"/>
                <w:sz w:val="16"/>
                <w:szCs w:val="16"/>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E6272">
            <w:pPr>
              <w:jc w:val="center"/>
              <w:rPr>
                <w:rFonts w:hint="eastAsia" w:ascii="微软雅黑" w:hAnsi="微软雅黑" w:eastAsia="微软雅黑" w:cs="微软雅黑"/>
                <w:i/>
                <w:iCs/>
                <w:color w:val="000000"/>
                <w:sz w:val="16"/>
                <w:szCs w:val="16"/>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61B2">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4844">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5496">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BA468">
            <w:pPr>
              <w:rPr>
                <w:rFonts w:hint="eastAsia" w:ascii="黑体" w:hAnsi="黑体" w:eastAsia="黑体" w:cs="黑体"/>
                <w:i w:val="0"/>
                <w:iCs w:val="0"/>
                <w:color w:val="000000"/>
                <w:sz w:val="16"/>
                <w:szCs w:val="16"/>
                <w:u w:val="none"/>
              </w:rPr>
            </w:pPr>
          </w:p>
        </w:tc>
      </w:tr>
      <w:tr w14:paraId="214AB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DF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0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8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F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8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C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B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3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2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1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5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F484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45A58">
            <w:pPr>
              <w:jc w:val="center"/>
              <w:rPr>
                <w:rFonts w:hint="eastAsia" w:ascii="宋体" w:hAnsi="宋体" w:eastAsia="宋体" w:cs="宋体"/>
                <w:i w:val="0"/>
                <w:iCs w:val="0"/>
                <w:color w:val="000000"/>
                <w:sz w:val="18"/>
                <w:szCs w:val="18"/>
                <w:u w:val="none"/>
              </w:rPr>
            </w:pP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D49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666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E6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高血压管理18岁以上常住人口的25.2%、糖尿病管理18岁以上常住人口的9.7%</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9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12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C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C0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2A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16D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933C">
            <w:pPr>
              <w:jc w:val="center"/>
              <w:rPr>
                <w:rFonts w:hint="eastAsia" w:ascii="微软雅黑" w:hAnsi="微软雅黑" w:eastAsia="微软雅黑" w:cs="微软雅黑"/>
                <w:i/>
                <w:iCs/>
                <w:color w:val="000000"/>
                <w:sz w:val="16"/>
                <w:szCs w:val="16"/>
                <w:u w:val="none"/>
              </w:rPr>
            </w:pPr>
          </w:p>
        </w:tc>
      </w:tr>
      <w:tr w14:paraId="12871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33EC3">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D360C">
            <w:pPr>
              <w:rPr>
                <w:rFonts w:hint="eastAsia" w:ascii="宋体" w:hAnsi="宋体" w:eastAsia="宋体" w:cs="宋体"/>
                <w:i w:val="0"/>
                <w:iCs w:val="0"/>
                <w:color w:val="000000"/>
                <w:sz w:val="18"/>
                <w:szCs w:val="18"/>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2D80C">
            <w:pP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EA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儿童伤害监测按实际伤害数上报</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5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67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E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40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EB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04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4738">
            <w:pPr>
              <w:jc w:val="center"/>
              <w:rPr>
                <w:rFonts w:hint="eastAsia" w:ascii="微软雅黑" w:hAnsi="微软雅黑" w:eastAsia="微软雅黑" w:cs="微软雅黑"/>
                <w:i/>
                <w:iCs/>
                <w:color w:val="000000"/>
                <w:sz w:val="16"/>
                <w:szCs w:val="16"/>
                <w:u w:val="none"/>
              </w:rPr>
            </w:pPr>
          </w:p>
        </w:tc>
      </w:tr>
      <w:tr w14:paraId="29516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3886F">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1EBC8">
            <w:pPr>
              <w:rPr>
                <w:rFonts w:hint="eastAsia" w:ascii="宋体" w:hAnsi="宋体" w:eastAsia="宋体" w:cs="宋体"/>
                <w:i w:val="0"/>
                <w:iCs w:val="0"/>
                <w:color w:val="000000"/>
                <w:sz w:val="18"/>
                <w:szCs w:val="18"/>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3346A">
            <w:pP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38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肿瘤粗发病率监测户籍人口数的200/10万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1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0E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2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8FB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74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E2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7E6B">
            <w:pPr>
              <w:jc w:val="center"/>
              <w:rPr>
                <w:rFonts w:hint="eastAsia" w:ascii="微软雅黑" w:hAnsi="微软雅黑" w:eastAsia="微软雅黑" w:cs="微软雅黑"/>
                <w:i/>
                <w:iCs/>
                <w:color w:val="000000"/>
                <w:sz w:val="16"/>
                <w:szCs w:val="16"/>
                <w:u w:val="none"/>
              </w:rPr>
            </w:pPr>
          </w:p>
        </w:tc>
      </w:tr>
      <w:tr w14:paraId="4F576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0D419">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46822">
            <w:pPr>
              <w:rPr>
                <w:rFonts w:hint="eastAsia" w:ascii="宋体" w:hAnsi="宋体" w:eastAsia="宋体" w:cs="宋体"/>
                <w:i w:val="0"/>
                <w:iCs w:val="0"/>
                <w:color w:val="000000"/>
                <w:sz w:val="18"/>
                <w:szCs w:val="18"/>
                <w:u w:val="none"/>
              </w:rPr>
            </w:pP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FBC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28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实测血压控制率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C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E0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C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E0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65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EA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1F3">
            <w:pPr>
              <w:jc w:val="center"/>
              <w:rPr>
                <w:rFonts w:hint="eastAsia" w:ascii="微软雅黑" w:hAnsi="微软雅黑" w:eastAsia="微软雅黑" w:cs="微软雅黑"/>
                <w:i/>
                <w:iCs/>
                <w:color w:val="000000"/>
                <w:sz w:val="16"/>
                <w:szCs w:val="16"/>
                <w:u w:val="none"/>
              </w:rPr>
            </w:pPr>
          </w:p>
        </w:tc>
      </w:tr>
      <w:tr w14:paraId="45191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A7EC7">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9784C">
            <w:pPr>
              <w:rPr>
                <w:rFonts w:hint="eastAsia" w:ascii="宋体" w:hAnsi="宋体" w:eastAsia="宋体" w:cs="宋体"/>
                <w:i w:val="0"/>
                <w:iCs w:val="0"/>
                <w:color w:val="000000"/>
                <w:sz w:val="18"/>
                <w:szCs w:val="18"/>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9E9F8">
            <w:pP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6E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糖尿病管理率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E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A7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C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33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81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70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382E">
            <w:pPr>
              <w:jc w:val="center"/>
              <w:rPr>
                <w:rFonts w:hint="eastAsia" w:ascii="微软雅黑" w:hAnsi="微软雅黑" w:eastAsia="微软雅黑" w:cs="微软雅黑"/>
                <w:i/>
                <w:iCs/>
                <w:color w:val="000000"/>
                <w:sz w:val="16"/>
                <w:szCs w:val="16"/>
                <w:u w:val="none"/>
              </w:rPr>
            </w:pPr>
          </w:p>
        </w:tc>
      </w:tr>
      <w:tr w14:paraId="7E78C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A680A">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B4B17">
            <w:pPr>
              <w:rPr>
                <w:rFonts w:hint="eastAsia" w:ascii="宋体" w:hAnsi="宋体" w:eastAsia="宋体" w:cs="宋体"/>
                <w:i w:val="0"/>
                <w:iCs w:val="0"/>
                <w:color w:val="000000"/>
                <w:sz w:val="18"/>
                <w:szCs w:val="18"/>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7B666">
            <w:pP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1A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肿瘤报告卡审核率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9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2F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8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A7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21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28D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4F00">
            <w:pPr>
              <w:jc w:val="center"/>
              <w:rPr>
                <w:rFonts w:hint="eastAsia" w:ascii="微软雅黑" w:hAnsi="微软雅黑" w:eastAsia="微软雅黑" w:cs="微软雅黑"/>
                <w:i/>
                <w:iCs/>
                <w:color w:val="000000"/>
                <w:sz w:val="16"/>
                <w:szCs w:val="16"/>
                <w:u w:val="none"/>
              </w:rPr>
            </w:pPr>
          </w:p>
        </w:tc>
      </w:tr>
      <w:tr w14:paraId="2765A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B4A3A">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13957">
            <w:pP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3B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B8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在实施方案规定的时间内完成</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2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A3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0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D29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FA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04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6081">
            <w:pPr>
              <w:jc w:val="center"/>
              <w:rPr>
                <w:rFonts w:hint="eastAsia" w:ascii="微软雅黑" w:hAnsi="微软雅黑" w:eastAsia="微软雅黑" w:cs="微软雅黑"/>
                <w:i/>
                <w:iCs/>
                <w:color w:val="000000"/>
                <w:sz w:val="16"/>
                <w:szCs w:val="16"/>
                <w:u w:val="none"/>
              </w:rPr>
            </w:pPr>
          </w:p>
        </w:tc>
      </w:tr>
      <w:tr w14:paraId="1857C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F43E9">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E5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CE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1E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提高全民健康水平</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F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D2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B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6AA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F2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70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511D">
            <w:pPr>
              <w:jc w:val="center"/>
              <w:rPr>
                <w:rFonts w:hint="eastAsia" w:ascii="微软雅黑" w:hAnsi="微软雅黑" w:eastAsia="微软雅黑" w:cs="微软雅黑"/>
                <w:i/>
                <w:iCs/>
                <w:color w:val="000000"/>
                <w:sz w:val="16"/>
                <w:szCs w:val="16"/>
                <w:u w:val="none"/>
              </w:rPr>
            </w:pPr>
          </w:p>
        </w:tc>
      </w:tr>
      <w:tr w14:paraId="67DA8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626F3">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4D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D1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4A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省市级考核满意度</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2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0E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0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072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09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FE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E652">
            <w:pPr>
              <w:jc w:val="center"/>
              <w:rPr>
                <w:rFonts w:hint="eastAsia" w:ascii="微软雅黑" w:hAnsi="微软雅黑" w:eastAsia="微软雅黑" w:cs="微软雅黑"/>
                <w:i/>
                <w:iCs/>
                <w:color w:val="000000"/>
                <w:sz w:val="16"/>
                <w:szCs w:val="16"/>
                <w:u w:val="none"/>
              </w:rPr>
            </w:pPr>
          </w:p>
        </w:tc>
      </w:tr>
      <w:tr w14:paraId="1ED7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FA743">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B9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39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08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宣传印刷、维护、培训、邮电等支出2万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0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68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4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D23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05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14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E16F">
            <w:pPr>
              <w:jc w:val="center"/>
              <w:rPr>
                <w:rFonts w:hint="eastAsia" w:ascii="微软雅黑" w:hAnsi="微软雅黑" w:eastAsia="微软雅黑" w:cs="微软雅黑"/>
                <w:i/>
                <w:iCs/>
                <w:color w:val="000000"/>
                <w:sz w:val="16"/>
                <w:szCs w:val="16"/>
                <w:u w:val="none"/>
              </w:rPr>
            </w:pPr>
          </w:p>
        </w:tc>
      </w:tr>
      <w:tr w14:paraId="76E32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286" w:hRule="atLeast"/>
        </w:trPr>
        <w:tc>
          <w:tcPr>
            <w:tcW w:w="104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447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E4CF">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63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DC57">
            <w:pPr>
              <w:rPr>
                <w:rFonts w:hint="eastAsia" w:ascii="宋体" w:hAnsi="宋体" w:eastAsia="宋体" w:cs="宋体"/>
                <w:i w:val="0"/>
                <w:iCs w:val="0"/>
                <w:color w:val="000000"/>
                <w:sz w:val="18"/>
                <w:szCs w:val="18"/>
                <w:u w:val="none"/>
              </w:rPr>
            </w:pPr>
          </w:p>
        </w:tc>
      </w:tr>
      <w:tr w14:paraId="626F1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3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9EDA4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截至2024年12月31日，慢病防治项目工作经费使用情况良好，全面完成年初制订的项目绩效目标工作任务，工作满意率100%。按照预算绩效管理要求，本部门对该项目开展绩效自评，自评得分94分，从项目的立项、资金申报与使用、项目完成进度和质量等多方面评价。该项目完成绩效目标情况良好。</w:t>
            </w:r>
          </w:p>
        </w:tc>
      </w:tr>
      <w:tr w14:paraId="74B8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8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EB583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一是全社会对慢性病的危害认识不足；二是慢性病联防联控机制不健全，制约了慢性病防控工作的开展；三是慢性病防治形势严峻，部分医院重业务，对慢性病人管理工作重视不够，防控效力未得到充分发挥。</w:t>
            </w:r>
          </w:p>
        </w:tc>
      </w:tr>
      <w:tr w14:paraId="0FA5F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E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B95BF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坚持政府主导，把慢性病防控工作纳入民生工程抓好抓实建立健全部门协作机制，落实综合防控措施加大卫生信息化建设力度，建立慢性病防控大数据平台，政府加大对基层医疗卫生机构和疾病机构慢性病防控的经费投入，逐步完善和充实慢性病防控相关设备。</w:t>
            </w:r>
          </w:p>
        </w:tc>
      </w:tr>
      <w:tr w14:paraId="22845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7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0C2C6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项目负责人：陈胜春</w:t>
            </w:r>
          </w:p>
        </w:tc>
        <w:tc>
          <w:tcPr>
            <w:tcW w:w="65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15122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财务负责人：吴霞</w:t>
            </w:r>
          </w:p>
        </w:tc>
      </w:tr>
      <w:tr w14:paraId="3EE3A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904" w:hRule="atLeast"/>
        </w:trPr>
        <w:tc>
          <w:tcPr>
            <w:tcW w:w="13679" w:type="dxa"/>
            <w:gridSpan w:val="11"/>
            <w:tcBorders>
              <w:top w:val="nil"/>
              <w:left w:val="nil"/>
              <w:bottom w:val="nil"/>
              <w:right w:val="nil"/>
            </w:tcBorders>
            <w:shd w:val="clear" w:color="auto" w:fill="auto"/>
            <w:vAlign w:val="center"/>
          </w:tcPr>
          <w:p w14:paraId="39EF94F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部门预算项目支出绩效自评表</w:t>
            </w:r>
          </w:p>
        </w:tc>
      </w:tr>
      <w:tr w14:paraId="50042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60" w:hRule="atLeast"/>
        </w:trPr>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38B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AD7A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51090424T000011120451-死因监测</w:t>
            </w:r>
          </w:p>
        </w:tc>
      </w:tr>
      <w:tr w14:paraId="125F2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12" w:hRule="atLeast"/>
        </w:trPr>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72A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F401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遂宁市安居区卫生健康局</w:t>
            </w:r>
          </w:p>
        </w:tc>
        <w:tc>
          <w:tcPr>
            <w:tcW w:w="1107" w:type="dxa"/>
            <w:tcBorders>
              <w:top w:val="nil"/>
              <w:left w:val="nil"/>
              <w:bottom w:val="nil"/>
              <w:right w:val="nil"/>
            </w:tcBorders>
            <w:shd w:val="clear" w:color="auto" w:fill="auto"/>
            <w:vAlign w:val="center"/>
          </w:tcPr>
          <w:p w14:paraId="29BEAA89">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4F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w:t>
            </w:r>
          </w:p>
        </w:tc>
      </w:tr>
      <w:tr w14:paraId="3C598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2F7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E69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E52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5FF02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43BC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BAD1E">
            <w:pP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CD4A2">
            <w:pPr>
              <w:rPr>
                <w:rFonts w:hint="eastAsia" w:ascii="宋体" w:hAnsi="宋体" w:eastAsia="宋体" w:cs="宋体"/>
                <w:i w:val="0"/>
                <w:iCs w:val="0"/>
                <w:color w:val="000000"/>
                <w:sz w:val="18"/>
                <w:szCs w:val="18"/>
                <w:u w:val="none"/>
              </w:rPr>
            </w:pP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AD24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提供科学、准确、有代表性的，能客观反映国家和地区经济社会发展状况的人均期望寿命、婴儿死亡率等相关健康指标和居民死因谱等重要信息，更好地为卫生决策服务。</w:t>
            </w:r>
          </w:p>
        </w:tc>
        <w:tc>
          <w:tcPr>
            <w:tcW w:w="4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84214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371D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4B0CD">
            <w:pP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01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EE0E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掌握辖区居民死亡信息。实施过程中，先构建多渠道信息收集网络，涵盖医疗机构、社区等，确保死亡病例及时上报；再组织专业人员对上报信息进行审核、编码，保障数据准确规范；同时定期开展数据质量核查，对问题数据追溯修正；最终将分析整理后的死因数据用于评估居民健康状况、制定公共卫生策略，为疾病防控和健康促进提供科学依据 。</w:t>
            </w:r>
          </w:p>
        </w:tc>
      </w:tr>
      <w:tr w14:paraId="7E2E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3A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8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   （万元）</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B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5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5D8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D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A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9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6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2E9A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1C82C">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F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0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C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6A9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6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9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3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54311">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0A4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5ED15">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F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D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4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25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D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6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5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7A697">
            <w:pPr>
              <w:rPr>
                <w:rFonts w:hint="eastAsia" w:ascii="黑体" w:hAnsi="黑体" w:eastAsia="黑体" w:cs="黑体"/>
                <w:i w:val="0"/>
                <w:iCs w:val="0"/>
                <w:color w:val="000000"/>
                <w:sz w:val="16"/>
                <w:szCs w:val="16"/>
                <w:u w:val="none"/>
              </w:rPr>
            </w:pPr>
          </w:p>
        </w:tc>
      </w:tr>
      <w:tr w14:paraId="7DD38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B6FC7">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5DF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D3C6">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8A38">
            <w:pPr>
              <w:jc w:val="center"/>
              <w:rPr>
                <w:rFonts w:hint="eastAsia" w:ascii="宋体" w:hAnsi="宋体" w:eastAsia="宋体" w:cs="宋体"/>
                <w:i w:val="0"/>
                <w:iCs w:val="0"/>
                <w:color w:val="000000"/>
                <w:sz w:val="18"/>
                <w:szCs w:val="18"/>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C78E8C">
            <w:pPr>
              <w:jc w:val="center"/>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8219">
            <w:pPr>
              <w:jc w:val="center"/>
              <w:rPr>
                <w:rFonts w:hint="eastAsia"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9B9E">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D148">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1F95F">
            <w:pPr>
              <w:rPr>
                <w:rFonts w:hint="eastAsia" w:ascii="黑体" w:hAnsi="黑体" w:eastAsia="黑体" w:cs="黑体"/>
                <w:i w:val="0"/>
                <w:iCs w:val="0"/>
                <w:color w:val="000000"/>
                <w:sz w:val="16"/>
                <w:szCs w:val="16"/>
                <w:u w:val="none"/>
              </w:rPr>
            </w:pPr>
          </w:p>
        </w:tc>
      </w:tr>
      <w:tr w14:paraId="3607E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B6823">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2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0EA7">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C085">
            <w:pPr>
              <w:jc w:val="center"/>
              <w:rPr>
                <w:rFonts w:hint="eastAsia" w:ascii="宋体" w:hAnsi="宋体" w:eastAsia="宋体" w:cs="宋体"/>
                <w:i w:val="0"/>
                <w:iCs w:val="0"/>
                <w:color w:val="000000"/>
                <w:sz w:val="18"/>
                <w:szCs w:val="18"/>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87112">
            <w:pPr>
              <w:jc w:val="center"/>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C999">
            <w:pPr>
              <w:jc w:val="center"/>
              <w:rPr>
                <w:rFonts w:hint="eastAsia"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7836">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850B">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13F79">
            <w:pPr>
              <w:rPr>
                <w:rFonts w:hint="eastAsia" w:ascii="黑体" w:hAnsi="黑体" w:eastAsia="黑体" w:cs="黑体"/>
                <w:i w:val="0"/>
                <w:iCs w:val="0"/>
                <w:color w:val="000000"/>
                <w:sz w:val="16"/>
                <w:szCs w:val="16"/>
                <w:u w:val="none"/>
              </w:rPr>
            </w:pPr>
          </w:p>
        </w:tc>
      </w:tr>
      <w:tr w14:paraId="02F23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8BD79">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7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663D">
            <w:pPr>
              <w:jc w:val="center"/>
              <w:rPr>
                <w:rFonts w:hint="eastAsia" w:ascii="微软雅黑" w:hAnsi="微软雅黑" w:eastAsia="微软雅黑" w:cs="微软雅黑"/>
                <w:i/>
                <w:iCs/>
                <w:color w:val="000000"/>
                <w:sz w:val="16"/>
                <w:szCs w:val="16"/>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4AEC">
            <w:pPr>
              <w:jc w:val="center"/>
              <w:rPr>
                <w:rFonts w:hint="eastAsia" w:ascii="微软雅黑" w:hAnsi="微软雅黑" w:eastAsia="微软雅黑" w:cs="微软雅黑"/>
                <w:i/>
                <w:iCs/>
                <w:color w:val="000000"/>
                <w:sz w:val="16"/>
                <w:szCs w:val="16"/>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73973">
            <w:pPr>
              <w:jc w:val="center"/>
              <w:rPr>
                <w:rFonts w:hint="eastAsia" w:ascii="微软雅黑" w:hAnsi="微软雅黑" w:eastAsia="微软雅黑" w:cs="微软雅黑"/>
                <w:i/>
                <w:iCs/>
                <w:color w:val="000000"/>
                <w:sz w:val="16"/>
                <w:szCs w:val="16"/>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CC82">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F6C2">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5CE2">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96F77">
            <w:pPr>
              <w:rPr>
                <w:rFonts w:hint="eastAsia" w:ascii="黑体" w:hAnsi="黑体" w:eastAsia="黑体" w:cs="黑体"/>
                <w:i w:val="0"/>
                <w:iCs w:val="0"/>
                <w:color w:val="000000"/>
                <w:sz w:val="16"/>
                <w:szCs w:val="16"/>
                <w:u w:val="none"/>
              </w:rPr>
            </w:pPr>
          </w:p>
        </w:tc>
      </w:tr>
      <w:tr w14:paraId="63544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EB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F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B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0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5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3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8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8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8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6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8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322B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B7CE5">
            <w:pPr>
              <w:jc w:val="center"/>
              <w:rPr>
                <w:rFonts w:hint="eastAsia" w:ascii="宋体" w:hAnsi="宋体" w:eastAsia="宋体" w:cs="宋体"/>
                <w:i w:val="0"/>
                <w:iCs w:val="0"/>
                <w:color w:val="000000"/>
                <w:sz w:val="18"/>
                <w:szCs w:val="18"/>
                <w:u w:val="none"/>
              </w:rPr>
            </w:pP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AED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4F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69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报告死亡数≥4945人、死亡漏报调查、死亡信息核对≥555条</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2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E5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0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23F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B4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1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B69D">
            <w:pPr>
              <w:jc w:val="center"/>
              <w:rPr>
                <w:rFonts w:hint="eastAsia" w:ascii="微软雅黑" w:hAnsi="微软雅黑" w:eastAsia="微软雅黑" w:cs="微软雅黑"/>
                <w:i/>
                <w:iCs/>
                <w:color w:val="000000"/>
                <w:sz w:val="16"/>
                <w:szCs w:val="16"/>
                <w:u w:val="none"/>
              </w:rPr>
            </w:pPr>
          </w:p>
        </w:tc>
      </w:tr>
      <w:tr w14:paraId="26447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5CF30">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A5F1F">
            <w:pP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61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D7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粗死亡率≥6.5‰，死因链条合格率、死因编码正确率、根本死因判断正确率≥95﹪，</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8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F6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1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4BA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FA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7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4B60">
            <w:pPr>
              <w:jc w:val="center"/>
              <w:rPr>
                <w:rFonts w:hint="eastAsia" w:ascii="微软雅黑" w:hAnsi="微软雅黑" w:eastAsia="微软雅黑" w:cs="微软雅黑"/>
                <w:i/>
                <w:iCs/>
                <w:color w:val="000000"/>
                <w:sz w:val="16"/>
                <w:szCs w:val="16"/>
                <w:u w:val="none"/>
              </w:rPr>
            </w:pPr>
          </w:p>
        </w:tc>
      </w:tr>
      <w:tr w14:paraId="37B76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77AEC">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A8DBA">
            <w:pP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F2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0C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项目完成时间节点完成</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A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4E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C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B1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6C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D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96FF">
            <w:pPr>
              <w:jc w:val="center"/>
              <w:rPr>
                <w:rFonts w:hint="eastAsia" w:ascii="微软雅黑" w:hAnsi="微软雅黑" w:eastAsia="微软雅黑" w:cs="微软雅黑"/>
                <w:i/>
                <w:iCs/>
                <w:color w:val="000000"/>
                <w:sz w:val="16"/>
                <w:szCs w:val="16"/>
                <w:u w:val="none"/>
              </w:rPr>
            </w:pPr>
          </w:p>
        </w:tc>
      </w:tr>
      <w:tr w14:paraId="47843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B053F">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A2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81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3E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全区覆盖率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A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F5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2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DE0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D4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5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723E">
            <w:pPr>
              <w:jc w:val="center"/>
              <w:rPr>
                <w:rFonts w:hint="eastAsia" w:ascii="微软雅黑" w:hAnsi="微软雅黑" w:eastAsia="微软雅黑" w:cs="微软雅黑"/>
                <w:i/>
                <w:iCs/>
                <w:color w:val="000000"/>
                <w:sz w:val="16"/>
                <w:szCs w:val="16"/>
                <w:u w:val="none"/>
              </w:rPr>
            </w:pPr>
          </w:p>
        </w:tc>
      </w:tr>
      <w:tr w14:paraId="3AD3E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9C5DD">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03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62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58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省市能考核满意度</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5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CF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A3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D22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6D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3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C2F1">
            <w:pPr>
              <w:jc w:val="center"/>
              <w:rPr>
                <w:rFonts w:hint="eastAsia" w:ascii="微软雅黑" w:hAnsi="微软雅黑" w:eastAsia="微软雅黑" w:cs="微软雅黑"/>
                <w:i/>
                <w:iCs/>
                <w:color w:val="000000"/>
                <w:sz w:val="16"/>
                <w:szCs w:val="16"/>
                <w:u w:val="none"/>
              </w:rPr>
            </w:pPr>
          </w:p>
        </w:tc>
      </w:tr>
      <w:tr w14:paraId="7C37C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11B57">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94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C1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CD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邮电网络、宣传印刷、培训督导</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3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4D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4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BF3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C7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F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465A">
            <w:pPr>
              <w:jc w:val="center"/>
              <w:rPr>
                <w:rFonts w:hint="eastAsia" w:ascii="微软雅黑" w:hAnsi="微软雅黑" w:eastAsia="微软雅黑" w:cs="微软雅黑"/>
                <w:i/>
                <w:iCs/>
                <w:color w:val="000000"/>
                <w:sz w:val="16"/>
                <w:szCs w:val="16"/>
                <w:u w:val="none"/>
              </w:rPr>
            </w:pPr>
          </w:p>
        </w:tc>
      </w:tr>
      <w:tr w14:paraId="6DE3B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286" w:hRule="atLeast"/>
        </w:trPr>
        <w:tc>
          <w:tcPr>
            <w:tcW w:w="104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09E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61DD">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AE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4B61">
            <w:pPr>
              <w:rPr>
                <w:rFonts w:hint="eastAsia" w:ascii="宋体" w:hAnsi="宋体" w:eastAsia="宋体" w:cs="宋体"/>
                <w:i w:val="0"/>
                <w:iCs w:val="0"/>
                <w:color w:val="000000"/>
                <w:sz w:val="18"/>
                <w:szCs w:val="18"/>
                <w:u w:val="none"/>
              </w:rPr>
            </w:pPr>
          </w:p>
        </w:tc>
      </w:tr>
      <w:tr w14:paraId="6D9D7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C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CB5DA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构建多维度、广覆盖的死因信息收集网络，涵盖各级医疗机构、社区卫生服务中心、村卫生室等，实现了死亡病例信息的全面捕捉。通过分析不同年龄段、性别、地区的死因构成和变化趋势，为公共卫生决策提供了科学依据。自评综合得分95分</w:t>
            </w:r>
          </w:p>
        </w:tc>
      </w:tr>
      <w:tr w14:paraId="32B85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1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E1ADA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部分基层医疗卫生机构对死因监测工作的重要性认识不足，存在报告意识淡薄、工作积极性不高的问题。一些工作人员认为死因监测工作增加了额外的工作负担，对死亡病例报告存在敷衍了事的现象，导致部分死亡病例信息漏报、错报。目前死因监测信息系统还存在一些功能缺陷，如数据查询和分析功能不够强大，无法满足复杂的数据分析需求；系统与其他公共卫生信息系统的对接不够顺畅，数据共享和交换存在一定障碍，影响了工作效率和数据利用效率。死因监测工作涉及多个部门，如公安、民政、统计等。在实际工作中，部门之间的沟通协作还不够紧密，信息共享不够及时、全面，导致部分死亡病例信息无法及时获取和核实，影响了死因监测工作的质量和效率。</w:t>
            </w:r>
          </w:p>
        </w:tc>
      </w:tr>
      <w:tr w14:paraId="3C696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1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0654F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大对死因监测信息系统的投入，完善系统功能，提高系统的稳定性和易用性。加强与其他公共卫生信息系统的对接，实现数据的实时共享和交换，提高工作效率和数据利用效率。利用大数据、人工智能等新技术，对死因数据进行深度挖掘和分析，为公共卫生决策提供更加精准的支持。建立健全部门间的沟通协调机制，定期召开联席会议，加强信息共享和工作协同。明确各部门的职责和分工，加强协作配合，形成工作合力。建立死亡病例信息核实机制，确保死亡病例信息的准确性和完整性。</w:t>
            </w:r>
          </w:p>
        </w:tc>
      </w:tr>
      <w:tr w14:paraId="50546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7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8D193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项目负责人：陈胜春</w:t>
            </w:r>
          </w:p>
        </w:tc>
        <w:tc>
          <w:tcPr>
            <w:tcW w:w="65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D652F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财务负责人：吴霞</w:t>
            </w:r>
          </w:p>
        </w:tc>
      </w:tr>
      <w:tr w14:paraId="3629B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904" w:hRule="atLeast"/>
        </w:trPr>
        <w:tc>
          <w:tcPr>
            <w:tcW w:w="13679" w:type="dxa"/>
            <w:gridSpan w:val="11"/>
            <w:tcBorders>
              <w:top w:val="nil"/>
              <w:left w:val="nil"/>
              <w:bottom w:val="nil"/>
              <w:right w:val="nil"/>
            </w:tcBorders>
            <w:shd w:val="clear" w:color="auto" w:fill="auto"/>
            <w:vAlign w:val="center"/>
          </w:tcPr>
          <w:p w14:paraId="091F9CA8">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791569C7">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1294EA70">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部门预算项目支出绩效自评表</w:t>
            </w:r>
          </w:p>
        </w:tc>
      </w:tr>
      <w:tr w14:paraId="56100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60" w:hRule="atLeast"/>
        </w:trPr>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FEB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5CE0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51090424T000011120494-急性传染病防控及网络直报管理</w:t>
            </w:r>
          </w:p>
        </w:tc>
      </w:tr>
      <w:tr w14:paraId="7E986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12" w:hRule="atLeast"/>
        </w:trPr>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09B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9AE2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遂宁市安居区卫生健康局</w:t>
            </w:r>
          </w:p>
        </w:tc>
        <w:tc>
          <w:tcPr>
            <w:tcW w:w="1107" w:type="dxa"/>
            <w:tcBorders>
              <w:top w:val="nil"/>
              <w:left w:val="nil"/>
              <w:bottom w:val="nil"/>
              <w:right w:val="nil"/>
            </w:tcBorders>
            <w:shd w:val="clear" w:color="auto" w:fill="auto"/>
            <w:vAlign w:val="center"/>
          </w:tcPr>
          <w:p w14:paraId="18ECAABA">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5B4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w:t>
            </w:r>
          </w:p>
        </w:tc>
      </w:tr>
      <w:tr w14:paraId="5ABB6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22B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06A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20F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2B685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742B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F6467">
            <w:pP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AB21B">
            <w:pPr>
              <w:rPr>
                <w:rFonts w:hint="eastAsia" w:ascii="宋体" w:hAnsi="宋体" w:eastAsia="宋体" w:cs="宋体"/>
                <w:i w:val="0"/>
                <w:iCs w:val="0"/>
                <w:color w:val="000000"/>
                <w:sz w:val="18"/>
                <w:szCs w:val="18"/>
                <w:u w:val="none"/>
              </w:rPr>
            </w:pP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14B1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加强全区疫情防控及其他传染病防控，加强全区传染病报告管理，加大重点传染病的监测与防控力度，提高传染病重大疫情预测预警能力，确保我区无重大传染病疫情发生。</w:t>
            </w:r>
          </w:p>
        </w:tc>
        <w:tc>
          <w:tcPr>
            <w:tcW w:w="4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6A1FD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7C07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9C072">
            <w:pP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4B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DE4C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截至</w:t>
            </w:r>
            <w:r>
              <w:rPr>
                <w:rFonts w:ascii="宋体" w:hAnsi="宋体" w:eastAsia="宋体" w:cs="宋体"/>
                <w:i w:val="0"/>
                <w:iCs w:val="0"/>
                <w:color w:val="000000"/>
                <w:kern w:val="0"/>
                <w:sz w:val="18"/>
                <w:szCs w:val="18"/>
                <w:u w:val="none"/>
                <w:lang w:val="en-US" w:eastAsia="zh-CN" w:bidi="ar"/>
              </w:rPr>
              <w:t>12月底，在项目实施过程中，我中心完成了以下工作：全区传染病的监测、预测、流行病学调查、疫情报告以及其他预防、控制工作。按照国家及上级业务部门关于对传染病督导、检查的相关规定，加强了全区传染病报告、督导工作；完善全区疫情报告网络运转及安全，提高了疫报及时率、审核率，以及传染病分析的及时与准确性；对全区传管相关业务工作人员定期开展传染病防治知识、技能、报告专业知识培训及考核，开展预防传染病的健康教育，加强了对相关传染病的监测。</w:t>
            </w:r>
          </w:p>
        </w:tc>
      </w:tr>
      <w:tr w14:paraId="37A5B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FB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3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   （万元）</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3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0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3B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E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3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D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0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D00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8321B">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0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9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5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1CF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C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8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F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76C5B">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F043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5D821">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E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5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7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0D3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4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1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5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FDEB2">
            <w:pPr>
              <w:rPr>
                <w:rFonts w:hint="eastAsia" w:ascii="黑体" w:hAnsi="黑体" w:eastAsia="黑体" w:cs="黑体"/>
                <w:i w:val="0"/>
                <w:iCs w:val="0"/>
                <w:color w:val="000000"/>
                <w:sz w:val="16"/>
                <w:szCs w:val="16"/>
                <w:u w:val="none"/>
              </w:rPr>
            </w:pPr>
          </w:p>
        </w:tc>
      </w:tr>
      <w:tr w14:paraId="4AA7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333CD">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668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A9B8">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0C8E">
            <w:pPr>
              <w:jc w:val="center"/>
              <w:rPr>
                <w:rFonts w:hint="eastAsia" w:ascii="宋体" w:hAnsi="宋体" w:eastAsia="宋体" w:cs="宋体"/>
                <w:i w:val="0"/>
                <w:iCs w:val="0"/>
                <w:color w:val="000000"/>
                <w:sz w:val="18"/>
                <w:szCs w:val="18"/>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5F079">
            <w:pPr>
              <w:jc w:val="center"/>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9BA3">
            <w:pPr>
              <w:jc w:val="center"/>
              <w:rPr>
                <w:rFonts w:hint="eastAsia"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6015">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26B6">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5F08A">
            <w:pPr>
              <w:rPr>
                <w:rFonts w:hint="eastAsia" w:ascii="黑体" w:hAnsi="黑体" w:eastAsia="黑体" w:cs="黑体"/>
                <w:i w:val="0"/>
                <w:iCs w:val="0"/>
                <w:color w:val="000000"/>
                <w:sz w:val="16"/>
                <w:szCs w:val="16"/>
                <w:u w:val="none"/>
              </w:rPr>
            </w:pPr>
          </w:p>
        </w:tc>
      </w:tr>
      <w:tr w14:paraId="3D33C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D5402">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F7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D4D0">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BE08">
            <w:pPr>
              <w:jc w:val="center"/>
              <w:rPr>
                <w:rFonts w:hint="eastAsia" w:ascii="宋体" w:hAnsi="宋体" w:eastAsia="宋体" w:cs="宋体"/>
                <w:i w:val="0"/>
                <w:iCs w:val="0"/>
                <w:color w:val="000000"/>
                <w:sz w:val="18"/>
                <w:szCs w:val="18"/>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8FBF99">
            <w:pPr>
              <w:jc w:val="center"/>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B8AA">
            <w:pPr>
              <w:jc w:val="center"/>
              <w:rPr>
                <w:rFonts w:hint="eastAsia"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9EEF">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E574">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13189">
            <w:pPr>
              <w:rPr>
                <w:rFonts w:hint="eastAsia" w:ascii="黑体" w:hAnsi="黑体" w:eastAsia="黑体" w:cs="黑体"/>
                <w:i w:val="0"/>
                <w:iCs w:val="0"/>
                <w:color w:val="000000"/>
                <w:sz w:val="16"/>
                <w:szCs w:val="16"/>
                <w:u w:val="none"/>
              </w:rPr>
            </w:pPr>
          </w:p>
        </w:tc>
      </w:tr>
      <w:tr w14:paraId="29377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84370">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0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C7EB">
            <w:pPr>
              <w:jc w:val="center"/>
              <w:rPr>
                <w:rFonts w:hint="eastAsia" w:ascii="微软雅黑" w:hAnsi="微软雅黑" w:eastAsia="微软雅黑" w:cs="微软雅黑"/>
                <w:i/>
                <w:iCs/>
                <w:color w:val="000000"/>
                <w:sz w:val="16"/>
                <w:szCs w:val="16"/>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8CD2">
            <w:pPr>
              <w:jc w:val="center"/>
              <w:rPr>
                <w:rFonts w:hint="eastAsia" w:ascii="微软雅黑" w:hAnsi="微软雅黑" w:eastAsia="微软雅黑" w:cs="微软雅黑"/>
                <w:i/>
                <w:iCs/>
                <w:color w:val="000000"/>
                <w:sz w:val="16"/>
                <w:szCs w:val="16"/>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AF699">
            <w:pPr>
              <w:jc w:val="center"/>
              <w:rPr>
                <w:rFonts w:hint="eastAsia" w:ascii="微软雅黑" w:hAnsi="微软雅黑" w:eastAsia="微软雅黑" w:cs="微软雅黑"/>
                <w:i/>
                <w:iCs/>
                <w:color w:val="000000"/>
                <w:sz w:val="16"/>
                <w:szCs w:val="16"/>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DF0A">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AD4B">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0069">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A7D59">
            <w:pPr>
              <w:rPr>
                <w:rFonts w:hint="eastAsia" w:ascii="黑体" w:hAnsi="黑体" w:eastAsia="黑体" w:cs="黑体"/>
                <w:i w:val="0"/>
                <w:iCs w:val="0"/>
                <w:color w:val="000000"/>
                <w:sz w:val="16"/>
                <w:szCs w:val="16"/>
                <w:u w:val="none"/>
              </w:rPr>
            </w:pPr>
          </w:p>
        </w:tc>
      </w:tr>
      <w:tr w14:paraId="5861D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F7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3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E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7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7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2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4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D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4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9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4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DC5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C20C9">
            <w:pPr>
              <w:jc w:val="center"/>
              <w:rPr>
                <w:rFonts w:hint="eastAsia" w:ascii="宋体" w:hAnsi="宋体" w:eastAsia="宋体" w:cs="宋体"/>
                <w:i w:val="0"/>
                <w:iCs w:val="0"/>
                <w:color w:val="000000"/>
                <w:sz w:val="18"/>
                <w:szCs w:val="18"/>
                <w:u w:val="none"/>
              </w:rPr>
            </w:pP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36E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715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7C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数据分析与利用完成12期月分析，1期年度分析，2期预测预报，1种以上重点传染病专题分析和报告。</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F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14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E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B2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42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A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E3A8">
            <w:pPr>
              <w:jc w:val="center"/>
              <w:rPr>
                <w:rFonts w:hint="eastAsia" w:ascii="微软雅黑" w:hAnsi="微软雅黑" w:eastAsia="微软雅黑" w:cs="微软雅黑"/>
                <w:i/>
                <w:iCs/>
                <w:color w:val="000000"/>
                <w:sz w:val="16"/>
                <w:szCs w:val="16"/>
                <w:u w:val="none"/>
              </w:rPr>
            </w:pPr>
          </w:p>
        </w:tc>
      </w:tr>
      <w:tr w14:paraId="0094E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DDD29">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472BE">
            <w:pPr>
              <w:rPr>
                <w:rFonts w:hint="eastAsia" w:ascii="宋体" w:hAnsi="宋体" w:eastAsia="宋体" w:cs="宋体"/>
                <w:i w:val="0"/>
                <w:iCs w:val="0"/>
                <w:color w:val="000000"/>
                <w:sz w:val="18"/>
                <w:szCs w:val="18"/>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5D37B">
            <w:pP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59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舆情监测评估通过舆情监测系统完成12期舆情分析简报</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6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6B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1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FB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20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1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7AA1">
            <w:pPr>
              <w:jc w:val="center"/>
              <w:rPr>
                <w:rFonts w:hint="eastAsia" w:ascii="微软雅黑" w:hAnsi="微软雅黑" w:eastAsia="微软雅黑" w:cs="微软雅黑"/>
                <w:i/>
                <w:iCs/>
                <w:color w:val="000000"/>
                <w:sz w:val="16"/>
                <w:szCs w:val="16"/>
                <w:u w:val="none"/>
              </w:rPr>
            </w:pPr>
          </w:p>
        </w:tc>
      </w:tr>
      <w:tr w14:paraId="5D820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DD35B">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D3626">
            <w:pPr>
              <w:rPr>
                <w:rFonts w:hint="eastAsia" w:ascii="宋体" w:hAnsi="宋体" w:eastAsia="宋体" w:cs="宋体"/>
                <w:i w:val="0"/>
                <w:iCs w:val="0"/>
                <w:color w:val="000000"/>
                <w:sz w:val="18"/>
                <w:szCs w:val="18"/>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F0831">
            <w:pP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EF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督导考核每年完成各医疗卫生机构至少1次的督导考核全覆盖，随机抽查5个单位开展每季度现状调查</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5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79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3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610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56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8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40C9">
            <w:pPr>
              <w:jc w:val="center"/>
              <w:rPr>
                <w:rFonts w:hint="eastAsia" w:ascii="微软雅黑" w:hAnsi="微软雅黑" w:eastAsia="微软雅黑" w:cs="微软雅黑"/>
                <w:i/>
                <w:iCs/>
                <w:color w:val="000000"/>
                <w:sz w:val="16"/>
                <w:szCs w:val="16"/>
                <w:u w:val="none"/>
              </w:rPr>
            </w:pPr>
          </w:p>
        </w:tc>
      </w:tr>
      <w:tr w14:paraId="28646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FFF27">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42454">
            <w:pPr>
              <w:rPr>
                <w:rFonts w:hint="eastAsia" w:ascii="宋体" w:hAnsi="宋体" w:eastAsia="宋体" w:cs="宋体"/>
                <w:i w:val="0"/>
                <w:iCs w:val="0"/>
                <w:color w:val="000000"/>
                <w:sz w:val="18"/>
                <w:szCs w:val="18"/>
                <w:u w:val="none"/>
              </w:rPr>
            </w:pP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38B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50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传染病报告率、及时报告率、纸质报告卡填写信息准确率、完整率、纸质报卡与网络报卡信息一致率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5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F2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A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076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E4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6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40DC">
            <w:pPr>
              <w:jc w:val="center"/>
              <w:rPr>
                <w:rFonts w:hint="eastAsia" w:ascii="微软雅黑" w:hAnsi="微软雅黑" w:eastAsia="微软雅黑" w:cs="微软雅黑"/>
                <w:i/>
                <w:iCs/>
                <w:color w:val="000000"/>
                <w:sz w:val="16"/>
                <w:szCs w:val="16"/>
                <w:u w:val="none"/>
              </w:rPr>
            </w:pPr>
          </w:p>
        </w:tc>
      </w:tr>
      <w:tr w14:paraId="0CD46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0929F">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326A8">
            <w:pPr>
              <w:rPr>
                <w:rFonts w:hint="eastAsia" w:ascii="宋体" w:hAnsi="宋体" w:eastAsia="宋体" w:cs="宋体"/>
                <w:i w:val="0"/>
                <w:iCs w:val="0"/>
                <w:color w:val="000000"/>
                <w:sz w:val="18"/>
                <w:szCs w:val="18"/>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2D2CF">
            <w:pP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5F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门诊登记、出入院登记、检验登记、放射登记、传染病登记等登记完整率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E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F2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4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ACA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69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D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0D1C">
            <w:pPr>
              <w:jc w:val="center"/>
              <w:rPr>
                <w:rFonts w:hint="eastAsia" w:ascii="微软雅黑" w:hAnsi="微软雅黑" w:eastAsia="微软雅黑" w:cs="微软雅黑"/>
                <w:i/>
                <w:iCs/>
                <w:color w:val="000000"/>
                <w:sz w:val="16"/>
                <w:szCs w:val="16"/>
                <w:u w:val="none"/>
              </w:rPr>
            </w:pPr>
          </w:p>
        </w:tc>
      </w:tr>
      <w:tr w14:paraId="208F2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E23E1">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EC4F6">
            <w:pPr>
              <w:rPr>
                <w:rFonts w:hint="eastAsia" w:ascii="宋体" w:hAnsi="宋体" w:eastAsia="宋体" w:cs="宋体"/>
                <w:i w:val="0"/>
                <w:iCs w:val="0"/>
                <w:color w:val="000000"/>
                <w:sz w:val="18"/>
                <w:szCs w:val="18"/>
                <w:u w:val="none"/>
              </w:rPr>
            </w:pP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E6E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11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传染病预警信号处理甲类传染病2小时内响应，其他传染病24小时内响应。</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7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F2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B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86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87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3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4EDA">
            <w:pPr>
              <w:jc w:val="center"/>
              <w:rPr>
                <w:rFonts w:hint="eastAsia" w:ascii="微软雅黑" w:hAnsi="微软雅黑" w:eastAsia="微软雅黑" w:cs="微软雅黑"/>
                <w:i/>
                <w:iCs/>
                <w:color w:val="000000"/>
                <w:sz w:val="16"/>
                <w:szCs w:val="16"/>
                <w:u w:val="none"/>
              </w:rPr>
            </w:pPr>
          </w:p>
        </w:tc>
      </w:tr>
      <w:tr w14:paraId="25FC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F142E">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16E3C">
            <w:pPr>
              <w:rPr>
                <w:rFonts w:hint="eastAsia" w:ascii="宋体" w:hAnsi="宋体" w:eastAsia="宋体" w:cs="宋体"/>
                <w:i w:val="0"/>
                <w:iCs w:val="0"/>
                <w:color w:val="000000"/>
                <w:sz w:val="18"/>
                <w:szCs w:val="18"/>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E6A27">
            <w:pP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F1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报告数据管理每日4次以上开展传染病信息审核、监控、异常信息处理等</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7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B0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7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17D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C60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9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753B">
            <w:pPr>
              <w:jc w:val="center"/>
              <w:rPr>
                <w:rFonts w:hint="eastAsia" w:ascii="微软雅黑" w:hAnsi="微软雅黑" w:eastAsia="微软雅黑" w:cs="微软雅黑"/>
                <w:i/>
                <w:iCs/>
                <w:color w:val="000000"/>
                <w:sz w:val="16"/>
                <w:szCs w:val="16"/>
                <w:u w:val="none"/>
              </w:rPr>
            </w:pPr>
          </w:p>
        </w:tc>
      </w:tr>
      <w:tr w14:paraId="5141E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D7122">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EF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DA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B3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传染病预警信号处理、报告数据管理</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1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C6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2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87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D17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F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81E5">
            <w:pPr>
              <w:jc w:val="center"/>
              <w:rPr>
                <w:rFonts w:hint="eastAsia" w:ascii="微软雅黑" w:hAnsi="微软雅黑" w:eastAsia="微软雅黑" w:cs="微软雅黑"/>
                <w:i/>
                <w:iCs/>
                <w:color w:val="000000"/>
                <w:sz w:val="16"/>
                <w:szCs w:val="16"/>
                <w:u w:val="none"/>
              </w:rPr>
            </w:pPr>
          </w:p>
        </w:tc>
      </w:tr>
      <w:tr w14:paraId="2D197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DFC42">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29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B9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61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全区无重大传染病疫情</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7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F2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D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1E2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CE2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9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FEB9">
            <w:pPr>
              <w:jc w:val="center"/>
              <w:rPr>
                <w:rFonts w:hint="eastAsia" w:ascii="微软雅黑" w:hAnsi="微软雅黑" w:eastAsia="微软雅黑" w:cs="微软雅黑"/>
                <w:i/>
                <w:iCs/>
                <w:color w:val="000000"/>
                <w:sz w:val="16"/>
                <w:szCs w:val="16"/>
                <w:u w:val="none"/>
              </w:rPr>
            </w:pPr>
          </w:p>
        </w:tc>
      </w:tr>
      <w:tr w14:paraId="38F9F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FBD67">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55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9C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E2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网络运行，宣传印刷、专用材料等2万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8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98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F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31D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1C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F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A15B">
            <w:pPr>
              <w:jc w:val="center"/>
              <w:rPr>
                <w:rFonts w:hint="eastAsia" w:ascii="微软雅黑" w:hAnsi="微软雅黑" w:eastAsia="微软雅黑" w:cs="微软雅黑"/>
                <w:i/>
                <w:iCs/>
                <w:color w:val="000000"/>
                <w:sz w:val="16"/>
                <w:szCs w:val="16"/>
                <w:u w:val="none"/>
              </w:rPr>
            </w:pPr>
          </w:p>
        </w:tc>
      </w:tr>
      <w:tr w14:paraId="112ED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286" w:hRule="atLeast"/>
        </w:trPr>
        <w:tc>
          <w:tcPr>
            <w:tcW w:w="104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75C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6725">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EAE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4502">
            <w:pPr>
              <w:rPr>
                <w:rFonts w:hint="eastAsia" w:ascii="宋体" w:hAnsi="宋体" w:eastAsia="宋体" w:cs="宋体"/>
                <w:i w:val="0"/>
                <w:iCs w:val="0"/>
                <w:color w:val="000000"/>
                <w:sz w:val="18"/>
                <w:szCs w:val="18"/>
                <w:u w:val="none"/>
              </w:rPr>
            </w:pPr>
          </w:p>
        </w:tc>
      </w:tr>
      <w:tr w14:paraId="7AE4B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3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90A20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截至2024年12月31日，急性传染病防控及网络直报管理工作经费使用情况良好，全面完成年初制订的项目绩效目标工作任务，工作满意率100%。按照预算绩效管理要求，本部门对该项目开展绩效自评，自评得分95分，从项目的立项、资金申报与使用、项目完成进度和质量等多方面评价。该项目完成绩效目标情况良好。</w:t>
            </w:r>
          </w:p>
        </w:tc>
      </w:tr>
      <w:tr w14:paraId="1D095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5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5D5C6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部分医疗机构领导重视程度不够，管理不到位。相关医疗文书登记的完整性、准确性仍较差。自查工作流于形式，没有全面系统地查找问题。部分医生对乙肝、梅毒等传染病诊断标准掌握不准确，相关培训力度不够。传染病报告卡及时率、完整率、准确率及网络报告一致率有待提高。部分医疗卫生单位与学校传染病联防联控机制不健全，疫情信息不能及时共享；对学校传染病防控工作督促力度不够，相关制度不完善，落实差。</w:t>
            </w:r>
          </w:p>
        </w:tc>
      </w:tr>
      <w:tr w14:paraId="107C8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5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3350D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建议在政府和各级主管部门支持下加大医疗卫生机构的目标考核力度，加强相关业务培训，以便更好地开展项目绩效评价、推进项目工作。</w:t>
            </w:r>
          </w:p>
        </w:tc>
      </w:tr>
      <w:tr w14:paraId="749D2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7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9E64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项目负责人：程鉴</w:t>
            </w:r>
          </w:p>
        </w:tc>
        <w:tc>
          <w:tcPr>
            <w:tcW w:w="65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5C100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财务负责人：吴霞</w:t>
            </w:r>
          </w:p>
        </w:tc>
      </w:tr>
      <w:tr w14:paraId="5EA3D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904" w:hRule="atLeast"/>
        </w:trPr>
        <w:tc>
          <w:tcPr>
            <w:tcW w:w="13679" w:type="dxa"/>
            <w:gridSpan w:val="11"/>
            <w:tcBorders>
              <w:top w:val="nil"/>
              <w:left w:val="nil"/>
              <w:bottom w:val="nil"/>
              <w:right w:val="nil"/>
            </w:tcBorders>
            <w:shd w:val="clear" w:color="auto" w:fill="auto"/>
            <w:vAlign w:val="center"/>
          </w:tcPr>
          <w:p w14:paraId="17F878EF">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48A7ED93">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421CFAF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部门预算项目支出绩效自评表</w:t>
            </w:r>
          </w:p>
        </w:tc>
      </w:tr>
      <w:tr w14:paraId="37867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60" w:hRule="atLeast"/>
        </w:trPr>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B3F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9E02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51090424T000011120569-农村饮用水安全水质卫生监测</w:t>
            </w:r>
          </w:p>
        </w:tc>
      </w:tr>
      <w:tr w14:paraId="4692F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12" w:hRule="atLeast"/>
        </w:trPr>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9A5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3E7B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遂宁市安居区卫生健康局</w:t>
            </w:r>
          </w:p>
        </w:tc>
        <w:tc>
          <w:tcPr>
            <w:tcW w:w="1107" w:type="dxa"/>
            <w:tcBorders>
              <w:top w:val="nil"/>
              <w:left w:val="nil"/>
              <w:bottom w:val="nil"/>
              <w:right w:val="nil"/>
            </w:tcBorders>
            <w:shd w:val="clear" w:color="auto" w:fill="auto"/>
            <w:vAlign w:val="center"/>
          </w:tcPr>
          <w:p w14:paraId="6CF86407">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73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w:t>
            </w:r>
          </w:p>
        </w:tc>
      </w:tr>
      <w:tr w14:paraId="32B9A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568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62A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A43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74D84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C01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DF1C3">
            <w:pP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146F9">
            <w:pPr>
              <w:rPr>
                <w:rFonts w:hint="eastAsia" w:ascii="宋体" w:hAnsi="宋体" w:eastAsia="宋体" w:cs="宋体"/>
                <w:i w:val="0"/>
                <w:iCs w:val="0"/>
                <w:color w:val="000000"/>
                <w:sz w:val="18"/>
                <w:szCs w:val="18"/>
                <w:u w:val="none"/>
              </w:rPr>
            </w:pP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CE93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要求全覆盖辖区各街道、乡镇每年两次的监测任务，即枯水期、丰水期以及四个季度的安居区城市集中供水监测工作，农饮水抽样，监测34项参数；应急水质监测采样，即涉及投诉等生活饮用水监测，监测18项参数；配合卫生监督大队开展城区二次供水监测。</w:t>
            </w:r>
          </w:p>
        </w:tc>
        <w:tc>
          <w:tcPr>
            <w:tcW w:w="4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EAAFD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76F0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D42D1">
            <w:pP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48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A9B8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截至</w:t>
            </w:r>
            <w:r>
              <w:rPr>
                <w:rFonts w:ascii="宋体" w:hAnsi="宋体" w:eastAsia="宋体" w:cs="宋体"/>
                <w:i w:val="0"/>
                <w:iCs w:val="0"/>
                <w:color w:val="000000"/>
                <w:kern w:val="0"/>
                <w:sz w:val="18"/>
                <w:szCs w:val="18"/>
                <w:u w:val="none"/>
                <w:lang w:val="en-US" w:eastAsia="zh-CN" w:bidi="ar"/>
              </w:rPr>
              <w:t>12月底，在项目实施过程中，我中心完成了以下工作：开展对全区农村环境、农村饮用水安全水质、公共场所、食品安全、职业卫生、病媒生物监测、“双随机”监测，对医疗机构进行医疗消毒效果监测等卫生监测工作，及时分析监测结果，并制定防控措施，报送上级主管部门。</w:t>
            </w:r>
          </w:p>
        </w:tc>
      </w:tr>
      <w:tr w14:paraId="7D5B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7C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D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   （万元）</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C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6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4E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D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D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C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C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4113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83B31">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C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F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2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8C7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B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E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6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F75A9">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01C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345DA">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F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9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A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B6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D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1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9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00B25">
            <w:pPr>
              <w:rPr>
                <w:rFonts w:hint="eastAsia" w:ascii="黑体" w:hAnsi="黑体" w:eastAsia="黑体" w:cs="黑体"/>
                <w:i w:val="0"/>
                <w:iCs w:val="0"/>
                <w:color w:val="000000"/>
                <w:sz w:val="16"/>
                <w:szCs w:val="16"/>
                <w:u w:val="none"/>
              </w:rPr>
            </w:pPr>
          </w:p>
        </w:tc>
      </w:tr>
      <w:tr w14:paraId="6CD88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0E2CE">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A4B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C135">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6FF3">
            <w:pPr>
              <w:jc w:val="center"/>
              <w:rPr>
                <w:rFonts w:hint="eastAsia" w:ascii="宋体" w:hAnsi="宋体" w:eastAsia="宋体" w:cs="宋体"/>
                <w:i w:val="0"/>
                <w:iCs w:val="0"/>
                <w:color w:val="000000"/>
                <w:sz w:val="18"/>
                <w:szCs w:val="18"/>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784DA">
            <w:pPr>
              <w:jc w:val="center"/>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4FB3">
            <w:pPr>
              <w:jc w:val="center"/>
              <w:rPr>
                <w:rFonts w:hint="eastAsia"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0E3D">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7804">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4C3B5">
            <w:pPr>
              <w:rPr>
                <w:rFonts w:hint="eastAsia" w:ascii="黑体" w:hAnsi="黑体" w:eastAsia="黑体" w:cs="黑体"/>
                <w:i w:val="0"/>
                <w:iCs w:val="0"/>
                <w:color w:val="000000"/>
                <w:sz w:val="16"/>
                <w:szCs w:val="16"/>
                <w:u w:val="none"/>
              </w:rPr>
            </w:pPr>
          </w:p>
        </w:tc>
      </w:tr>
      <w:tr w14:paraId="19EE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E4E45">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2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1347">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8F64">
            <w:pPr>
              <w:jc w:val="center"/>
              <w:rPr>
                <w:rFonts w:hint="eastAsia" w:ascii="宋体" w:hAnsi="宋体" w:eastAsia="宋体" w:cs="宋体"/>
                <w:i w:val="0"/>
                <w:iCs w:val="0"/>
                <w:color w:val="000000"/>
                <w:sz w:val="18"/>
                <w:szCs w:val="18"/>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DEBCEB">
            <w:pPr>
              <w:jc w:val="center"/>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4EB8">
            <w:pPr>
              <w:jc w:val="center"/>
              <w:rPr>
                <w:rFonts w:hint="eastAsia"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6721">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5A88">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5008D">
            <w:pPr>
              <w:rPr>
                <w:rFonts w:hint="eastAsia" w:ascii="黑体" w:hAnsi="黑体" w:eastAsia="黑体" w:cs="黑体"/>
                <w:i w:val="0"/>
                <w:iCs w:val="0"/>
                <w:color w:val="000000"/>
                <w:sz w:val="16"/>
                <w:szCs w:val="16"/>
                <w:u w:val="none"/>
              </w:rPr>
            </w:pPr>
          </w:p>
        </w:tc>
      </w:tr>
      <w:tr w14:paraId="4756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125E1">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F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7700">
            <w:pPr>
              <w:jc w:val="center"/>
              <w:rPr>
                <w:rFonts w:hint="eastAsia" w:ascii="微软雅黑" w:hAnsi="微软雅黑" w:eastAsia="微软雅黑" w:cs="微软雅黑"/>
                <w:i/>
                <w:iCs/>
                <w:color w:val="000000"/>
                <w:sz w:val="16"/>
                <w:szCs w:val="16"/>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0C1A">
            <w:pPr>
              <w:jc w:val="center"/>
              <w:rPr>
                <w:rFonts w:hint="eastAsia" w:ascii="微软雅黑" w:hAnsi="微软雅黑" w:eastAsia="微软雅黑" w:cs="微软雅黑"/>
                <w:i/>
                <w:iCs/>
                <w:color w:val="000000"/>
                <w:sz w:val="16"/>
                <w:szCs w:val="16"/>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2C506">
            <w:pPr>
              <w:jc w:val="center"/>
              <w:rPr>
                <w:rFonts w:hint="eastAsia" w:ascii="微软雅黑" w:hAnsi="微软雅黑" w:eastAsia="微软雅黑" w:cs="微软雅黑"/>
                <w:i/>
                <w:iCs/>
                <w:color w:val="000000"/>
                <w:sz w:val="16"/>
                <w:szCs w:val="16"/>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07A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00CA">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22C1">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23990">
            <w:pPr>
              <w:rPr>
                <w:rFonts w:hint="eastAsia" w:ascii="黑体" w:hAnsi="黑体" w:eastAsia="黑体" w:cs="黑体"/>
                <w:i w:val="0"/>
                <w:iCs w:val="0"/>
                <w:color w:val="000000"/>
                <w:sz w:val="16"/>
                <w:szCs w:val="16"/>
                <w:u w:val="none"/>
              </w:rPr>
            </w:pPr>
          </w:p>
        </w:tc>
      </w:tr>
      <w:tr w14:paraId="6D81B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E6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E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5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5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E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5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6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C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24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2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2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CABD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52BF8">
            <w:pPr>
              <w:jc w:val="center"/>
              <w:rPr>
                <w:rFonts w:hint="eastAsia" w:ascii="宋体" w:hAnsi="宋体" w:eastAsia="宋体" w:cs="宋体"/>
                <w:i w:val="0"/>
                <w:iCs w:val="0"/>
                <w:color w:val="000000"/>
                <w:sz w:val="18"/>
                <w:szCs w:val="18"/>
                <w:u w:val="none"/>
              </w:rPr>
            </w:pP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E02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D4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19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集中供水出厂水及末梢水108份、应急自备井水监测50份、二次供水监测14份</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4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BA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1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429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522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A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9F19">
            <w:pPr>
              <w:jc w:val="center"/>
              <w:rPr>
                <w:rFonts w:hint="eastAsia" w:ascii="微软雅黑" w:hAnsi="微软雅黑" w:eastAsia="微软雅黑" w:cs="微软雅黑"/>
                <w:i/>
                <w:iCs/>
                <w:color w:val="000000"/>
                <w:sz w:val="16"/>
                <w:szCs w:val="16"/>
                <w:u w:val="none"/>
              </w:rPr>
            </w:pPr>
          </w:p>
        </w:tc>
      </w:tr>
      <w:tr w14:paraId="3E9C3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0153B">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9C920">
            <w:pP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C4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77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按照GB5749-2022标准完成各项参数监测</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6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F7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1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B4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52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D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9F88">
            <w:pPr>
              <w:jc w:val="center"/>
              <w:rPr>
                <w:rFonts w:hint="eastAsia" w:ascii="微软雅黑" w:hAnsi="微软雅黑" w:eastAsia="微软雅黑" w:cs="微软雅黑"/>
                <w:i/>
                <w:iCs/>
                <w:color w:val="000000"/>
                <w:sz w:val="16"/>
                <w:szCs w:val="16"/>
                <w:u w:val="none"/>
              </w:rPr>
            </w:pPr>
          </w:p>
        </w:tc>
      </w:tr>
      <w:tr w14:paraId="1F39F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C73E2">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A0286">
            <w:pP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37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66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规定时间节点完成</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4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FD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8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0A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4D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6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72CF">
            <w:pPr>
              <w:jc w:val="center"/>
              <w:rPr>
                <w:rFonts w:hint="eastAsia" w:ascii="微软雅黑" w:hAnsi="微软雅黑" w:eastAsia="微软雅黑" w:cs="微软雅黑"/>
                <w:i/>
                <w:iCs/>
                <w:color w:val="000000"/>
                <w:sz w:val="16"/>
                <w:szCs w:val="16"/>
                <w:u w:val="none"/>
              </w:rPr>
            </w:pPr>
          </w:p>
        </w:tc>
      </w:tr>
      <w:tr w14:paraId="1AFC3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D2E52">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3A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0B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10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全区覆盖率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F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0A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B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A1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D9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2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AC23">
            <w:pPr>
              <w:jc w:val="center"/>
              <w:rPr>
                <w:rFonts w:hint="eastAsia" w:ascii="微软雅黑" w:hAnsi="微软雅黑" w:eastAsia="微软雅黑" w:cs="微软雅黑"/>
                <w:i/>
                <w:iCs/>
                <w:color w:val="000000"/>
                <w:sz w:val="16"/>
                <w:szCs w:val="16"/>
                <w:u w:val="none"/>
              </w:rPr>
            </w:pPr>
          </w:p>
        </w:tc>
      </w:tr>
      <w:tr w14:paraId="515AA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B08E4">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D3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C8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1C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公众认可度</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B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03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7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53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64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9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DF98">
            <w:pPr>
              <w:jc w:val="center"/>
              <w:rPr>
                <w:rFonts w:hint="eastAsia" w:ascii="微软雅黑" w:hAnsi="微软雅黑" w:eastAsia="微软雅黑" w:cs="微软雅黑"/>
                <w:i/>
                <w:iCs/>
                <w:color w:val="000000"/>
                <w:sz w:val="16"/>
                <w:szCs w:val="16"/>
                <w:u w:val="none"/>
              </w:rPr>
            </w:pPr>
          </w:p>
        </w:tc>
      </w:tr>
      <w:tr w14:paraId="5ED80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42CBB">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11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4F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D7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专用材料、维护等支出2万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4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B1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0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5F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82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4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F122">
            <w:pPr>
              <w:jc w:val="center"/>
              <w:rPr>
                <w:rFonts w:hint="eastAsia" w:ascii="微软雅黑" w:hAnsi="微软雅黑" w:eastAsia="微软雅黑" w:cs="微软雅黑"/>
                <w:i/>
                <w:iCs/>
                <w:color w:val="000000"/>
                <w:sz w:val="16"/>
                <w:szCs w:val="16"/>
                <w:u w:val="none"/>
              </w:rPr>
            </w:pPr>
          </w:p>
        </w:tc>
      </w:tr>
      <w:tr w14:paraId="026E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286" w:hRule="atLeast"/>
        </w:trPr>
        <w:tc>
          <w:tcPr>
            <w:tcW w:w="104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BD0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A048">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253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848C">
            <w:pPr>
              <w:rPr>
                <w:rFonts w:hint="eastAsia" w:ascii="宋体" w:hAnsi="宋体" w:eastAsia="宋体" w:cs="宋体"/>
                <w:i w:val="0"/>
                <w:iCs w:val="0"/>
                <w:color w:val="000000"/>
                <w:sz w:val="18"/>
                <w:szCs w:val="18"/>
                <w:u w:val="none"/>
              </w:rPr>
            </w:pPr>
          </w:p>
        </w:tc>
      </w:tr>
      <w:tr w14:paraId="4D01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9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3F36D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卫生监测、农村饮用水安全水质监测、职业病危害因素监测工作经费使用情况良好，全面完成年初制订的项目绩效目标工作任务，工作满意率100%。按照预算绩效管理要求，本部门对该项目开展绩效自评，自评得分95分，从项目的立项、资金申报与使用、项目完成进度和质量等多方面评价。该项目完成绩效目标情况良好。</w:t>
            </w:r>
          </w:p>
        </w:tc>
      </w:tr>
      <w:tr w14:paraId="4D0BC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0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C657F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各级政府对卫生监测检验工作存在重视程度不够、检验人员素质不高、监测检验资质认证不完善、工作程序不规范等问题。区疾控中心监测、检验科人员少，技术力量薄弱，无法对新检验方法、新检验项目进行深入研究和探讨，致使中心检验技术无新的突破。</w:t>
            </w:r>
          </w:p>
        </w:tc>
      </w:tr>
      <w:tr w14:paraId="2F802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7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80541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建议在政府支持下，疾控机构建立和完善卫生监测、检验工作体系，加强素质人才队伍建设；健全落实规范化的保障机制等对策，推动卫生监测、检验工作的可持续发展。</w:t>
            </w:r>
          </w:p>
        </w:tc>
      </w:tr>
      <w:tr w14:paraId="47AF9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7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9E755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项目负责人：董杨</w:t>
            </w:r>
          </w:p>
        </w:tc>
        <w:tc>
          <w:tcPr>
            <w:tcW w:w="65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8171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财务负责人：吴霞</w:t>
            </w:r>
          </w:p>
        </w:tc>
      </w:tr>
      <w:tr w14:paraId="3D88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904" w:hRule="atLeast"/>
        </w:trPr>
        <w:tc>
          <w:tcPr>
            <w:tcW w:w="13679" w:type="dxa"/>
            <w:gridSpan w:val="11"/>
            <w:tcBorders>
              <w:top w:val="nil"/>
              <w:left w:val="nil"/>
              <w:bottom w:val="nil"/>
              <w:right w:val="nil"/>
            </w:tcBorders>
            <w:shd w:val="clear" w:color="auto" w:fill="auto"/>
            <w:vAlign w:val="center"/>
          </w:tcPr>
          <w:p w14:paraId="65A16AC2">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1A58B57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部门预算项目支出绩效自评表</w:t>
            </w:r>
          </w:p>
        </w:tc>
      </w:tr>
      <w:tr w14:paraId="75C26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60" w:hRule="atLeast"/>
        </w:trPr>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995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2E7E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51090424T000011120613-职业病危害因素监测</w:t>
            </w:r>
          </w:p>
        </w:tc>
      </w:tr>
      <w:tr w14:paraId="21447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12" w:hRule="atLeast"/>
        </w:trPr>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61F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AE91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遂宁市安居区卫生健康局</w:t>
            </w:r>
          </w:p>
        </w:tc>
        <w:tc>
          <w:tcPr>
            <w:tcW w:w="1107" w:type="dxa"/>
            <w:tcBorders>
              <w:top w:val="nil"/>
              <w:left w:val="nil"/>
              <w:bottom w:val="nil"/>
              <w:right w:val="nil"/>
            </w:tcBorders>
            <w:shd w:val="clear" w:color="auto" w:fill="auto"/>
            <w:vAlign w:val="center"/>
          </w:tcPr>
          <w:p w14:paraId="2ABD9E4C">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23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w:t>
            </w:r>
          </w:p>
        </w:tc>
      </w:tr>
      <w:tr w14:paraId="7E4A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E86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23E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66B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779C2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94C2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1039A">
            <w:pP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9A3AB">
            <w:pPr>
              <w:rPr>
                <w:rFonts w:hint="eastAsia" w:ascii="宋体" w:hAnsi="宋体" w:eastAsia="宋体" w:cs="宋体"/>
                <w:i w:val="0"/>
                <w:iCs w:val="0"/>
                <w:color w:val="000000"/>
                <w:sz w:val="18"/>
                <w:szCs w:val="18"/>
                <w:u w:val="none"/>
              </w:rPr>
            </w:pP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E470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照要求，监测我区用人单位工作场所职业病危害因素监测，掌握我市重点行业职业病危害现状，研究分析不同规模、不同类型用人单位工作场所中职业病危害因素分布及浓度（强度）水平，评估职业病危害因素暴露对劳动者健康的影响，为研究制定职业病防治法规、标准和政策措施提供依据。</w:t>
            </w:r>
          </w:p>
        </w:tc>
        <w:tc>
          <w:tcPr>
            <w:tcW w:w="4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CBC78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3A8E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F3198">
            <w:pP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D2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695F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截至</w:t>
            </w:r>
            <w:r>
              <w:rPr>
                <w:rFonts w:ascii="宋体" w:hAnsi="宋体" w:eastAsia="宋体" w:cs="宋体"/>
                <w:i w:val="0"/>
                <w:iCs w:val="0"/>
                <w:color w:val="000000"/>
                <w:kern w:val="0"/>
                <w:sz w:val="18"/>
                <w:szCs w:val="18"/>
                <w:u w:val="none"/>
                <w:lang w:val="en-US" w:eastAsia="zh-CN" w:bidi="ar"/>
              </w:rPr>
              <w:t>12月底，在项目实施过程中，我中心完成了以下工作：开展对全区农村环境、农村饮用水安全水质、公共场所、食品安全、职业卫生、病媒生物监测、“双随机”监测，对医疗机构进行医疗消毒效果监测等卫生监测工作，及时分析监测结果，并制定防控措施，报送上级主管部门。</w:t>
            </w:r>
          </w:p>
        </w:tc>
      </w:tr>
      <w:tr w14:paraId="5293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B7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F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   （万元）</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1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2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6C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B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5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8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A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1B7B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275BF">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5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2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B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66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E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6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1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BF246">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923D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27D3E">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F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4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8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E7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2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4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3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BC147">
            <w:pPr>
              <w:rPr>
                <w:rFonts w:hint="eastAsia" w:ascii="黑体" w:hAnsi="黑体" w:eastAsia="黑体" w:cs="黑体"/>
                <w:i w:val="0"/>
                <w:iCs w:val="0"/>
                <w:color w:val="000000"/>
                <w:sz w:val="16"/>
                <w:szCs w:val="16"/>
                <w:u w:val="none"/>
              </w:rPr>
            </w:pPr>
          </w:p>
        </w:tc>
      </w:tr>
      <w:tr w14:paraId="75CD7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7D852">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06B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FA9F">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7CD1">
            <w:pPr>
              <w:jc w:val="center"/>
              <w:rPr>
                <w:rFonts w:hint="eastAsia" w:ascii="宋体" w:hAnsi="宋体" w:eastAsia="宋体" w:cs="宋体"/>
                <w:i w:val="0"/>
                <w:iCs w:val="0"/>
                <w:color w:val="000000"/>
                <w:sz w:val="18"/>
                <w:szCs w:val="18"/>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26D088">
            <w:pPr>
              <w:jc w:val="center"/>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957E">
            <w:pPr>
              <w:jc w:val="center"/>
              <w:rPr>
                <w:rFonts w:hint="eastAsia"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9FDF">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954B">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F50C0">
            <w:pPr>
              <w:rPr>
                <w:rFonts w:hint="eastAsia" w:ascii="黑体" w:hAnsi="黑体" w:eastAsia="黑体" w:cs="黑体"/>
                <w:i w:val="0"/>
                <w:iCs w:val="0"/>
                <w:color w:val="000000"/>
                <w:sz w:val="16"/>
                <w:szCs w:val="16"/>
                <w:u w:val="none"/>
              </w:rPr>
            </w:pPr>
          </w:p>
        </w:tc>
      </w:tr>
      <w:tr w14:paraId="66E90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E5269">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E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ECD7">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BF17">
            <w:pPr>
              <w:jc w:val="center"/>
              <w:rPr>
                <w:rFonts w:hint="eastAsia" w:ascii="宋体" w:hAnsi="宋体" w:eastAsia="宋体" w:cs="宋体"/>
                <w:i w:val="0"/>
                <w:iCs w:val="0"/>
                <w:color w:val="000000"/>
                <w:sz w:val="18"/>
                <w:szCs w:val="18"/>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BF09E">
            <w:pPr>
              <w:jc w:val="center"/>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0D77">
            <w:pPr>
              <w:jc w:val="center"/>
              <w:rPr>
                <w:rFonts w:hint="eastAsia"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FD51">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F821">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CE738">
            <w:pPr>
              <w:rPr>
                <w:rFonts w:hint="eastAsia" w:ascii="黑体" w:hAnsi="黑体" w:eastAsia="黑体" w:cs="黑体"/>
                <w:i w:val="0"/>
                <w:iCs w:val="0"/>
                <w:color w:val="000000"/>
                <w:sz w:val="16"/>
                <w:szCs w:val="16"/>
                <w:u w:val="none"/>
              </w:rPr>
            </w:pPr>
          </w:p>
        </w:tc>
      </w:tr>
      <w:tr w14:paraId="0BF5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2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9005E">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E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B136">
            <w:pPr>
              <w:jc w:val="center"/>
              <w:rPr>
                <w:rFonts w:hint="eastAsia" w:ascii="微软雅黑" w:hAnsi="微软雅黑" w:eastAsia="微软雅黑" w:cs="微软雅黑"/>
                <w:i/>
                <w:iCs/>
                <w:color w:val="000000"/>
                <w:sz w:val="16"/>
                <w:szCs w:val="16"/>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93BD">
            <w:pPr>
              <w:jc w:val="center"/>
              <w:rPr>
                <w:rFonts w:hint="eastAsia" w:ascii="微软雅黑" w:hAnsi="微软雅黑" w:eastAsia="微软雅黑" w:cs="微软雅黑"/>
                <w:i/>
                <w:iCs/>
                <w:color w:val="000000"/>
                <w:sz w:val="16"/>
                <w:szCs w:val="16"/>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E2CFE">
            <w:pPr>
              <w:jc w:val="center"/>
              <w:rPr>
                <w:rFonts w:hint="eastAsia" w:ascii="微软雅黑" w:hAnsi="微软雅黑" w:eastAsia="微软雅黑" w:cs="微软雅黑"/>
                <w:i/>
                <w:iCs/>
                <w:color w:val="000000"/>
                <w:sz w:val="16"/>
                <w:szCs w:val="16"/>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F32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E172">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6D9F">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FA29E">
            <w:pPr>
              <w:rPr>
                <w:rFonts w:hint="eastAsia" w:ascii="黑体" w:hAnsi="黑体" w:eastAsia="黑体" w:cs="黑体"/>
                <w:i w:val="0"/>
                <w:iCs w:val="0"/>
                <w:color w:val="000000"/>
                <w:sz w:val="16"/>
                <w:szCs w:val="16"/>
                <w:u w:val="none"/>
              </w:rPr>
            </w:pPr>
          </w:p>
        </w:tc>
      </w:tr>
      <w:tr w14:paraId="5BB24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12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3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2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9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B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D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C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5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3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C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A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D965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BD356">
            <w:pPr>
              <w:jc w:val="center"/>
              <w:rPr>
                <w:rFonts w:hint="eastAsia" w:ascii="宋体" w:hAnsi="宋体" w:eastAsia="宋体" w:cs="宋体"/>
                <w:i w:val="0"/>
                <w:iCs w:val="0"/>
                <w:color w:val="000000"/>
                <w:sz w:val="18"/>
                <w:szCs w:val="18"/>
                <w:u w:val="none"/>
              </w:rPr>
            </w:pP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6E7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F5E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0C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随访及疑似职业病调查工作</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F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D9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6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DE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EA9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0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4F66">
            <w:pPr>
              <w:jc w:val="center"/>
              <w:rPr>
                <w:rFonts w:hint="eastAsia" w:ascii="微软雅黑" w:hAnsi="微软雅黑" w:eastAsia="微软雅黑" w:cs="微软雅黑"/>
                <w:i/>
                <w:iCs/>
                <w:color w:val="000000"/>
                <w:sz w:val="16"/>
                <w:szCs w:val="16"/>
                <w:u w:val="none"/>
              </w:rPr>
            </w:pPr>
          </w:p>
        </w:tc>
      </w:tr>
      <w:tr w14:paraId="47808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9DAE3">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65854">
            <w:pPr>
              <w:rPr>
                <w:rFonts w:hint="eastAsia" w:ascii="宋体" w:hAnsi="宋体" w:eastAsia="宋体" w:cs="宋体"/>
                <w:i w:val="0"/>
                <w:iCs w:val="0"/>
                <w:color w:val="000000"/>
                <w:sz w:val="18"/>
                <w:szCs w:val="18"/>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22D31">
            <w:pP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53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职业健康检查个案卡审核工作</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6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BD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4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DF2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C9A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8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46E0">
            <w:pPr>
              <w:jc w:val="center"/>
              <w:rPr>
                <w:rFonts w:hint="eastAsia" w:ascii="微软雅黑" w:hAnsi="微软雅黑" w:eastAsia="微软雅黑" w:cs="微软雅黑"/>
                <w:i/>
                <w:iCs/>
                <w:color w:val="000000"/>
                <w:sz w:val="16"/>
                <w:szCs w:val="16"/>
                <w:u w:val="none"/>
              </w:rPr>
            </w:pPr>
          </w:p>
        </w:tc>
      </w:tr>
      <w:tr w14:paraId="1EAA2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BB307">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E70B5">
            <w:pPr>
              <w:rPr>
                <w:rFonts w:hint="eastAsia" w:ascii="宋体" w:hAnsi="宋体" w:eastAsia="宋体" w:cs="宋体"/>
                <w:i w:val="0"/>
                <w:iCs w:val="0"/>
                <w:color w:val="000000"/>
                <w:sz w:val="18"/>
                <w:szCs w:val="18"/>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DDF7E">
            <w:pP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D4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工作场所职业病危害因素监测企业数</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D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D7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D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38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15个</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67C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2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8B92">
            <w:pPr>
              <w:jc w:val="center"/>
              <w:rPr>
                <w:rFonts w:hint="eastAsia" w:ascii="微软雅黑" w:hAnsi="微软雅黑" w:eastAsia="微软雅黑" w:cs="微软雅黑"/>
                <w:i/>
                <w:iCs/>
                <w:color w:val="000000"/>
                <w:sz w:val="16"/>
                <w:szCs w:val="16"/>
                <w:u w:val="none"/>
              </w:rPr>
            </w:pPr>
          </w:p>
        </w:tc>
      </w:tr>
      <w:tr w14:paraId="5485E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16090">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AC97A">
            <w:pPr>
              <w:rPr>
                <w:rFonts w:hint="eastAsia" w:ascii="宋体" w:hAnsi="宋体" w:eastAsia="宋体" w:cs="宋体"/>
                <w:i w:val="0"/>
                <w:iCs w:val="0"/>
                <w:color w:val="000000"/>
                <w:sz w:val="18"/>
                <w:szCs w:val="18"/>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4DA0A">
            <w:pP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9E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区非医疗机构及医疗机构放射卫生调查工作</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3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A5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1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48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12个</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4A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2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0432">
            <w:pPr>
              <w:jc w:val="center"/>
              <w:rPr>
                <w:rFonts w:hint="eastAsia" w:ascii="微软雅黑" w:hAnsi="微软雅黑" w:eastAsia="微软雅黑" w:cs="微软雅黑"/>
                <w:i/>
                <w:iCs/>
                <w:color w:val="000000"/>
                <w:sz w:val="16"/>
                <w:szCs w:val="16"/>
                <w:u w:val="none"/>
              </w:rPr>
            </w:pPr>
          </w:p>
        </w:tc>
      </w:tr>
      <w:tr w14:paraId="73965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E5A5A">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87EB3">
            <w:pPr>
              <w:rPr>
                <w:rFonts w:hint="eastAsia" w:ascii="宋体" w:hAnsi="宋体" w:eastAsia="宋体" w:cs="宋体"/>
                <w:i w:val="0"/>
                <w:iCs w:val="0"/>
                <w:color w:val="000000"/>
                <w:sz w:val="18"/>
                <w:szCs w:val="18"/>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61E04">
            <w:pP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AF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用人单位现场调查</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E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84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4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E8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18个</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26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6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0DA2">
            <w:pPr>
              <w:jc w:val="center"/>
              <w:rPr>
                <w:rFonts w:hint="eastAsia" w:ascii="微软雅黑" w:hAnsi="微软雅黑" w:eastAsia="微软雅黑" w:cs="微软雅黑"/>
                <w:i/>
                <w:iCs/>
                <w:color w:val="000000"/>
                <w:sz w:val="16"/>
                <w:szCs w:val="16"/>
                <w:u w:val="none"/>
              </w:rPr>
            </w:pPr>
          </w:p>
        </w:tc>
      </w:tr>
      <w:tr w14:paraId="011DA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519C1">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96DCD">
            <w:pP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51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71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监测数据真实可靠率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9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EE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8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E4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C2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D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0BDE">
            <w:pPr>
              <w:jc w:val="center"/>
              <w:rPr>
                <w:rFonts w:hint="eastAsia" w:ascii="微软雅黑" w:hAnsi="微软雅黑" w:eastAsia="微软雅黑" w:cs="微软雅黑"/>
                <w:i/>
                <w:iCs/>
                <w:color w:val="000000"/>
                <w:sz w:val="16"/>
                <w:szCs w:val="16"/>
                <w:u w:val="none"/>
              </w:rPr>
            </w:pPr>
          </w:p>
        </w:tc>
      </w:tr>
      <w:tr w14:paraId="21E9C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5B257">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2C1D6">
            <w:pP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71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05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规定时间节点完成</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8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20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4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28E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C1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9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8D26">
            <w:pPr>
              <w:jc w:val="center"/>
              <w:rPr>
                <w:rFonts w:hint="eastAsia" w:ascii="微软雅黑" w:hAnsi="微软雅黑" w:eastAsia="微软雅黑" w:cs="微软雅黑"/>
                <w:i/>
                <w:iCs/>
                <w:color w:val="000000"/>
                <w:sz w:val="16"/>
                <w:szCs w:val="16"/>
                <w:u w:val="none"/>
              </w:rPr>
            </w:pPr>
          </w:p>
        </w:tc>
      </w:tr>
      <w:tr w14:paraId="7A70D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C8E13">
            <w:pPr>
              <w:jc w:val="center"/>
              <w:rPr>
                <w:rFonts w:hint="eastAsia" w:ascii="宋体" w:hAnsi="宋体" w:eastAsia="宋体" w:cs="宋体"/>
                <w:i w:val="0"/>
                <w:iCs w:val="0"/>
                <w:color w:val="000000"/>
                <w:sz w:val="18"/>
                <w:szCs w:val="18"/>
                <w:u w:val="none"/>
              </w:rPr>
            </w:pP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B66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32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E4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降低职业病发生的风险率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A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E7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C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17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60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2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452D">
            <w:pPr>
              <w:jc w:val="center"/>
              <w:rPr>
                <w:rFonts w:hint="eastAsia" w:ascii="微软雅黑" w:hAnsi="微软雅黑" w:eastAsia="微软雅黑" w:cs="微软雅黑"/>
                <w:i/>
                <w:iCs/>
                <w:color w:val="000000"/>
                <w:sz w:val="16"/>
                <w:szCs w:val="16"/>
                <w:u w:val="none"/>
              </w:rPr>
            </w:pPr>
          </w:p>
        </w:tc>
      </w:tr>
      <w:tr w14:paraId="7AD84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753BD">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1E790">
            <w:pP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A5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FE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职业病防治防治能力</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5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D1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B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EE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F57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7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CB6E">
            <w:pPr>
              <w:jc w:val="center"/>
              <w:rPr>
                <w:rFonts w:hint="eastAsia" w:ascii="微软雅黑" w:hAnsi="微软雅黑" w:eastAsia="微软雅黑" w:cs="微软雅黑"/>
                <w:i/>
                <w:iCs/>
                <w:color w:val="000000"/>
                <w:sz w:val="16"/>
                <w:szCs w:val="16"/>
                <w:u w:val="none"/>
              </w:rPr>
            </w:pPr>
          </w:p>
        </w:tc>
      </w:tr>
      <w:tr w14:paraId="25DCC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CFFD5">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25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6D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BE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项目管理部门满意度</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1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25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D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86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7A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A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EA75">
            <w:pPr>
              <w:jc w:val="center"/>
              <w:rPr>
                <w:rFonts w:hint="eastAsia" w:ascii="微软雅黑" w:hAnsi="微软雅黑" w:eastAsia="微软雅黑" w:cs="微软雅黑"/>
                <w:i/>
                <w:iCs/>
                <w:color w:val="000000"/>
                <w:sz w:val="16"/>
                <w:szCs w:val="16"/>
                <w:u w:val="none"/>
              </w:rPr>
            </w:pPr>
          </w:p>
        </w:tc>
      </w:tr>
      <w:tr w14:paraId="00BE8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76C98">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6D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42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1D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邮电及网络运行2000元,维护费5000元,专用材料费13000元</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2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A9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0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3B9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02F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9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09C5">
            <w:pPr>
              <w:jc w:val="center"/>
              <w:rPr>
                <w:rFonts w:hint="eastAsia" w:ascii="微软雅黑" w:hAnsi="微软雅黑" w:eastAsia="微软雅黑" w:cs="微软雅黑"/>
                <w:i/>
                <w:iCs/>
                <w:color w:val="000000"/>
                <w:sz w:val="16"/>
                <w:szCs w:val="16"/>
                <w:u w:val="none"/>
              </w:rPr>
            </w:pPr>
          </w:p>
        </w:tc>
      </w:tr>
      <w:tr w14:paraId="5D306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286" w:hRule="atLeast"/>
        </w:trPr>
        <w:tc>
          <w:tcPr>
            <w:tcW w:w="104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CB9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1F32">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65D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F295">
            <w:pPr>
              <w:rPr>
                <w:rFonts w:hint="eastAsia" w:ascii="宋体" w:hAnsi="宋体" w:eastAsia="宋体" w:cs="宋体"/>
                <w:i w:val="0"/>
                <w:iCs w:val="0"/>
                <w:color w:val="000000"/>
                <w:sz w:val="18"/>
                <w:szCs w:val="18"/>
                <w:u w:val="none"/>
              </w:rPr>
            </w:pPr>
          </w:p>
        </w:tc>
      </w:tr>
      <w:tr w14:paraId="6C6E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5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75C50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卫生监测、农村饮用水安全水质监测、职业病危害因素监测工作经费使用情况良好，全面完成年初制订的项目绩效目标工作任务，工作满意率100%。按照预算绩效管理要求，本部门对该项目开展绩效自评，自评得分95分，从项目的立项、资金申报与使用、项目完成进度和质量等多方面评价。该项目完成绩效目标情况良好。</w:t>
            </w:r>
          </w:p>
        </w:tc>
      </w:tr>
      <w:tr w14:paraId="52603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E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4680B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各级政府对卫生监测检验工作存在重视程度不够、检验人员素质不高、监测检验资质认证不完善、工作程序不规范等问题。区疾控中心监测、检验科人员少，技术力量薄弱，无法对新检验方法、新检验项目进行深入研究和探讨，致使中心检验技术无新的突破。</w:t>
            </w:r>
          </w:p>
        </w:tc>
      </w:tr>
      <w:tr w14:paraId="3CA07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F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734E0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建议在政府支持下，疾控机构建立和完善卫生监测、检验工作体系，加强素质人才队伍建设；健全落实规范化的保障机制等对策，推动卫生监测、检验工作的可持续发展。</w:t>
            </w:r>
          </w:p>
        </w:tc>
      </w:tr>
      <w:tr w14:paraId="5A4A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7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EE968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项目负责人：董杨</w:t>
            </w:r>
          </w:p>
        </w:tc>
        <w:tc>
          <w:tcPr>
            <w:tcW w:w="65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38FD6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财务负责人：吴霞</w:t>
            </w:r>
          </w:p>
        </w:tc>
      </w:tr>
      <w:tr w14:paraId="5636A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904" w:hRule="atLeast"/>
        </w:trPr>
        <w:tc>
          <w:tcPr>
            <w:tcW w:w="13679" w:type="dxa"/>
            <w:gridSpan w:val="11"/>
            <w:tcBorders>
              <w:top w:val="nil"/>
              <w:left w:val="nil"/>
              <w:bottom w:val="nil"/>
              <w:right w:val="nil"/>
            </w:tcBorders>
            <w:shd w:val="clear" w:color="auto" w:fill="auto"/>
            <w:vAlign w:val="center"/>
          </w:tcPr>
          <w:p w14:paraId="54038781">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部门预算项目支出绩效自评表</w:t>
            </w:r>
          </w:p>
        </w:tc>
      </w:tr>
      <w:tr w14:paraId="619F1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60" w:hRule="atLeast"/>
        </w:trPr>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AF9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BD76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51090424T000011120659-卫生监测</w:t>
            </w:r>
          </w:p>
        </w:tc>
      </w:tr>
      <w:tr w14:paraId="6AE87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12" w:hRule="atLeast"/>
        </w:trPr>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BFF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A372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遂宁市安居区卫生健康局</w:t>
            </w:r>
          </w:p>
        </w:tc>
        <w:tc>
          <w:tcPr>
            <w:tcW w:w="1107" w:type="dxa"/>
            <w:tcBorders>
              <w:top w:val="nil"/>
              <w:left w:val="nil"/>
              <w:bottom w:val="nil"/>
              <w:right w:val="nil"/>
            </w:tcBorders>
            <w:shd w:val="clear" w:color="auto" w:fill="auto"/>
            <w:vAlign w:val="center"/>
          </w:tcPr>
          <w:p w14:paraId="78B0E4CD">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88D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w:t>
            </w:r>
          </w:p>
        </w:tc>
      </w:tr>
      <w:tr w14:paraId="37AB7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BAC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AE3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C79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23FD6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6FDD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9876D">
            <w:pP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76FC8">
            <w:pPr>
              <w:rPr>
                <w:rFonts w:hint="eastAsia" w:ascii="宋体" w:hAnsi="宋体" w:eastAsia="宋体" w:cs="宋体"/>
                <w:i w:val="0"/>
                <w:iCs w:val="0"/>
                <w:color w:val="000000"/>
                <w:sz w:val="18"/>
                <w:szCs w:val="18"/>
                <w:u w:val="none"/>
              </w:rPr>
            </w:pP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5F90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通过对全区学校卫生、公共场所、农村环境、病媒生物开展卫生监测和“双随机”监测等工作，及时分析监测结果，并制定防控措施，报送上级主管部门为消除不良因素引发的疾病做好了前期工作和建议，达到了预防和控制传染病的传播、流行，</w:t>
            </w:r>
            <w:r>
              <w:rPr>
                <w:rFonts w:hint="eastAsia" w:ascii="宋体" w:hAnsi="宋体" w:cs="宋体"/>
                <w:i w:val="0"/>
                <w:iCs w:val="0"/>
                <w:color w:val="000000"/>
                <w:kern w:val="0"/>
                <w:sz w:val="18"/>
                <w:szCs w:val="18"/>
                <w:u w:val="none"/>
                <w:lang w:val="en-US" w:eastAsia="zh-CN" w:bidi="ar"/>
              </w:rPr>
              <w:t>更好地确保</w:t>
            </w:r>
            <w:r>
              <w:rPr>
                <w:rFonts w:ascii="宋体" w:hAnsi="宋体" w:eastAsia="宋体" w:cs="宋体"/>
                <w:i w:val="0"/>
                <w:iCs w:val="0"/>
                <w:color w:val="000000"/>
                <w:kern w:val="0"/>
                <w:sz w:val="18"/>
                <w:szCs w:val="18"/>
                <w:u w:val="none"/>
                <w:lang w:val="en-US" w:eastAsia="zh-CN" w:bidi="ar"/>
              </w:rPr>
              <w:t>了我区人民群众的身体健康。</w:t>
            </w:r>
          </w:p>
        </w:tc>
        <w:tc>
          <w:tcPr>
            <w:tcW w:w="4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DD2A0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6544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CC31B">
            <w:pP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DC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C7D9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截至</w:t>
            </w:r>
            <w:r>
              <w:rPr>
                <w:rFonts w:ascii="宋体" w:hAnsi="宋体" w:eastAsia="宋体" w:cs="宋体"/>
                <w:i w:val="0"/>
                <w:iCs w:val="0"/>
                <w:color w:val="000000"/>
                <w:kern w:val="0"/>
                <w:sz w:val="18"/>
                <w:szCs w:val="18"/>
                <w:u w:val="none"/>
                <w:lang w:val="en-US" w:eastAsia="zh-CN" w:bidi="ar"/>
              </w:rPr>
              <w:t>12月底，在项目实施过程中，我中心完成了以下工作：开展对全区农村环境、农村饮用水安全水质、公共场所、食品安全、职业卫生、病媒生物监测、“双随机”监测，对医疗机构进行医疗消毒效果监测等卫生监测工作，及时分析监测结果，并制定防控措施，报送上级主管部门。</w:t>
            </w:r>
          </w:p>
        </w:tc>
      </w:tr>
      <w:tr w14:paraId="025E2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EC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0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   （万元）</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C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7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02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8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2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0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3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A8D6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DE897">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D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C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D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AD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1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5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7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639F8">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C70B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E7BD6">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F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A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D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4A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C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9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D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47374">
            <w:pPr>
              <w:rPr>
                <w:rFonts w:hint="eastAsia" w:ascii="黑体" w:hAnsi="黑体" w:eastAsia="黑体" w:cs="黑体"/>
                <w:i w:val="0"/>
                <w:iCs w:val="0"/>
                <w:color w:val="000000"/>
                <w:sz w:val="16"/>
                <w:szCs w:val="16"/>
                <w:u w:val="none"/>
              </w:rPr>
            </w:pPr>
          </w:p>
        </w:tc>
      </w:tr>
      <w:tr w14:paraId="4DC87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36AAD">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4FC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DC97">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DE6B">
            <w:pPr>
              <w:jc w:val="center"/>
              <w:rPr>
                <w:rFonts w:hint="eastAsia" w:ascii="宋体" w:hAnsi="宋体" w:eastAsia="宋体" w:cs="宋体"/>
                <w:i w:val="0"/>
                <w:iCs w:val="0"/>
                <w:color w:val="000000"/>
                <w:sz w:val="18"/>
                <w:szCs w:val="18"/>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F12835">
            <w:pPr>
              <w:jc w:val="center"/>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88F6">
            <w:pPr>
              <w:jc w:val="center"/>
              <w:rPr>
                <w:rFonts w:hint="eastAsia"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599D">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9B3D">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D1211">
            <w:pPr>
              <w:rPr>
                <w:rFonts w:hint="eastAsia" w:ascii="黑体" w:hAnsi="黑体" w:eastAsia="黑体" w:cs="黑体"/>
                <w:i w:val="0"/>
                <w:iCs w:val="0"/>
                <w:color w:val="000000"/>
                <w:sz w:val="16"/>
                <w:szCs w:val="16"/>
                <w:u w:val="none"/>
              </w:rPr>
            </w:pPr>
          </w:p>
        </w:tc>
      </w:tr>
      <w:tr w14:paraId="60669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FF061">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4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0FCB">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46D0">
            <w:pPr>
              <w:jc w:val="center"/>
              <w:rPr>
                <w:rFonts w:hint="eastAsia" w:ascii="宋体" w:hAnsi="宋体" w:eastAsia="宋体" w:cs="宋体"/>
                <w:i w:val="0"/>
                <w:iCs w:val="0"/>
                <w:color w:val="000000"/>
                <w:sz w:val="18"/>
                <w:szCs w:val="18"/>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FF228C">
            <w:pPr>
              <w:jc w:val="center"/>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6333">
            <w:pPr>
              <w:jc w:val="center"/>
              <w:rPr>
                <w:rFonts w:hint="eastAsia"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E211">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1AD0">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6928B">
            <w:pPr>
              <w:rPr>
                <w:rFonts w:hint="eastAsia" w:ascii="黑体" w:hAnsi="黑体" w:eastAsia="黑体" w:cs="黑体"/>
                <w:i w:val="0"/>
                <w:iCs w:val="0"/>
                <w:color w:val="000000"/>
                <w:sz w:val="16"/>
                <w:szCs w:val="16"/>
                <w:u w:val="none"/>
              </w:rPr>
            </w:pPr>
          </w:p>
        </w:tc>
      </w:tr>
      <w:tr w14:paraId="16530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283BF">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8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AEA8">
            <w:pPr>
              <w:jc w:val="center"/>
              <w:rPr>
                <w:rFonts w:hint="eastAsia" w:ascii="微软雅黑" w:hAnsi="微软雅黑" w:eastAsia="微软雅黑" w:cs="微软雅黑"/>
                <w:i/>
                <w:iCs/>
                <w:color w:val="000000"/>
                <w:sz w:val="16"/>
                <w:szCs w:val="16"/>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C611">
            <w:pPr>
              <w:jc w:val="center"/>
              <w:rPr>
                <w:rFonts w:hint="eastAsia" w:ascii="微软雅黑" w:hAnsi="微软雅黑" w:eastAsia="微软雅黑" w:cs="微软雅黑"/>
                <w:i/>
                <w:iCs/>
                <w:color w:val="000000"/>
                <w:sz w:val="16"/>
                <w:szCs w:val="16"/>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E04C7">
            <w:pPr>
              <w:jc w:val="center"/>
              <w:rPr>
                <w:rFonts w:hint="eastAsia" w:ascii="微软雅黑" w:hAnsi="微软雅黑" w:eastAsia="微软雅黑" w:cs="微软雅黑"/>
                <w:i/>
                <w:iCs/>
                <w:color w:val="000000"/>
                <w:sz w:val="16"/>
                <w:szCs w:val="16"/>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453F">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C6AE">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D6A3">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AD931">
            <w:pPr>
              <w:rPr>
                <w:rFonts w:hint="eastAsia" w:ascii="黑体" w:hAnsi="黑体" w:eastAsia="黑体" w:cs="黑体"/>
                <w:i w:val="0"/>
                <w:iCs w:val="0"/>
                <w:color w:val="000000"/>
                <w:sz w:val="16"/>
                <w:szCs w:val="16"/>
                <w:u w:val="none"/>
              </w:rPr>
            </w:pPr>
          </w:p>
        </w:tc>
      </w:tr>
      <w:tr w14:paraId="37415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6F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9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6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2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5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C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A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F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9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0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7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C875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E2077">
            <w:pPr>
              <w:jc w:val="center"/>
              <w:rPr>
                <w:rFonts w:hint="eastAsia" w:ascii="宋体" w:hAnsi="宋体" w:eastAsia="宋体" w:cs="宋体"/>
                <w:i w:val="0"/>
                <w:iCs w:val="0"/>
                <w:color w:val="000000"/>
                <w:sz w:val="18"/>
                <w:szCs w:val="18"/>
                <w:u w:val="none"/>
              </w:rPr>
            </w:pP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7F8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1DC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60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宾馆、旅店、餐馆、消毒卫生产品、病媒生物等卫生监测监测数量＞50家、样本数量＞180份</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D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3B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F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7ED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913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3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2A7F">
            <w:pPr>
              <w:jc w:val="center"/>
              <w:rPr>
                <w:rFonts w:hint="eastAsia" w:ascii="微软雅黑" w:hAnsi="微软雅黑" w:eastAsia="微软雅黑" w:cs="微软雅黑"/>
                <w:i/>
                <w:iCs/>
                <w:color w:val="000000"/>
                <w:sz w:val="16"/>
                <w:szCs w:val="16"/>
                <w:u w:val="none"/>
              </w:rPr>
            </w:pPr>
          </w:p>
        </w:tc>
      </w:tr>
      <w:tr w14:paraId="33FEE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39C11">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1D211">
            <w:pPr>
              <w:rPr>
                <w:rFonts w:hint="eastAsia" w:ascii="宋体" w:hAnsi="宋体" w:eastAsia="宋体" w:cs="宋体"/>
                <w:i w:val="0"/>
                <w:iCs w:val="0"/>
                <w:color w:val="000000"/>
                <w:sz w:val="18"/>
                <w:szCs w:val="18"/>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ACC61">
            <w:pP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92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学生近视及其他重点常见病和健康影响因素监测与干预完成近视监测学生数量＞2320名，问卷调查数＞1680名，数据处理＞8000条，干预活动至少2场</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7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3B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9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5D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7F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5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970B">
            <w:pPr>
              <w:jc w:val="center"/>
              <w:rPr>
                <w:rFonts w:hint="eastAsia" w:ascii="微软雅黑" w:hAnsi="微软雅黑" w:eastAsia="微软雅黑" w:cs="微软雅黑"/>
                <w:i/>
                <w:iCs/>
                <w:color w:val="000000"/>
                <w:sz w:val="16"/>
                <w:szCs w:val="16"/>
                <w:u w:val="none"/>
              </w:rPr>
            </w:pPr>
          </w:p>
        </w:tc>
      </w:tr>
      <w:tr w14:paraId="6D4D5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8D3AF">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F126E">
            <w:pP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F2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50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监测任务完成率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5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4F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D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0B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A3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F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BE37">
            <w:pPr>
              <w:jc w:val="center"/>
              <w:rPr>
                <w:rFonts w:hint="eastAsia" w:ascii="微软雅黑" w:hAnsi="微软雅黑" w:eastAsia="微软雅黑" w:cs="微软雅黑"/>
                <w:i/>
                <w:iCs/>
                <w:color w:val="000000"/>
                <w:sz w:val="16"/>
                <w:szCs w:val="16"/>
                <w:u w:val="none"/>
              </w:rPr>
            </w:pPr>
          </w:p>
        </w:tc>
      </w:tr>
      <w:tr w14:paraId="63B52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CC59D">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35060">
            <w:pP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23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27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规定时间节点完成</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4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57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F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FB2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24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4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0B33">
            <w:pPr>
              <w:jc w:val="center"/>
              <w:rPr>
                <w:rFonts w:hint="eastAsia" w:ascii="微软雅黑" w:hAnsi="微软雅黑" w:eastAsia="微软雅黑" w:cs="微软雅黑"/>
                <w:i/>
                <w:iCs/>
                <w:color w:val="000000"/>
                <w:sz w:val="16"/>
                <w:szCs w:val="16"/>
                <w:u w:val="none"/>
              </w:rPr>
            </w:pPr>
          </w:p>
        </w:tc>
      </w:tr>
      <w:tr w14:paraId="7CE63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6052D">
            <w:pPr>
              <w:jc w:val="center"/>
              <w:rPr>
                <w:rFonts w:hint="eastAsia" w:ascii="宋体" w:hAnsi="宋体" w:eastAsia="宋体" w:cs="宋体"/>
                <w:i w:val="0"/>
                <w:iCs w:val="0"/>
                <w:color w:val="000000"/>
                <w:sz w:val="18"/>
                <w:szCs w:val="18"/>
                <w:u w:val="none"/>
              </w:rPr>
            </w:pP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8A9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8D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F9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通过对全区的卫生监测，降低传染病发生的风险</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F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8D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D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4F1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F3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2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1FB0">
            <w:pPr>
              <w:jc w:val="center"/>
              <w:rPr>
                <w:rFonts w:hint="eastAsia" w:ascii="微软雅黑" w:hAnsi="微软雅黑" w:eastAsia="微软雅黑" w:cs="微软雅黑"/>
                <w:i/>
                <w:iCs/>
                <w:color w:val="000000"/>
                <w:sz w:val="16"/>
                <w:szCs w:val="16"/>
                <w:u w:val="none"/>
              </w:rPr>
            </w:pPr>
          </w:p>
        </w:tc>
      </w:tr>
      <w:tr w14:paraId="166E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39278">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FFD9A">
            <w:pP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67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5E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全区覆盖率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6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DE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6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33E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6F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A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8BD3">
            <w:pPr>
              <w:jc w:val="center"/>
              <w:rPr>
                <w:rFonts w:hint="eastAsia" w:ascii="微软雅黑" w:hAnsi="微软雅黑" w:eastAsia="微软雅黑" w:cs="微软雅黑"/>
                <w:i/>
                <w:iCs/>
                <w:color w:val="000000"/>
                <w:sz w:val="16"/>
                <w:szCs w:val="16"/>
                <w:u w:val="none"/>
              </w:rPr>
            </w:pPr>
          </w:p>
        </w:tc>
      </w:tr>
      <w:tr w14:paraId="35EF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303D5">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B9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BF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C2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省市级考核满意度</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8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25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4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C1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3E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D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382C">
            <w:pPr>
              <w:jc w:val="center"/>
              <w:rPr>
                <w:rFonts w:hint="eastAsia" w:ascii="微软雅黑" w:hAnsi="微软雅黑" w:eastAsia="微软雅黑" w:cs="微软雅黑"/>
                <w:i/>
                <w:iCs/>
                <w:color w:val="000000"/>
                <w:sz w:val="16"/>
                <w:szCs w:val="16"/>
                <w:u w:val="none"/>
              </w:rPr>
            </w:pPr>
          </w:p>
        </w:tc>
      </w:tr>
      <w:tr w14:paraId="48A9E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26F5B">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E9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7E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44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邮电1000元,维护费1000元,,专用材料3000元,宣传印刷3000元,劳务费7000元,其他商品服务费5000元</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5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68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F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12B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0E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1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75FF">
            <w:pPr>
              <w:jc w:val="center"/>
              <w:rPr>
                <w:rFonts w:hint="eastAsia" w:ascii="微软雅黑" w:hAnsi="微软雅黑" w:eastAsia="微软雅黑" w:cs="微软雅黑"/>
                <w:i/>
                <w:iCs/>
                <w:color w:val="000000"/>
                <w:sz w:val="16"/>
                <w:szCs w:val="16"/>
                <w:u w:val="none"/>
              </w:rPr>
            </w:pPr>
          </w:p>
        </w:tc>
      </w:tr>
      <w:tr w14:paraId="0A5F5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286" w:hRule="atLeast"/>
        </w:trPr>
        <w:tc>
          <w:tcPr>
            <w:tcW w:w="104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720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FECF">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57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AC16">
            <w:pPr>
              <w:rPr>
                <w:rFonts w:hint="eastAsia" w:ascii="宋体" w:hAnsi="宋体" w:eastAsia="宋体" w:cs="宋体"/>
                <w:i w:val="0"/>
                <w:iCs w:val="0"/>
                <w:color w:val="000000"/>
                <w:sz w:val="18"/>
                <w:szCs w:val="18"/>
                <w:u w:val="none"/>
              </w:rPr>
            </w:pPr>
          </w:p>
        </w:tc>
      </w:tr>
      <w:tr w14:paraId="2C49A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5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A17E9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卫生监测、农村饮用水安全水质监测、职业病危害因素监测工作经费使用情况良好，全面完成年初制订的项目绩效目标工作任务，工作满意率100%。按照预算绩效管理要求，本部门对该项目开展绩效自评，自评得分95分，从项目的立项、资金申报与使用、项目完成进度和质量等多方面评价。该项目完成绩效目标情况良好。</w:t>
            </w:r>
          </w:p>
        </w:tc>
      </w:tr>
      <w:tr w14:paraId="629EF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3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E76C0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各级政府对卫生监测检验工作存在重视程度不够、检验人员素质不高、监测检验资质认证不完善、工作程序不规范等问题。区疾控中心监测、检验科人员少，技术力量薄弱，无法对新检验方法、新检验项目进行深入研究和探讨，致使中心检验技术无新的突破。</w:t>
            </w:r>
          </w:p>
        </w:tc>
      </w:tr>
      <w:tr w14:paraId="583DE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1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5C238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建议在政府支持下，疾控机构建立和完善卫生监测、检验工作体系，加强素质人才队伍建设；健全落实规范化的保障机制等对策，推动卫生监测、检验工作的可持续发展。</w:t>
            </w:r>
          </w:p>
        </w:tc>
      </w:tr>
      <w:tr w14:paraId="48D7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7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6E165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项目负责人：董杨</w:t>
            </w:r>
          </w:p>
        </w:tc>
        <w:tc>
          <w:tcPr>
            <w:tcW w:w="65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234F5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财务负责人：吴霞</w:t>
            </w:r>
          </w:p>
        </w:tc>
      </w:tr>
      <w:tr w14:paraId="074CE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904" w:hRule="atLeast"/>
        </w:trPr>
        <w:tc>
          <w:tcPr>
            <w:tcW w:w="13679" w:type="dxa"/>
            <w:gridSpan w:val="11"/>
            <w:tcBorders>
              <w:top w:val="nil"/>
              <w:left w:val="nil"/>
              <w:bottom w:val="nil"/>
              <w:right w:val="nil"/>
            </w:tcBorders>
            <w:shd w:val="clear" w:color="auto" w:fill="auto"/>
            <w:vAlign w:val="center"/>
          </w:tcPr>
          <w:p w14:paraId="4684A403">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29DA3592">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622FD81E">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6B94D10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部门预算项目支出绩效自评表</w:t>
            </w:r>
          </w:p>
        </w:tc>
      </w:tr>
      <w:tr w14:paraId="0B9BF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60" w:hRule="atLeast"/>
        </w:trPr>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172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CE4B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51090424T000011120697-信息安全建设</w:t>
            </w:r>
          </w:p>
        </w:tc>
      </w:tr>
      <w:tr w14:paraId="7D407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12" w:hRule="atLeast"/>
        </w:trPr>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7BC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E040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遂宁市安居区卫生健康局</w:t>
            </w:r>
          </w:p>
        </w:tc>
        <w:tc>
          <w:tcPr>
            <w:tcW w:w="1107" w:type="dxa"/>
            <w:tcBorders>
              <w:top w:val="nil"/>
              <w:left w:val="nil"/>
              <w:bottom w:val="nil"/>
              <w:right w:val="nil"/>
            </w:tcBorders>
            <w:shd w:val="clear" w:color="auto" w:fill="auto"/>
            <w:vAlign w:val="center"/>
          </w:tcPr>
          <w:p w14:paraId="333B1316">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23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w:t>
            </w:r>
          </w:p>
        </w:tc>
      </w:tr>
      <w:tr w14:paraId="38651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7DD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E67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26D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53819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E57E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4012B">
            <w:pP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8E1EF">
            <w:pPr>
              <w:rPr>
                <w:rFonts w:hint="eastAsia" w:ascii="宋体" w:hAnsi="宋体" w:eastAsia="宋体" w:cs="宋体"/>
                <w:i w:val="0"/>
                <w:iCs w:val="0"/>
                <w:color w:val="000000"/>
                <w:sz w:val="18"/>
                <w:szCs w:val="18"/>
                <w:u w:val="none"/>
              </w:rPr>
            </w:pP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471C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疾控机构“二级甲等”等级评审建设指标，省市级安排必须建设信息安全机房，确保完善全区重大传染病信息安全，防止重大传染病信息泄露事件发生</w:t>
            </w:r>
          </w:p>
        </w:tc>
        <w:tc>
          <w:tcPr>
            <w:tcW w:w="4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30984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64F7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75228">
            <w:pP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70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FFF3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截至</w:t>
            </w:r>
            <w:r>
              <w:rPr>
                <w:rFonts w:ascii="宋体" w:hAnsi="宋体" w:eastAsia="宋体" w:cs="宋体"/>
                <w:i w:val="0"/>
                <w:iCs w:val="0"/>
                <w:color w:val="000000"/>
                <w:kern w:val="0"/>
                <w:sz w:val="18"/>
                <w:szCs w:val="18"/>
                <w:u w:val="none"/>
                <w:lang w:val="en-US" w:eastAsia="zh-CN" w:bidi="ar"/>
              </w:rPr>
              <w:t>12月底，在项目实施过程中，我中心完成了以下工作：省市级安排建设信息安全机房，防治重大传染病信息泄露事件发生，（市、区联做）建设疾病防控系统信息安全机房，建设信息安全机房安全设备（VPN+防火墙+行为管理），确保完善全区重大传染病信息安全防护、安全管理、安全保障等工作，无重大传染病信息泄露事件发生。</w:t>
            </w:r>
          </w:p>
        </w:tc>
      </w:tr>
      <w:tr w14:paraId="7CF5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ED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2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   （万元）</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9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6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85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E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7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3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9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53A5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6E9BD">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6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4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E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A5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3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1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0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90FAD">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A534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57C1E">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9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0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2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2AC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7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0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F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10BC9">
            <w:pPr>
              <w:rPr>
                <w:rFonts w:hint="eastAsia" w:ascii="黑体" w:hAnsi="黑体" w:eastAsia="黑体" w:cs="黑体"/>
                <w:i w:val="0"/>
                <w:iCs w:val="0"/>
                <w:color w:val="000000"/>
                <w:sz w:val="16"/>
                <w:szCs w:val="16"/>
                <w:u w:val="none"/>
              </w:rPr>
            </w:pPr>
          </w:p>
        </w:tc>
      </w:tr>
      <w:tr w14:paraId="18B4F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DF9F0">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0F9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D304">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9F71">
            <w:pPr>
              <w:jc w:val="center"/>
              <w:rPr>
                <w:rFonts w:hint="eastAsia" w:ascii="宋体" w:hAnsi="宋体" w:eastAsia="宋体" w:cs="宋体"/>
                <w:i w:val="0"/>
                <w:iCs w:val="0"/>
                <w:color w:val="000000"/>
                <w:sz w:val="18"/>
                <w:szCs w:val="18"/>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14AB0D">
            <w:pPr>
              <w:jc w:val="center"/>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2FC8">
            <w:pPr>
              <w:jc w:val="center"/>
              <w:rPr>
                <w:rFonts w:hint="eastAsia"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57F9">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904F">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6F6D9">
            <w:pPr>
              <w:rPr>
                <w:rFonts w:hint="eastAsia" w:ascii="黑体" w:hAnsi="黑体" w:eastAsia="黑体" w:cs="黑体"/>
                <w:i w:val="0"/>
                <w:iCs w:val="0"/>
                <w:color w:val="000000"/>
                <w:sz w:val="16"/>
                <w:szCs w:val="16"/>
                <w:u w:val="none"/>
              </w:rPr>
            </w:pPr>
          </w:p>
        </w:tc>
      </w:tr>
      <w:tr w14:paraId="433E2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53878">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D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B8FA">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5FA2">
            <w:pPr>
              <w:jc w:val="center"/>
              <w:rPr>
                <w:rFonts w:hint="eastAsia" w:ascii="宋体" w:hAnsi="宋体" w:eastAsia="宋体" w:cs="宋体"/>
                <w:i w:val="0"/>
                <w:iCs w:val="0"/>
                <w:color w:val="000000"/>
                <w:sz w:val="18"/>
                <w:szCs w:val="18"/>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C3F2BB">
            <w:pPr>
              <w:jc w:val="center"/>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8A9C">
            <w:pPr>
              <w:jc w:val="center"/>
              <w:rPr>
                <w:rFonts w:hint="eastAsia"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8973">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9F09">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0D317">
            <w:pPr>
              <w:rPr>
                <w:rFonts w:hint="eastAsia" w:ascii="黑体" w:hAnsi="黑体" w:eastAsia="黑体" w:cs="黑体"/>
                <w:i w:val="0"/>
                <w:iCs w:val="0"/>
                <w:color w:val="000000"/>
                <w:sz w:val="16"/>
                <w:szCs w:val="16"/>
                <w:u w:val="none"/>
              </w:rPr>
            </w:pPr>
          </w:p>
        </w:tc>
      </w:tr>
      <w:tr w14:paraId="03F83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47C32">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4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2921">
            <w:pPr>
              <w:jc w:val="center"/>
              <w:rPr>
                <w:rFonts w:hint="eastAsia" w:ascii="微软雅黑" w:hAnsi="微软雅黑" w:eastAsia="微软雅黑" w:cs="微软雅黑"/>
                <w:i/>
                <w:iCs/>
                <w:color w:val="000000"/>
                <w:sz w:val="16"/>
                <w:szCs w:val="16"/>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5818">
            <w:pPr>
              <w:jc w:val="center"/>
              <w:rPr>
                <w:rFonts w:hint="eastAsia" w:ascii="微软雅黑" w:hAnsi="微软雅黑" w:eastAsia="微软雅黑" w:cs="微软雅黑"/>
                <w:i/>
                <w:iCs/>
                <w:color w:val="000000"/>
                <w:sz w:val="16"/>
                <w:szCs w:val="16"/>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D1F2B">
            <w:pPr>
              <w:jc w:val="center"/>
              <w:rPr>
                <w:rFonts w:hint="eastAsia" w:ascii="微软雅黑" w:hAnsi="微软雅黑" w:eastAsia="微软雅黑" w:cs="微软雅黑"/>
                <w:i/>
                <w:iCs/>
                <w:color w:val="000000"/>
                <w:sz w:val="16"/>
                <w:szCs w:val="16"/>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E33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14F9">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B90F">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70238">
            <w:pPr>
              <w:rPr>
                <w:rFonts w:hint="eastAsia" w:ascii="黑体" w:hAnsi="黑体" w:eastAsia="黑体" w:cs="黑体"/>
                <w:i w:val="0"/>
                <w:iCs w:val="0"/>
                <w:color w:val="000000"/>
                <w:sz w:val="16"/>
                <w:szCs w:val="16"/>
                <w:u w:val="none"/>
              </w:rPr>
            </w:pPr>
          </w:p>
        </w:tc>
      </w:tr>
      <w:tr w14:paraId="778CD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11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F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D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8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2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5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D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2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0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9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4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05C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C234A">
            <w:pPr>
              <w:jc w:val="center"/>
              <w:rPr>
                <w:rFonts w:hint="eastAsia" w:ascii="宋体" w:hAnsi="宋体" w:eastAsia="宋体" w:cs="宋体"/>
                <w:i w:val="0"/>
                <w:iCs w:val="0"/>
                <w:color w:val="000000"/>
                <w:sz w:val="18"/>
                <w:szCs w:val="18"/>
                <w:u w:val="none"/>
              </w:rPr>
            </w:pP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741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74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85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安全设备（VPN+上网行为管理）完成</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A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32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8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0BA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D3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5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9630">
            <w:pPr>
              <w:jc w:val="center"/>
              <w:rPr>
                <w:rFonts w:hint="eastAsia" w:ascii="微软雅黑" w:hAnsi="微软雅黑" w:eastAsia="微软雅黑" w:cs="微软雅黑"/>
                <w:i/>
                <w:iCs/>
                <w:color w:val="000000"/>
                <w:sz w:val="16"/>
                <w:szCs w:val="16"/>
                <w:u w:val="none"/>
              </w:rPr>
            </w:pPr>
          </w:p>
        </w:tc>
      </w:tr>
      <w:tr w14:paraId="37309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D1D92">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611E6">
            <w:pP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1B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65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正常运行</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7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C3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4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2F4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9A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1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EA51">
            <w:pPr>
              <w:jc w:val="center"/>
              <w:rPr>
                <w:rFonts w:hint="eastAsia" w:ascii="微软雅黑" w:hAnsi="微软雅黑" w:eastAsia="微软雅黑" w:cs="微软雅黑"/>
                <w:i/>
                <w:iCs/>
                <w:color w:val="000000"/>
                <w:sz w:val="16"/>
                <w:szCs w:val="16"/>
                <w:u w:val="none"/>
              </w:rPr>
            </w:pPr>
          </w:p>
        </w:tc>
      </w:tr>
      <w:tr w14:paraId="4DD1E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5CBA8">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B03D1">
            <w:pP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6D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A9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规定时间节点完成</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5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D4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9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87F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B0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6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E4D3">
            <w:pPr>
              <w:jc w:val="center"/>
              <w:rPr>
                <w:rFonts w:hint="eastAsia" w:ascii="微软雅黑" w:hAnsi="微软雅黑" w:eastAsia="微软雅黑" w:cs="微软雅黑"/>
                <w:i/>
                <w:iCs/>
                <w:color w:val="000000"/>
                <w:sz w:val="16"/>
                <w:szCs w:val="16"/>
                <w:u w:val="none"/>
              </w:rPr>
            </w:pPr>
          </w:p>
        </w:tc>
      </w:tr>
      <w:tr w14:paraId="1880A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05B89">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58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2B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24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无重大传染病信息泄露事件发生</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3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67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7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EE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F8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F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B728">
            <w:pPr>
              <w:jc w:val="center"/>
              <w:rPr>
                <w:rFonts w:hint="eastAsia" w:ascii="微软雅黑" w:hAnsi="微软雅黑" w:eastAsia="微软雅黑" w:cs="微软雅黑"/>
                <w:i/>
                <w:iCs/>
                <w:color w:val="000000"/>
                <w:sz w:val="16"/>
                <w:szCs w:val="16"/>
                <w:u w:val="none"/>
              </w:rPr>
            </w:pPr>
          </w:p>
        </w:tc>
      </w:tr>
      <w:tr w14:paraId="40375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D12CA">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43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9A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09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省市级考核</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B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B5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7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F5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6B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1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906C">
            <w:pPr>
              <w:jc w:val="center"/>
              <w:rPr>
                <w:rFonts w:hint="eastAsia" w:ascii="微软雅黑" w:hAnsi="微软雅黑" w:eastAsia="微软雅黑" w:cs="微软雅黑"/>
                <w:i/>
                <w:iCs/>
                <w:color w:val="000000"/>
                <w:sz w:val="16"/>
                <w:szCs w:val="16"/>
                <w:u w:val="none"/>
              </w:rPr>
            </w:pPr>
          </w:p>
        </w:tc>
      </w:tr>
      <w:tr w14:paraId="799B8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10A45">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09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30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47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信息安全维护2万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E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4A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D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5E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31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E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3146">
            <w:pPr>
              <w:jc w:val="center"/>
              <w:rPr>
                <w:rFonts w:hint="eastAsia" w:ascii="微软雅黑" w:hAnsi="微软雅黑" w:eastAsia="微软雅黑" w:cs="微软雅黑"/>
                <w:i/>
                <w:iCs/>
                <w:color w:val="000000"/>
                <w:sz w:val="16"/>
                <w:szCs w:val="16"/>
                <w:u w:val="none"/>
              </w:rPr>
            </w:pPr>
          </w:p>
        </w:tc>
      </w:tr>
      <w:tr w14:paraId="48DA4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286" w:hRule="atLeast"/>
        </w:trPr>
        <w:tc>
          <w:tcPr>
            <w:tcW w:w="104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FF9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BDDB">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CE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5834">
            <w:pPr>
              <w:rPr>
                <w:rFonts w:hint="eastAsia" w:ascii="宋体" w:hAnsi="宋体" w:eastAsia="宋体" w:cs="宋体"/>
                <w:i w:val="0"/>
                <w:iCs w:val="0"/>
                <w:color w:val="000000"/>
                <w:sz w:val="18"/>
                <w:szCs w:val="18"/>
                <w:u w:val="none"/>
              </w:rPr>
            </w:pPr>
          </w:p>
        </w:tc>
      </w:tr>
      <w:tr w14:paraId="690BF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8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6F53A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信息化安全建设工作经费使用情况良好，全面完成年初制订的项目绩效目标工作任务，工作满意率较高。按照预算绩效管理要求，本部门对该项目开展绩效自评，自评得分95分，从项目的立项、资金申报与使用、项目完成进度和质量等多方面评价。该项目完成绩效目标情况良好。</w:t>
            </w:r>
          </w:p>
        </w:tc>
      </w:tr>
      <w:tr w14:paraId="75F81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E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BAE9D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一是信息化资金与设备不足，共享与利用率不高。二是疾控机构的卫生应急处置信息化建设数据标准与规范应用滞后，相关人员素质有待提高。</w:t>
            </w:r>
          </w:p>
        </w:tc>
      </w:tr>
      <w:tr w14:paraId="04F73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F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1B082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一是加强培训学习，为信息化安全建设提供技术支撑；二是健全管理制度，加强信息安全保密工作。</w:t>
            </w:r>
          </w:p>
        </w:tc>
      </w:tr>
      <w:tr w14:paraId="16C3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7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D195F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项目负责人：杨鑫</w:t>
            </w:r>
          </w:p>
        </w:tc>
        <w:tc>
          <w:tcPr>
            <w:tcW w:w="65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C1D51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财务负责人：吴霞</w:t>
            </w:r>
          </w:p>
        </w:tc>
      </w:tr>
      <w:tr w14:paraId="20136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904" w:hRule="atLeast"/>
        </w:trPr>
        <w:tc>
          <w:tcPr>
            <w:tcW w:w="13679" w:type="dxa"/>
            <w:gridSpan w:val="11"/>
            <w:tcBorders>
              <w:top w:val="nil"/>
              <w:left w:val="nil"/>
              <w:bottom w:val="nil"/>
              <w:right w:val="nil"/>
            </w:tcBorders>
            <w:shd w:val="clear" w:color="auto" w:fill="auto"/>
            <w:vAlign w:val="center"/>
          </w:tcPr>
          <w:p w14:paraId="79F022D6">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19BCB2B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部门预算项目支出绩效自评表</w:t>
            </w:r>
          </w:p>
        </w:tc>
      </w:tr>
      <w:tr w14:paraId="4FFB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60" w:hRule="atLeast"/>
        </w:trPr>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10E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B97B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51090424T000011120748-第二类疫苗预防接种服务经费</w:t>
            </w:r>
          </w:p>
        </w:tc>
      </w:tr>
      <w:tr w14:paraId="30EC4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12" w:hRule="atLeast"/>
        </w:trPr>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EEE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E4E9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遂宁市安居区卫生健康局</w:t>
            </w:r>
          </w:p>
        </w:tc>
        <w:tc>
          <w:tcPr>
            <w:tcW w:w="1107" w:type="dxa"/>
            <w:tcBorders>
              <w:top w:val="nil"/>
              <w:left w:val="nil"/>
              <w:bottom w:val="nil"/>
              <w:right w:val="nil"/>
            </w:tcBorders>
            <w:shd w:val="clear" w:color="auto" w:fill="auto"/>
            <w:vAlign w:val="center"/>
          </w:tcPr>
          <w:p w14:paraId="61710314">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5E3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w:t>
            </w:r>
          </w:p>
        </w:tc>
      </w:tr>
      <w:tr w14:paraId="124E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1BE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8B6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3AD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4D43D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2D59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63891">
            <w:pP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D75F5">
            <w:pPr>
              <w:rPr>
                <w:rFonts w:hint="eastAsia" w:ascii="宋体" w:hAnsi="宋体" w:eastAsia="宋体" w:cs="宋体"/>
                <w:i w:val="0"/>
                <w:iCs w:val="0"/>
                <w:color w:val="000000"/>
                <w:sz w:val="18"/>
                <w:szCs w:val="18"/>
                <w:u w:val="none"/>
              </w:rPr>
            </w:pP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BB14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全区进一步提高国家免疫规划疫苗疫苗接种率，降低疫苗针对传染病发病率，保障疫苗接种安全，提高二类疫苗接种率，有效控制可免性传染病的暴发和流行，让免疫规划成为一项惠及民生的社会服务工程。</w:t>
            </w:r>
          </w:p>
        </w:tc>
        <w:tc>
          <w:tcPr>
            <w:tcW w:w="4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43EE9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AC4E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B491C">
            <w:pP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A2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8005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项目实施过程中，我中心完成了以下工作：2024年我中心加大指导检查力度，指导区内各接种点规范开展预防接种工作，通过常规接种、查漏补种和入托入学儿童接种证查验等方式，提高各类疫苗接种水平。强调安全接种和疫苗规范管理，杜绝接种事故和疫苗事故的发生。根据预防接种工作规范的要求，开展免疫规划针对传染病的各项监测工作，不断完善各项措施，逐渐提高疾病预防控制、疫情监测及处置能力。</w:t>
            </w:r>
          </w:p>
        </w:tc>
      </w:tr>
      <w:tr w14:paraId="29601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46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0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   （万元）</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9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0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60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F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1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5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B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69C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50C46">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D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5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3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E5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F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6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F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368A3">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9FAD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4C552">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3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E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F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93A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2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2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9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37D6E">
            <w:pPr>
              <w:rPr>
                <w:rFonts w:hint="eastAsia" w:ascii="黑体" w:hAnsi="黑体" w:eastAsia="黑体" w:cs="黑体"/>
                <w:i w:val="0"/>
                <w:iCs w:val="0"/>
                <w:color w:val="000000"/>
                <w:sz w:val="16"/>
                <w:szCs w:val="16"/>
                <w:u w:val="none"/>
              </w:rPr>
            </w:pPr>
          </w:p>
        </w:tc>
      </w:tr>
      <w:tr w14:paraId="0D494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251DC">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804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FFD5">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4747">
            <w:pPr>
              <w:jc w:val="center"/>
              <w:rPr>
                <w:rFonts w:hint="eastAsia" w:ascii="宋体" w:hAnsi="宋体" w:eastAsia="宋体" w:cs="宋体"/>
                <w:i w:val="0"/>
                <w:iCs w:val="0"/>
                <w:color w:val="000000"/>
                <w:sz w:val="18"/>
                <w:szCs w:val="18"/>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E76B26">
            <w:pPr>
              <w:jc w:val="center"/>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F56D">
            <w:pPr>
              <w:jc w:val="center"/>
              <w:rPr>
                <w:rFonts w:hint="eastAsia"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9AD3">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68D5">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693DB">
            <w:pPr>
              <w:rPr>
                <w:rFonts w:hint="eastAsia" w:ascii="黑体" w:hAnsi="黑体" w:eastAsia="黑体" w:cs="黑体"/>
                <w:i w:val="0"/>
                <w:iCs w:val="0"/>
                <w:color w:val="000000"/>
                <w:sz w:val="16"/>
                <w:szCs w:val="16"/>
                <w:u w:val="none"/>
              </w:rPr>
            </w:pPr>
          </w:p>
        </w:tc>
      </w:tr>
      <w:tr w14:paraId="38972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5B1AF">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C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6871">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F5FB">
            <w:pPr>
              <w:jc w:val="center"/>
              <w:rPr>
                <w:rFonts w:hint="eastAsia" w:ascii="宋体" w:hAnsi="宋体" w:eastAsia="宋体" w:cs="宋体"/>
                <w:i w:val="0"/>
                <w:iCs w:val="0"/>
                <w:color w:val="000000"/>
                <w:sz w:val="18"/>
                <w:szCs w:val="18"/>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B5493">
            <w:pPr>
              <w:jc w:val="center"/>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640D">
            <w:pPr>
              <w:jc w:val="center"/>
              <w:rPr>
                <w:rFonts w:hint="eastAsia"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FC87">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1D41">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7DEBF">
            <w:pPr>
              <w:rPr>
                <w:rFonts w:hint="eastAsia" w:ascii="黑体" w:hAnsi="黑体" w:eastAsia="黑体" w:cs="黑体"/>
                <w:i w:val="0"/>
                <w:iCs w:val="0"/>
                <w:color w:val="000000"/>
                <w:sz w:val="16"/>
                <w:szCs w:val="16"/>
                <w:u w:val="none"/>
              </w:rPr>
            </w:pPr>
          </w:p>
        </w:tc>
      </w:tr>
      <w:tr w14:paraId="4F5E5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B9D73">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1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0930">
            <w:pPr>
              <w:jc w:val="center"/>
              <w:rPr>
                <w:rFonts w:hint="eastAsia" w:ascii="微软雅黑" w:hAnsi="微软雅黑" w:eastAsia="微软雅黑" w:cs="微软雅黑"/>
                <w:i/>
                <w:iCs/>
                <w:color w:val="000000"/>
                <w:sz w:val="16"/>
                <w:szCs w:val="16"/>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6C6A">
            <w:pPr>
              <w:jc w:val="center"/>
              <w:rPr>
                <w:rFonts w:hint="eastAsia" w:ascii="微软雅黑" w:hAnsi="微软雅黑" w:eastAsia="微软雅黑" w:cs="微软雅黑"/>
                <w:i/>
                <w:iCs/>
                <w:color w:val="000000"/>
                <w:sz w:val="16"/>
                <w:szCs w:val="16"/>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0D997">
            <w:pPr>
              <w:jc w:val="center"/>
              <w:rPr>
                <w:rFonts w:hint="eastAsia" w:ascii="微软雅黑" w:hAnsi="微软雅黑" w:eastAsia="微软雅黑" w:cs="微软雅黑"/>
                <w:i/>
                <w:iCs/>
                <w:color w:val="000000"/>
                <w:sz w:val="16"/>
                <w:szCs w:val="16"/>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1D83">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A469">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979E">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BF4B7">
            <w:pPr>
              <w:rPr>
                <w:rFonts w:hint="eastAsia" w:ascii="黑体" w:hAnsi="黑体" w:eastAsia="黑体" w:cs="黑体"/>
                <w:i w:val="0"/>
                <w:iCs w:val="0"/>
                <w:color w:val="000000"/>
                <w:sz w:val="16"/>
                <w:szCs w:val="16"/>
                <w:u w:val="none"/>
              </w:rPr>
            </w:pPr>
          </w:p>
        </w:tc>
      </w:tr>
      <w:tr w14:paraId="0504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F6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3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1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F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6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0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B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9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B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B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0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37D1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6F3D1">
            <w:pPr>
              <w:jc w:val="center"/>
              <w:rPr>
                <w:rFonts w:hint="eastAsia" w:ascii="宋体" w:hAnsi="宋体" w:eastAsia="宋体" w:cs="宋体"/>
                <w:i w:val="0"/>
                <w:iCs w:val="0"/>
                <w:color w:val="000000"/>
                <w:sz w:val="18"/>
                <w:szCs w:val="18"/>
                <w:u w:val="none"/>
              </w:rPr>
            </w:pP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7E0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1B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8A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全区21个接种点二类疫苗接种完成</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7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0B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7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DB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659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E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2847">
            <w:pPr>
              <w:jc w:val="center"/>
              <w:rPr>
                <w:rFonts w:hint="eastAsia" w:ascii="微软雅黑" w:hAnsi="微软雅黑" w:eastAsia="微软雅黑" w:cs="微软雅黑"/>
                <w:i/>
                <w:iCs/>
                <w:color w:val="000000"/>
                <w:sz w:val="16"/>
                <w:szCs w:val="16"/>
                <w:u w:val="none"/>
              </w:rPr>
            </w:pPr>
          </w:p>
        </w:tc>
      </w:tr>
      <w:tr w14:paraId="5039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71DFC">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11D35">
            <w:pP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6C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14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保证全区人民群众第二类疫苗接种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3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8D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2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282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49E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D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37A0">
            <w:pPr>
              <w:jc w:val="center"/>
              <w:rPr>
                <w:rFonts w:hint="eastAsia" w:ascii="微软雅黑" w:hAnsi="微软雅黑" w:eastAsia="微软雅黑" w:cs="微软雅黑"/>
                <w:i/>
                <w:iCs/>
                <w:color w:val="000000"/>
                <w:sz w:val="16"/>
                <w:szCs w:val="16"/>
                <w:u w:val="none"/>
              </w:rPr>
            </w:pPr>
          </w:p>
        </w:tc>
      </w:tr>
      <w:tr w14:paraId="187AF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07784">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6EE2E">
            <w:pP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96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4A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规定时间节点完成</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5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4D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E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932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13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4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DB7D">
            <w:pPr>
              <w:jc w:val="center"/>
              <w:rPr>
                <w:rFonts w:hint="eastAsia" w:ascii="微软雅黑" w:hAnsi="微软雅黑" w:eastAsia="微软雅黑" w:cs="微软雅黑"/>
                <w:i/>
                <w:iCs/>
                <w:color w:val="000000"/>
                <w:sz w:val="16"/>
                <w:szCs w:val="16"/>
                <w:u w:val="none"/>
              </w:rPr>
            </w:pPr>
          </w:p>
        </w:tc>
      </w:tr>
      <w:tr w14:paraId="305F6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CF3E9">
            <w:pPr>
              <w:jc w:val="center"/>
              <w:rPr>
                <w:rFonts w:hint="eastAsia" w:ascii="宋体" w:hAnsi="宋体" w:eastAsia="宋体" w:cs="宋体"/>
                <w:i w:val="0"/>
                <w:iCs w:val="0"/>
                <w:color w:val="000000"/>
                <w:sz w:val="18"/>
                <w:szCs w:val="18"/>
                <w:u w:val="none"/>
              </w:rPr>
            </w:pP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3A7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BA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8F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有效预防控制传染病的暴发和流行</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3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28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5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D1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4A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A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7D56">
            <w:pPr>
              <w:jc w:val="center"/>
              <w:rPr>
                <w:rFonts w:hint="eastAsia" w:ascii="微软雅黑" w:hAnsi="微软雅黑" w:eastAsia="微软雅黑" w:cs="微软雅黑"/>
                <w:i/>
                <w:iCs/>
                <w:color w:val="000000"/>
                <w:sz w:val="16"/>
                <w:szCs w:val="16"/>
                <w:u w:val="none"/>
              </w:rPr>
            </w:pPr>
          </w:p>
        </w:tc>
      </w:tr>
      <w:tr w14:paraId="7037F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56E27">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B87B6">
            <w:pP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B8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68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传染病预警信号处理、报告数据管理及疫情处置覆盖率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E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DB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0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6F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D2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6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5A10">
            <w:pPr>
              <w:jc w:val="center"/>
              <w:rPr>
                <w:rFonts w:hint="eastAsia" w:ascii="微软雅黑" w:hAnsi="微软雅黑" w:eastAsia="微软雅黑" w:cs="微软雅黑"/>
                <w:i/>
                <w:iCs/>
                <w:color w:val="000000"/>
                <w:sz w:val="16"/>
                <w:szCs w:val="16"/>
                <w:u w:val="none"/>
              </w:rPr>
            </w:pPr>
          </w:p>
        </w:tc>
      </w:tr>
      <w:tr w14:paraId="252FB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DF82A">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5C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18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98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接种群众满意度</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1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2C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6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84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99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D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0565">
            <w:pPr>
              <w:jc w:val="center"/>
              <w:rPr>
                <w:rFonts w:hint="eastAsia" w:ascii="微软雅黑" w:hAnsi="微软雅黑" w:eastAsia="微软雅黑" w:cs="微软雅黑"/>
                <w:i/>
                <w:iCs/>
                <w:color w:val="000000"/>
                <w:sz w:val="16"/>
                <w:szCs w:val="16"/>
                <w:u w:val="none"/>
              </w:rPr>
            </w:pPr>
          </w:p>
        </w:tc>
      </w:tr>
      <w:tr w14:paraId="7A366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390EA">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65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39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5C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21个接种点接种预检、接种、耗材、接种信息服务80万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5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F5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4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0D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4A5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0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1FFF">
            <w:pPr>
              <w:jc w:val="center"/>
              <w:rPr>
                <w:rFonts w:hint="eastAsia" w:ascii="微软雅黑" w:hAnsi="微软雅黑" w:eastAsia="微软雅黑" w:cs="微软雅黑"/>
                <w:i/>
                <w:iCs/>
                <w:color w:val="000000"/>
                <w:sz w:val="16"/>
                <w:szCs w:val="16"/>
                <w:u w:val="none"/>
              </w:rPr>
            </w:pPr>
          </w:p>
        </w:tc>
      </w:tr>
      <w:tr w14:paraId="14B4F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286" w:hRule="atLeast"/>
        </w:trPr>
        <w:tc>
          <w:tcPr>
            <w:tcW w:w="104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8A4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FCCF">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98E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0F0E">
            <w:pPr>
              <w:rPr>
                <w:rFonts w:hint="eastAsia" w:ascii="宋体" w:hAnsi="宋体" w:eastAsia="宋体" w:cs="宋体"/>
                <w:i w:val="0"/>
                <w:iCs w:val="0"/>
                <w:color w:val="000000"/>
                <w:sz w:val="18"/>
                <w:szCs w:val="18"/>
                <w:u w:val="none"/>
              </w:rPr>
            </w:pPr>
          </w:p>
        </w:tc>
      </w:tr>
      <w:tr w14:paraId="3D91E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6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F9A38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截至2024年12月31日，免疫规划工作经费使用情况良好，全面完成年初制订的全区国家免疫规划实施及儿童预防接种工作任务，预防接种工作质量稳步提高，工作满意率100%。按照预算绩效管理要求，本部门对该项目开展绩效自评，自评得分95分，从项目的立项、资金申报与使用、项目完成进度和质量等多方面评价。该项目完成绩效目标情况很好。</w:t>
            </w:r>
          </w:p>
        </w:tc>
      </w:tr>
      <w:tr w14:paraId="7A784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2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CB4BE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部分接种单位免疫规划工作管理不规范，免疫规划相关资料收集整理不齐全，告知书及预检登记等资料监护人或本人签字不完整；因市内的医疗废物处置公司不具备处理过期疫苗的资质，不能对过期疫苗进行及时规范处置；部分单位对麻疹、AFP监测方案培训力度不够；入托入学查验与补种工作存在脱节现象，补种率较低；个别单位免疫规划专业人员更替频繁。</w:t>
            </w:r>
          </w:p>
        </w:tc>
      </w:tr>
      <w:tr w14:paraId="4ECA6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F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78DFD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加强领导，增加投入，加强免疫规划队伍建设。二是提高常规接种率，免疫规划接种率维持在95%以上。三是加强全区预防接种门诊建设和预防接种手机APP应用，提高预防接种门诊管理水平，保证接种安全，避免接种事故，减少预防接种异常反应的发生。四是加强AFP监测,做好消灭脊灰证实后续工作。五是各医疗卫生单位加强麻疹监测,做好监测并及时录入软件上报,达到各项监测指标要求。六是全区加强生物制品的计划管理和冷链设备的使用维护及更新。七是严格执行《国家入托、入学查验预防接种证工作实施方案》，建立和健全入托、入学查验预防接种证制度。八是树立安全注射意识，避免接种异常反应和事故发生。九是加强督导，宣传及业务培训、考核。</w:t>
            </w:r>
          </w:p>
        </w:tc>
      </w:tr>
      <w:tr w14:paraId="475C5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2" w:type="dxa"/>
          <w:trHeight w:val="620" w:hRule="atLeast"/>
        </w:trPr>
        <w:tc>
          <w:tcPr>
            <w:tcW w:w="7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E28A2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项目负责人：钟雪梦</w:t>
            </w:r>
          </w:p>
        </w:tc>
        <w:tc>
          <w:tcPr>
            <w:tcW w:w="65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22507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财务负责人：吴霞</w:t>
            </w:r>
          </w:p>
        </w:tc>
      </w:tr>
      <w:tr w14:paraId="67368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904" w:hRule="atLeast"/>
        </w:trPr>
        <w:tc>
          <w:tcPr>
            <w:tcW w:w="13679" w:type="dxa"/>
            <w:gridSpan w:val="11"/>
            <w:tcBorders>
              <w:top w:val="nil"/>
              <w:left w:val="nil"/>
              <w:bottom w:val="nil"/>
              <w:right w:val="nil"/>
            </w:tcBorders>
            <w:shd w:val="clear" w:color="auto" w:fill="auto"/>
            <w:vAlign w:val="center"/>
          </w:tcPr>
          <w:p w14:paraId="52A8B0BD">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17A02D11">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部门预算项目支出绩效自评表</w:t>
            </w:r>
          </w:p>
        </w:tc>
      </w:tr>
      <w:tr w14:paraId="762F7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60" w:hRule="atLeast"/>
        </w:trPr>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7E0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C037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w:t>
            </w:r>
            <w:r>
              <w:rPr>
                <w:rFonts w:hint="eastAsia" w:ascii="宋体" w:hAnsi="宋体" w:cs="宋体"/>
                <w:i w:val="0"/>
                <w:iCs w:val="0"/>
                <w:color w:val="000000"/>
                <w:kern w:val="0"/>
                <w:sz w:val="18"/>
                <w:szCs w:val="18"/>
                <w:u w:val="none"/>
                <w:lang w:val="en-US" w:eastAsia="zh-CN" w:bidi="ar"/>
              </w:rPr>
              <w:t>22</w:t>
            </w:r>
            <w:r>
              <w:rPr>
                <w:rFonts w:ascii="宋体" w:hAnsi="宋体" w:eastAsia="宋体" w:cs="宋体"/>
                <w:i w:val="0"/>
                <w:iCs w:val="0"/>
                <w:color w:val="000000"/>
                <w:kern w:val="0"/>
                <w:sz w:val="18"/>
                <w:szCs w:val="18"/>
                <w:u w:val="none"/>
                <w:lang w:val="en-US" w:eastAsia="zh-CN" w:bidi="ar"/>
              </w:rPr>
              <w:t>T0000</w:t>
            </w:r>
            <w:r>
              <w:rPr>
                <w:rFonts w:hint="eastAsia" w:ascii="宋体" w:hAnsi="宋体" w:cs="宋体"/>
                <w:i w:val="0"/>
                <w:iCs w:val="0"/>
                <w:color w:val="000000"/>
                <w:kern w:val="0"/>
                <w:sz w:val="18"/>
                <w:szCs w:val="18"/>
                <w:u w:val="none"/>
                <w:lang w:val="en-US" w:eastAsia="zh-CN" w:bidi="ar"/>
              </w:rPr>
              <w:t>05693509</w:t>
            </w: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实验室专用设备购置</w:t>
            </w:r>
          </w:p>
        </w:tc>
      </w:tr>
      <w:tr w14:paraId="6753F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12" w:hRule="atLeast"/>
        </w:trPr>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58C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DF90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遂宁市安居区卫生健康局</w:t>
            </w:r>
          </w:p>
        </w:tc>
        <w:tc>
          <w:tcPr>
            <w:tcW w:w="1107" w:type="dxa"/>
            <w:tcBorders>
              <w:top w:val="nil"/>
              <w:left w:val="nil"/>
              <w:bottom w:val="nil"/>
              <w:right w:val="nil"/>
            </w:tcBorders>
            <w:shd w:val="clear" w:color="auto" w:fill="auto"/>
            <w:vAlign w:val="center"/>
          </w:tcPr>
          <w:p w14:paraId="29446EC6">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C6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w:t>
            </w:r>
          </w:p>
        </w:tc>
      </w:tr>
      <w:tr w14:paraId="5343B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F07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0C1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46C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68B37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92F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13B29">
            <w:pP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E01CB">
            <w:pPr>
              <w:rPr>
                <w:rFonts w:hint="eastAsia" w:ascii="宋体" w:hAnsi="宋体" w:eastAsia="宋体" w:cs="宋体"/>
                <w:i w:val="0"/>
                <w:iCs w:val="0"/>
                <w:color w:val="000000"/>
                <w:sz w:val="18"/>
                <w:szCs w:val="18"/>
                <w:u w:val="none"/>
              </w:rPr>
            </w:pPr>
          </w:p>
        </w:tc>
        <w:tc>
          <w:tcPr>
            <w:tcW w:w="7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4E8D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r>
              <w:rPr>
                <w:spacing w:val="-3"/>
              </w:rPr>
              <w:t>开展</w:t>
            </w:r>
            <w:r>
              <w:rPr>
                <w:rFonts w:hint="eastAsia"/>
                <w:spacing w:val="-3"/>
                <w:lang w:eastAsia="zh-CN"/>
              </w:rPr>
              <w:t>区</w:t>
            </w:r>
            <w:r>
              <w:rPr>
                <w:spacing w:val="-3"/>
              </w:rPr>
              <w:t>级疾控机构检验检测能力提升工作，通过实验室检验检测仪</w:t>
            </w:r>
            <w:r>
              <w:rPr>
                <w:spacing w:val="-4"/>
              </w:rPr>
              <w:t>器配</w:t>
            </w:r>
            <w:r>
              <w:t>置，提升水质检测等能力水平。</w:t>
            </w:r>
          </w:p>
        </w:tc>
        <w:tc>
          <w:tcPr>
            <w:tcW w:w="43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6C84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C78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494CC">
            <w:pP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BF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45D5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截至</w:t>
            </w:r>
            <w:r>
              <w:rPr>
                <w:rFonts w:ascii="宋体" w:hAnsi="宋体" w:eastAsia="宋体" w:cs="宋体"/>
                <w:i w:val="0"/>
                <w:iCs w:val="0"/>
                <w:color w:val="000000"/>
                <w:kern w:val="0"/>
                <w:sz w:val="18"/>
                <w:szCs w:val="18"/>
                <w:u w:val="none"/>
                <w:lang w:val="en-US" w:eastAsia="zh-CN" w:bidi="ar"/>
              </w:rPr>
              <w:t>12月底，在项目实施过程中，</w:t>
            </w:r>
            <w:r>
              <w:rPr>
                <w:rFonts w:hint="eastAsia" w:ascii="宋体" w:hAnsi="宋体" w:cs="宋体"/>
                <w:i w:val="0"/>
                <w:iCs w:val="0"/>
                <w:color w:val="000000"/>
                <w:kern w:val="0"/>
                <w:sz w:val="18"/>
                <w:szCs w:val="18"/>
                <w:u w:val="none"/>
                <w:lang w:val="en-US" w:eastAsia="zh-CN" w:bidi="ar"/>
              </w:rPr>
              <w:t>已通过政府采购程序，购入</w:t>
            </w:r>
          </w:p>
        </w:tc>
      </w:tr>
      <w:tr w14:paraId="0D5F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E2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1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   （万元）</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E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4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A9B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8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7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1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4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FAB0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56C04">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D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704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EDF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96.00</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86E3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96.00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4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6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1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5FC47">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5575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DB774">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F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C33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1A8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96.00</w:t>
            </w: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2243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96.00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E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9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5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44A51">
            <w:pPr>
              <w:rPr>
                <w:rFonts w:hint="eastAsia" w:ascii="黑体" w:hAnsi="黑体" w:eastAsia="黑体" w:cs="黑体"/>
                <w:i w:val="0"/>
                <w:iCs w:val="0"/>
                <w:color w:val="000000"/>
                <w:sz w:val="16"/>
                <w:szCs w:val="16"/>
                <w:u w:val="none"/>
              </w:rPr>
            </w:pPr>
          </w:p>
        </w:tc>
      </w:tr>
      <w:tr w14:paraId="27B33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32AB3">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D1D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123F">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8DE7">
            <w:pPr>
              <w:jc w:val="center"/>
              <w:rPr>
                <w:rFonts w:hint="eastAsia" w:ascii="宋体" w:hAnsi="宋体" w:eastAsia="宋体" w:cs="宋体"/>
                <w:i w:val="0"/>
                <w:iCs w:val="0"/>
                <w:color w:val="000000"/>
                <w:sz w:val="18"/>
                <w:szCs w:val="18"/>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9B114">
            <w:pPr>
              <w:jc w:val="center"/>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081D">
            <w:pPr>
              <w:jc w:val="center"/>
              <w:rPr>
                <w:rFonts w:hint="eastAsia"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AC20">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9F4F">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BC48F">
            <w:pPr>
              <w:rPr>
                <w:rFonts w:hint="eastAsia" w:ascii="黑体" w:hAnsi="黑体" w:eastAsia="黑体" w:cs="黑体"/>
                <w:i w:val="0"/>
                <w:iCs w:val="0"/>
                <w:color w:val="000000"/>
                <w:sz w:val="16"/>
                <w:szCs w:val="16"/>
                <w:u w:val="none"/>
              </w:rPr>
            </w:pPr>
          </w:p>
        </w:tc>
      </w:tr>
      <w:tr w14:paraId="3890B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9F7FD">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9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7A6A">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A6C5">
            <w:pPr>
              <w:jc w:val="center"/>
              <w:rPr>
                <w:rFonts w:hint="eastAsia" w:ascii="宋体" w:hAnsi="宋体" w:eastAsia="宋体" w:cs="宋体"/>
                <w:i w:val="0"/>
                <w:iCs w:val="0"/>
                <w:color w:val="000000"/>
                <w:sz w:val="18"/>
                <w:szCs w:val="18"/>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7BDC1">
            <w:pPr>
              <w:jc w:val="center"/>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1570">
            <w:pPr>
              <w:jc w:val="center"/>
              <w:rPr>
                <w:rFonts w:hint="eastAsia"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07A7">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412B">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F8D69">
            <w:pPr>
              <w:rPr>
                <w:rFonts w:hint="eastAsia" w:ascii="黑体" w:hAnsi="黑体" w:eastAsia="黑体" w:cs="黑体"/>
                <w:i w:val="0"/>
                <w:iCs w:val="0"/>
                <w:color w:val="000000"/>
                <w:sz w:val="16"/>
                <w:szCs w:val="16"/>
                <w:u w:val="none"/>
              </w:rPr>
            </w:pPr>
          </w:p>
        </w:tc>
      </w:tr>
      <w:tr w14:paraId="61D56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19972">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F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1A86">
            <w:pPr>
              <w:jc w:val="center"/>
              <w:rPr>
                <w:rFonts w:hint="eastAsia" w:ascii="微软雅黑" w:hAnsi="微软雅黑" w:eastAsia="微软雅黑" w:cs="微软雅黑"/>
                <w:i/>
                <w:iCs/>
                <w:color w:val="000000"/>
                <w:sz w:val="16"/>
                <w:szCs w:val="16"/>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95D1">
            <w:pPr>
              <w:jc w:val="center"/>
              <w:rPr>
                <w:rFonts w:hint="eastAsia" w:ascii="微软雅黑" w:hAnsi="微软雅黑" w:eastAsia="微软雅黑" w:cs="微软雅黑"/>
                <w:i/>
                <w:iCs/>
                <w:color w:val="000000"/>
                <w:sz w:val="16"/>
                <w:szCs w:val="16"/>
                <w:u w:val="none"/>
              </w:rPr>
            </w:pPr>
          </w:p>
        </w:tc>
        <w:tc>
          <w:tcPr>
            <w:tcW w:w="3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46B5B7">
            <w:pPr>
              <w:jc w:val="center"/>
              <w:rPr>
                <w:rFonts w:hint="eastAsia" w:ascii="微软雅黑" w:hAnsi="微软雅黑" w:eastAsia="微软雅黑" w:cs="微软雅黑"/>
                <w:i/>
                <w:iCs/>
                <w:color w:val="000000"/>
                <w:sz w:val="16"/>
                <w:szCs w:val="16"/>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27A8">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97BB">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DB93">
            <w:pPr>
              <w:jc w:val="center"/>
              <w:rPr>
                <w:rFonts w:hint="eastAsia" w:ascii="宋体" w:hAnsi="宋体" w:eastAsia="宋体" w:cs="宋体"/>
                <w:i w:val="0"/>
                <w:iCs w:val="0"/>
                <w:color w:val="000000"/>
                <w:sz w:val="18"/>
                <w:szCs w:val="18"/>
                <w:u w:val="none"/>
              </w:rPr>
            </w:pPr>
          </w:p>
        </w:tc>
        <w:tc>
          <w:tcPr>
            <w:tcW w:w="2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33B9E">
            <w:pPr>
              <w:rPr>
                <w:rFonts w:hint="eastAsia" w:ascii="黑体" w:hAnsi="黑体" w:eastAsia="黑体" w:cs="黑体"/>
                <w:i w:val="0"/>
                <w:iCs w:val="0"/>
                <w:color w:val="000000"/>
                <w:sz w:val="16"/>
                <w:szCs w:val="16"/>
                <w:u w:val="none"/>
              </w:rPr>
            </w:pPr>
          </w:p>
        </w:tc>
      </w:tr>
      <w:tr w14:paraId="32228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9B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6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9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E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6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B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F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1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9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C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B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F1C7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1C8A7">
            <w:pPr>
              <w:jc w:val="center"/>
              <w:rPr>
                <w:rFonts w:hint="eastAsia" w:ascii="宋体" w:hAnsi="宋体" w:eastAsia="宋体" w:cs="宋体"/>
                <w:i w:val="0"/>
                <w:iCs w:val="0"/>
                <w:color w:val="000000"/>
                <w:sz w:val="18"/>
                <w:szCs w:val="18"/>
                <w:u w:val="none"/>
              </w:rPr>
            </w:pP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F27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5C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8787">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试验室购置专用设备到位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B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78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B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249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6F1A">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5DD3">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DB4E">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eastAsia="zh-CN"/>
              </w:rPr>
              <w:t>已完成配置数，结转</w:t>
            </w:r>
            <w:r>
              <w:rPr>
                <w:rFonts w:hint="eastAsia" w:ascii="微软雅黑" w:hAnsi="微软雅黑" w:eastAsia="微软雅黑" w:cs="微软雅黑"/>
                <w:i/>
                <w:iCs/>
                <w:color w:val="000000"/>
                <w:sz w:val="16"/>
                <w:szCs w:val="16"/>
                <w:u w:val="none"/>
                <w:lang w:val="en-US" w:eastAsia="zh-CN"/>
              </w:rPr>
              <w:t>4万到下年</w:t>
            </w:r>
          </w:p>
        </w:tc>
      </w:tr>
      <w:tr w14:paraId="5028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2BD80">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B0BDF">
            <w:pP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92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D9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项目覆盖疾控机构基本检验能力</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9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02EB">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较上年提高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2A5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定性</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3928">
            <w:pPr>
              <w:keepNext w:val="0"/>
              <w:keepLines w:val="0"/>
              <w:widowControl/>
              <w:suppressLineNumbers w:val="0"/>
              <w:jc w:val="right"/>
              <w:textAlignment w:val="center"/>
              <w:rPr>
                <w:rFonts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3239">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A9B0">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1C14">
            <w:pPr>
              <w:jc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实验室能力建设，需投入大量资金，逐年提升</w:t>
            </w:r>
          </w:p>
        </w:tc>
      </w:tr>
      <w:tr w14:paraId="7FCA6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52C52">
            <w:pPr>
              <w:jc w:val="center"/>
              <w:rPr>
                <w:rFonts w:hint="eastAsia" w:ascii="宋体" w:hAnsi="宋体" w:eastAsia="宋体" w:cs="宋体"/>
                <w:i w:val="0"/>
                <w:iCs w:val="0"/>
                <w:color w:val="000000"/>
                <w:sz w:val="18"/>
                <w:szCs w:val="18"/>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53A37">
            <w:pPr>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0C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DC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在实施方案规定的时间内完成</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C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FD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4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38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C388">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50EF">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9458">
            <w:pPr>
              <w:jc w:val="center"/>
              <w:rPr>
                <w:rFonts w:hint="eastAsia" w:ascii="微软雅黑" w:hAnsi="微软雅黑" w:eastAsia="微软雅黑" w:cs="微软雅黑"/>
                <w:i/>
                <w:iCs/>
                <w:color w:val="000000"/>
                <w:sz w:val="16"/>
                <w:szCs w:val="16"/>
                <w:u w:val="none"/>
              </w:rPr>
            </w:pPr>
          </w:p>
        </w:tc>
      </w:tr>
      <w:tr w14:paraId="1B8B3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BE314">
            <w:pPr>
              <w:jc w:val="center"/>
              <w:rPr>
                <w:rFonts w:hint="eastAsia" w:ascii="宋体" w:hAnsi="宋体" w:eastAsia="宋体" w:cs="宋体"/>
                <w:i w:val="0"/>
                <w:iCs w:val="0"/>
                <w:color w:val="000000"/>
                <w:sz w:val="18"/>
                <w:szCs w:val="18"/>
                <w:u w:val="none"/>
              </w:rPr>
            </w:pPr>
          </w:p>
        </w:tc>
        <w:tc>
          <w:tcPr>
            <w:tcW w:w="1653" w:type="dxa"/>
            <w:vMerge w:val="restart"/>
            <w:tcBorders>
              <w:top w:val="single" w:color="000000" w:sz="4" w:space="0"/>
              <w:left w:val="single" w:color="000000" w:sz="4" w:space="0"/>
              <w:right w:val="single" w:color="000000" w:sz="4" w:space="0"/>
            </w:tcBorders>
            <w:shd w:val="clear" w:color="auto" w:fill="auto"/>
            <w:vAlign w:val="center"/>
          </w:tcPr>
          <w:p w14:paraId="1BDB21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CB56">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社会效益指标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AC94">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项目覆盖疾控机构服务能力</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F2A5">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1FE7">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较上年提高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9308">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定性</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E848">
            <w:pPr>
              <w:keepNext w:val="0"/>
              <w:keepLines w:val="0"/>
              <w:widowControl/>
              <w:suppressLineNumbers w:val="0"/>
              <w:jc w:val="right"/>
              <w:textAlignment w:val="center"/>
              <w:rPr>
                <w:rFonts w:hint="eastAsia" w:ascii="宋体" w:hAnsi="宋体" w:cs="宋体"/>
                <w:i w:val="0"/>
                <w:iCs w:val="0"/>
                <w:color w:val="000000"/>
                <w:kern w:val="0"/>
                <w:sz w:val="18"/>
                <w:szCs w:val="18"/>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ED0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8F66">
            <w:pPr>
              <w:keepNext w:val="0"/>
              <w:keepLines w:val="0"/>
              <w:widowControl/>
              <w:suppressLineNumbers w:val="0"/>
              <w:jc w:val="righ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DCD6">
            <w:pPr>
              <w:jc w:val="center"/>
              <w:rPr>
                <w:rFonts w:hint="eastAsia" w:ascii="微软雅黑" w:hAnsi="微软雅黑" w:eastAsia="微软雅黑" w:cs="微软雅黑"/>
                <w:i/>
                <w:iCs/>
                <w:color w:val="000000"/>
                <w:sz w:val="16"/>
                <w:szCs w:val="16"/>
                <w:u w:val="none"/>
              </w:rPr>
            </w:pPr>
          </w:p>
        </w:tc>
      </w:tr>
      <w:tr w14:paraId="061B6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353AE">
            <w:pPr>
              <w:jc w:val="center"/>
              <w:rPr>
                <w:rFonts w:hint="eastAsia" w:ascii="宋体" w:hAnsi="宋体" w:eastAsia="宋体" w:cs="宋体"/>
                <w:i w:val="0"/>
                <w:iCs w:val="0"/>
                <w:color w:val="000000"/>
                <w:sz w:val="18"/>
                <w:szCs w:val="18"/>
                <w:u w:val="none"/>
              </w:rPr>
            </w:pPr>
          </w:p>
        </w:tc>
        <w:tc>
          <w:tcPr>
            <w:tcW w:w="1653" w:type="dxa"/>
            <w:vMerge w:val="continue"/>
            <w:tcBorders>
              <w:left w:val="single" w:color="000000" w:sz="4" w:space="0"/>
              <w:bottom w:val="single" w:color="000000" w:sz="4" w:space="0"/>
              <w:right w:val="single" w:color="000000" w:sz="4" w:space="0"/>
            </w:tcBorders>
            <w:shd w:val="clear" w:color="auto" w:fill="auto"/>
            <w:vAlign w:val="center"/>
          </w:tcPr>
          <w:p w14:paraId="25130CC0">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F7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62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设备使用年限</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7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76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9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年</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E941">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F4F3">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0F6B">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3476">
            <w:pPr>
              <w:jc w:val="center"/>
              <w:rPr>
                <w:rFonts w:hint="eastAsia" w:ascii="微软雅黑" w:hAnsi="微软雅黑" w:eastAsia="微软雅黑" w:cs="微软雅黑"/>
                <w:i/>
                <w:iCs/>
                <w:color w:val="000000"/>
                <w:sz w:val="16"/>
                <w:szCs w:val="16"/>
                <w:u w:val="none"/>
              </w:rPr>
            </w:pPr>
          </w:p>
        </w:tc>
      </w:tr>
      <w:tr w14:paraId="3A1E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025A3">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06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95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7B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省市级考核满意度</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0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45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B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D7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D4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FE3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D458">
            <w:pPr>
              <w:jc w:val="center"/>
              <w:rPr>
                <w:rFonts w:hint="eastAsia" w:ascii="微软雅黑" w:hAnsi="微软雅黑" w:eastAsia="微软雅黑" w:cs="微软雅黑"/>
                <w:i/>
                <w:iCs/>
                <w:color w:val="000000"/>
                <w:sz w:val="16"/>
                <w:szCs w:val="16"/>
                <w:u w:val="none"/>
              </w:rPr>
            </w:pPr>
          </w:p>
        </w:tc>
      </w:tr>
      <w:tr w14:paraId="75307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735E1">
            <w:pPr>
              <w:jc w:val="center"/>
              <w:rPr>
                <w:rFonts w:hint="eastAsia" w:ascii="宋体" w:hAnsi="宋体" w:eastAsia="宋体" w:cs="宋体"/>
                <w:i w:val="0"/>
                <w:iCs w:val="0"/>
                <w:color w:val="000000"/>
                <w:sz w:val="18"/>
                <w:szCs w:val="18"/>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00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3A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77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专用设备购置</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0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73C6">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96万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6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9E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EA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20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2203">
            <w:pPr>
              <w:jc w:val="center"/>
              <w:rPr>
                <w:rFonts w:hint="eastAsia" w:ascii="微软雅黑" w:hAnsi="微软雅黑" w:eastAsia="微软雅黑" w:cs="微软雅黑"/>
                <w:i/>
                <w:iCs/>
                <w:color w:val="000000"/>
                <w:sz w:val="16"/>
                <w:szCs w:val="16"/>
                <w:u w:val="none"/>
              </w:rPr>
            </w:pPr>
          </w:p>
        </w:tc>
      </w:tr>
      <w:tr w14:paraId="5DB35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286" w:hRule="atLeast"/>
        </w:trPr>
        <w:tc>
          <w:tcPr>
            <w:tcW w:w="104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F22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100B">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5744">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83</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BD13">
            <w:pPr>
              <w:rPr>
                <w:rFonts w:hint="eastAsia" w:ascii="宋体" w:hAnsi="宋体" w:eastAsia="宋体" w:cs="宋体"/>
                <w:i w:val="0"/>
                <w:iCs w:val="0"/>
                <w:color w:val="000000"/>
                <w:sz w:val="18"/>
                <w:szCs w:val="18"/>
                <w:u w:val="none"/>
              </w:rPr>
            </w:pPr>
          </w:p>
        </w:tc>
      </w:tr>
      <w:tr w14:paraId="5043D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1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C7F1B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截至2024年12月31日，实验室专用设备购置项目工作经费使用情况良好，全面完成年初制订的项目绩效目标工作任务，工作满意率100%。按照预算绩效管理要求，本部门对该项目开展绩效自评，自评得分94分，从项目的立项、资金申报与使用、项目完成进度和质量等多方面评价。该项目完成绩效目标情况良好。</w:t>
            </w:r>
          </w:p>
        </w:tc>
      </w:tr>
      <w:tr w14:paraId="5E488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4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D15C8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一实验室仪器配备不足；二是专业检验人员不足，检测项目不多。</w:t>
            </w:r>
          </w:p>
        </w:tc>
      </w:tr>
      <w:tr w14:paraId="529EC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6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7A6435">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eastAsia="zh-CN"/>
              </w:rPr>
              <w:t>政府进一步加大投入实验室能力建设，并鼓励引入学历较高，基础扎实，技术过硬的专业技术人员，让更多的人才加入到区（县）级疾控中心队伍来。</w:t>
            </w:r>
          </w:p>
        </w:tc>
      </w:tr>
      <w:tr w14:paraId="426E9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 w:type="dxa"/>
          <w:trHeight w:val="620" w:hRule="atLeast"/>
        </w:trPr>
        <w:tc>
          <w:tcPr>
            <w:tcW w:w="7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E9D82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项目负责人：郑平</w:t>
            </w:r>
          </w:p>
        </w:tc>
        <w:tc>
          <w:tcPr>
            <w:tcW w:w="65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9F6B3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财务负责人：吴霞</w:t>
            </w:r>
          </w:p>
        </w:tc>
      </w:tr>
    </w:tbl>
    <w:p w14:paraId="19B37FA3">
      <w:pPr>
        <w:rPr>
          <w:rFonts w:hint="eastAsia"/>
          <w:lang w:val="en-US" w:eastAsia="zh-CN"/>
        </w:rPr>
        <w:sectPr>
          <w:pgSz w:w="16838" w:h="11906" w:orient="landscape"/>
          <w:pgMar w:top="952" w:right="1157" w:bottom="952" w:left="1157" w:header="851" w:footer="992" w:gutter="0"/>
          <w:pgNumType w:fmt="decimal"/>
          <w:cols w:space="425" w:num="1"/>
          <w:docGrid w:type="lines" w:linePitch="312" w:charSpace="0"/>
        </w:sectPr>
      </w:pPr>
    </w:p>
    <w:p w14:paraId="49D96691">
      <w:pPr>
        <w:pStyle w:val="8"/>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1362C048">
      <w:pPr>
        <w:pStyle w:val="23"/>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33D41EDA">
      <w:pPr>
        <w:pStyle w:val="23"/>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新冠疫情防控物资采购</w:t>
      </w:r>
    </w:p>
    <w:p w14:paraId="09CC0BF4">
      <w:pPr>
        <w:pStyle w:val="23"/>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14:paraId="0F464F1F">
      <w:pPr>
        <w:pStyle w:val="23"/>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14:paraId="7C748CC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5B86443F">
      <w:pPr>
        <w:numPr>
          <w:ilvl w:val="0"/>
          <w:numId w:val="0"/>
        </w:numPr>
        <w:tabs>
          <w:tab w:val="left" w:pos="0"/>
        </w:tabs>
        <w:adjustRightInd w:val="0"/>
        <w:snapToGrid w:val="0"/>
        <w:spacing w:line="520" w:lineRule="exact"/>
        <w:ind w:left="640" w:leftChars="0" w:firstLine="321" w:firstLineChars="100"/>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（一）设立背景及基本情况。</w:t>
      </w:r>
    </w:p>
    <w:p w14:paraId="49EC430C">
      <w:pPr>
        <w:numPr>
          <w:ilvl w:val="0"/>
          <w:numId w:val="0"/>
        </w:numPr>
        <w:tabs>
          <w:tab w:val="left" w:pos="0"/>
        </w:tabs>
        <w:adjustRightInd w:val="0"/>
        <w:snapToGrid w:val="0"/>
        <w:spacing w:line="520" w:lineRule="exact"/>
        <w:ind w:left="640" w:leftChars="0" w:firstLine="640" w:firstLineChars="20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2020年至2022年新冠疫情防控期间，遂宁市安居区疾控中心接上级主管部门遂宁市安居区卫健局安排，政府应急物资库房设在区疾控中心，并负责采购全区新冠疫情应急物资储备保障全区应急物资的正常运转。</w:t>
      </w:r>
    </w:p>
    <w:p w14:paraId="5BC7521A">
      <w:pPr>
        <w:numPr>
          <w:ilvl w:val="0"/>
          <w:numId w:val="0"/>
        </w:numPr>
        <w:adjustRightInd w:val="0"/>
        <w:snapToGrid w:val="0"/>
        <w:spacing w:line="520" w:lineRule="exact"/>
        <w:ind w:firstLine="964" w:firstLineChars="300"/>
        <w:rPr>
          <w:rFonts w:hint="eastAsia" w:ascii="Times New Roman" w:hAnsi="Times New Roman" w:eastAsia="楷体_GB2312" w:cs="Times New Roman"/>
          <w:b/>
          <w:color w:val="auto"/>
          <w:sz w:val="32"/>
          <w:szCs w:val="32"/>
          <w:highlight w:val="none"/>
          <w:u w:val="none"/>
          <w:lang w:val="en-US" w:eastAsia="zh-CN"/>
        </w:rPr>
      </w:pPr>
      <w:r>
        <w:rPr>
          <w:rFonts w:hint="eastAsia" w:eastAsia="楷体_GB2312" w:cs="Times New Roman"/>
          <w:b/>
          <w:color w:val="auto"/>
          <w:sz w:val="32"/>
          <w:szCs w:val="32"/>
          <w:highlight w:val="none"/>
          <w:u w:val="none"/>
          <w:lang w:val="en-US" w:eastAsia="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p>
    <w:p w14:paraId="3359044A">
      <w:pPr>
        <w:numPr>
          <w:ilvl w:val="0"/>
          <w:numId w:val="0"/>
        </w:numPr>
        <w:adjustRightInd w:val="0"/>
        <w:snapToGrid w:val="0"/>
        <w:spacing w:line="520" w:lineRule="exact"/>
        <w:ind w:left="638" w:leftChars="304" w:firstLine="640" w:firstLineChars="200"/>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为充分应对新冠疫情突发状况，按政府疫情应急指挥部安排，制定项目资金管理办法，专项专用，应急物资采购组进行采购，全区随时储备政府新冠疫情防控应急物资一个月的量。</w:t>
      </w:r>
    </w:p>
    <w:p w14:paraId="736318A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640" w:leftChars="0" w:firstLine="321" w:firstLineChars="100"/>
        <w:contextualSpacing/>
        <w:jc w:val="left"/>
        <w:textAlignment w:val="auto"/>
        <w:rPr>
          <w:rFonts w:hint="eastAsia" w:ascii="Times New Roman" w:hAnsi="Times New Roman" w:eastAsia="楷体_GB2312" w:cs="Times New Roman"/>
          <w:b/>
          <w:color w:val="auto"/>
          <w:sz w:val="32"/>
          <w:szCs w:val="32"/>
          <w:highlight w:val="none"/>
          <w:u w:val="none"/>
          <w:lang w:val="zh-CN" w:eastAsia="zh-CN"/>
        </w:rPr>
      </w:pPr>
      <w:r>
        <w:rPr>
          <w:rFonts w:hint="eastAsia" w:eastAsia="楷体_GB2312" w:cs="Times New Roman"/>
          <w:b/>
          <w:color w:val="auto"/>
          <w:sz w:val="32"/>
          <w:szCs w:val="32"/>
          <w:highlight w:val="none"/>
          <w:u w:val="none"/>
          <w:lang w:val="en-US"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p>
    <w:p w14:paraId="00C03E8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64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宋体" w:eastAsia="仿宋_GB2312" w:cs="Times New Roman"/>
          <w:sz w:val="32"/>
          <w:szCs w:val="32"/>
          <w:highlight w:val="none"/>
          <w:lang w:val="en-US" w:eastAsia="zh-CN"/>
        </w:rPr>
        <w:t>严格按照上级要求，统筹安排经费预算，加强物资账目管理，分别保障应急和常备物资，根据现有物资和缺口数制定分批资采购计划，进一步加强应急物资的储备管理，为疫情防控做好保障。</w:t>
      </w:r>
    </w:p>
    <w:p w14:paraId="08FC5570">
      <w:pPr>
        <w:keepNext w:val="0"/>
        <w:keepLines w:val="0"/>
        <w:pageBreakBefore w:val="0"/>
        <w:kinsoku/>
        <w:wordWrap/>
        <w:overflowPunct/>
        <w:topLinePunct w:val="0"/>
        <w:autoSpaceDE/>
        <w:autoSpaceDN/>
        <w:bidi w:val="0"/>
        <w:adjustRightInd w:val="0"/>
        <w:snapToGrid w:val="0"/>
        <w:spacing w:line="578" w:lineRule="exact"/>
        <w:ind w:left="638" w:leftChars="304" w:firstLine="321" w:firstLineChars="100"/>
        <w:textAlignment w:val="auto"/>
        <w:rPr>
          <w:rFonts w:hint="default" w:ascii="仿宋_GB2312" w:hAnsi="宋体" w:eastAsia="仿宋_GB2312" w:cs="Times New Roman"/>
          <w:sz w:val="32"/>
          <w:szCs w:val="32"/>
          <w:highlight w:val="none"/>
          <w:lang w:val="zh-CN" w:eastAsia="zh-CN"/>
        </w:rPr>
      </w:pPr>
      <w:r>
        <w:rPr>
          <w:rFonts w:hint="eastAsia" w:ascii="Times New Roman" w:hAnsi="Times New Roman" w:eastAsia="楷体_GB2312" w:cs="Times New Roman"/>
          <w:b/>
          <w:color w:val="auto"/>
          <w:sz w:val="32"/>
          <w:szCs w:val="32"/>
          <w:highlight w:val="none"/>
          <w:u w:val="none"/>
          <w:lang w:val="zh-CN" w:eastAsia="zh-CN"/>
        </w:rPr>
        <w:t>（四）项目绩效目标设置。</w:t>
      </w:r>
      <w:r>
        <w:rPr>
          <w:rFonts w:hint="eastAsia" w:ascii="仿宋_GB2312" w:hAnsi="宋体" w:eastAsia="仿宋_GB2312" w:cs="Times New Roman"/>
          <w:sz w:val="32"/>
          <w:szCs w:val="32"/>
          <w:highlight w:val="none"/>
          <w:lang w:val="en-US" w:eastAsia="zh-CN"/>
        </w:rPr>
        <w:t>新冠肺炎疫情医疗物资采购项目预算资金190.23万元，主要用于购买医用一次性防护服、一次性使用医用帽、一次性医用隔离靴套、医用防护口罩（N95）、医用外科口罩等新冠疫情防控医疗物资，项目申报内容与实际相符，申报目标合理可行。</w:t>
      </w:r>
    </w:p>
    <w:p w14:paraId="01D6414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rPr>
      </w:pPr>
    </w:p>
    <w:p w14:paraId="6E889BE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4567EAE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（一）评价目的。</w:t>
      </w:r>
    </w:p>
    <w:p w14:paraId="0612B60F">
      <w:pPr>
        <w:keepNext w:val="0"/>
        <w:keepLines w:val="0"/>
        <w:pageBreakBefore w:val="0"/>
        <w:widowControl w:val="0"/>
        <w:kinsoku/>
        <w:wordWrap/>
        <w:overflowPunct/>
        <w:topLinePunct w:val="0"/>
        <w:autoSpaceDE/>
        <w:autoSpaceDN/>
        <w:bidi w:val="0"/>
        <w:spacing w:line="578" w:lineRule="exact"/>
        <w:ind w:left="319" w:leftChars="152" w:firstLine="652" w:firstLineChars="204"/>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宋体" w:eastAsia="仿宋_GB2312" w:cs="仿宋_GB2312"/>
          <w:i w:val="0"/>
          <w:iCs w:val="0"/>
          <w:caps w:val="0"/>
          <w:color w:val="333333"/>
          <w:spacing w:val="0"/>
          <w:sz w:val="32"/>
          <w:szCs w:val="32"/>
          <w:highlight w:val="none"/>
          <w:shd w:val="clear" w:fill="FFFFFF"/>
          <w:lang w:eastAsia="zh-CN"/>
        </w:rPr>
        <w:t>区疾控中心</w:t>
      </w:r>
      <w:r>
        <w:rPr>
          <w:rFonts w:hint="eastAsia" w:ascii="仿宋_GB2312" w:hAnsi="宋体" w:eastAsia="仿宋_GB2312" w:cs="仿宋_GB2312"/>
          <w:i w:val="0"/>
          <w:iCs w:val="0"/>
          <w:caps w:val="0"/>
          <w:color w:val="333333"/>
          <w:spacing w:val="0"/>
          <w:sz w:val="32"/>
          <w:szCs w:val="32"/>
          <w:highlight w:val="none"/>
          <w:shd w:val="clear" w:fill="FFFFFF"/>
        </w:rPr>
        <w:t>作为物资保障组的牵头单位，</w:t>
      </w:r>
      <w:r>
        <w:rPr>
          <w:rFonts w:hint="eastAsia" w:ascii="仿宋_GB2312" w:hAnsi="宋体" w:eastAsia="仿宋_GB2312" w:cs="仿宋_GB2312"/>
          <w:i w:val="0"/>
          <w:iCs w:val="0"/>
          <w:caps w:val="0"/>
          <w:color w:val="333333"/>
          <w:spacing w:val="0"/>
          <w:sz w:val="32"/>
          <w:szCs w:val="32"/>
          <w:highlight w:val="none"/>
          <w:shd w:val="clear" w:fill="FFFFFF"/>
          <w:lang w:eastAsia="zh-CN"/>
        </w:rPr>
        <w:t>在区</w:t>
      </w:r>
      <w:r>
        <w:rPr>
          <w:rFonts w:hint="eastAsia" w:ascii="仿宋_GB2312" w:hAnsi="宋体" w:eastAsia="仿宋_GB2312" w:cs="仿宋_GB2312"/>
          <w:i w:val="0"/>
          <w:iCs w:val="0"/>
          <w:caps w:val="0"/>
          <w:color w:val="333333"/>
          <w:spacing w:val="0"/>
          <w:sz w:val="32"/>
          <w:szCs w:val="32"/>
          <w:highlight w:val="none"/>
          <w:shd w:val="clear" w:fill="FFFFFF"/>
        </w:rPr>
        <w:t>财政局、</w:t>
      </w:r>
      <w:r>
        <w:rPr>
          <w:rFonts w:hint="eastAsia" w:ascii="仿宋_GB2312" w:hAnsi="宋体" w:eastAsia="仿宋_GB2312" w:cs="仿宋_GB2312"/>
          <w:i w:val="0"/>
          <w:iCs w:val="0"/>
          <w:caps w:val="0"/>
          <w:color w:val="333333"/>
          <w:spacing w:val="0"/>
          <w:sz w:val="32"/>
          <w:szCs w:val="32"/>
          <w:highlight w:val="none"/>
          <w:shd w:val="clear" w:fill="FFFFFF"/>
          <w:lang w:eastAsia="zh-CN"/>
        </w:rPr>
        <w:t>区</w:t>
      </w:r>
      <w:r>
        <w:rPr>
          <w:rFonts w:hint="eastAsia" w:ascii="仿宋_GB2312" w:hAnsi="宋体" w:eastAsia="仿宋_GB2312" w:cs="仿宋_GB2312"/>
          <w:i w:val="0"/>
          <w:iCs w:val="0"/>
          <w:caps w:val="0"/>
          <w:color w:val="333333"/>
          <w:spacing w:val="0"/>
          <w:sz w:val="32"/>
          <w:szCs w:val="32"/>
          <w:highlight w:val="none"/>
          <w:shd w:val="clear" w:fill="FFFFFF"/>
        </w:rPr>
        <w:t>卫健</w:t>
      </w:r>
      <w:r>
        <w:rPr>
          <w:rFonts w:hint="eastAsia" w:ascii="仿宋_GB2312" w:hAnsi="宋体" w:eastAsia="仿宋_GB2312" w:cs="仿宋_GB2312"/>
          <w:i w:val="0"/>
          <w:iCs w:val="0"/>
          <w:caps w:val="0"/>
          <w:color w:val="333333"/>
          <w:spacing w:val="0"/>
          <w:sz w:val="32"/>
          <w:szCs w:val="32"/>
          <w:highlight w:val="none"/>
          <w:shd w:val="clear" w:fill="FFFFFF"/>
          <w:lang w:eastAsia="zh-CN"/>
        </w:rPr>
        <w:t>局</w:t>
      </w:r>
      <w:r>
        <w:rPr>
          <w:rFonts w:hint="eastAsia" w:ascii="仿宋_GB2312" w:hAnsi="宋体" w:eastAsia="仿宋_GB2312" w:cs="仿宋_GB2312"/>
          <w:i w:val="0"/>
          <w:iCs w:val="0"/>
          <w:caps w:val="0"/>
          <w:color w:val="333333"/>
          <w:spacing w:val="0"/>
          <w:sz w:val="32"/>
          <w:szCs w:val="32"/>
          <w:highlight w:val="none"/>
          <w:shd w:val="clear" w:fill="FFFFFF"/>
        </w:rPr>
        <w:t>等单位</w:t>
      </w:r>
      <w:r>
        <w:rPr>
          <w:rFonts w:hint="eastAsia" w:ascii="仿宋_GB2312" w:hAnsi="宋体" w:eastAsia="仿宋_GB2312" w:cs="仿宋_GB2312"/>
          <w:i w:val="0"/>
          <w:iCs w:val="0"/>
          <w:caps w:val="0"/>
          <w:color w:val="333333"/>
          <w:spacing w:val="0"/>
          <w:sz w:val="32"/>
          <w:szCs w:val="32"/>
          <w:highlight w:val="none"/>
          <w:shd w:val="clear" w:fill="FFFFFF"/>
          <w:lang w:eastAsia="zh-CN"/>
        </w:rPr>
        <w:t>的大力支持下</w:t>
      </w:r>
      <w:r>
        <w:rPr>
          <w:rFonts w:hint="eastAsia" w:ascii="仿宋_GB2312" w:hAnsi="宋体" w:eastAsia="仿宋_GB2312" w:cs="仿宋_GB2312"/>
          <w:i w:val="0"/>
          <w:iCs w:val="0"/>
          <w:caps w:val="0"/>
          <w:color w:val="333333"/>
          <w:spacing w:val="0"/>
          <w:sz w:val="32"/>
          <w:szCs w:val="32"/>
          <w:highlight w:val="none"/>
          <w:shd w:val="clear" w:fill="FFFFFF"/>
        </w:rPr>
        <w:t>，</w:t>
      </w:r>
      <w:r>
        <w:rPr>
          <w:rFonts w:hint="eastAsia" w:ascii="仿宋_GB2312" w:hAnsi="宋体" w:eastAsia="仿宋_GB2312" w:cs="仿宋_GB2312"/>
          <w:i w:val="0"/>
          <w:iCs w:val="0"/>
          <w:caps w:val="0"/>
          <w:color w:val="333333"/>
          <w:spacing w:val="0"/>
          <w:sz w:val="32"/>
          <w:szCs w:val="32"/>
          <w:highlight w:val="none"/>
          <w:shd w:val="clear" w:fill="FFFFFF"/>
          <w:lang w:eastAsia="zh-CN"/>
        </w:rPr>
        <w:t>全力</w:t>
      </w:r>
      <w:r>
        <w:rPr>
          <w:rFonts w:hint="eastAsia" w:ascii="仿宋_GB2312" w:hAnsi="宋体" w:eastAsia="仿宋_GB2312" w:cs="仿宋_GB2312"/>
          <w:i w:val="0"/>
          <w:iCs w:val="0"/>
          <w:caps w:val="0"/>
          <w:color w:val="333333"/>
          <w:spacing w:val="0"/>
          <w:sz w:val="32"/>
          <w:szCs w:val="32"/>
          <w:highlight w:val="none"/>
          <w:shd w:val="clear" w:fill="FFFFFF"/>
        </w:rPr>
        <w:t>保障全</w:t>
      </w:r>
      <w:r>
        <w:rPr>
          <w:rFonts w:hint="eastAsia" w:ascii="仿宋_GB2312" w:hAnsi="宋体" w:eastAsia="仿宋_GB2312" w:cs="仿宋_GB2312"/>
          <w:i w:val="0"/>
          <w:iCs w:val="0"/>
          <w:caps w:val="0"/>
          <w:color w:val="333333"/>
          <w:spacing w:val="0"/>
          <w:sz w:val="32"/>
          <w:szCs w:val="32"/>
          <w:highlight w:val="none"/>
          <w:shd w:val="clear" w:fill="FFFFFF"/>
          <w:lang w:eastAsia="zh-CN"/>
        </w:rPr>
        <w:t>区在新冠</w:t>
      </w:r>
      <w:r>
        <w:rPr>
          <w:rFonts w:hint="eastAsia" w:ascii="仿宋_GB2312" w:hAnsi="宋体" w:eastAsia="仿宋_GB2312" w:cs="仿宋_GB2312"/>
          <w:i w:val="0"/>
          <w:iCs w:val="0"/>
          <w:caps w:val="0"/>
          <w:color w:val="333333"/>
          <w:spacing w:val="0"/>
          <w:sz w:val="32"/>
          <w:szCs w:val="32"/>
          <w:highlight w:val="none"/>
          <w:shd w:val="clear" w:fill="FFFFFF"/>
        </w:rPr>
        <w:t>疫情防</w:t>
      </w:r>
      <w:r>
        <w:rPr>
          <w:rFonts w:hint="eastAsia" w:ascii="仿宋_GB2312" w:hAnsi="宋体" w:eastAsia="仿宋_GB2312" w:cs="仿宋_GB2312"/>
          <w:i w:val="0"/>
          <w:iCs w:val="0"/>
          <w:caps w:val="0"/>
          <w:color w:val="333333"/>
          <w:spacing w:val="0"/>
          <w:sz w:val="32"/>
          <w:szCs w:val="32"/>
          <w:highlight w:val="none"/>
          <w:shd w:val="clear" w:fill="FFFFFF"/>
          <w:lang w:eastAsia="zh-CN"/>
        </w:rPr>
        <w:t>控</w:t>
      </w:r>
      <w:r>
        <w:rPr>
          <w:rFonts w:hint="eastAsia" w:ascii="仿宋_GB2312" w:hAnsi="宋体" w:eastAsia="仿宋_GB2312" w:cs="仿宋_GB2312"/>
          <w:i w:val="0"/>
          <w:iCs w:val="0"/>
          <w:caps w:val="0"/>
          <w:color w:val="333333"/>
          <w:spacing w:val="0"/>
          <w:sz w:val="32"/>
          <w:szCs w:val="32"/>
          <w:highlight w:val="none"/>
          <w:shd w:val="clear" w:fill="FFFFFF"/>
        </w:rPr>
        <w:t>工作中</w:t>
      </w:r>
      <w:r>
        <w:rPr>
          <w:rFonts w:hint="eastAsia" w:ascii="仿宋_GB2312" w:hAnsi="宋体" w:eastAsia="仿宋_GB2312" w:cs="仿宋_GB2312"/>
          <w:i w:val="0"/>
          <w:iCs w:val="0"/>
          <w:caps w:val="0"/>
          <w:color w:val="333333"/>
          <w:spacing w:val="0"/>
          <w:sz w:val="32"/>
          <w:szCs w:val="32"/>
          <w:highlight w:val="none"/>
          <w:shd w:val="clear" w:fill="FFFFFF"/>
          <w:lang w:eastAsia="zh-CN"/>
        </w:rPr>
        <w:t>应急储备物资的</w:t>
      </w:r>
      <w:r>
        <w:rPr>
          <w:rFonts w:hint="eastAsia" w:ascii="仿宋_GB2312" w:hAnsi="宋体" w:eastAsia="仿宋_GB2312" w:cs="仿宋_GB2312"/>
          <w:i w:val="0"/>
          <w:iCs w:val="0"/>
          <w:caps w:val="0"/>
          <w:color w:val="333333"/>
          <w:spacing w:val="0"/>
          <w:sz w:val="32"/>
          <w:szCs w:val="32"/>
          <w:highlight w:val="none"/>
          <w:shd w:val="clear" w:fill="FFFFFF"/>
        </w:rPr>
        <w:t>需要</w:t>
      </w:r>
      <w:r>
        <w:rPr>
          <w:rFonts w:hint="eastAsia" w:ascii="仿宋_GB2312" w:hAnsi="宋体" w:eastAsia="仿宋_GB2312" w:cs="仿宋_GB2312"/>
          <w:i w:val="0"/>
          <w:iCs w:val="0"/>
          <w:caps w:val="0"/>
          <w:color w:val="333333"/>
          <w:spacing w:val="0"/>
          <w:sz w:val="32"/>
          <w:szCs w:val="32"/>
          <w:highlight w:val="none"/>
          <w:shd w:val="clear" w:fill="FFFFFF"/>
          <w:lang w:eastAsia="zh-CN"/>
        </w:rPr>
        <w:t>。</w:t>
      </w:r>
    </w:p>
    <w:p w14:paraId="45C69F9C">
      <w:pPr>
        <w:keepNext w:val="0"/>
        <w:keepLines w:val="0"/>
        <w:pageBreakBefore w:val="0"/>
        <w:widowControl w:val="0"/>
        <w:numPr>
          <w:ilvl w:val="0"/>
          <w:numId w:val="6"/>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预设问题及评价重点。</w:t>
      </w:r>
    </w:p>
    <w:p w14:paraId="5ED8A6D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宋体" w:eastAsia="仿宋_GB2312" w:cs="Times New Roman"/>
          <w:b w:val="0"/>
          <w:kern w:val="2"/>
          <w:sz w:val="32"/>
          <w:szCs w:val="32"/>
          <w:highlight w:val="none"/>
          <w:lang w:val="en-US" w:eastAsia="zh-CN" w:bidi="ar-SA"/>
        </w:rPr>
        <w:t>按照财政项目支出事前绩效评估工作安排，我中心成立了事前项目绩效评估工作组，对项目进行事前绩效评估，</w:t>
      </w:r>
      <w:r>
        <w:rPr>
          <w:rFonts w:hint="eastAsia" w:ascii="仿宋_GB2312" w:hAnsi="宋体" w:eastAsia="仿宋_GB2312"/>
          <w:sz w:val="32"/>
          <w:szCs w:val="32"/>
          <w:highlight w:val="none"/>
          <w:lang w:eastAsia="zh-CN"/>
        </w:rPr>
        <w:t>绩效目标设置情况</w:t>
      </w:r>
      <w:r>
        <w:rPr>
          <w:rFonts w:hint="eastAsia" w:ascii="仿宋_GB2312" w:hAnsi="宋体" w:eastAsia="仿宋_GB2312"/>
          <w:sz w:val="32"/>
          <w:szCs w:val="32"/>
          <w:highlight w:val="none"/>
          <w:lang w:val="en-US" w:eastAsia="zh-CN"/>
        </w:rPr>
        <w:t>良好</w:t>
      </w:r>
      <w:r>
        <w:rPr>
          <w:rFonts w:hint="eastAsia" w:ascii="仿宋_GB2312" w:hAnsi="宋体" w:eastAsia="仿宋_GB2312"/>
          <w:sz w:val="32"/>
          <w:szCs w:val="32"/>
          <w:highlight w:val="none"/>
          <w:lang w:eastAsia="zh-CN"/>
        </w:rPr>
        <w:t>，评估内容包括绩效目标和绩效指标量化可考核，相匹配，全面完整，契合政策</w:t>
      </w:r>
      <w:r>
        <w:rPr>
          <w:rFonts w:hint="eastAsia" w:ascii="仿宋_GB2312" w:hAnsi="宋体" w:eastAsia="仿宋_GB2312"/>
          <w:sz w:val="32"/>
          <w:szCs w:val="32"/>
          <w:highlight w:val="none"/>
          <w:lang w:val="en-US" w:eastAsia="zh-CN"/>
        </w:rPr>
        <w:t>和</w:t>
      </w:r>
      <w:r>
        <w:rPr>
          <w:rFonts w:hint="eastAsia" w:ascii="仿宋_GB2312" w:hAnsi="宋体" w:eastAsia="仿宋_GB2312"/>
          <w:sz w:val="32"/>
          <w:szCs w:val="32"/>
          <w:highlight w:val="none"/>
          <w:lang w:eastAsia="zh-CN"/>
        </w:rPr>
        <w:t>项目实质，与部门的长期规划目标、年度工作目标相一致，产出和效果相关联。</w:t>
      </w:r>
    </w:p>
    <w:p w14:paraId="6C55A1A1">
      <w:pPr>
        <w:keepNext w:val="0"/>
        <w:keepLines w:val="0"/>
        <w:pageBreakBefore w:val="0"/>
        <w:widowControl w:val="0"/>
        <w:numPr>
          <w:ilvl w:val="0"/>
          <w:numId w:val="6"/>
        </w:numPr>
        <w:kinsoku/>
        <w:wordWrap/>
        <w:overflowPunct/>
        <w:topLinePunct w:val="0"/>
        <w:autoSpaceDE/>
        <w:autoSpaceDN/>
        <w:bidi w:val="0"/>
        <w:spacing w:line="578" w:lineRule="exact"/>
        <w:ind w:left="0" w:leftChars="0" w:firstLine="643" w:firstLineChars="20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评价选点。</w:t>
      </w:r>
    </w:p>
    <w:p w14:paraId="2A90703D">
      <w:pPr>
        <w:keepNext w:val="0"/>
        <w:keepLines w:val="0"/>
        <w:pageBreakBefore w:val="0"/>
        <w:widowControl w:val="0"/>
        <w:numPr>
          <w:ilvl w:val="0"/>
          <w:numId w:val="0"/>
        </w:numPr>
        <w:kinsoku/>
        <w:wordWrap/>
        <w:overflowPunct/>
        <w:topLinePunct w:val="0"/>
        <w:autoSpaceDE/>
        <w:autoSpaceDN/>
        <w:bidi w:val="0"/>
        <w:spacing w:line="578" w:lineRule="exact"/>
        <w:ind w:leftChars="200" w:firstLine="640" w:firstLineChars="200"/>
        <w:textAlignment w:val="auto"/>
        <w:outlineLvl w:val="9"/>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sz w:val="32"/>
          <w:szCs w:val="32"/>
          <w:highlight w:val="none"/>
        </w:rPr>
        <w:t>该项目资金全部来源于一般预算财政拨款</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项目</w:t>
      </w:r>
      <w:r>
        <w:rPr>
          <w:rFonts w:hint="eastAsia" w:ascii="仿宋_GB2312" w:hAnsi="宋体" w:eastAsia="仿宋_GB2312"/>
          <w:sz w:val="32"/>
          <w:szCs w:val="32"/>
          <w:highlight w:val="none"/>
          <w:lang w:eastAsia="zh-CN"/>
        </w:rPr>
        <w:t>具有公共性，属于公共财政支持范围，符合法律法规规定，筹资结构合理，资金来源渠道明确，资金到位时间、条件能够落实。</w:t>
      </w:r>
      <w:r>
        <w:rPr>
          <w:rFonts w:hint="eastAsia" w:ascii="仿宋_GB2312" w:hAnsi="宋体" w:eastAsia="仿宋_GB2312"/>
          <w:sz w:val="32"/>
          <w:szCs w:val="32"/>
          <w:highlight w:val="none"/>
          <w:lang w:val="en-US" w:eastAsia="zh-CN"/>
        </w:rPr>
        <w:t>区疾控中心及区内各预防接种单位对第二类疫苗预防接种项目</w:t>
      </w:r>
      <w:r>
        <w:rPr>
          <w:rFonts w:hint="eastAsia" w:ascii="仿宋_GB2312" w:hAnsi="宋体" w:eastAsia="仿宋_GB2312" w:cs="Times New Roman"/>
          <w:b w:val="0"/>
          <w:kern w:val="2"/>
          <w:sz w:val="32"/>
          <w:szCs w:val="32"/>
          <w:highlight w:val="none"/>
          <w:lang w:val="en-US" w:eastAsia="zh-CN" w:bidi="ar-SA"/>
        </w:rPr>
        <w:t>高度重视，制定有实施方案，明确了任务、在资金安排上严格落实和完善了管理制度，区疾控中心负责及时划拨资金，规范财务制度，将定期督导检查通报，全面完成项目任务，并</w:t>
      </w:r>
      <w:r>
        <w:rPr>
          <w:rFonts w:hint="eastAsia" w:ascii="仿宋_GB2312" w:hAnsi="宋体" w:eastAsia="仿宋_GB2312" w:cs="Times New Roman"/>
          <w:kern w:val="2"/>
          <w:sz w:val="32"/>
          <w:szCs w:val="32"/>
          <w:highlight w:val="none"/>
          <w:lang w:val="en-US" w:eastAsia="zh-CN" w:bidi="ar-SA"/>
        </w:rPr>
        <w:t>按照项目实施要求，全面保障疫情防控应急物资库房的运转。</w:t>
      </w:r>
    </w:p>
    <w:p w14:paraId="29DA2901">
      <w:pPr>
        <w:keepNext w:val="0"/>
        <w:keepLines w:val="0"/>
        <w:pageBreakBefore w:val="0"/>
        <w:widowControl w:val="0"/>
        <w:numPr>
          <w:ilvl w:val="0"/>
          <w:numId w:val="6"/>
        </w:numPr>
        <w:kinsoku/>
        <w:wordWrap/>
        <w:overflowPunct/>
        <w:topLinePunct w:val="0"/>
        <w:autoSpaceDE/>
        <w:autoSpaceDN/>
        <w:bidi w:val="0"/>
        <w:spacing w:line="578" w:lineRule="exact"/>
        <w:ind w:left="0" w:leftChars="0" w:firstLine="643" w:firstLineChars="20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评价方法。</w:t>
      </w:r>
    </w:p>
    <w:p w14:paraId="18ACF8D9">
      <w:pPr>
        <w:keepNext w:val="0"/>
        <w:keepLines w:val="0"/>
        <w:pageBreakBefore w:val="0"/>
        <w:widowControl w:val="0"/>
        <w:numPr>
          <w:ilvl w:val="0"/>
          <w:numId w:val="0"/>
        </w:numPr>
        <w:kinsoku/>
        <w:wordWrap/>
        <w:overflowPunct/>
        <w:topLinePunct w:val="0"/>
        <w:autoSpaceDE/>
        <w:autoSpaceDN/>
        <w:bidi w:val="0"/>
        <w:spacing w:line="578" w:lineRule="exact"/>
        <w:ind w:leftChars="20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宋体" w:eastAsia="仿宋_GB2312" w:cs="Times New Roman"/>
          <w:kern w:val="2"/>
          <w:sz w:val="32"/>
          <w:szCs w:val="32"/>
          <w:highlight w:val="none"/>
          <w:lang w:val="en-US" w:eastAsia="zh-CN" w:bidi="ar-SA"/>
        </w:rPr>
        <w:t>项目采取自评方式，成立项目自评小组，结合评价内容，做到有计划，有安排，扎实开展自评工作。按照年初预算制定的项目支出绩效评价指标体系，自评小组针对申报内容、实施情况、资金兑现、财务管理、社会效益等做出自我评价，认真听取上级主管部门及业务各科室建议意见，做好自评工作，每个细分目标设定相应分值进行打分，总分100分，最后加总细化目标得分即为自评最终得分。</w:t>
      </w:r>
    </w:p>
    <w:p w14:paraId="681EE281">
      <w:pPr>
        <w:numPr>
          <w:ilvl w:val="0"/>
          <w:numId w:val="6"/>
        </w:numPr>
        <w:adjustRightInd w:val="0"/>
        <w:snapToGrid w:val="0"/>
        <w:spacing w:line="600" w:lineRule="exact"/>
        <w:ind w:left="0" w:leftChars="0" w:firstLine="643" w:firstLineChars="200"/>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评价组织。</w:t>
      </w:r>
    </w:p>
    <w:p w14:paraId="17FDB7AC">
      <w:pPr>
        <w:numPr>
          <w:ilvl w:val="0"/>
          <w:numId w:val="0"/>
        </w:numPr>
        <w:adjustRightInd w:val="0"/>
        <w:snapToGrid w:val="0"/>
        <w:spacing w:line="600" w:lineRule="exact"/>
        <w:ind w:leftChars="200" w:firstLine="640" w:firstLineChars="200"/>
        <w:rPr>
          <w:rFonts w:hint="eastAsia" w:ascii="仿宋_GB2312" w:hAnsi="宋体" w:eastAsia="仿宋_GB2312" w:cs="Times New Roman"/>
          <w:sz w:val="32"/>
          <w:szCs w:val="32"/>
          <w:lang w:val="zh-CN" w:eastAsia="zh-CN"/>
        </w:rPr>
      </w:pPr>
      <w:r>
        <w:rPr>
          <w:rFonts w:hint="eastAsia" w:ascii="仿宋_GB2312" w:hAnsi="宋体" w:eastAsia="仿宋_GB2312"/>
          <w:sz w:val="32"/>
          <w:szCs w:val="32"/>
        </w:rPr>
        <w:t>该项目</w:t>
      </w:r>
      <w:r>
        <w:rPr>
          <w:rFonts w:hint="eastAsia" w:ascii="仿宋_GB2312" w:hAnsi="宋体" w:eastAsia="仿宋_GB2312"/>
          <w:sz w:val="32"/>
          <w:szCs w:val="32"/>
          <w:lang w:eastAsia="zh-CN"/>
        </w:rPr>
        <w:t>工作</w:t>
      </w:r>
      <w:r>
        <w:rPr>
          <w:rFonts w:hint="eastAsia" w:ascii="仿宋_GB2312" w:hAnsi="宋体" w:eastAsia="仿宋_GB2312"/>
          <w:sz w:val="32"/>
          <w:szCs w:val="32"/>
          <w:lang w:val="en-US" w:eastAsia="zh-CN"/>
        </w:rPr>
        <w:t>由中心新冠防控物资专项组按工作任务计划实施</w:t>
      </w:r>
      <w:r>
        <w:rPr>
          <w:rFonts w:hint="eastAsia" w:ascii="仿宋_GB2312" w:hAnsi="宋体" w:eastAsia="仿宋_GB2312"/>
          <w:sz w:val="32"/>
          <w:szCs w:val="32"/>
        </w:rPr>
        <w:t>，</w:t>
      </w:r>
      <w:r>
        <w:rPr>
          <w:rFonts w:hint="eastAsia" w:ascii="仿宋_GB2312" w:hAnsi="宋体" w:eastAsia="仿宋_GB2312" w:cs="Times New Roman"/>
          <w:kern w:val="2"/>
          <w:sz w:val="32"/>
          <w:szCs w:val="32"/>
          <w:lang w:val="en-US" w:eastAsia="zh-CN" w:bidi="ar-SA"/>
        </w:rPr>
        <w:t>新冠疫情防控物资采购专项</w:t>
      </w:r>
      <w:r>
        <w:rPr>
          <w:rFonts w:hint="eastAsia" w:ascii="仿宋_GB2312" w:hAnsi="宋体" w:eastAsia="仿宋_GB2312"/>
          <w:sz w:val="32"/>
          <w:szCs w:val="32"/>
          <w:lang w:val="en-US" w:eastAsia="zh-CN"/>
        </w:rPr>
        <w:t>项目</w:t>
      </w:r>
      <w:r>
        <w:rPr>
          <w:rFonts w:hint="eastAsia" w:ascii="仿宋_GB2312" w:hAnsi="宋体" w:eastAsia="仿宋_GB2312"/>
          <w:sz w:val="32"/>
          <w:szCs w:val="32"/>
          <w:lang w:eastAsia="zh-CN"/>
        </w:rPr>
        <w:t>每一项业务工作按预算绩效目标，制定有相应的项目工作实施方案，</w:t>
      </w:r>
      <w:r>
        <w:rPr>
          <w:rFonts w:hint="eastAsia" w:ascii="仿宋_GB2312" w:hAnsi="宋体" w:eastAsia="仿宋_GB2312"/>
          <w:sz w:val="32"/>
          <w:szCs w:val="32"/>
          <w:lang w:val="en-US" w:eastAsia="zh-CN"/>
        </w:rPr>
        <w:t>并按工作进度实施完成。整个项目实施过程</w:t>
      </w:r>
      <w:r>
        <w:rPr>
          <w:rFonts w:hint="eastAsia" w:ascii="仿宋_GB2312" w:hAnsi="宋体" w:eastAsia="仿宋_GB2312"/>
          <w:sz w:val="32"/>
          <w:szCs w:val="32"/>
          <w:lang w:eastAsia="zh-CN"/>
        </w:rPr>
        <w:t>由中心质控科监管审</w:t>
      </w:r>
      <w:r>
        <w:rPr>
          <w:rFonts w:hint="eastAsia" w:ascii="仿宋_GB2312" w:hAnsi="宋体" w:eastAsia="仿宋_GB2312"/>
          <w:sz w:val="32"/>
          <w:szCs w:val="32"/>
        </w:rPr>
        <w:t>核，</w:t>
      </w:r>
      <w:r>
        <w:rPr>
          <w:rFonts w:hint="eastAsia" w:ascii="仿宋_GB2312" w:hAnsi="宋体" w:eastAsia="仿宋_GB2312"/>
          <w:sz w:val="32"/>
          <w:szCs w:val="32"/>
          <w:lang w:eastAsia="zh-CN"/>
        </w:rPr>
        <w:t>对项目的实施定期或不定期的进行现场</w:t>
      </w:r>
      <w:r>
        <w:rPr>
          <w:rFonts w:hint="eastAsia" w:ascii="仿宋_GB2312" w:hAnsi="宋体" w:eastAsia="仿宋_GB2312" w:cs="Times New Roman"/>
          <w:sz w:val="32"/>
          <w:szCs w:val="32"/>
          <w:lang w:eastAsia="zh-CN"/>
        </w:rPr>
        <w:t>检查和监督，及时协调解决困难和问题，保证项目工作按质按量完成。</w:t>
      </w:r>
    </w:p>
    <w:p w14:paraId="0C220CC1">
      <w:pPr>
        <w:numPr>
          <w:ilvl w:val="0"/>
          <w:numId w:val="0"/>
        </w:numPr>
        <w:adjustRightInd w:val="0"/>
        <w:snapToGrid w:val="0"/>
        <w:spacing w:line="600" w:lineRule="exact"/>
        <w:ind w:leftChars="200" w:firstLine="640" w:firstLineChars="20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rPr>
        <w:t>三、</w:t>
      </w:r>
      <w:r>
        <w:rPr>
          <w:rFonts w:hint="eastAsia" w:ascii="仿宋_GB2312" w:hAnsi="宋体" w:eastAsia="仿宋_GB2312" w:cs="Times New Roman"/>
          <w:sz w:val="32"/>
          <w:szCs w:val="32"/>
          <w:lang w:eastAsia="zh-CN"/>
        </w:rPr>
        <w:t>绩效分析</w:t>
      </w:r>
      <w:r>
        <w:rPr>
          <w:rFonts w:hint="eastAsia" w:ascii="仿宋_GB2312" w:hAnsi="宋体" w:eastAsia="仿宋_GB2312" w:cs="Times New Roman"/>
          <w:sz w:val="32"/>
          <w:szCs w:val="32"/>
          <w:lang w:val="zh-CN"/>
        </w:rPr>
        <w:tab/>
      </w:r>
    </w:p>
    <w:p w14:paraId="695EAA9F">
      <w:pPr>
        <w:numPr>
          <w:ilvl w:val="0"/>
          <w:numId w:val="0"/>
        </w:numPr>
        <w:adjustRightInd w:val="0"/>
        <w:snapToGrid w:val="0"/>
        <w:spacing w:line="600" w:lineRule="exact"/>
        <w:ind w:leftChars="200"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（一）</w:t>
      </w:r>
      <w:r>
        <w:rPr>
          <w:rFonts w:hint="default" w:ascii="仿宋_GB2312" w:hAnsi="宋体" w:eastAsia="仿宋_GB2312" w:cs="Times New Roman"/>
          <w:sz w:val="32"/>
          <w:szCs w:val="32"/>
          <w:lang w:val="en-US" w:eastAsia="zh-CN"/>
        </w:rPr>
        <w:t>预算执行进度情况分析</w:t>
      </w:r>
    </w:p>
    <w:p w14:paraId="4113C5BD">
      <w:pPr>
        <w:numPr>
          <w:ilvl w:val="0"/>
          <w:numId w:val="0"/>
        </w:numPr>
        <w:adjustRightInd w:val="0"/>
        <w:snapToGrid w:val="0"/>
        <w:spacing w:line="600" w:lineRule="exact"/>
        <w:ind w:leftChars="200"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预算执行率100%；资金拨付审批程序完整，资金使用合规，资金已全部拨付到位。</w:t>
      </w:r>
    </w:p>
    <w:p w14:paraId="451F1460">
      <w:pPr>
        <w:numPr>
          <w:ilvl w:val="0"/>
          <w:numId w:val="0"/>
        </w:numPr>
        <w:adjustRightInd w:val="0"/>
        <w:snapToGrid w:val="0"/>
        <w:spacing w:line="600" w:lineRule="exact"/>
        <w:ind w:leftChars="200"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（三）</w:t>
      </w:r>
      <w:r>
        <w:rPr>
          <w:rFonts w:hint="default" w:ascii="仿宋_GB2312" w:hAnsi="宋体" w:eastAsia="仿宋_GB2312" w:cs="Times New Roman"/>
          <w:sz w:val="32"/>
          <w:szCs w:val="32"/>
          <w:lang w:val="en-US" w:eastAsia="zh-CN"/>
        </w:rPr>
        <w:t>总体绩效目标完成情况分析</w:t>
      </w:r>
    </w:p>
    <w:p w14:paraId="30ED1AC7">
      <w:pPr>
        <w:numPr>
          <w:ilvl w:val="0"/>
          <w:numId w:val="0"/>
        </w:numPr>
        <w:adjustRightInd w:val="0"/>
        <w:snapToGrid w:val="0"/>
        <w:spacing w:line="600" w:lineRule="exact"/>
        <w:ind w:leftChars="200"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为全县居民核酸检测采购必需核酸检测试剂、试纸等；为广大医护人员及一线服务人员采购防护服、隔离衣、医用口罩等必需物品；为各单位提供消杀、防护用品等，医疗物资保障充分，疫情防控和医疗救治工作正常开展。</w:t>
      </w:r>
    </w:p>
    <w:p w14:paraId="059FC37B">
      <w:pPr>
        <w:numPr>
          <w:ilvl w:val="0"/>
          <w:numId w:val="0"/>
        </w:numPr>
        <w:adjustRightInd w:val="0"/>
        <w:snapToGrid w:val="0"/>
        <w:spacing w:line="600" w:lineRule="exact"/>
        <w:ind w:leftChars="200"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（四）</w:t>
      </w:r>
      <w:r>
        <w:rPr>
          <w:rFonts w:hint="default" w:ascii="仿宋_GB2312" w:hAnsi="宋体" w:eastAsia="仿宋_GB2312" w:cs="Times New Roman"/>
          <w:sz w:val="32"/>
          <w:szCs w:val="32"/>
          <w:lang w:val="en-US" w:eastAsia="zh-CN"/>
        </w:rPr>
        <w:t>绩效指标完成情况分析</w:t>
      </w:r>
    </w:p>
    <w:p w14:paraId="5058D676">
      <w:pPr>
        <w:numPr>
          <w:ilvl w:val="0"/>
          <w:numId w:val="0"/>
        </w:numPr>
        <w:adjustRightInd w:val="0"/>
        <w:snapToGrid w:val="0"/>
        <w:spacing w:line="600" w:lineRule="exact"/>
        <w:ind w:leftChars="200"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医疗物资采购数量充足，完全保障了全区对医疗物资的需求。结余数量合理，无极端数值，采购的医疗物资质量好，采购质量高。采购时效高，物资发放及时。经过询价，竞争性谈判等方式进行采购应急物资，成本控制良好。</w:t>
      </w:r>
    </w:p>
    <w:p w14:paraId="10DEF8F5">
      <w:pPr>
        <w:numPr>
          <w:ilvl w:val="0"/>
          <w:numId w:val="0"/>
        </w:numPr>
        <w:adjustRightInd w:val="0"/>
        <w:snapToGrid w:val="0"/>
        <w:spacing w:line="600" w:lineRule="exact"/>
        <w:ind w:leftChars="200" w:firstLine="640" w:firstLineChars="200"/>
        <w:rPr>
          <w:rFonts w:hint="eastAsia" w:ascii="仿宋_GB2312" w:hAnsi="宋体" w:eastAsia="仿宋_GB2312" w:cs="Times New Roman"/>
          <w:sz w:val="32"/>
          <w:szCs w:val="32"/>
        </w:rPr>
      </w:pPr>
      <w:r>
        <w:rPr>
          <w:rFonts w:hint="default" w:ascii="仿宋_GB2312" w:hAnsi="宋体" w:eastAsia="仿宋_GB2312" w:cs="Times New Roman"/>
          <w:sz w:val="32"/>
          <w:szCs w:val="32"/>
          <w:lang w:val="en-US" w:eastAsia="zh-CN"/>
        </w:rPr>
        <w:t>（四）项目效益分析</w:t>
      </w:r>
    </w:p>
    <w:p w14:paraId="1B39BEC2">
      <w:pPr>
        <w:numPr>
          <w:ilvl w:val="0"/>
          <w:numId w:val="0"/>
        </w:numPr>
        <w:adjustRightInd w:val="0"/>
        <w:snapToGrid w:val="0"/>
        <w:spacing w:line="600" w:lineRule="exact"/>
        <w:ind w:leftChars="200"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1.社会效益</w:t>
      </w:r>
    </w:p>
    <w:p w14:paraId="060CEC34">
      <w:pPr>
        <w:numPr>
          <w:ilvl w:val="0"/>
          <w:numId w:val="0"/>
        </w:numPr>
        <w:adjustRightInd w:val="0"/>
        <w:snapToGrid w:val="0"/>
        <w:spacing w:line="600" w:lineRule="exact"/>
        <w:ind w:leftChars="200"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该项目资金的使用保障了全区各单位、隔离点、核酸采集点的防疫需求，该项目资金的使用为全区的疫情防控工作奠定了基础，发挥了显著的社会效益。</w:t>
      </w:r>
    </w:p>
    <w:p w14:paraId="2A6F7284">
      <w:pPr>
        <w:numPr>
          <w:ilvl w:val="0"/>
          <w:numId w:val="0"/>
        </w:numPr>
        <w:adjustRightInd w:val="0"/>
        <w:snapToGrid w:val="0"/>
        <w:spacing w:line="600" w:lineRule="exact"/>
        <w:ind w:leftChars="200"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2.经济效益</w:t>
      </w:r>
    </w:p>
    <w:p w14:paraId="41C50302">
      <w:pPr>
        <w:numPr>
          <w:ilvl w:val="0"/>
          <w:numId w:val="0"/>
        </w:numPr>
        <w:adjustRightInd w:val="0"/>
        <w:snapToGrid w:val="0"/>
        <w:spacing w:line="600" w:lineRule="exact"/>
        <w:ind w:leftChars="200"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疫情发生以来，应急物资保障组落实了各项防控举措,全面提高群众的防护意识，为全区陆续复工复产、学校陆续复课奠定了基础，减少了经济损失。</w:t>
      </w:r>
    </w:p>
    <w:p w14:paraId="49E63921">
      <w:pPr>
        <w:numPr>
          <w:ilvl w:val="0"/>
          <w:numId w:val="0"/>
        </w:numPr>
        <w:adjustRightInd w:val="0"/>
        <w:snapToGrid w:val="0"/>
        <w:spacing w:line="600" w:lineRule="exact"/>
        <w:ind w:leftChars="200"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3.可持续性</w:t>
      </w:r>
    </w:p>
    <w:p w14:paraId="459D1DBD">
      <w:pPr>
        <w:numPr>
          <w:ilvl w:val="0"/>
          <w:numId w:val="0"/>
        </w:numPr>
        <w:adjustRightInd w:val="0"/>
        <w:snapToGrid w:val="0"/>
        <w:spacing w:line="600" w:lineRule="exact"/>
        <w:ind w:leftChars="200"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安居区应急物资保障组按照区应急指挥部要求，继续保持运转，同时加强中心疫情防控队伍建设，保证后续工作正常开展。应急物资保障了疫情防控重点转换和进入常态化管控的可持续性。</w:t>
      </w:r>
    </w:p>
    <w:p w14:paraId="1CF7CF4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452C5928">
      <w:pPr>
        <w:pStyle w:val="1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319" w:leftChars="152"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按照预算绩效管理要求，本部门对该项目开展绩效自评，自评得分9</w:t>
      </w:r>
      <w:r>
        <w:rPr>
          <w:rFonts w:hint="eastAsia" w:ascii="仿宋_GB2312" w:hAnsi="宋体" w:eastAsia="仿宋_GB2312" w:cs="Times New Roman"/>
          <w:b w:val="0"/>
          <w:bCs w:val="0"/>
          <w:kern w:val="2"/>
          <w:sz w:val="32"/>
          <w:szCs w:val="32"/>
          <w:lang w:val="en-US" w:eastAsia="zh-CN"/>
        </w:rPr>
        <w:t>1分、评估等级为优、新冠疫情防控经费预期产出和效果能满足社会效益和可持续发展需求、不需要核减预算安排、</w:t>
      </w:r>
      <w:r>
        <w:rPr>
          <w:rFonts w:hint="eastAsia" w:ascii="仿宋_GB2312" w:hAnsi="宋体" w:eastAsia="仿宋_GB2312" w:cs="Times New Roman"/>
          <w:kern w:val="2"/>
          <w:sz w:val="32"/>
          <w:szCs w:val="32"/>
          <w:lang w:val="en-US" w:eastAsia="zh-CN" w:bidi="ar-SA"/>
        </w:rPr>
        <w:t>从项目的立项、资金申报与使用、项目完成进度和质量等多方面评价。该项目完成绩效目标情况很好。</w:t>
      </w:r>
    </w:p>
    <w:p w14:paraId="54A0203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13E204D6">
      <w:pPr>
        <w:keepNext w:val="0"/>
        <w:keepLines w:val="0"/>
        <w:pageBreakBefore w:val="0"/>
        <w:widowControl w:val="0"/>
        <w:kinsoku/>
        <w:wordWrap/>
        <w:overflowPunct/>
        <w:topLinePunct w:val="0"/>
        <w:autoSpaceDE/>
        <w:autoSpaceDN/>
        <w:bidi w:val="0"/>
        <w:spacing w:line="578" w:lineRule="exact"/>
        <w:ind w:left="638" w:leftChars="304" w:firstLine="320" w:firstLineChars="100"/>
        <w:textAlignment w:val="auto"/>
        <w:outlineLvl w:val="9"/>
        <w:rPr>
          <w:rFonts w:hint="eastAsia"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项目预算编制、资金分配依据不足；部分项目工作人员对绩效管理的有关知识和要求理解掌握还不够透彻。</w:t>
      </w:r>
    </w:p>
    <w:p w14:paraId="15E2E8C5">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47A1F762">
      <w:pPr>
        <w:ind w:left="638" w:leftChars="304" w:firstLine="640" w:firstLineChars="200"/>
        <w:rPr>
          <w:rFonts w:hint="eastAsia" w:ascii="仿宋_GB2312" w:hAnsi="宋体" w:eastAsia="仿宋_GB2312" w:cs="Times New Roman"/>
          <w:b w:val="0"/>
          <w:bCs w:val="0"/>
          <w:kern w:val="2"/>
          <w:sz w:val="32"/>
          <w:szCs w:val="32"/>
          <w:lang w:val="en-US" w:eastAsia="zh-CN"/>
        </w:rPr>
      </w:pPr>
      <w:r>
        <w:rPr>
          <w:rFonts w:hint="eastAsia" w:ascii="仿宋_GB2312" w:hAnsi="宋体" w:eastAsia="仿宋_GB2312" w:cs="Times New Roman"/>
          <w:b w:val="0"/>
          <w:bCs w:val="0"/>
          <w:kern w:val="2"/>
          <w:sz w:val="32"/>
          <w:szCs w:val="32"/>
          <w:lang w:val="en-US" w:eastAsia="zh-CN"/>
        </w:rPr>
        <w:t>建议政府加强各部门组织领导，增加财政投入；进一步完善业务管理制度，在编制项目预算时，依据项目年度工作计划，对当年度涉及的资金支付情况进行详细测算，根据测算结果统筹安排和分配各单位项目预算，并要求各部门扩大对绩效管理相关知识培训的人员范围。</w:t>
      </w:r>
    </w:p>
    <w:p w14:paraId="413D3CD8">
      <w:pPr>
        <w:ind w:left="638" w:leftChars="304" w:firstLine="320" w:firstLineChars="100"/>
        <w:rPr>
          <w:rFonts w:hint="eastAsia" w:ascii="仿宋_GB2312" w:hAnsi="宋体" w:eastAsia="仿宋_GB2312" w:cs="Times New Roman"/>
          <w:b w:val="0"/>
          <w:bCs w:val="0"/>
          <w:kern w:val="2"/>
          <w:sz w:val="32"/>
          <w:szCs w:val="32"/>
          <w:lang w:val="en-US" w:eastAsia="zh-CN"/>
        </w:rPr>
        <w:sectPr>
          <w:headerReference r:id="rId9" w:type="default"/>
          <w:footerReference r:id="rId10" w:type="default"/>
          <w:pgSz w:w="11906" w:h="16838"/>
          <w:pgMar w:top="1157" w:right="952" w:bottom="1157" w:left="952" w:header="851" w:footer="992" w:gutter="0"/>
          <w:pgNumType w:fmt="decimal"/>
          <w:cols w:space="425" w:num="1"/>
          <w:docGrid w:type="lines" w:linePitch="312" w:charSpace="0"/>
        </w:sectPr>
      </w:pPr>
    </w:p>
    <w:tbl>
      <w:tblPr>
        <w:tblStyle w:val="15"/>
        <w:tblW w:w="136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650"/>
        <w:gridCol w:w="1451"/>
        <w:gridCol w:w="1718"/>
        <w:gridCol w:w="1722"/>
        <w:gridCol w:w="1674"/>
        <w:gridCol w:w="521"/>
        <w:gridCol w:w="1106"/>
        <w:gridCol w:w="504"/>
        <w:gridCol w:w="613"/>
        <w:gridCol w:w="2130"/>
      </w:tblGrid>
      <w:tr w14:paraId="6DB37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3665" w:type="dxa"/>
            <w:gridSpan w:val="11"/>
            <w:tcBorders>
              <w:top w:val="nil"/>
              <w:left w:val="nil"/>
              <w:bottom w:val="nil"/>
              <w:right w:val="nil"/>
            </w:tcBorders>
            <w:shd w:val="clear" w:color="auto" w:fill="auto"/>
            <w:vAlign w:val="center"/>
          </w:tcPr>
          <w:p w14:paraId="16BDD4A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部门预算项目支出绩效自评表</w:t>
            </w:r>
          </w:p>
        </w:tc>
      </w:tr>
      <w:tr w14:paraId="457E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9EB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A6BD36">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51090424T000011</w:t>
            </w:r>
            <w:r>
              <w:rPr>
                <w:rFonts w:hint="eastAsia" w:ascii="宋体" w:hAnsi="宋体" w:eastAsia="宋体" w:cs="宋体"/>
                <w:i w:val="0"/>
                <w:iCs w:val="0"/>
                <w:color w:val="000000"/>
                <w:kern w:val="0"/>
                <w:sz w:val="18"/>
                <w:szCs w:val="18"/>
                <w:u w:val="none"/>
                <w:lang w:val="en-US" w:eastAsia="zh-CN" w:bidi="ar"/>
              </w:rPr>
              <w:t>895014-新冠疫情防控物资采购专项资金</w:t>
            </w:r>
          </w:p>
        </w:tc>
      </w:tr>
      <w:tr w14:paraId="38462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FF9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D5AC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遂宁市安居区卫生健康局</w:t>
            </w:r>
          </w:p>
        </w:tc>
        <w:tc>
          <w:tcPr>
            <w:tcW w:w="1106" w:type="dxa"/>
            <w:tcBorders>
              <w:top w:val="nil"/>
              <w:left w:val="nil"/>
              <w:bottom w:val="nil"/>
              <w:right w:val="nil"/>
            </w:tcBorders>
            <w:shd w:val="clear" w:color="auto" w:fill="auto"/>
            <w:vAlign w:val="center"/>
          </w:tcPr>
          <w:p w14:paraId="7113C47F">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32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D1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遂宁市安居区疾病预防控制中心</w:t>
            </w:r>
          </w:p>
        </w:tc>
      </w:tr>
      <w:tr w14:paraId="4E4ED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8D7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FBA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25B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B4F55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1D78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A1595">
            <w:pPr>
              <w:rPr>
                <w:rFonts w:hint="eastAsia" w:ascii="宋体" w:hAnsi="宋体" w:eastAsia="宋体" w:cs="宋体"/>
                <w:i w:val="0"/>
                <w:iCs w:val="0"/>
                <w:color w:val="000000"/>
                <w:sz w:val="18"/>
                <w:szCs w:val="18"/>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D466D">
            <w:pPr>
              <w:rPr>
                <w:rFonts w:hint="eastAsia" w:ascii="宋体" w:hAnsi="宋体" w:eastAsia="宋体" w:cs="宋体"/>
                <w:i w:val="0"/>
                <w:iCs w:val="0"/>
                <w:color w:val="000000"/>
                <w:sz w:val="18"/>
                <w:szCs w:val="18"/>
                <w:u w:val="none"/>
              </w:rPr>
            </w:pPr>
          </w:p>
        </w:tc>
        <w:tc>
          <w:tcPr>
            <w:tcW w:w="7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5CDE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区疾控中心作为物资保障组的牵头单位，在区财政局、区卫健局等单位的大力支持下，全力保障全区在新冠疫情防控工作中应急储备物资的需要。</w:t>
            </w:r>
          </w:p>
        </w:tc>
        <w:tc>
          <w:tcPr>
            <w:tcW w:w="43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88B4B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0CA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F928E">
            <w:pPr>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BF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8FF1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严格按照上级要求，统筹安排经费预算，加强物资账目管理，分别保障应急和常备物资，根据现有物资和缺口数制定分批资采购计划，进一步加强应急物资的储备管理，为疫情防控做好保障。</w:t>
            </w:r>
          </w:p>
        </w:tc>
      </w:tr>
      <w:tr w14:paraId="06B37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39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F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   （万元）</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B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9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A1A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3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D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E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5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95F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34AEB">
            <w:pPr>
              <w:jc w:val="center"/>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7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4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DD0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190.23</w:t>
            </w:r>
          </w:p>
        </w:tc>
        <w:tc>
          <w:tcPr>
            <w:tcW w:w="3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C692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190.23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8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C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F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F0951">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F46D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13FB4">
            <w:pPr>
              <w:jc w:val="center"/>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9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C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3E1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190.23</w:t>
            </w:r>
          </w:p>
        </w:tc>
        <w:tc>
          <w:tcPr>
            <w:tcW w:w="3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28ED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190.23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4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7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6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1F1E3">
            <w:pPr>
              <w:rPr>
                <w:rFonts w:hint="eastAsia" w:ascii="黑体" w:hAnsi="黑体" w:eastAsia="黑体" w:cs="黑体"/>
                <w:i w:val="0"/>
                <w:iCs w:val="0"/>
                <w:color w:val="000000"/>
                <w:sz w:val="16"/>
                <w:szCs w:val="16"/>
                <w:u w:val="none"/>
              </w:rPr>
            </w:pPr>
          </w:p>
        </w:tc>
      </w:tr>
      <w:tr w14:paraId="0169F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AF7A9">
            <w:pPr>
              <w:jc w:val="center"/>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7B2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4BBB">
            <w:pPr>
              <w:jc w:val="center"/>
              <w:rPr>
                <w:rFonts w:hint="eastAsia" w:ascii="宋体" w:hAnsi="宋体" w:eastAsia="宋体" w:cs="宋体"/>
                <w:i w:val="0"/>
                <w:iCs w:val="0"/>
                <w:color w:val="000000"/>
                <w:sz w:val="18"/>
                <w:szCs w:val="18"/>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CCAA">
            <w:pPr>
              <w:jc w:val="center"/>
              <w:rPr>
                <w:rFonts w:hint="eastAsia" w:ascii="宋体" w:hAnsi="宋体" w:eastAsia="宋体" w:cs="宋体"/>
                <w:i w:val="0"/>
                <w:iCs w:val="0"/>
                <w:color w:val="000000"/>
                <w:sz w:val="18"/>
                <w:szCs w:val="18"/>
                <w:u w:val="none"/>
              </w:rPr>
            </w:pPr>
          </w:p>
        </w:tc>
        <w:tc>
          <w:tcPr>
            <w:tcW w:w="3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662AA">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B997">
            <w:pPr>
              <w:jc w:val="center"/>
              <w:rPr>
                <w:rFonts w:hint="eastAsia"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CF5E">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1878">
            <w:pPr>
              <w:jc w:val="center"/>
              <w:rPr>
                <w:rFonts w:hint="eastAsia" w:ascii="宋体" w:hAnsi="宋体" w:eastAsia="宋体" w:cs="宋体"/>
                <w:i w:val="0"/>
                <w:iCs w:val="0"/>
                <w:color w:val="000000"/>
                <w:sz w:val="18"/>
                <w:szCs w:val="18"/>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F8266">
            <w:pPr>
              <w:rPr>
                <w:rFonts w:hint="eastAsia" w:ascii="黑体" w:hAnsi="黑体" w:eastAsia="黑体" w:cs="黑体"/>
                <w:i w:val="0"/>
                <w:iCs w:val="0"/>
                <w:color w:val="000000"/>
                <w:sz w:val="16"/>
                <w:szCs w:val="16"/>
                <w:u w:val="none"/>
              </w:rPr>
            </w:pPr>
          </w:p>
        </w:tc>
      </w:tr>
      <w:tr w14:paraId="29660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B0857">
            <w:pPr>
              <w:jc w:val="center"/>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5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3B2C">
            <w:pPr>
              <w:jc w:val="center"/>
              <w:rPr>
                <w:rFonts w:hint="eastAsia" w:ascii="宋体" w:hAnsi="宋体" w:eastAsia="宋体" w:cs="宋体"/>
                <w:i w:val="0"/>
                <w:iCs w:val="0"/>
                <w:color w:val="000000"/>
                <w:sz w:val="18"/>
                <w:szCs w:val="18"/>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FE60">
            <w:pPr>
              <w:jc w:val="center"/>
              <w:rPr>
                <w:rFonts w:hint="eastAsia" w:ascii="宋体" w:hAnsi="宋体" w:eastAsia="宋体" w:cs="宋体"/>
                <w:i w:val="0"/>
                <w:iCs w:val="0"/>
                <w:color w:val="000000"/>
                <w:sz w:val="18"/>
                <w:szCs w:val="18"/>
                <w:u w:val="none"/>
              </w:rPr>
            </w:pPr>
          </w:p>
        </w:tc>
        <w:tc>
          <w:tcPr>
            <w:tcW w:w="3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4ADD6">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E07B">
            <w:pPr>
              <w:jc w:val="center"/>
              <w:rPr>
                <w:rFonts w:hint="eastAsia" w:ascii="宋体" w:hAnsi="宋体" w:eastAsia="宋体" w:cs="宋体"/>
                <w:i w:val="0"/>
                <w:iCs w:val="0"/>
                <w:color w:val="000000"/>
                <w:sz w:val="18"/>
                <w:szCs w:val="18"/>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2C18">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EBC6">
            <w:pPr>
              <w:jc w:val="center"/>
              <w:rPr>
                <w:rFonts w:hint="eastAsia" w:ascii="宋体" w:hAnsi="宋体" w:eastAsia="宋体" w:cs="宋体"/>
                <w:i w:val="0"/>
                <w:iCs w:val="0"/>
                <w:color w:val="000000"/>
                <w:sz w:val="18"/>
                <w:szCs w:val="18"/>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0DECA">
            <w:pPr>
              <w:rPr>
                <w:rFonts w:hint="eastAsia" w:ascii="黑体" w:hAnsi="黑体" w:eastAsia="黑体" w:cs="黑体"/>
                <w:i w:val="0"/>
                <w:iCs w:val="0"/>
                <w:color w:val="000000"/>
                <w:sz w:val="16"/>
                <w:szCs w:val="16"/>
                <w:u w:val="none"/>
              </w:rPr>
            </w:pPr>
          </w:p>
        </w:tc>
      </w:tr>
      <w:tr w14:paraId="22596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D5CFE">
            <w:pPr>
              <w:jc w:val="center"/>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2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D1AE">
            <w:pPr>
              <w:jc w:val="center"/>
              <w:rPr>
                <w:rFonts w:hint="eastAsia" w:ascii="微软雅黑" w:hAnsi="微软雅黑" w:eastAsia="微软雅黑" w:cs="微软雅黑"/>
                <w:i/>
                <w:iCs/>
                <w:color w:val="000000"/>
                <w:sz w:val="16"/>
                <w:szCs w:val="16"/>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1F08">
            <w:pPr>
              <w:jc w:val="center"/>
              <w:rPr>
                <w:rFonts w:hint="eastAsia" w:ascii="微软雅黑" w:hAnsi="微软雅黑" w:eastAsia="微软雅黑" w:cs="微软雅黑"/>
                <w:i/>
                <w:iCs/>
                <w:color w:val="000000"/>
                <w:sz w:val="16"/>
                <w:szCs w:val="16"/>
                <w:u w:val="none"/>
              </w:rPr>
            </w:pPr>
          </w:p>
        </w:tc>
        <w:tc>
          <w:tcPr>
            <w:tcW w:w="3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5EA3C9">
            <w:pPr>
              <w:jc w:val="center"/>
              <w:rPr>
                <w:rFonts w:hint="eastAsia" w:ascii="微软雅黑" w:hAnsi="微软雅黑" w:eastAsia="微软雅黑" w:cs="微软雅黑"/>
                <w:i/>
                <w:iCs/>
                <w:color w:val="000000"/>
                <w:sz w:val="16"/>
                <w:szCs w:val="16"/>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91D9">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5DC8">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ABDE">
            <w:pPr>
              <w:jc w:val="center"/>
              <w:rPr>
                <w:rFonts w:hint="eastAsia" w:ascii="宋体" w:hAnsi="宋体" w:eastAsia="宋体" w:cs="宋体"/>
                <w:i w:val="0"/>
                <w:iCs w:val="0"/>
                <w:color w:val="000000"/>
                <w:sz w:val="18"/>
                <w:szCs w:val="18"/>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D99DD">
            <w:pPr>
              <w:rPr>
                <w:rFonts w:hint="eastAsia" w:ascii="黑体" w:hAnsi="黑体" w:eastAsia="黑体" w:cs="黑体"/>
                <w:i w:val="0"/>
                <w:iCs w:val="0"/>
                <w:color w:val="000000"/>
                <w:sz w:val="16"/>
                <w:szCs w:val="16"/>
                <w:u w:val="none"/>
              </w:rPr>
            </w:pPr>
          </w:p>
        </w:tc>
      </w:tr>
      <w:tr w14:paraId="68064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C1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1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5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3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1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F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D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5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9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A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3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3A32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ED408">
            <w:pPr>
              <w:jc w:val="center"/>
              <w:rPr>
                <w:rFonts w:hint="eastAsia" w:ascii="宋体" w:hAnsi="宋体" w:eastAsia="宋体" w:cs="宋体"/>
                <w:i w:val="0"/>
                <w:iCs w:val="0"/>
                <w:color w:val="000000"/>
                <w:sz w:val="18"/>
                <w:szCs w:val="18"/>
                <w:u w:val="none"/>
              </w:rPr>
            </w:pP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453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39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D5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卫生突发应对率</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A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99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9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C1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DF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E9C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BE6E">
            <w:pPr>
              <w:jc w:val="center"/>
              <w:rPr>
                <w:rFonts w:hint="eastAsia" w:ascii="微软雅黑" w:hAnsi="微软雅黑" w:eastAsia="微软雅黑" w:cs="微软雅黑"/>
                <w:i/>
                <w:iCs/>
                <w:color w:val="000000"/>
                <w:sz w:val="16"/>
                <w:szCs w:val="16"/>
                <w:u w:val="none"/>
              </w:rPr>
            </w:pPr>
          </w:p>
        </w:tc>
      </w:tr>
      <w:tr w14:paraId="777DA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C0A4B">
            <w:pPr>
              <w:jc w:val="center"/>
              <w:rPr>
                <w:rFonts w:hint="eastAsia" w:ascii="宋体" w:hAnsi="宋体" w:eastAsia="宋体" w:cs="宋体"/>
                <w:i w:val="0"/>
                <w:iCs w:val="0"/>
                <w:color w:val="000000"/>
                <w:sz w:val="18"/>
                <w:szCs w:val="18"/>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EE623">
            <w:pPr>
              <w:rPr>
                <w:rFonts w:hint="eastAsia" w:ascii="宋体" w:hAnsi="宋体" w:eastAsia="宋体" w:cs="宋体"/>
                <w:i w:val="0"/>
                <w:iCs w:val="0"/>
                <w:color w:val="000000"/>
                <w:sz w:val="18"/>
                <w:szCs w:val="18"/>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17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7C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资金拨付及时率</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4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52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1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D9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C2AC">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AE7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E966">
            <w:pPr>
              <w:jc w:val="center"/>
              <w:rPr>
                <w:rFonts w:hint="eastAsia" w:ascii="微软雅黑" w:hAnsi="微软雅黑" w:eastAsia="微软雅黑" w:cs="微软雅黑"/>
                <w:i/>
                <w:iCs/>
                <w:color w:val="000000"/>
                <w:sz w:val="16"/>
                <w:szCs w:val="16"/>
                <w:u w:val="none"/>
              </w:rPr>
            </w:pPr>
          </w:p>
        </w:tc>
      </w:tr>
      <w:tr w14:paraId="1ACE8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4F2C1">
            <w:pPr>
              <w:jc w:val="center"/>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2A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8E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B2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w:t>
            </w:r>
            <w:r>
              <w:rPr>
                <w:rFonts w:hint="eastAsia" w:ascii="宋体" w:hAnsi="宋体" w:eastAsia="宋体" w:cs="宋体"/>
                <w:i w:val="0"/>
                <w:iCs w:val="0"/>
                <w:color w:val="000000"/>
                <w:kern w:val="0"/>
                <w:sz w:val="18"/>
                <w:szCs w:val="18"/>
                <w:u w:val="none"/>
                <w:lang w:val="en-US" w:eastAsia="zh-CN" w:bidi="ar"/>
              </w:rPr>
              <w:t>应急物资储备充分</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8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538B">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3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48A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r>
              <w:rPr>
                <w:rFonts w:ascii="宋体" w:hAnsi="宋体" w:eastAsia="宋体" w:cs="宋体"/>
                <w:i w:val="0"/>
                <w:iCs w:val="0"/>
                <w:color w:val="000000"/>
                <w:kern w:val="0"/>
                <w:sz w:val="18"/>
                <w:szCs w:val="18"/>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EBA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4B5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5656">
            <w:pPr>
              <w:jc w:val="center"/>
              <w:rPr>
                <w:rFonts w:hint="eastAsia" w:ascii="微软雅黑" w:hAnsi="微软雅黑" w:eastAsia="微软雅黑" w:cs="微软雅黑"/>
                <w:i/>
                <w:iCs/>
                <w:color w:val="000000"/>
                <w:sz w:val="16"/>
                <w:szCs w:val="16"/>
                <w:u w:val="none"/>
              </w:rPr>
            </w:pPr>
          </w:p>
        </w:tc>
      </w:tr>
      <w:tr w14:paraId="62FD6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491F0">
            <w:pPr>
              <w:jc w:val="center"/>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DA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22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4192">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群众满意度</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D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CA4F">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E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0D48">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9E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3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1AB0">
            <w:pPr>
              <w:jc w:val="center"/>
              <w:rPr>
                <w:rFonts w:hint="eastAsia" w:ascii="微软雅黑" w:hAnsi="微软雅黑" w:eastAsia="微软雅黑" w:cs="微软雅黑"/>
                <w:i/>
                <w:iCs/>
                <w:color w:val="000000"/>
                <w:sz w:val="16"/>
                <w:szCs w:val="16"/>
                <w:u w:val="none"/>
              </w:rPr>
            </w:pPr>
          </w:p>
        </w:tc>
      </w:tr>
      <w:tr w14:paraId="61F52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03DC1">
            <w:pPr>
              <w:jc w:val="center"/>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40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13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2D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全区各疫情防控单位应急物资储备</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F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CD2A">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190.23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B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2F3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E5F8">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44B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66FE">
            <w:pPr>
              <w:jc w:val="center"/>
              <w:rPr>
                <w:rFonts w:hint="eastAsia" w:ascii="微软雅黑" w:hAnsi="微软雅黑" w:eastAsia="微软雅黑" w:cs="微软雅黑"/>
                <w:i/>
                <w:iCs/>
                <w:color w:val="000000"/>
                <w:sz w:val="16"/>
                <w:szCs w:val="16"/>
                <w:u w:val="none"/>
              </w:rPr>
            </w:pPr>
          </w:p>
        </w:tc>
      </w:tr>
      <w:tr w14:paraId="648A0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3D4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4CD2">
            <w:pPr>
              <w:jc w:val="center"/>
              <w:rPr>
                <w:rFonts w:hint="eastAsia" w:ascii="宋体" w:hAnsi="宋体" w:eastAsia="宋体" w:cs="宋体"/>
                <w:i w:val="0"/>
                <w:iCs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18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62DA">
            <w:pPr>
              <w:rPr>
                <w:rFonts w:hint="eastAsia" w:ascii="宋体" w:hAnsi="宋体" w:eastAsia="宋体" w:cs="宋体"/>
                <w:i w:val="0"/>
                <w:iCs w:val="0"/>
                <w:color w:val="000000"/>
                <w:sz w:val="18"/>
                <w:szCs w:val="18"/>
                <w:u w:val="none"/>
              </w:rPr>
            </w:pPr>
          </w:p>
        </w:tc>
      </w:tr>
      <w:tr w14:paraId="4D12D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D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0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8A0791">
            <w:pPr>
              <w:pStyle w:val="1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firstLine="320" w:firstLineChars="200"/>
              <w:jc w:val="both"/>
              <w:textAlignment w:val="auto"/>
              <w:rPr>
                <w:rFonts w:hint="eastAsia" w:ascii="微软雅黑" w:hAnsi="微软雅黑" w:eastAsia="微软雅黑" w:cs="微软雅黑"/>
                <w:i/>
                <w:iCs/>
                <w:color w:val="000000"/>
                <w:kern w:val="0"/>
                <w:sz w:val="16"/>
                <w:szCs w:val="16"/>
                <w:u w:val="none"/>
                <w:lang w:val="zh-CN" w:eastAsia="zh-CN" w:bidi="ar"/>
              </w:rPr>
            </w:pPr>
            <w:r>
              <w:rPr>
                <w:rFonts w:hint="eastAsia" w:ascii="微软雅黑" w:hAnsi="微软雅黑" w:eastAsia="微软雅黑" w:cs="微软雅黑"/>
                <w:i/>
                <w:iCs/>
                <w:color w:val="000000"/>
                <w:kern w:val="0"/>
                <w:sz w:val="16"/>
                <w:szCs w:val="16"/>
                <w:u w:val="none"/>
                <w:lang w:val="en-US" w:eastAsia="zh-CN" w:bidi="ar"/>
              </w:rPr>
              <w:t>按照预算绩效管理要求，本部门对该项目开展绩效自评，自评得分91分、评估等级为优、新冠疫情防控经费预期产出和效果能满足社会效益和可持续发展需求、不需要核减预算安排、从项目的立项、资金申报与使用、项目完成进度和质量等多方面评价。该项目完成绩效目标情况很好。</w:t>
            </w:r>
          </w:p>
          <w:p w14:paraId="00B81C60">
            <w:pPr>
              <w:keepNext w:val="0"/>
              <w:keepLines w:val="0"/>
              <w:widowControl/>
              <w:suppressLineNumbers w:val="0"/>
              <w:jc w:val="both"/>
              <w:textAlignment w:val="center"/>
              <w:rPr>
                <w:rFonts w:hint="eastAsia" w:ascii="微软雅黑" w:hAnsi="微软雅黑" w:eastAsia="微软雅黑" w:cs="微软雅黑"/>
                <w:i/>
                <w:iCs/>
                <w:color w:val="000000"/>
                <w:sz w:val="16"/>
                <w:szCs w:val="16"/>
                <w:u w:val="none"/>
              </w:rPr>
            </w:pPr>
          </w:p>
        </w:tc>
      </w:tr>
      <w:tr w14:paraId="4F909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F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0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243BC9">
            <w:pPr>
              <w:keepNext w:val="0"/>
              <w:keepLines w:val="0"/>
              <w:pageBreakBefore w:val="0"/>
              <w:widowControl w:val="0"/>
              <w:kinsoku/>
              <w:wordWrap/>
              <w:overflowPunct/>
              <w:topLinePunct w:val="0"/>
              <w:autoSpaceDE/>
              <w:autoSpaceDN/>
              <w:bidi w:val="0"/>
              <w:spacing w:line="578" w:lineRule="exact"/>
              <w:jc w:val="both"/>
              <w:textAlignment w:val="auto"/>
              <w:outlineLvl w:val="9"/>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项目预算编制、资金分配依据不足；部分项目工作人员对绩效管理的有关知识和要求理解掌握还不够透彻。</w:t>
            </w:r>
          </w:p>
          <w:p w14:paraId="2524BA2B">
            <w:pPr>
              <w:keepNext w:val="0"/>
              <w:keepLines w:val="0"/>
              <w:widowControl/>
              <w:suppressLineNumbers w:val="0"/>
              <w:jc w:val="both"/>
              <w:textAlignment w:val="center"/>
              <w:rPr>
                <w:rFonts w:hint="eastAsia" w:ascii="微软雅黑" w:hAnsi="微软雅黑" w:eastAsia="微软雅黑" w:cs="微软雅黑"/>
                <w:i/>
                <w:iCs/>
                <w:color w:val="000000"/>
                <w:sz w:val="16"/>
                <w:szCs w:val="16"/>
                <w:u w:val="none"/>
              </w:rPr>
            </w:pPr>
          </w:p>
        </w:tc>
      </w:tr>
      <w:tr w14:paraId="0FCE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5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0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F336D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kern w:val="0"/>
                <w:sz w:val="16"/>
                <w:szCs w:val="16"/>
                <w:u w:val="none"/>
                <w:lang w:val="en-US" w:eastAsia="zh-CN" w:bidi="ar"/>
              </w:rPr>
              <w:t>建议加强对部门疫情防控资金需求审核，进一步明确经费列支渠道和程序，加大投入；部门进一步完善业务管理制度，扩大绩效管理相关知识人员培训范围。</w:t>
            </w:r>
          </w:p>
        </w:tc>
      </w:tr>
      <w:tr w14:paraId="17C41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8F931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项目负责人：黄志勇</w:t>
            </w:r>
          </w:p>
        </w:tc>
        <w:tc>
          <w:tcPr>
            <w:tcW w:w="65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05D12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财务负责人：吴霞</w:t>
            </w:r>
          </w:p>
        </w:tc>
      </w:tr>
    </w:tbl>
    <w:p w14:paraId="791A1878">
      <w:pPr>
        <w:ind w:left="638" w:leftChars="304" w:firstLine="320" w:firstLineChars="100"/>
        <w:rPr>
          <w:rFonts w:hint="default" w:ascii="仿宋_GB2312" w:hAnsi="宋体" w:eastAsia="仿宋_GB2312" w:cs="Times New Roman"/>
          <w:b w:val="0"/>
          <w:bCs w:val="0"/>
          <w:kern w:val="2"/>
          <w:sz w:val="32"/>
          <w:szCs w:val="32"/>
          <w:lang w:val="en-US" w:eastAsia="zh-CN"/>
        </w:rPr>
      </w:pPr>
    </w:p>
    <w:p w14:paraId="09E09365">
      <w:pPr>
        <w:ind w:left="638" w:leftChars="304" w:firstLine="320" w:firstLineChars="100"/>
        <w:rPr>
          <w:rFonts w:hint="default" w:ascii="仿宋_GB2312" w:hAnsi="宋体" w:eastAsia="仿宋_GB2312" w:cs="Times New Roman"/>
          <w:b w:val="0"/>
          <w:bCs w:val="0"/>
          <w:kern w:val="2"/>
          <w:sz w:val="32"/>
          <w:szCs w:val="32"/>
          <w:lang w:val="en-US" w:eastAsia="zh-CN"/>
        </w:rPr>
      </w:pPr>
    </w:p>
    <w:p w14:paraId="66BA9525">
      <w:pPr>
        <w:ind w:left="638" w:leftChars="304" w:firstLine="320" w:firstLineChars="100"/>
        <w:rPr>
          <w:rFonts w:hint="default" w:ascii="仿宋_GB2312" w:hAnsi="宋体" w:eastAsia="仿宋_GB2312" w:cs="Times New Roman"/>
          <w:b w:val="0"/>
          <w:bCs w:val="0"/>
          <w:kern w:val="2"/>
          <w:sz w:val="32"/>
          <w:szCs w:val="32"/>
          <w:lang w:val="en-US" w:eastAsia="zh-CN"/>
        </w:rPr>
      </w:pPr>
    </w:p>
    <w:p w14:paraId="50D22756">
      <w:pPr>
        <w:ind w:left="638" w:leftChars="304" w:firstLine="320" w:firstLineChars="100"/>
        <w:rPr>
          <w:rFonts w:hint="default" w:ascii="仿宋_GB2312" w:hAnsi="宋体" w:eastAsia="仿宋_GB2312" w:cs="Times New Roman"/>
          <w:b w:val="0"/>
          <w:bCs w:val="0"/>
          <w:kern w:val="2"/>
          <w:sz w:val="32"/>
          <w:szCs w:val="32"/>
          <w:lang w:val="en-US" w:eastAsia="zh-CN"/>
        </w:rPr>
      </w:pPr>
    </w:p>
    <w:p w14:paraId="0AAEC054">
      <w:pPr>
        <w:ind w:left="638" w:leftChars="304" w:firstLine="320" w:firstLineChars="100"/>
        <w:rPr>
          <w:rFonts w:hint="default" w:ascii="仿宋_GB2312" w:hAnsi="宋体" w:eastAsia="仿宋_GB2312" w:cs="Times New Roman"/>
          <w:b w:val="0"/>
          <w:bCs w:val="0"/>
          <w:kern w:val="2"/>
          <w:sz w:val="32"/>
          <w:szCs w:val="32"/>
          <w:lang w:val="en-US" w:eastAsia="zh-CN"/>
        </w:rPr>
      </w:pPr>
    </w:p>
    <w:p w14:paraId="328E384F">
      <w:pPr>
        <w:ind w:left="638" w:leftChars="304" w:firstLine="320" w:firstLineChars="100"/>
        <w:rPr>
          <w:rFonts w:hint="default" w:ascii="仿宋_GB2312" w:hAnsi="宋体" w:eastAsia="仿宋_GB2312" w:cs="Times New Roman"/>
          <w:b w:val="0"/>
          <w:bCs w:val="0"/>
          <w:kern w:val="2"/>
          <w:sz w:val="32"/>
          <w:szCs w:val="32"/>
          <w:lang w:val="en-US" w:eastAsia="zh-CN"/>
        </w:rPr>
      </w:pPr>
    </w:p>
    <w:p w14:paraId="24E11312">
      <w:pPr>
        <w:rPr>
          <w:rFonts w:hint="default" w:ascii="仿宋_GB2312" w:hAnsi="宋体" w:eastAsia="仿宋_GB2312" w:cs="Times New Roman"/>
          <w:b w:val="0"/>
          <w:bCs w:val="0"/>
          <w:kern w:val="2"/>
          <w:sz w:val="32"/>
          <w:szCs w:val="32"/>
          <w:lang w:val="en-US" w:eastAsia="zh-CN"/>
        </w:rPr>
        <w:sectPr>
          <w:pgSz w:w="16838" w:h="11906" w:orient="landscape"/>
          <w:pgMar w:top="952" w:right="1157" w:bottom="952" w:left="1157" w:header="851" w:footer="992" w:gutter="0"/>
          <w:pgNumType w:fmt="decimal"/>
          <w:cols w:space="425" w:num="1"/>
          <w:docGrid w:type="lines" w:linePitch="312" w:charSpace="0"/>
        </w:sectPr>
      </w:pPr>
    </w:p>
    <w:p w14:paraId="22DB4C64">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19"/>
          <w:rFonts w:hint="eastAsia" w:ascii="Times New Roman" w:hAnsi="Times New Roman" w:eastAsia="黑体"/>
          <w:b w:val="0"/>
          <w:color w:val="auto"/>
          <w:highlight w:val="none"/>
        </w:rPr>
        <w:t>五部分 附表</w:t>
      </w:r>
      <w:bookmarkStart w:id="36" w:name="_Toc15396619"/>
    </w:p>
    <w:p w14:paraId="5BD40DE1">
      <w:pPr>
        <w:pStyle w:val="13"/>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6322E2FB">
      <w:pPr>
        <w:pStyle w:val="13"/>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36"/>
    </w:p>
    <w:p w14:paraId="695E8437">
      <w:pPr>
        <w:pStyle w:val="13"/>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37" w:name="_Toc15396620"/>
      <w:r>
        <w:rPr>
          <w:rFonts w:hint="eastAsia" w:ascii="Times New Roman" w:hAnsi="Times New Roman" w:eastAsia="仿宋_GB2312" w:cs="仿宋_GB2312"/>
          <w:color w:val="auto"/>
          <w:sz w:val="32"/>
          <w:szCs w:val="32"/>
          <w:highlight w:val="none"/>
        </w:rPr>
        <w:t>二、收入决算表</w:t>
      </w:r>
      <w:bookmarkEnd w:id="37"/>
    </w:p>
    <w:p w14:paraId="46762116">
      <w:pPr>
        <w:pStyle w:val="13"/>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38" w:name="_Toc15396621"/>
      <w:r>
        <w:rPr>
          <w:rFonts w:hint="eastAsia" w:ascii="Times New Roman" w:hAnsi="Times New Roman" w:eastAsia="仿宋_GB2312" w:cs="仿宋_GB2312"/>
          <w:color w:val="auto"/>
          <w:sz w:val="32"/>
          <w:szCs w:val="32"/>
          <w:highlight w:val="none"/>
        </w:rPr>
        <w:t>三、支出决算表</w:t>
      </w:r>
      <w:bookmarkEnd w:id="38"/>
    </w:p>
    <w:p w14:paraId="1CD243A6">
      <w:pPr>
        <w:pStyle w:val="13"/>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39" w:name="_Toc15396622"/>
      <w:r>
        <w:rPr>
          <w:rFonts w:hint="eastAsia" w:ascii="Times New Roman" w:hAnsi="Times New Roman" w:eastAsia="仿宋_GB2312" w:cs="仿宋_GB2312"/>
          <w:color w:val="auto"/>
          <w:sz w:val="32"/>
          <w:szCs w:val="32"/>
          <w:highlight w:val="none"/>
        </w:rPr>
        <w:t>四、财政拨款收入支出决算总表</w:t>
      </w:r>
      <w:bookmarkEnd w:id="39"/>
    </w:p>
    <w:p w14:paraId="6264C7BA">
      <w:pPr>
        <w:pStyle w:val="13"/>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0" w:name="_Toc15396623"/>
      <w:r>
        <w:rPr>
          <w:rFonts w:hint="eastAsia" w:ascii="Times New Roman" w:hAnsi="Times New Roman" w:eastAsia="仿宋_GB2312" w:cs="仿宋_GB2312"/>
          <w:color w:val="auto"/>
          <w:sz w:val="32"/>
          <w:szCs w:val="32"/>
          <w:highlight w:val="none"/>
        </w:rPr>
        <w:t>五、财政拨款支出决算明细表</w:t>
      </w:r>
      <w:bookmarkEnd w:id="40"/>
      <w:bookmarkStart w:id="41" w:name="_Toc15396624"/>
    </w:p>
    <w:p w14:paraId="5851D0CB">
      <w:pPr>
        <w:pStyle w:val="13"/>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41"/>
    </w:p>
    <w:p w14:paraId="54AAB33A">
      <w:pPr>
        <w:pStyle w:val="13"/>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2" w:name="_Toc15396625"/>
      <w:r>
        <w:rPr>
          <w:rFonts w:hint="eastAsia" w:ascii="Times New Roman" w:hAnsi="Times New Roman" w:eastAsia="仿宋_GB2312" w:cs="仿宋_GB2312"/>
          <w:color w:val="auto"/>
          <w:sz w:val="32"/>
          <w:szCs w:val="32"/>
          <w:highlight w:val="none"/>
        </w:rPr>
        <w:t>七、一般公共预算财政拨款支出决算明细表</w:t>
      </w:r>
      <w:bookmarkEnd w:id="42"/>
    </w:p>
    <w:p w14:paraId="677E0A58">
      <w:pPr>
        <w:pStyle w:val="13"/>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3" w:name="_Toc15396626"/>
      <w:r>
        <w:rPr>
          <w:rFonts w:hint="eastAsia" w:ascii="Times New Roman" w:hAnsi="Times New Roman" w:eastAsia="仿宋_GB2312" w:cs="仿宋_GB2312"/>
          <w:color w:val="auto"/>
          <w:sz w:val="32"/>
          <w:szCs w:val="32"/>
          <w:highlight w:val="none"/>
        </w:rPr>
        <w:t>八、一般公共预算财政拨款基本支出决算表</w:t>
      </w:r>
      <w:bookmarkEnd w:id="43"/>
    </w:p>
    <w:p w14:paraId="0B99E5F7">
      <w:pPr>
        <w:pStyle w:val="13"/>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4" w:name="_Toc15396627"/>
      <w:r>
        <w:rPr>
          <w:rFonts w:hint="eastAsia" w:ascii="Times New Roman" w:hAnsi="Times New Roman" w:eastAsia="仿宋_GB2312" w:cs="仿宋_GB2312"/>
          <w:color w:val="auto"/>
          <w:sz w:val="32"/>
          <w:szCs w:val="32"/>
          <w:highlight w:val="none"/>
        </w:rPr>
        <w:t>九、一般公共预算财政拨款项目支出决算表</w:t>
      </w:r>
      <w:bookmarkEnd w:id="44"/>
    </w:p>
    <w:p w14:paraId="2B9BEBD8">
      <w:pPr>
        <w:pStyle w:val="13"/>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5" w:name="_Toc15396628"/>
      <w:r>
        <w:rPr>
          <w:rFonts w:hint="eastAsia" w:ascii="Times New Roman" w:hAnsi="Times New Roman" w:eastAsia="仿宋_GB2312" w:cs="仿宋_GB2312"/>
          <w:color w:val="auto"/>
          <w:sz w:val="32"/>
          <w:szCs w:val="32"/>
          <w:highlight w:val="none"/>
        </w:rPr>
        <w:t>十、</w:t>
      </w:r>
      <w:bookmarkEnd w:id="45"/>
      <w:r>
        <w:rPr>
          <w:rFonts w:hint="eastAsia" w:ascii="Times New Roman" w:hAnsi="Times New Roman" w:eastAsia="仿宋_GB2312" w:cs="仿宋_GB2312"/>
          <w:color w:val="auto"/>
          <w:sz w:val="32"/>
          <w:szCs w:val="32"/>
          <w:highlight w:val="none"/>
        </w:rPr>
        <w:t>政府性基金预算财政拨款收入支出决算表</w:t>
      </w:r>
    </w:p>
    <w:p w14:paraId="5795B5A1">
      <w:pPr>
        <w:pStyle w:val="13"/>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6" w:name="_Toc15396629"/>
      <w:r>
        <w:rPr>
          <w:rFonts w:hint="eastAsia" w:ascii="Times New Roman" w:hAnsi="Times New Roman" w:eastAsia="仿宋_GB2312" w:cs="仿宋_GB2312"/>
          <w:color w:val="auto"/>
          <w:sz w:val="32"/>
          <w:szCs w:val="32"/>
          <w:highlight w:val="none"/>
        </w:rPr>
        <w:t>十一、</w:t>
      </w:r>
      <w:bookmarkEnd w:id="4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138680B3">
      <w:pPr>
        <w:pStyle w:val="13"/>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7" w:name="_Toc15396630"/>
      <w:r>
        <w:rPr>
          <w:rFonts w:hint="eastAsia" w:ascii="Times New Roman" w:hAnsi="Times New Roman" w:eastAsia="仿宋_GB2312" w:cs="仿宋_GB2312"/>
          <w:color w:val="auto"/>
          <w:sz w:val="32"/>
          <w:szCs w:val="32"/>
          <w:highlight w:val="none"/>
        </w:rPr>
        <w:t>十二、</w:t>
      </w:r>
      <w:bookmarkEnd w:id="47"/>
      <w:r>
        <w:rPr>
          <w:rFonts w:hint="eastAsia" w:ascii="Times New Roman" w:hAnsi="Times New Roman" w:eastAsia="仿宋_GB2312" w:cs="仿宋_GB2312"/>
          <w:color w:val="auto"/>
          <w:sz w:val="32"/>
          <w:szCs w:val="32"/>
          <w:highlight w:val="none"/>
          <w:lang w:eastAsia="zh-CN"/>
        </w:rPr>
        <w:t>国有资本经营预算财政拨款支出决算表</w:t>
      </w:r>
    </w:p>
    <w:p w14:paraId="030DE197">
      <w:pPr>
        <w:pStyle w:val="13"/>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48" w:name="_Toc15396631"/>
      <w:r>
        <w:rPr>
          <w:rFonts w:hint="eastAsia" w:ascii="Times New Roman" w:hAnsi="Times New Roman" w:eastAsia="仿宋_GB2312" w:cs="仿宋_GB2312"/>
          <w:color w:val="auto"/>
          <w:sz w:val="32"/>
          <w:szCs w:val="32"/>
          <w:highlight w:val="none"/>
        </w:rPr>
        <w:t>十三、</w:t>
      </w:r>
      <w:bookmarkEnd w:id="48"/>
      <w:r>
        <w:rPr>
          <w:rFonts w:hint="eastAsia" w:ascii="Times New Roman" w:hAnsi="Times New Roman" w:eastAsia="仿宋_GB2312" w:cs="仿宋_GB2312"/>
          <w:color w:val="auto"/>
          <w:sz w:val="32"/>
          <w:szCs w:val="32"/>
          <w:highlight w:val="none"/>
          <w:lang w:eastAsia="zh-CN"/>
        </w:rPr>
        <w:t>财政拨款“三公”经费支出决算表</w:t>
      </w:r>
    </w:p>
    <w:p w14:paraId="67BB3DBD">
      <w:pPr>
        <w:rPr>
          <w:rFonts w:hint="eastAsia" w:ascii="Times New Roman" w:hAnsi="Times New Roman"/>
          <w:lang w:eastAsia="zh-CN"/>
        </w:rPr>
      </w:pPr>
    </w:p>
    <w:p w14:paraId="7FC4F39E">
      <w:pPr>
        <w:rPr>
          <w:rFonts w:hint="default" w:ascii="仿宋_GB2312" w:hAnsi="宋体" w:eastAsia="仿宋_GB2312" w:cs="Times New Roman"/>
          <w:b w:val="0"/>
          <w:bCs w:val="0"/>
          <w:kern w:val="2"/>
          <w:sz w:val="32"/>
          <w:szCs w:val="32"/>
          <w:lang w:val="en-US" w:eastAsia="zh-CN"/>
        </w:rPr>
      </w:pPr>
    </w:p>
    <w:sectPr>
      <w:footerReference r:id="rId12" w:type="first"/>
      <w:footerReference r:id="rId11" w:type="default"/>
      <w:pgSz w:w="11906" w:h="16838"/>
      <w:pgMar w:top="1440" w:right="1800" w:bottom="1440" w:left="1800"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4-08-24T13:44:26Z" w:initials="A">
    <w:p w14:paraId="BFBBBB96">
      <w:pPr>
        <w:pStyle w:val="7"/>
        <w:rPr>
          <w:rFonts w:hint="eastAsia" w:eastAsia="宋体"/>
          <w:lang w:val="en-US" w:eastAsia="zh-CN"/>
        </w:rPr>
      </w:pPr>
      <w:r>
        <w:rPr>
          <w:rFonts w:hint="eastAsia"/>
          <w:lang w:val="en-US" w:eastAsia="zh-CN"/>
        </w:rPr>
        <w:t>公开时间以公开当天时间填列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BFBBBB9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31DD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C04B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5C04B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94F99">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CFD7B">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00E76">
                          <w:pPr>
                            <w:pStyle w:val="10"/>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200E76">
                    <w:pPr>
                      <w:pStyle w:val="10"/>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A1C1B">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D3CAE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2D3CAE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p>
  <w:p w14:paraId="79D77B6F">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D2DE1">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DB189">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BDB189">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3EB7D">
    <w:pPr>
      <w:pStyle w:val="11"/>
      <w:bidi w:val="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AA87C">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FEAA87C">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2EDB7">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623EA">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834A5">
                          <w:pPr>
                            <w:pStyle w:val="11"/>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34834A5">
                    <w:pPr>
                      <w:pStyle w:val="11"/>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C5C6787"/>
    <w:multiLevelType w:val="singleLevel"/>
    <w:tmpl w:val="DC5C6787"/>
    <w:lvl w:ilvl="0" w:tentative="0">
      <w:start w:val="1"/>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0ECC46E"/>
    <w:multiLevelType w:val="singleLevel"/>
    <w:tmpl w:val="F0ECC46E"/>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4278B1F8"/>
    <w:multiLevelType w:val="singleLevel"/>
    <w:tmpl w:val="4278B1F8"/>
    <w:lvl w:ilvl="0" w:tentative="0">
      <w:start w:val="2"/>
      <w:numFmt w:val="chineseCounting"/>
      <w:suff w:val="nothing"/>
      <w:lvlText w:val="（%1）"/>
      <w:lvlJc w:val="left"/>
      <w:rPr>
        <w:rFonts w:hint="eastAsia"/>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93AB1"/>
    <w:rsid w:val="05E31007"/>
    <w:rsid w:val="08A54D99"/>
    <w:rsid w:val="091C3CF3"/>
    <w:rsid w:val="0CBF72D4"/>
    <w:rsid w:val="0D077DD0"/>
    <w:rsid w:val="0D444172"/>
    <w:rsid w:val="0E873021"/>
    <w:rsid w:val="0FE503D9"/>
    <w:rsid w:val="100C1C87"/>
    <w:rsid w:val="10F35660"/>
    <w:rsid w:val="123C49C0"/>
    <w:rsid w:val="162F0991"/>
    <w:rsid w:val="17A27073"/>
    <w:rsid w:val="19C41070"/>
    <w:rsid w:val="19C91ECA"/>
    <w:rsid w:val="1A6368EE"/>
    <w:rsid w:val="1A670100"/>
    <w:rsid w:val="1CAE2016"/>
    <w:rsid w:val="20F871DF"/>
    <w:rsid w:val="242B4894"/>
    <w:rsid w:val="244A6C01"/>
    <w:rsid w:val="25EA515C"/>
    <w:rsid w:val="26835271"/>
    <w:rsid w:val="27A377C7"/>
    <w:rsid w:val="27D42BAF"/>
    <w:rsid w:val="2D64477B"/>
    <w:rsid w:val="2D6730B5"/>
    <w:rsid w:val="2E3031D3"/>
    <w:rsid w:val="30506C8F"/>
    <w:rsid w:val="315C7552"/>
    <w:rsid w:val="32980B94"/>
    <w:rsid w:val="34C75FBC"/>
    <w:rsid w:val="382A2A41"/>
    <w:rsid w:val="39B16816"/>
    <w:rsid w:val="39E75D9D"/>
    <w:rsid w:val="3C774931"/>
    <w:rsid w:val="3D1617E6"/>
    <w:rsid w:val="40204729"/>
    <w:rsid w:val="40C94DC1"/>
    <w:rsid w:val="426D0DA2"/>
    <w:rsid w:val="449B5C40"/>
    <w:rsid w:val="48E16533"/>
    <w:rsid w:val="49746716"/>
    <w:rsid w:val="4A916094"/>
    <w:rsid w:val="4BB94AF0"/>
    <w:rsid w:val="4F1C024C"/>
    <w:rsid w:val="50E340CE"/>
    <w:rsid w:val="51AC0513"/>
    <w:rsid w:val="55774994"/>
    <w:rsid w:val="5616585A"/>
    <w:rsid w:val="56437261"/>
    <w:rsid w:val="56F07E72"/>
    <w:rsid w:val="59476B94"/>
    <w:rsid w:val="596D71DC"/>
    <w:rsid w:val="5A7F4A16"/>
    <w:rsid w:val="5C163BF4"/>
    <w:rsid w:val="5F903412"/>
    <w:rsid w:val="60196D73"/>
    <w:rsid w:val="643C663B"/>
    <w:rsid w:val="64DE66B6"/>
    <w:rsid w:val="67283D40"/>
    <w:rsid w:val="675B4115"/>
    <w:rsid w:val="6AB57FE0"/>
    <w:rsid w:val="6B1C2C96"/>
    <w:rsid w:val="6B454EC0"/>
    <w:rsid w:val="6CB73B9C"/>
    <w:rsid w:val="6D552388"/>
    <w:rsid w:val="6D823B93"/>
    <w:rsid w:val="6DBE0F5A"/>
    <w:rsid w:val="6E622218"/>
    <w:rsid w:val="6E7B08CD"/>
    <w:rsid w:val="6E881C3D"/>
    <w:rsid w:val="6F437969"/>
    <w:rsid w:val="6FED5B27"/>
    <w:rsid w:val="70546D44"/>
    <w:rsid w:val="72477770"/>
    <w:rsid w:val="764204A7"/>
    <w:rsid w:val="79B33F40"/>
    <w:rsid w:val="7AED2E7F"/>
    <w:rsid w:val="7BAD66FA"/>
    <w:rsid w:val="7F933E2E"/>
    <w:rsid w:val="FFDFC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7">
    <w:name w:val="annotation text"/>
    <w:basedOn w:val="1"/>
    <w:semiHidden/>
    <w:unhideWhenUsed/>
    <w:qFormat/>
    <w:uiPriority w:val="99"/>
    <w:pPr>
      <w:jc w:val="left"/>
    </w:pPr>
  </w:style>
  <w:style w:type="paragraph" w:styleId="8">
    <w:name w:val="Body Text"/>
    <w:basedOn w:val="1"/>
    <w:qFormat/>
    <w:uiPriority w:val="99"/>
    <w:pPr>
      <w:spacing w:beforeLines="30"/>
    </w:pPr>
    <w:rPr>
      <w:rFonts w:ascii="仿宋_GB2312" w:eastAsia="仿宋_GB2312"/>
      <w:kern w:val="0"/>
      <w:sz w:val="30"/>
    </w:r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7">
    <w:name w:val="Strong"/>
    <w:basedOn w:val="16"/>
    <w:qFormat/>
    <w:uiPriority w:val="99"/>
    <w:rPr>
      <w:b/>
    </w:rPr>
  </w:style>
  <w:style w:type="character" w:styleId="18">
    <w:name w:val="Hyperlink"/>
    <w:basedOn w:val="16"/>
    <w:unhideWhenUsed/>
    <w:qFormat/>
    <w:uiPriority w:val="99"/>
    <w:rPr>
      <w:color w:val="0026E5" w:themeColor="hyperlink"/>
      <w:u w:val="single"/>
      <w14:textFill>
        <w14:solidFill>
          <w14:schemeClr w14:val="hlink"/>
        </w14:solidFill>
      </w14:textFill>
    </w:rPr>
  </w:style>
  <w:style w:type="character" w:customStyle="1" w:styleId="19">
    <w:name w:val="标题 1 Char"/>
    <w:basedOn w:val="16"/>
    <w:link w:val="5"/>
    <w:qFormat/>
    <w:uiPriority w:val="9"/>
    <w:rPr>
      <w:b/>
      <w:bCs/>
      <w:kern w:val="44"/>
      <w:sz w:val="44"/>
      <w:szCs w:val="44"/>
    </w:rPr>
  </w:style>
  <w:style w:type="character" w:customStyle="1" w:styleId="20">
    <w:name w:val="标题 2 Char"/>
    <w:basedOn w:val="16"/>
    <w:link w:val="6"/>
    <w:qFormat/>
    <w:uiPriority w:val="9"/>
    <w:rPr>
      <w:rFonts w:asciiTheme="majorHAnsi" w:hAnsiTheme="majorHAnsi" w:eastAsiaTheme="majorEastAsia" w:cstheme="majorBidi"/>
      <w:b/>
      <w:bCs/>
      <w:sz w:val="32"/>
      <w:szCs w:val="32"/>
    </w:rPr>
  </w:style>
  <w:style w:type="paragraph" w:styleId="21">
    <w:name w:val="List Paragraph"/>
    <w:basedOn w:val="1"/>
    <w:qFormat/>
    <w:uiPriority w:val="34"/>
    <w:pPr>
      <w:ind w:firstLine="420" w:firstLineChars="200"/>
    </w:p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0" Type="http://schemas.microsoft.com/office/2011/relationships/people" Target="people.xml"/><Relationship Id="rId3" Type="http://schemas.openxmlformats.org/officeDocument/2006/relationships/comments" Target="comment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6.emf"/><Relationship Id="rId25" Type="http://schemas.openxmlformats.org/officeDocument/2006/relationships/oleObject" Target="embeddings/oleObject6.bin"/><Relationship Id="rId24" Type="http://schemas.openxmlformats.org/officeDocument/2006/relationships/image" Target="media/image5.emf"/><Relationship Id="rId23" Type="http://schemas.openxmlformats.org/officeDocument/2006/relationships/oleObject" Target="embeddings/oleObject5.bin"/><Relationship Id="rId22" Type="http://schemas.openxmlformats.org/officeDocument/2006/relationships/image" Target="media/image4.emf"/><Relationship Id="rId21" Type="http://schemas.openxmlformats.org/officeDocument/2006/relationships/oleObject" Target="embeddings/oleObject4.bin"/><Relationship Id="rId20" Type="http://schemas.openxmlformats.org/officeDocument/2006/relationships/image" Target="media/image3.e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2.emf"/><Relationship Id="rId17" Type="http://schemas.openxmlformats.org/officeDocument/2006/relationships/oleObject" Target="embeddings/oleObject2.bin"/><Relationship Id="rId16" Type="http://schemas.openxmlformats.org/officeDocument/2006/relationships/image" Target="media/image1.emf"/><Relationship Id="rId15" Type="http://schemas.openxmlformats.org/officeDocument/2006/relationships/oleObject" Target="embeddings/oleObject1.bin"/><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90094225658372"/>
          <c:y val="0.18380790480238"/>
          <c:w val="0.89736651365064"/>
          <c:h val="0.754228644283893"/>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c:v>
                </c:pt>
                <c:pt idx="1">
                  <c:v>支出总计</c:v>
                </c:pt>
              </c:strCache>
            </c:strRef>
          </c:cat>
          <c:val>
            <c:numRef>
              <c:f>Sheet1!$B$2:$B$3</c:f>
              <c:numCache>
                <c:formatCode>General</c:formatCode>
                <c:ptCount val="2"/>
                <c:pt idx="0">
                  <c:v>976.94</c:v>
                </c:pt>
                <c:pt idx="1">
                  <c:v>976.74</c:v>
                </c:pt>
              </c:numCache>
            </c:numRef>
          </c:val>
        </c:ser>
        <c:ser>
          <c:idx val="1"/>
          <c:order val="1"/>
          <c:tx>
            <c:strRef>
              <c:f>Sheet1!$C$1</c:f>
              <c:strCache>
                <c:ptCount val="1"/>
                <c:pt idx="0">
                  <c:v>2024年</c:v>
                </c:pt>
              </c:strCache>
            </c:strRef>
          </c:tx>
          <c:spPr>
            <a:solidFill>
              <a:schemeClr val="accent6"/>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c:v>
                </c:pt>
                <c:pt idx="1">
                  <c:v>支出总计</c:v>
                </c:pt>
              </c:strCache>
            </c:strRef>
          </c:cat>
          <c:val>
            <c:numRef>
              <c:f>Sheet1!$C$2:$C$3</c:f>
              <c:numCache>
                <c:formatCode>General</c:formatCode>
                <c:ptCount val="2"/>
                <c:pt idx="0">
                  <c:v>1337.16</c:v>
                </c:pt>
                <c:pt idx="1">
                  <c:v>1337.16</c:v>
                </c:pt>
              </c:numCache>
            </c:numRef>
          </c:val>
        </c:ser>
        <c:dLbls>
          <c:showLegendKey val="0"/>
          <c:showVal val="1"/>
          <c:showCatName val="0"/>
          <c:showSerName val="0"/>
          <c:showPercent val="0"/>
          <c:showBubbleSize val="0"/>
        </c:dLbls>
        <c:gapWidth val="246"/>
        <c:overlap val="-28"/>
        <c:axId val="885126997"/>
        <c:axId val="778910243"/>
      </c:barChart>
      <c:catAx>
        <c:axId val="8851269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8910243"/>
        <c:crosses val="autoZero"/>
        <c:auto val="1"/>
        <c:lblAlgn val="ctr"/>
        <c:lblOffset val="100"/>
        <c:noMultiLvlLbl val="0"/>
      </c:catAx>
      <c:valAx>
        <c:axId val="77891024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512699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7c92fcc-b1db-4e68-87ed-222eca39cb4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27338</Words>
  <Characters>30672</Characters>
  <Lines>0</Lines>
  <Paragraphs>0</Paragraphs>
  <TotalTime>9</TotalTime>
  <ScaleCrop>false</ScaleCrop>
  <LinksUpToDate>false</LinksUpToDate>
  <CharactersWithSpaces>30744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Administrator</cp:lastModifiedBy>
  <dcterms:modified xsi:type="dcterms:W3CDTF">2025-08-25T07:44:15Z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eyJoZGlkIjoiZGM4NjUzNDA1NDkyY2MxZmJmZThlN2U3ZTFkMjcwOGYifQ==</vt:lpwstr>
  </property>
  <property fmtid="{D5CDD505-2E9C-101B-9397-08002B2CF9AE}" pid="4" name="ICV">
    <vt:lpwstr>51AEE85F374E4178AB8E55CF1183DE1E_12</vt:lpwstr>
  </property>
</Properties>
</file>