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left="0" w:leftChars="0" w:firstLine="0" w:firstLineChars="0"/>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7193"/>
      <w:bookmarkStart w:id="1" w:name="_Toc15378441"/>
      <w:bookmarkStart w:id="2" w:name="_Toc15396597"/>
      <w:bookmarkStart w:id="3" w:name="_Toc15396475"/>
      <w:bookmarkStart w:id="4" w:name="_Toc15377425"/>
      <w:bookmarkStart w:id="5" w:name="_Toc15306267"/>
    </w:p>
    <w:p>
      <w:pPr>
        <w:pStyle w:val="9"/>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96598"/>
      <w:bookmarkStart w:id="8" w:name="_Toc15378442"/>
      <w:bookmarkStart w:id="9" w:name="_Toc15396476"/>
      <w:bookmarkStart w:id="10" w:name="_Toc15377426"/>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四川省</w:t>
      </w:r>
      <w:bookmarkEnd w:id="5"/>
      <w:bookmarkStart w:id="11" w:name="_Toc15306268"/>
      <w:r>
        <w:rPr>
          <w:rFonts w:hint="default" w:ascii="Times New Roman" w:hAnsi="Times New Roman" w:eastAsia="方正小标宋简体" w:cs="Times New Roman"/>
          <w:color w:val="auto"/>
          <w:kern w:val="2"/>
          <w:sz w:val="44"/>
          <w:szCs w:val="44"/>
          <w:highlight w:val="none"/>
          <w:lang w:val="en-US" w:eastAsia="zh-CN" w:bidi="ar-SA"/>
        </w:rPr>
        <w:t>遂宁市安居区聚贤镇人民政府</w:t>
      </w:r>
    </w:p>
    <w:p>
      <w:pPr>
        <w:pStyle w:val="9"/>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2041" w:right="1474" w:bottom="1701" w:left="1587" w:header="851" w:footer="1417" w:gutter="0"/>
          <w:pgNumType w:fmt="decimal"/>
          <w:cols w:space="0" w:num="1"/>
          <w:rtlGutter w:val="0"/>
          <w:docGrid w:type="lines" w:linePitch="436" w:charSpace="0"/>
        </w:sectPr>
      </w:pPr>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55534"/>
        <w15:color w:val="DBDBDB"/>
        <w:docPartObj>
          <w:docPartGallery w:val="Table of Contents"/>
          <w:docPartUnique/>
        </w:docPartObj>
      </w:sdtPr>
      <w:sdtEndPr>
        <w:rPr>
          <w:rFonts w:hint="eastAsia" w:ascii="Times New Roman" w:hAnsi="Times New Roman" w:eastAsia="仿宋_GB2312" w:cs="Times New Roman"/>
          <w:b/>
          <w:kern w:val="2"/>
          <w:sz w:val="32"/>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845"/>
              <w:tab w:val="clear" w:pos="8296"/>
            </w:tabs>
            <w:rPr>
              <w:rFonts w:hint="default" w:ascii="Times New Roman" w:hAnsi="Times New Roman" w:cs="Times New Roman"/>
              <w:sz w:val="32"/>
              <w:szCs w:val="32"/>
            </w:rPr>
          </w:pPr>
          <w:r>
            <w:rPr>
              <w:rFonts w:hint="eastAsia"/>
            </w:rPr>
            <w:fldChar w:fldCharType="begin"/>
          </w:r>
          <w:r>
            <w:rPr>
              <w:rFonts w:hint="eastAsia"/>
            </w:rPr>
            <w:instrText xml:space="preserve">TOC \o "1-2" \h \u </w:instrText>
          </w:r>
          <w:r>
            <w:rPr>
              <w:rFonts w:hint="eastAsia"/>
            </w:rPr>
            <w:fldChar w:fldCharType="separate"/>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_Toc13106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第一部分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部门概况</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_Toc13106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4"/>
            <w:tabs>
              <w:tab w:val="right" w:leader="dot" w:pos="8845"/>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_Toc2750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eastAsia="zh-CN"/>
            </w:rPr>
            <w:t>一、部门职责</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_Toc2750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4"/>
            <w:tabs>
              <w:tab w:val="right" w:leader="dot" w:pos="8845"/>
              <w:tab w:val="clear" w:pos="8296"/>
            </w:tabs>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_Toc20929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二、机构设置</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_Toc20929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2"/>
            <w:tabs>
              <w:tab w:val="right" w:leader="dot" w:pos="8845"/>
              <w:tab w:val="clear" w:pos="8296"/>
            </w:tabs>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_Toc15920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第二部分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2024年度</w:t>
          </w:r>
          <w:r>
            <w:rPr>
              <w:rFonts w:hint="default" w:ascii="Times New Roman" w:hAnsi="Times New Roman" w:eastAsia="黑体" w:cs="Times New Roman"/>
              <w:sz w:val="32"/>
              <w:szCs w:val="32"/>
            </w:rPr>
            <w:t>部门决算情况说明</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_Toc15920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6</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_Toc29995 </w:instrText>
          </w:r>
          <w:r>
            <w:rPr>
              <w:rFonts w:hint="default" w:ascii="Times New Roman" w:hAnsi="Times New Roman" w:cs="Times New Roman"/>
            </w:rPr>
            <w:fldChar w:fldCharType="separate"/>
          </w:r>
          <w:r>
            <w:rPr>
              <w:rFonts w:hint="default" w:ascii="Times New Roman" w:hAnsi="Times New Roman" w:cs="Times New Roman"/>
              <w:lang w:eastAsia="zh-CN"/>
            </w:rPr>
            <w:t>一、</w:t>
          </w:r>
          <w:r>
            <w:rPr>
              <w:rFonts w:hint="default" w:ascii="Times New Roman" w:hAnsi="Times New Roman" w:cs="Times New Roman"/>
            </w:rPr>
            <w:t>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_Toc29995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_Toc22870 </w:instrText>
          </w:r>
          <w:r>
            <w:rPr>
              <w:rFonts w:hint="default" w:ascii="Times New Roman" w:hAnsi="Times New Roman" w:cs="Times New Roman"/>
            </w:rPr>
            <w:fldChar w:fldCharType="separate"/>
          </w:r>
          <w:r>
            <w:rPr>
              <w:rFonts w:hint="default" w:ascii="Times New Roman" w:hAnsi="Times New Roman" w:cs="Times New Roman"/>
              <w:lang w:eastAsia="zh-CN"/>
            </w:rPr>
            <w:t>二、收入决算情况说明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_Toc22870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_Toc22451 </w:instrText>
          </w:r>
          <w:r>
            <w:rPr>
              <w:rFonts w:hint="default" w:ascii="Times New Roman" w:hAnsi="Times New Roman" w:cs="Times New Roman"/>
            </w:rPr>
            <w:fldChar w:fldCharType="separate"/>
          </w:r>
          <w:r>
            <w:rPr>
              <w:rFonts w:hint="default" w:ascii="Times New Roman" w:hAnsi="Times New Roman" w:cs="Times New Roman"/>
              <w:lang w:eastAsia="zh-CN"/>
            </w:rPr>
            <w:t>三、</w:t>
          </w:r>
          <w:r>
            <w:rPr>
              <w:rFonts w:hint="default" w:ascii="Times New Roman" w:hAnsi="Times New Roman" w:cs="Times New Roman"/>
            </w:rPr>
            <w:t>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_Toc22451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_Toc18805 </w:instrText>
          </w:r>
          <w:r>
            <w:rPr>
              <w:rFonts w:hint="default" w:ascii="Times New Roman" w:hAnsi="Times New Roman" w:cs="Times New Roman"/>
            </w:rPr>
            <w:fldChar w:fldCharType="separate"/>
          </w:r>
          <w:r>
            <w:rPr>
              <w:rFonts w:hint="default" w:ascii="Times New Roman" w:hAnsi="Times New Roman" w:cs="Times New Roman"/>
            </w:rPr>
            <w:t>四、财政拨款收入支出决算总体情况说明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_Toc18805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_Toc9551 </w:instrText>
          </w:r>
          <w:r>
            <w:rPr>
              <w:rFonts w:hint="default" w:ascii="Times New Roman" w:hAnsi="Times New Roman" w:cs="Times New Roman"/>
            </w:rPr>
            <w:fldChar w:fldCharType="separate"/>
          </w:r>
          <w:r>
            <w:rPr>
              <w:rFonts w:hint="default" w:ascii="Times New Roman" w:hAnsi="Times New Roman" w:cs="Times New Roman"/>
            </w:rPr>
            <w:t>五、一般公共预算财政拨款支出决算情况说明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_Toc9551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_Toc22349 </w:instrText>
          </w:r>
          <w:r>
            <w:rPr>
              <w:rFonts w:hint="default" w:ascii="Times New Roman" w:hAnsi="Times New Roman" w:cs="Times New Roman"/>
            </w:rPr>
            <w:fldChar w:fldCharType="separate"/>
          </w:r>
          <w:r>
            <w:rPr>
              <w:rFonts w:hint="default" w:ascii="Times New Roman" w:hAnsi="Times New Roman" w:cs="Times New Roman"/>
            </w:rPr>
            <w:t>六、一般公共预算财政拨款基本支出决算情况说明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_Toc22349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_Toc9697 </w:instrText>
          </w:r>
          <w:r>
            <w:rPr>
              <w:rFonts w:hint="default" w:ascii="Times New Roman" w:hAnsi="Times New Roman" w:cs="Times New Roman"/>
            </w:rPr>
            <w:fldChar w:fldCharType="separate"/>
          </w:r>
          <w:r>
            <w:rPr>
              <w:rFonts w:hint="default" w:ascii="Times New Roman" w:hAnsi="Times New Roman" w:cs="Times New Roman"/>
            </w:rPr>
            <w:t>七、财政拨款“三公”经费支出决算情况说明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_Toc9697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_Toc11500 </w:instrText>
          </w:r>
          <w:r>
            <w:rPr>
              <w:rFonts w:hint="default" w:ascii="Times New Roman" w:hAnsi="Times New Roman" w:cs="Times New Roman"/>
            </w:rPr>
            <w:fldChar w:fldCharType="separate"/>
          </w:r>
          <w:r>
            <w:rPr>
              <w:rFonts w:hint="default" w:ascii="Times New Roman" w:hAnsi="Times New Roman" w:cs="Times New Roman"/>
            </w:rPr>
            <w:t>八、政府性基金预算支出决算情况说明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_Toc11500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_Toc7716 </w:instrText>
          </w:r>
          <w:r>
            <w:rPr>
              <w:rFonts w:hint="default" w:ascii="Times New Roman" w:hAnsi="Times New Roman" w:cs="Times New Roman"/>
            </w:rPr>
            <w:fldChar w:fldCharType="separate"/>
          </w:r>
          <w:r>
            <w:rPr>
              <w:rFonts w:hint="default" w:ascii="Times New Roman" w:hAnsi="Times New Roman" w:cs="Times New Roman"/>
              <w:lang w:eastAsia="zh-CN"/>
            </w:rPr>
            <w:t>九、</w:t>
          </w:r>
          <w:r>
            <w:rPr>
              <w:rFonts w:hint="default" w:ascii="Times New Roman" w:hAnsi="Times New Roman" w:cs="Times New Roman"/>
            </w:rPr>
            <w:t>国有资本经营预算支出决算情况说明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_Toc7716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845"/>
              <w:tab w:val="clear" w:pos="829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_Toc23396 </w:instrText>
          </w:r>
          <w:r>
            <w:rPr>
              <w:rFonts w:hint="default" w:ascii="Times New Roman" w:hAnsi="Times New Roman" w:cs="Times New Roman"/>
            </w:rPr>
            <w:fldChar w:fldCharType="separate"/>
          </w:r>
          <w:r>
            <w:rPr>
              <w:rFonts w:hint="default" w:ascii="Times New Roman" w:hAnsi="Times New Roman" w:cs="Times New Roman"/>
              <w:lang w:eastAsia="zh-CN"/>
            </w:rPr>
            <w:t>十、</w:t>
          </w:r>
          <w:r>
            <w:rPr>
              <w:rFonts w:hint="default" w:ascii="Times New Roman" w:hAnsi="Times New Roman" w:cs="Times New Roman"/>
            </w:rPr>
            <w:t>其他重要事项的情况说明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_Toc23396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2"/>
            <w:tabs>
              <w:tab w:val="right" w:leader="dot" w:pos="8845"/>
              <w:tab w:val="clear" w:pos="8296"/>
            </w:tabs>
            <w:rPr>
              <w:rFonts w:hint="default" w:ascii="Times New Roman" w:hAnsi="Times New Roman" w:eastAsia="黑体" w:cs="Times New Roman"/>
              <w:sz w:val="32"/>
              <w:szCs w:val="32"/>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_Toc17693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名词解释</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_Toc17693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23</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2"/>
            <w:tabs>
              <w:tab w:val="right" w:leader="dot" w:pos="8845"/>
              <w:tab w:val="clear" w:pos="8296"/>
            </w:tabs>
            <w:rPr>
              <w:rFonts w:hint="default" w:ascii="Times New Roman" w:hAnsi="Times New Roman" w:cs="Times New Roman"/>
            </w:rPr>
          </w:pP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HYPERLINK \l _Toc26357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第四部分</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附件</w:t>
          </w:r>
          <w:r>
            <w:rPr>
              <w:rFonts w:hint="default" w:ascii="Times New Roman" w:hAnsi="Times New Roman" w:eastAsia="黑体" w:cs="Times New Roman"/>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_Toc26357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28</w:t>
          </w:r>
          <w:r>
            <w:rPr>
              <w:rFonts w:hint="default" w:ascii="Times New Roman" w:hAnsi="Times New Roman" w:eastAsia="黑体" w:cs="Times New Roman"/>
              <w:sz w:val="32"/>
              <w:szCs w:val="32"/>
            </w:rPr>
            <w:fldChar w:fldCharType="end"/>
          </w:r>
          <w:r>
            <w:rPr>
              <w:rFonts w:hint="default" w:ascii="Times New Roman" w:hAnsi="Times New Roman" w:eastAsia="黑体" w:cs="Times New Roman"/>
              <w:sz w:val="32"/>
              <w:szCs w:val="32"/>
            </w:rPr>
            <w:fldChar w:fldCharType="end"/>
          </w:r>
        </w:p>
        <w:p>
          <w:pPr>
            <w:pStyle w:val="12"/>
            <w:tabs>
              <w:tab w:val="right" w:leader="dot" w:pos="8845"/>
              <w:tab w:val="clear" w:pos="8296"/>
            </w:tabs>
            <w:jc w:val="distribute"/>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_Toc23064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第五部分 附表</w:t>
          </w:r>
          <w:r>
            <w:rPr>
              <w:rFonts w:hint="eastAsia" w:ascii="黑体" w:hAnsi="黑体" w:eastAsia="黑体" w:cs="黑体"/>
              <w:sz w:val="32"/>
              <w:szCs w:val="32"/>
            </w:rPr>
            <w:tab/>
          </w:r>
          <w:r>
            <w:rPr>
              <w:rFonts w:hint="default" w:ascii="Times New Roman" w:hAnsi="Times New Roman" w:eastAsia="黑体" w:cs="Times New Roman"/>
              <w:sz w:val="32"/>
              <w:szCs w:val="32"/>
            </w:rPr>
            <w:fldChar w:fldCharType="begin"/>
          </w:r>
          <w:r>
            <w:rPr>
              <w:rFonts w:hint="default" w:ascii="Times New Roman" w:hAnsi="Times New Roman" w:eastAsia="黑体" w:cs="Times New Roman"/>
              <w:sz w:val="32"/>
              <w:szCs w:val="32"/>
            </w:rPr>
            <w:instrText xml:space="preserve"> PAGEREF _Toc23064 </w:instrText>
          </w:r>
          <w:r>
            <w:rPr>
              <w:rFonts w:hint="default" w:ascii="Times New Roman" w:hAnsi="Times New Roman" w:eastAsia="黑体" w:cs="Times New Roman"/>
              <w:sz w:val="32"/>
              <w:szCs w:val="32"/>
            </w:rPr>
            <w:fldChar w:fldCharType="separate"/>
          </w:r>
          <w:r>
            <w:rPr>
              <w:rFonts w:hint="default" w:ascii="Times New Roman" w:hAnsi="Times New Roman" w:eastAsia="黑体" w:cs="Times New Roman"/>
              <w:sz w:val="32"/>
              <w:szCs w:val="32"/>
            </w:rPr>
            <w:t>125</w:t>
          </w:r>
          <w:r>
            <w:rPr>
              <w:rFonts w:hint="default" w:ascii="Times New Roman" w:hAnsi="Times New Roman" w:eastAsia="黑体" w:cs="Times New Roman"/>
              <w:sz w:val="32"/>
              <w:szCs w:val="32"/>
            </w:rPr>
            <w:fldChar w:fldCharType="end"/>
          </w:r>
          <w:r>
            <w:rPr>
              <w:rFonts w:hint="eastAsia" w:ascii="黑体" w:hAnsi="黑体" w:eastAsia="黑体" w:cs="黑体"/>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_Toc21917 </w:instrText>
          </w:r>
          <w:r>
            <w:rPr>
              <w:rFonts w:hint="eastAsia"/>
              <w:sz w:val="32"/>
              <w:szCs w:val="32"/>
            </w:rPr>
            <w:fldChar w:fldCharType="separate"/>
          </w:r>
          <w:r>
            <w:rPr>
              <w:rFonts w:hint="eastAsia" w:ascii="仿宋_GB2312" w:hAnsi="仿宋_GB2312" w:eastAsia="仿宋_GB2312" w:cs="仿宋_GB2312"/>
              <w:sz w:val="32"/>
              <w:szCs w:val="32"/>
            </w:rPr>
            <w:t>一、收入支出决算总表</w:t>
          </w:r>
          <w:r>
            <w:rPr>
              <w:sz w:val="32"/>
              <w:szCs w:val="32"/>
            </w:rPr>
            <w:tab/>
          </w:r>
          <w:r>
            <w:rPr>
              <w:sz w:val="32"/>
              <w:szCs w:val="32"/>
            </w:rPr>
            <w:fldChar w:fldCharType="begin"/>
          </w:r>
          <w:r>
            <w:rPr>
              <w:sz w:val="32"/>
              <w:szCs w:val="32"/>
            </w:rPr>
            <w:instrText xml:space="preserve"> PAGEREF _Toc21917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_Toc1906 </w:instrText>
          </w:r>
          <w:r>
            <w:rPr>
              <w:rFonts w:hint="eastAsia"/>
              <w:sz w:val="32"/>
              <w:szCs w:val="32"/>
            </w:rPr>
            <w:fldChar w:fldCharType="separate"/>
          </w:r>
          <w:r>
            <w:rPr>
              <w:rFonts w:hint="eastAsia" w:ascii="仿宋_GB2312" w:hAnsi="仿宋_GB2312" w:eastAsia="仿宋_GB2312" w:cs="仿宋_GB2312"/>
              <w:sz w:val="32"/>
              <w:szCs w:val="32"/>
            </w:rPr>
            <w:t>二、收入决算表</w:t>
          </w:r>
          <w:r>
            <w:rPr>
              <w:sz w:val="32"/>
              <w:szCs w:val="32"/>
            </w:rPr>
            <w:tab/>
          </w:r>
          <w:r>
            <w:rPr>
              <w:sz w:val="32"/>
              <w:szCs w:val="32"/>
            </w:rPr>
            <w:fldChar w:fldCharType="begin"/>
          </w:r>
          <w:r>
            <w:rPr>
              <w:sz w:val="32"/>
              <w:szCs w:val="32"/>
            </w:rPr>
            <w:instrText xml:space="preserve"> PAGEREF _Toc1906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_Toc23354 </w:instrText>
          </w:r>
          <w:r>
            <w:rPr>
              <w:rFonts w:hint="eastAsia"/>
              <w:sz w:val="32"/>
              <w:szCs w:val="32"/>
            </w:rPr>
            <w:fldChar w:fldCharType="separate"/>
          </w:r>
          <w:r>
            <w:rPr>
              <w:rFonts w:hint="eastAsia" w:ascii="仿宋_GB2312" w:hAnsi="仿宋_GB2312" w:eastAsia="仿宋_GB2312" w:cs="仿宋_GB2312"/>
              <w:sz w:val="32"/>
              <w:szCs w:val="32"/>
            </w:rPr>
            <w:t>三、支出决算表</w:t>
          </w:r>
          <w:r>
            <w:rPr>
              <w:sz w:val="32"/>
              <w:szCs w:val="32"/>
            </w:rPr>
            <w:tab/>
          </w:r>
          <w:r>
            <w:rPr>
              <w:sz w:val="32"/>
              <w:szCs w:val="32"/>
            </w:rPr>
            <w:fldChar w:fldCharType="begin"/>
          </w:r>
          <w:r>
            <w:rPr>
              <w:sz w:val="32"/>
              <w:szCs w:val="32"/>
            </w:rPr>
            <w:instrText xml:space="preserve"> PAGEREF _Toc23354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_Toc24762 </w:instrText>
          </w:r>
          <w:r>
            <w:rPr>
              <w:rFonts w:hint="eastAsia"/>
              <w:sz w:val="32"/>
              <w:szCs w:val="32"/>
            </w:rPr>
            <w:fldChar w:fldCharType="separate"/>
          </w:r>
          <w:r>
            <w:rPr>
              <w:rFonts w:hint="eastAsia" w:ascii="仿宋_GB2312" w:hAnsi="仿宋_GB2312" w:eastAsia="仿宋_GB2312" w:cs="仿宋_GB2312"/>
              <w:sz w:val="32"/>
              <w:szCs w:val="32"/>
            </w:rPr>
            <w:t>四、财政拨款收入支出决算总表</w:t>
          </w:r>
          <w:r>
            <w:rPr>
              <w:sz w:val="32"/>
              <w:szCs w:val="32"/>
            </w:rPr>
            <w:tab/>
          </w:r>
          <w:r>
            <w:rPr>
              <w:sz w:val="32"/>
              <w:szCs w:val="32"/>
            </w:rPr>
            <w:fldChar w:fldCharType="begin"/>
          </w:r>
          <w:r>
            <w:rPr>
              <w:sz w:val="32"/>
              <w:szCs w:val="32"/>
            </w:rPr>
            <w:instrText xml:space="preserve"> PAGEREF _Toc24762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_Toc22429 </w:instrText>
          </w:r>
          <w:r>
            <w:rPr>
              <w:rFonts w:hint="eastAsia"/>
              <w:sz w:val="32"/>
              <w:szCs w:val="32"/>
            </w:rPr>
            <w:fldChar w:fldCharType="separate"/>
          </w:r>
          <w:r>
            <w:rPr>
              <w:rFonts w:hint="eastAsia" w:ascii="仿宋_GB2312" w:hAnsi="仿宋_GB2312" w:eastAsia="仿宋_GB2312" w:cs="仿宋_GB2312"/>
              <w:sz w:val="32"/>
              <w:szCs w:val="32"/>
            </w:rPr>
            <w:t>五、财政拨款支出决算明细表</w:t>
          </w:r>
          <w:r>
            <w:rPr>
              <w:sz w:val="32"/>
              <w:szCs w:val="32"/>
            </w:rPr>
            <w:tab/>
          </w:r>
          <w:r>
            <w:rPr>
              <w:sz w:val="32"/>
              <w:szCs w:val="32"/>
            </w:rPr>
            <w:fldChar w:fldCharType="begin"/>
          </w:r>
          <w:r>
            <w:rPr>
              <w:sz w:val="32"/>
              <w:szCs w:val="32"/>
            </w:rPr>
            <w:instrText xml:space="preserve"> PAGEREF _Toc22429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_Toc32508 </w:instrText>
          </w:r>
          <w:r>
            <w:rPr>
              <w:rFonts w:hint="eastAsia"/>
              <w:sz w:val="32"/>
              <w:szCs w:val="32"/>
            </w:rPr>
            <w:fldChar w:fldCharType="separate"/>
          </w:r>
          <w:r>
            <w:rPr>
              <w:rFonts w:hint="eastAsia" w:ascii="仿宋_GB2312" w:hAnsi="仿宋_GB2312" w:eastAsia="仿宋_GB2312" w:cs="仿宋_GB2312"/>
              <w:sz w:val="32"/>
              <w:szCs w:val="32"/>
            </w:rPr>
            <w:t>六、一般公共预算财政拨款支出决算表</w:t>
          </w:r>
          <w:r>
            <w:rPr>
              <w:sz w:val="32"/>
              <w:szCs w:val="32"/>
            </w:rPr>
            <w:tab/>
          </w:r>
          <w:r>
            <w:rPr>
              <w:sz w:val="32"/>
              <w:szCs w:val="32"/>
            </w:rPr>
            <w:fldChar w:fldCharType="begin"/>
          </w:r>
          <w:r>
            <w:rPr>
              <w:sz w:val="32"/>
              <w:szCs w:val="32"/>
            </w:rPr>
            <w:instrText xml:space="preserve"> PAGEREF _Toc32508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_Toc15928 </w:instrText>
          </w:r>
          <w:r>
            <w:rPr>
              <w:rFonts w:hint="eastAsia"/>
              <w:sz w:val="32"/>
              <w:szCs w:val="32"/>
            </w:rPr>
            <w:fldChar w:fldCharType="separate"/>
          </w:r>
          <w:r>
            <w:rPr>
              <w:rFonts w:hint="eastAsia" w:ascii="仿宋_GB2312" w:hAnsi="仿宋_GB2312" w:eastAsia="仿宋_GB2312" w:cs="仿宋_GB2312"/>
              <w:sz w:val="32"/>
              <w:szCs w:val="32"/>
            </w:rPr>
            <w:t>七、一般公共预算财政拨款支出决算明细表</w:t>
          </w:r>
          <w:r>
            <w:rPr>
              <w:sz w:val="32"/>
              <w:szCs w:val="32"/>
            </w:rPr>
            <w:tab/>
          </w:r>
          <w:r>
            <w:rPr>
              <w:sz w:val="32"/>
              <w:szCs w:val="32"/>
            </w:rPr>
            <w:fldChar w:fldCharType="begin"/>
          </w:r>
          <w:r>
            <w:rPr>
              <w:sz w:val="32"/>
              <w:szCs w:val="32"/>
            </w:rPr>
            <w:instrText xml:space="preserve"> PAGEREF _Toc15928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_Toc5162 </w:instrText>
          </w:r>
          <w:r>
            <w:rPr>
              <w:rFonts w:hint="eastAsia"/>
              <w:sz w:val="32"/>
              <w:szCs w:val="32"/>
            </w:rPr>
            <w:fldChar w:fldCharType="separate"/>
          </w:r>
          <w:r>
            <w:rPr>
              <w:rFonts w:hint="eastAsia" w:ascii="仿宋_GB2312" w:hAnsi="仿宋_GB2312" w:eastAsia="仿宋_GB2312" w:cs="仿宋_GB2312"/>
              <w:sz w:val="32"/>
              <w:szCs w:val="32"/>
            </w:rPr>
            <w:t>八、一般公共预算财政拨款基本支出决算表</w:t>
          </w:r>
          <w:r>
            <w:rPr>
              <w:sz w:val="32"/>
              <w:szCs w:val="32"/>
            </w:rPr>
            <w:tab/>
          </w:r>
          <w:r>
            <w:rPr>
              <w:sz w:val="32"/>
              <w:szCs w:val="32"/>
            </w:rPr>
            <w:fldChar w:fldCharType="begin"/>
          </w:r>
          <w:r>
            <w:rPr>
              <w:sz w:val="32"/>
              <w:szCs w:val="32"/>
            </w:rPr>
            <w:instrText xml:space="preserve"> PAGEREF _Toc5162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_Toc31829 </w:instrText>
          </w:r>
          <w:r>
            <w:rPr>
              <w:rFonts w:hint="eastAsia"/>
              <w:sz w:val="32"/>
              <w:szCs w:val="32"/>
            </w:rPr>
            <w:fldChar w:fldCharType="separate"/>
          </w:r>
          <w:r>
            <w:rPr>
              <w:rFonts w:hint="eastAsia" w:ascii="仿宋_GB2312" w:hAnsi="仿宋_GB2312" w:eastAsia="仿宋_GB2312" w:cs="仿宋_GB2312"/>
              <w:sz w:val="32"/>
              <w:szCs w:val="32"/>
            </w:rPr>
            <w:t>九、一般公共预算财政拨款项目支出决算表</w:t>
          </w:r>
          <w:r>
            <w:rPr>
              <w:sz w:val="32"/>
              <w:szCs w:val="32"/>
            </w:rPr>
            <w:tab/>
          </w:r>
          <w:r>
            <w:rPr>
              <w:sz w:val="32"/>
              <w:szCs w:val="32"/>
            </w:rPr>
            <w:fldChar w:fldCharType="begin"/>
          </w:r>
          <w:r>
            <w:rPr>
              <w:sz w:val="32"/>
              <w:szCs w:val="32"/>
            </w:rPr>
            <w:instrText xml:space="preserve"> PAGEREF _Toc31829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_Toc22269 </w:instrText>
          </w:r>
          <w:r>
            <w:rPr>
              <w:rFonts w:hint="eastAsia"/>
              <w:sz w:val="32"/>
              <w:szCs w:val="32"/>
            </w:rPr>
            <w:fldChar w:fldCharType="separate"/>
          </w:r>
          <w:r>
            <w:rPr>
              <w:rFonts w:hint="eastAsia" w:ascii="仿宋_GB2312" w:hAnsi="仿宋_GB2312" w:eastAsia="仿宋_GB2312" w:cs="仿宋_GB2312"/>
              <w:sz w:val="32"/>
              <w:szCs w:val="32"/>
            </w:rPr>
            <w:t>十、政府性基金预算财政拨款收入支出决算表</w:t>
          </w:r>
          <w:r>
            <w:rPr>
              <w:sz w:val="32"/>
              <w:szCs w:val="32"/>
            </w:rPr>
            <w:tab/>
          </w:r>
          <w:r>
            <w:rPr>
              <w:sz w:val="32"/>
              <w:szCs w:val="32"/>
            </w:rPr>
            <w:fldChar w:fldCharType="begin"/>
          </w:r>
          <w:r>
            <w:rPr>
              <w:sz w:val="32"/>
              <w:szCs w:val="32"/>
            </w:rPr>
            <w:instrText xml:space="preserve"> PAGEREF _Toc22269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_Toc23035 </w:instrText>
          </w:r>
          <w:r>
            <w:rPr>
              <w:rFonts w:hint="eastAsia"/>
              <w:sz w:val="32"/>
              <w:szCs w:val="32"/>
            </w:rPr>
            <w:fldChar w:fldCharType="separate"/>
          </w:r>
          <w:r>
            <w:rPr>
              <w:rFonts w:hint="eastAsia" w:ascii="仿宋_GB2312" w:hAnsi="仿宋_GB2312" w:eastAsia="仿宋_GB2312" w:cs="仿宋_GB2312"/>
              <w:sz w:val="32"/>
              <w:szCs w:val="32"/>
            </w:rPr>
            <w:t>十一、国有资本经营预算</w:t>
          </w:r>
          <w:r>
            <w:rPr>
              <w:rFonts w:hint="eastAsia" w:ascii="仿宋_GB2312" w:hAnsi="仿宋_GB2312" w:eastAsia="仿宋_GB2312" w:cs="仿宋_GB2312"/>
              <w:sz w:val="32"/>
              <w:szCs w:val="32"/>
              <w:lang w:eastAsia="zh-CN"/>
            </w:rPr>
            <w:t>财政拨款收入</w:t>
          </w:r>
          <w:r>
            <w:rPr>
              <w:rFonts w:hint="eastAsia" w:ascii="仿宋_GB2312" w:hAnsi="仿宋_GB2312" w:eastAsia="仿宋_GB2312" w:cs="仿宋_GB2312"/>
              <w:sz w:val="32"/>
              <w:szCs w:val="32"/>
            </w:rPr>
            <w:t>支出决算表</w:t>
          </w:r>
          <w:r>
            <w:rPr>
              <w:sz w:val="32"/>
              <w:szCs w:val="32"/>
            </w:rPr>
            <w:tab/>
          </w:r>
          <w:r>
            <w:rPr>
              <w:sz w:val="32"/>
              <w:szCs w:val="32"/>
            </w:rPr>
            <w:fldChar w:fldCharType="begin"/>
          </w:r>
          <w:r>
            <w:rPr>
              <w:sz w:val="32"/>
              <w:szCs w:val="32"/>
            </w:rPr>
            <w:instrText xml:space="preserve"> PAGEREF _Toc23035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rPr>
              <w:sz w:val="32"/>
              <w:szCs w:val="32"/>
            </w:rPr>
          </w:pPr>
          <w:r>
            <w:rPr>
              <w:rFonts w:hint="eastAsia"/>
              <w:sz w:val="32"/>
              <w:szCs w:val="32"/>
            </w:rPr>
            <w:fldChar w:fldCharType="begin"/>
          </w:r>
          <w:r>
            <w:rPr>
              <w:rFonts w:hint="eastAsia"/>
              <w:sz w:val="32"/>
              <w:szCs w:val="32"/>
            </w:rPr>
            <w:instrText xml:space="preserve"> HYPERLINK \l _Toc29390 </w:instrText>
          </w:r>
          <w:r>
            <w:rPr>
              <w:rFonts w:hint="eastAsia"/>
              <w:sz w:val="32"/>
              <w:szCs w:val="32"/>
            </w:rPr>
            <w:fldChar w:fldCharType="separate"/>
          </w: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eastAsia="zh-CN"/>
            </w:rPr>
            <w:t>国有资本经营预算财政拨款支出决算表</w:t>
          </w:r>
          <w:r>
            <w:rPr>
              <w:sz w:val="32"/>
              <w:szCs w:val="32"/>
            </w:rPr>
            <w:tab/>
          </w:r>
          <w:r>
            <w:rPr>
              <w:sz w:val="32"/>
              <w:szCs w:val="32"/>
            </w:rPr>
            <w:fldChar w:fldCharType="begin"/>
          </w:r>
          <w:r>
            <w:rPr>
              <w:sz w:val="32"/>
              <w:szCs w:val="32"/>
            </w:rPr>
            <w:instrText xml:space="preserve"> PAGEREF _Toc29390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pStyle w:val="14"/>
            <w:tabs>
              <w:tab w:val="right" w:leader="dot" w:pos="8845"/>
              <w:tab w:val="clear" w:pos="8296"/>
            </w:tabs>
            <w:jc w:val="distribute"/>
          </w:pPr>
          <w:r>
            <w:rPr>
              <w:rFonts w:hint="eastAsia"/>
              <w:sz w:val="32"/>
              <w:szCs w:val="32"/>
            </w:rPr>
            <w:fldChar w:fldCharType="begin"/>
          </w:r>
          <w:r>
            <w:rPr>
              <w:rFonts w:hint="eastAsia"/>
              <w:sz w:val="32"/>
              <w:szCs w:val="32"/>
            </w:rPr>
            <w:instrText xml:space="preserve"> HYPERLINK \l _Toc29409 </w:instrText>
          </w:r>
          <w:r>
            <w:rPr>
              <w:rFonts w:hint="eastAsia"/>
              <w:sz w:val="32"/>
              <w:szCs w:val="32"/>
            </w:rPr>
            <w:fldChar w:fldCharType="separate"/>
          </w:r>
          <w:r>
            <w:rPr>
              <w:rFonts w:hint="eastAsia" w:ascii="仿宋_GB2312" w:hAnsi="仿宋_GB2312" w:eastAsia="仿宋_GB2312" w:cs="仿宋_GB2312"/>
              <w:sz w:val="32"/>
              <w:szCs w:val="32"/>
            </w:rPr>
            <w:t>十三、</w:t>
          </w:r>
          <w:r>
            <w:rPr>
              <w:rFonts w:hint="eastAsia" w:ascii="仿宋_GB2312" w:hAnsi="仿宋_GB2312" w:eastAsia="仿宋_GB2312" w:cs="仿宋_GB2312"/>
              <w:sz w:val="32"/>
              <w:szCs w:val="32"/>
              <w:lang w:eastAsia="zh-CN"/>
            </w:rPr>
            <w:t>财政拨款“三公”经费支出决算表</w:t>
          </w:r>
          <w:r>
            <w:rPr>
              <w:sz w:val="32"/>
              <w:szCs w:val="32"/>
            </w:rPr>
            <w:tab/>
          </w:r>
          <w:r>
            <w:rPr>
              <w:sz w:val="32"/>
              <w:szCs w:val="32"/>
            </w:rPr>
            <w:fldChar w:fldCharType="begin"/>
          </w:r>
          <w:r>
            <w:rPr>
              <w:sz w:val="32"/>
              <w:szCs w:val="32"/>
            </w:rPr>
            <w:instrText xml:space="preserve"> PAGEREF _Toc29409 </w:instrText>
          </w:r>
          <w:r>
            <w:rPr>
              <w:sz w:val="32"/>
              <w:szCs w:val="32"/>
            </w:rPr>
            <w:fldChar w:fldCharType="separate"/>
          </w:r>
          <w:r>
            <w:rPr>
              <w:sz w:val="32"/>
              <w:szCs w:val="32"/>
            </w:rPr>
            <w:t>125</w:t>
          </w:r>
          <w:r>
            <w:rPr>
              <w:sz w:val="32"/>
              <w:szCs w:val="32"/>
            </w:rPr>
            <w:fldChar w:fldCharType="end"/>
          </w:r>
          <w:r>
            <w:rPr>
              <w:rFonts w:hint="eastAsia"/>
              <w:sz w:val="32"/>
              <w:szCs w:val="32"/>
            </w:rPr>
            <w:fldChar w:fldCharType="end"/>
          </w:r>
        </w:p>
        <w:p>
          <w:pPr>
            <w:rPr>
              <w:rFonts w:hint="eastAsia"/>
            </w:rPr>
          </w:pPr>
          <w:r>
            <w:rPr>
              <w:rFonts w:hint="eastAsia"/>
            </w:rPr>
            <w:fldChar w:fldCharType="end"/>
          </w:r>
        </w:p>
      </w:sdtContent>
    </w:sdt>
    <w:p>
      <w:pPr>
        <w:rPr>
          <w:rFonts w:hint="eastAsia"/>
        </w:rPr>
      </w:pPr>
      <w:bookmarkStart w:id="12" w:name="_Toc15377196"/>
      <w:bookmarkStart w:id="13" w:name="_Toc10478"/>
      <w:bookmarkStart w:id="14" w:name="_Toc15396599"/>
      <w:r>
        <w:rPr>
          <w:rFonts w:hint="eastAsia"/>
        </w:rPr>
        <w:br w:type="page"/>
      </w:r>
    </w:p>
    <w:p>
      <w:pPr>
        <w:pStyle w:val="5"/>
        <w:bidi w:val="0"/>
        <w:ind w:left="0" w:leftChars="0" w:right="0" w:rightChars="0" w:firstLine="0" w:firstLineChars="0"/>
        <w:jc w:val="center"/>
        <w:rPr>
          <w:rFonts w:hint="eastAsia"/>
        </w:rPr>
      </w:pPr>
      <w:bookmarkStart w:id="15" w:name="_Toc13106"/>
      <w:r>
        <w:rPr>
          <w:rFonts w:hint="eastAsia"/>
        </w:rPr>
        <w:t>第一部分</w:t>
      </w:r>
      <w:r>
        <w:rPr>
          <w:rFonts w:hint="eastAsia"/>
          <w:lang w:val="en-US" w:eastAsia="zh-CN"/>
        </w:rPr>
        <w:t xml:space="preserve"> </w:t>
      </w:r>
      <w:r>
        <w:rPr>
          <w:rFonts w:hint="eastAsia"/>
        </w:rPr>
        <w:t xml:space="preserve"> 部门概况</w:t>
      </w:r>
      <w:bookmarkEnd w:id="12"/>
      <w:bookmarkEnd w:id="13"/>
      <w:bookmarkEnd w:id="14"/>
      <w:bookmarkEnd w:id="15"/>
    </w:p>
    <w:p>
      <w:pPr>
        <w:widowControl/>
        <w:jc w:val="left"/>
        <w:rPr>
          <w:rFonts w:ascii="Times New Roman" w:hAnsi="Times New Roman" w:eastAsia="黑体"/>
          <w:color w:val="auto"/>
          <w:sz w:val="32"/>
          <w:szCs w:val="32"/>
          <w:highlight w:val="none"/>
        </w:rPr>
      </w:pPr>
    </w:p>
    <w:p>
      <w:pPr>
        <w:pStyle w:val="6"/>
        <w:numPr>
          <w:ilvl w:val="0"/>
          <w:numId w:val="1"/>
        </w:numPr>
        <w:bidi w:val="0"/>
        <w:rPr>
          <w:rFonts w:hint="eastAsia"/>
          <w:lang w:eastAsia="zh-CN"/>
        </w:rPr>
      </w:pPr>
      <w:bookmarkStart w:id="16" w:name="_Toc2750"/>
      <w:bookmarkStart w:id="17" w:name="_Toc4189"/>
      <w:r>
        <w:rPr>
          <w:rFonts w:hint="eastAsia"/>
          <w:lang w:eastAsia="zh-CN"/>
        </w:rPr>
        <w:t>部门职责</w:t>
      </w:r>
      <w:bookmarkEnd w:id="16"/>
      <w:bookmarkEnd w:id="17"/>
    </w:p>
    <w:p>
      <w:pPr>
        <w:bidi w:val="0"/>
        <w:rPr>
          <w:rFonts w:hint="default"/>
          <w:lang w:val="en-US" w:eastAsia="zh-CN"/>
        </w:rPr>
      </w:pPr>
      <w:r>
        <w:rPr>
          <w:rFonts w:hint="default"/>
          <w:lang w:val="en-US" w:eastAsia="zh-CN"/>
        </w:rPr>
        <w:t>聚贤镇党委、政府负责贯彻落实党中央的方针政策和省委、市委、区委决策部署，把坚持和加强党的集中统一领导落实到履行职责过程中。主要职责是：</w:t>
      </w:r>
    </w:p>
    <w:p>
      <w:pPr>
        <w:bidi w:val="0"/>
        <w:rPr>
          <w:rFonts w:hint="default"/>
          <w:lang w:val="en-US" w:eastAsia="zh-CN"/>
        </w:rPr>
      </w:pPr>
      <w:r>
        <w:rPr>
          <w:rFonts w:hint="eastAsia"/>
          <w:lang w:val="en-US" w:eastAsia="zh-CN"/>
        </w:rPr>
        <w:t>（一）</w:t>
      </w:r>
      <w:r>
        <w:rPr>
          <w:rFonts w:hint="default"/>
          <w:lang w:val="en-US" w:eastAsia="zh-CN"/>
        </w:rPr>
        <w:t>加强党的建设。强化党的经济建设、政治建设、文化建设、社会建设、生态文明建设。落实党建工作责任制，加强意识形态工作，推进全面从严治党。推进村</w:t>
      </w:r>
      <w:r>
        <w:rPr>
          <w:rFonts w:hint="eastAsia"/>
          <w:lang w:val="en-US" w:eastAsia="zh-CN"/>
        </w:rPr>
        <w:t>（</w:t>
      </w:r>
      <w:r>
        <w:rPr>
          <w:rFonts w:hint="default"/>
          <w:lang w:val="en-US" w:eastAsia="zh-CN"/>
        </w:rPr>
        <w:t>社区</w:t>
      </w:r>
      <w:r>
        <w:rPr>
          <w:rFonts w:hint="eastAsia"/>
          <w:lang w:val="en-US" w:eastAsia="zh-CN"/>
        </w:rPr>
        <w:t>）</w:t>
      </w:r>
      <w:r>
        <w:rPr>
          <w:rFonts w:hint="default"/>
          <w:lang w:val="en-US" w:eastAsia="zh-CN"/>
        </w:rPr>
        <w:t>党建、机关党建、行业党建互联互动。加强对人大工作机构、政协、人武部、群团组织等的领导。</w:t>
      </w:r>
    </w:p>
    <w:p>
      <w:pPr>
        <w:bidi w:val="0"/>
        <w:rPr>
          <w:rFonts w:hint="default"/>
          <w:lang w:val="en-US" w:eastAsia="zh-CN"/>
        </w:rPr>
      </w:pPr>
      <w:r>
        <w:rPr>
          <w:rFonts w:hint="eastAsia"/>
          <w:lang w:val="en-US" w:eastAsia="zh-CN"/>
        </w:rPr>
        <w:t>（二）</w:t>
      </w:r>
      <w:r>
        <w:rPr>
          <w:rFonts w:hint="default"/>
          <w:lang w:val="en-US" w:eastAsia="zh-CN"/>
        </w:rPr>
        <w:t>促进经济发展。编制实施辖区经济社会发展、国土空间等各项规划。加快构建现代乡村产业体系，因地制宜发展特色产业，促进农村一、二、三产业融合发展，发展壮大农村集体经济，促进农民持续增收致富，推动镇、村</w:t>
      </w:r>
      <w:r>
        <w:rPr>
          <w:rFonts w:hint="eastAsia"/>
          <w:lang w:val="en-US" w:eastAsia="zh-CN"/>
        </w:rPr>
        <w:t>（</w:t>
      </w:r>
      <w:r>
        <w:rPr>
          <w:rFonts w:hint="default"/>
          <w:lang w:val="en-US" w:eastAsia="zh-CN"/>
        </w:rPr>
        <w:t>社区</w:t>
      </w:r>
      <w:r>
        <w:rPr>
          <w:rFonts w:hint="eastAsia"/>
          <w:lang w:val="en-US" w:eastAsia="zh-CN"/>
        </w:rPr>
        <w:t>）</w:t>
      </w:r>
      <w:r>
        <w:rPr>
          <w:rFonts w:hint="default"/>
          <w:lang w:val="en-US" w:eastAsia="zh-CN"/>
        </w:rPr>
        <w:t>经济高质量发展，有效推进乡村全面振兴。</w:t>
      </w:r>
    </w:p>
    <w:p>
      <w:pPr>
        <w:bidi w:val="0"/>
        <w:rPr>
          <w:rFonts w:hint="default"/>
          <w:lang w:val="en-US" w:eastAsia="zh-CN"/>
        </w:rPr>
      </w:pPr>
      <w:r>
        <w:rPr>
          <w:rFonts w:hint="eastAsia"/>
          <w:lang w:val="en-US" w:eastAsia="zh-CN"/>
        </w:rPr>
        <w:t>（三）</w:t>
      </w:r>
      <w:r>
        <w:rPr>
          <w:rFonts w:hint="default"/>
          <w:lang w:val="en-US" w:eastAsia="zh-CN"/>
        </w:rPr>
        <w:t>强化民生服务。组织实施辖区内各项公共服务，落实民生保障政策。加强辖区内公共基础设施、农田水利和各项公益事业建设，积极构建公共服务均等化体系。健全完善镇村两级为民服务体系，加强政务服务规范化建设。</w:t>
      </w:r>
    </w:p>
    <w:p>
      <w:pPr>
        <w:bidi w:val="0"/>
        <w:rPr>
          <w:rFonts w:hint="default"/>
          <w:lang w:val="en-US" w:eastAsia="zh-CN"/>
        </w:rPr>
      </w:pPr>
      <w:r>
        <w:rPr>
          <w:rFonts w:hint="eastAsia"/>
          <w:lang w:val="en-US" w:eastAsia="zh-CN"/>
        </w:rPr>
        <w:t>（四）</w:t>
      </w:r>
      <w:r>
        <w:rPr>
          <w:rFonts w:hint="default"/>
          <w:lang w:val="en-US" w:eastAsia="zh-CN"/>
        </w:rPr>
        <w:t>维护社会稳定。依法开展公共安全、平安建设、社会治安综合治理、安全生产监管、应急管理等工作，保障辖区内公民和各类经济组织的合法权益。推行网格化管理和服务，加强社会治安群防群治，及时化解各类矛盾纠纷。</w:t>
      </w:r>
    </w:p>
    <w:p>
      <w:pPr>
        <w:bidi w:val="0"/>
        <w:rPr>
          <w:rFonts w:hint="default"/>
          <w:lang w:val="en-US" w:eastAsia="zh-CN"/>
        </w:rPr>
      </w:pPr>
      <w:r>
        <w:rPr>
          <w:rFonts w:hint="eastAsia"/>
          <w:lang w:val="en-US" w:eastAsia="zh-CN"/>
        </w:rPr>
        <w:t>（五）</w:t>
      </w:r>
      <w:r>
        <w:rPr>
          <w:rFonts w:hint="default"/>
          <w:lang w:val="en-US" w:eastAsia="zh-CN"/>
        </w:rPr>
        <w:t>指导基层自治。完善党组织领导下的基层社会治理体系，提高基层自治水平，加强和改进对基层党组织的领导，指导和帮助村</w:t>
      </w:r>
      <w:r>
        <w:rPr>
          <w:rFonts w:hint="eastAsia"/>
          <w:lang w:val="en-US" w:eastAsia="zh-CN"/>
        </w:rPr>
        <w:t>（</w:t>
      </w:r>
      <w:r>
        <w:rPr>
          <w:rFonts w:hint="default"/>
          <w:lang w:val="en-US" w:eastAsia="zh-CN"/>
        </w:rPr>
        <w:t>社区</w:t>
      </w:r>
      <w:r>
        <w:rPr>
          <w:rFonts w:hint="eastAsia"/>
          <w:lang w:val="en-US" w:eastAsia="zh-CN"/>
        </w:rPr>
        <w:t>）</w:t>
      </w:r>
      <w:r>
        <w:rPr>
          <w:rFonts w:hint="default"/>
          <w:lang w:val="en-US" w:eastAsia="zh-CN"/>
        </w:rPr>
        <w:t>依法自治，推进村务公开、财务公开，促进村</w:t>
      </w:r>
      <w:r>
        <w:rPr>
          <w:rFonts w:hint="eastAsia"/>
          <w:lang w:val="en-US" w:eastAsia="zh-CN"/>
        </w:rPr>
        <w:t>（</w:t>
      </w:r>
      <w:r>
        <w:rPr>
          <w:rFonts w:hint="default"/>
          <w:lang w:val="en-US" w:eastAsia="zh-CN"/>
        </w:rPr>
        <w:t>社区</w:t>
      </w:r>
      <w:r>
        <w:rPr>
          <w:rFonts w:hint="eastAsia"/>
          <w:lang w:val="en-US" w:eastAsia="zh-CN"/>
        </w:rPr>
        <w:t>）</w:t>
      </w:r>
      <w:r>
        <w:rPr>
          <w:rFonts w:hint="default"/>
          <w:lang w:val="en-US" w:eastAsia="zh-CN"/>
        </w:rPr>
        <w:t>居民委员会的组织建设和制度建设。</w:t>
      </w:r>
    </w:p>
    <w:p>
      <w:pPr>
        <w:bidi w:val="0"/>
        <w:rPr>
          <w:rFonts w:hint="default"/>
          <w:lang w:val="en-US" w:eastAsia="zh-CN"/>
        </w:rPr>
      </w:pPr>
      <w:r>
        <w:rPr>
          <w:rFonts w:hint="eastAsia"/>
          <w:lang w:val="en-US" w:eastAsia="zh-CN"/>
        </w:rPr>
        <w:t>（六）</w:t>
      </w:r>
      <w:r>
        <w:rPr>
          <w:rFonts w:hint="default"/>
          <w:lang w:val="en-US" w:eastAsia="zh-CN"/>
        </w:rPr>
        <w:t>实施综合管理。依法履行上级赋予的行政执法权限，统筹协调辖区内派驻机构和派驻人员，依法开展综合执法，做好监督检查等事中事后监管工作。动员辖区内各类社会力量参与社会治理，引导辖区内单位履行社会责任。</w:t>
      </w:r>
    </w:p>
    <w:p>
      <w:pPr>
        <w:bidi w:val="0"/>
        <w:rPr>
          <w:rFonts w:hint="eastAsia"/>
          <w:lang w:eastAsia="zh-CN"/>
        </w:rPr>
      </w:pPr>
      <w:r>
        <w:rPr>
          <w:rFonts w:hint="eastAsia"/>
          <w:lang w:val="en-US" w:eastAsia="zh-CN"/>
        </w:rPr>
        <w:t>（七）</w:t>
      </w:r>
      <w:r>
        <w:rPr>
          <w:rFonts w:hint="default"/>
          <w:lang w:val="en-US" w:eastAsia="zh-CN"/>
        </w:rPr>
        <w:t>完成区委、区政府交办的其他任务。</w:t>
      </w:r>
    </w:p>
    <w:p>
      <w:pPr>
        <w:pStyle w:val="6"/>
        <w:bidi w:val="0"/>
      </w:pPr>
      <w:bookmarkStart w:id="18" w:name="_Toc15377200"/>
      <w:bookmarkStart w:id="19" w:name="_Toc15396601"/>
      <w:bookmarkStart w:id="20" w:name="_Toc4251"/>
      <w:bookmarkStart w:id="21" w:name="_Toc20929"/>
      <w:r>
        <w:rPr>
          <w:rFonts w:hint="eastAsia"/>
        </w:rPr>
        <w:t>二、机构设置</w:t>
      </w:r>
      <w:bookmarkEnd w:id="18"/>
      <w:bookmarkEnd w:id="19"/>
      <w:bookmarkEnd w:id="20"/>
      <w:bookmarkEnd w:id="21"/>
    </w:p>
    <w:p>
      <w:pPr>
        <w:bidi w:val="0"/>
        <w:rPr>
          <w:rFonts w:hint="eastAsia"/>
          <w:lang w:val="en-US" w:eastAsia="zh-CN"/>
        </w:rPr>
      </w:pPr>
      <w:r>
        <w:rPr>
          <w:rFonts w:hint="eastAsia"/>
          <w:lang w:val="en-US" w:eastAsia="zh-CN"/>
        </w:rPr>
        <w:t>遂宁市安居区聚贤镇人民政府现内设机构6个（党政办公室、党建工作办公室、经济发展和乡村振兴办公室、社会事务和社会治理办公室、应急管理办公室、综合执法办公室），直属事业机构3个（便民服务中心、农业综合服务中心、宣传文化服务中心），属于行政单位。</w:t>
      </w:r>
    </w:p>
    <w:p>
      <w:pPr>
        <w:bidi w:val="0"/>
        <w:rPr>
          <w:rFonts w:hint="eastAsia"/>
        </w:rPr>
      </w:pPr>
      <w:r>
        <w:rPr>
          <w:rFonts w:hint="eastAsia"/>
          <w:lang w:eastAsia="zh-CN"/>
        </w:rPr>
        <w:t>遂宁市安居区聚贤镇人民政府属于</w:t>
      </w:r>
      <w:r>
        <w:rPr>
          <w:rFonts w:hint="eastAsia"/>
          <w:lang w:val="en-US" w:eastAsia="zh-CN"/>
        </w:rPr>
        <w:t>一级预算单位，无下属单位</w:t>
      </w:r>
      <w:r>
        <w:rPr>
          <w:rFonts w:hint="eastAsia"/>
        </w:rPr>
        <w:t>。</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5"/>
        <w:bidi w:val="0"/>
        <w:rPr>
          <w:rFonts w:hint="eastAsia"/>
        </w:rPr>
      </w:pPr>
      <w:bookmarkStart w:id="22" w:name="_Toc17905"/>
      <w:bookmarkStart w:id="23" w:name="_Toc15396602"/>
      <w:bookmarkStart w:id="24" w:name="_Toc15377204"/>
      <w:bookmarkStart w:id="25" w:name="_Toc15920"/>
      <w:r>
        <w:rPr>
          <w:rFonts w:hint="eastAsia"/>
        </w:rPr>
        <w:t>第二部分</w:t>
      </w:r>
      <w:r>
        <w:rPr>
          <w:rFonts w:hint="eastAsia"/>
          <w:lang w:val="en-US" w:eastAsia="zh-CN"/>
        </w:rPr>
        <w:t xml:space="preserve"> </w:t>
      </w:r>
      <w:r>
        <w:rPr>
          <w:rFonts w:hint="eastAsia"/>
        </w:rPr>
        <w:t xml:space="preserve"> </w:t>
      </w:r>
      <w:r>
        <w:rPr>
          <w:rFonts w:hint="eastAsia"/>
          <w:lang w:val="en-US" w:eastAsia="zh-CN"/>
        </w:rPr>
        <w:t>2024年度</w:t>
      </w:r>
      <w:r>
        <w:rPr>
          <w:rFonts w:hint="eastAsia"/>
        </w:rPr>
        <w:t>部门决算情况说明</w:t>
      </w:r>
      <w:bookmarkEnd w:id="22"/>
      <w:bookmarkEnd w:id="23"/>
      <w:bookmarkEnd w:id="24"/>
      <w:bookmarkEnd w:id="25"/>
    </w:p>
    <w:p>
      <w:pPr>
        <w:rPr>
          <w:rFonts w:ascii="Times New Roman" w:hAnsi="Times New Roman"/>
          <w:color w:val="auto"/>
          <w:highlight w:val="none"/>
        </w:rPr>
      </w:pPr>
    </w:p>
    <w:p>
      <w:pPr>
        <w:pStyle w:val="6"/>
        <w:bidi w:val="0"/>
        <w:rPr>
          <w:rFonts w:hint="eastAsia"/>
        </w:rPr>
      </w:pPr>
      <w:bookmarkStart w:id="26" w:name="_Toc13999"/>
      <w:bookmarkStart w:id="27" w:name="_Toc15396603"/>
      <w:bookmarkStart w:id="28" w:name="_Toc29995"/>
      <w:bookmarkStart w:id="29" w:name="_Toc15377205"/>
      <w:r>
        <w:rPr>
          <w:rFonts w:hint="eastAsia"/>
          <w:lang w:eastAsia="zh-CN"/>
        </w:rPr>
        <w:t>一、</w:t>
      </w:r>
      <w:r>
        <w:rPr>
          <w:rFonts w:hint="eastAsia"/>
        </w:rPr>
        <w:t>收入支出决算总体情况说明</w:t>
      </w:r>
      <w:bookmarkEnd w:id="26"/>
      <w:bookmarkEnd w:id="27"/>
      <w:bookmarkEnd w:id="28"/>
      <w:bookmarkEnd w:id="29"/>
    </w:p>
    <w:p>
      <w:pPr>
        <w:bidi w:val="0"/>
        <w:rPr>
          <w:rFonts w:hint="eastAsia"/>
          <w:lang w:eastAsia="zh-CN"/>
        </w:rPr>
      </w:pPr>
      <w:bookmarkStart w:id="30" w:name="_Toc22886"/>
      <w:r>
        <w:rPr>
          <w:rFonts w:hint="eastAsia"/>
          <w:lang w:eastAsia="zh-CN"/>
        </w:rPr>
        <w:t>2024年度收入</w:t>
      </w:r>
      <w:r>
        <w:rPr>
          <w:rFonts w:hint="eastAsia"/>
        </w:rPr>
        <w:t>、</w:t>
      </w:r>
      <w:r>
        <w:rPr>
          <w:rFonts w:hint="eastAsia"/>
          <w:lang w:eastAsia="zh-CN"/>
        </w:rPr>
        <w:t>支出</w:t>
      </w:r>
      <w:r>
        <w:rPr>
          <w:rFonts w:hint="eastAsia"/>
        </w:rPr>
        <w:t>总计</w:t>
      </w:r>
      <w:r>
        <w:rPr>
          <w:rFonts w:hint="eastAsia"/>
          <w:lang w:eastAsia="zh-CN"/>
        </w:rPr>
        <w:t>均为</w:t>
      </w:r>
      <w:r>
        <w:rPr>
          <w:rFonts w:hint="eastAsia"/>
          <w:lang w:val="en-US" w:eastAsia="zh-CN"/>
        </w:rPr>
        <w:t>6977.17</w:t>
      </w:r>
      <w:r>
        <w:rPr>
          <w:rFonts w:hint="eastAsia"/>
        </w:rPr>
        <w:t>万元。与</w:t>
      </w:r>
      <w:r>
        <w:rPr>
          <w:rFonts w:hint="eastAsia"/>
          <w:lang w:eastAsia="zh-CN"/>
        </w:rPr>
        <w:t>202</w:t>
      </w:r>
      <w:r>
        <w:rPr>
          <w:rFonts w:hint="eastAsia"/>
          <w:lang w:val="en-US" w:eastAsia="zh-CN"/>
        </w:rPr>
        <w:t>3</w:t>
      </w:r>
      <w:r>
        <w:rPr>
          <w:rFonts w:hint="eastAsia"/>
        </w:rPr>
        <w:t>年</w:t>
      </w:r>
      <w:r>
        <w:rPr>
          <w:rFonts w:hint="eastAsia"/>
          <w:lang w:eastAsia="zh-CN"/>
        </w:rPr>
        <w:t>度</w:t>
      </w:r>
      <w:r>
        <w:rPr>
          <w:rFonts w:hint="eastAsia"/>
        </w:rPr>
        <w:t>相比，</w:t>
      </w:r>
      <w:r>
        <w:rPr>
          <w:rFonts w:hint="eastAsia"/>
          <w:lang w:eastAsia="zh-CN"/>
        </w:rPr>
        <w:t>收入</w:t>
      </w:r>
      <w:r>
        <w:rPr>
          <w:rFonts w:hint="eastAsia"/>
        </w:rPr>
        <w:t>、</w:t>
      </w:r>
      <w:r>
        <w:rPr>
          <w:rFonts w:hint="eastAsia"/>
          <w:lang w:eastAsia="zh-CN"/>
        </w:rPr>
        <w:t>支出</w:t>
      </w:r>
      <w:r>
        <w:rPr>
          <w:rFonts w:hint="eastAsia"/>
        </w:rPr>
        <w:t>总计各增加</w:t>
      </w:r>
      <w:r>
        <w:rPr>
          <w:rFonts w:hint="eastAsia"/>
          <w:lang w:val="en-US" w:eastAsia="zh-CN"/>
        </w:rPr>
        <w:t>5691.9</w:t>
      </w:r>
      <w:r>
        <w:rPr>
          <w:rFonts w:hint="eastAsia"/>
        </w:rPr>
        <w:t>万元，增长</w:t>
      </w:r>
      <w:r>
        <w:rPr>
          <w:rFonts w:hint="eastAsia"/>
          <w:lang w:val="en-US" w:eastAsia="zh-CN"/>
        </w:rPr>
        <w:t>422.86</w:t>
      </w:r>
      <w:r>
        <w:rPr>
          <w:rFonts w:hint="eastAsia"/>
        </w:rPr>
        <w:t>%。主要变动原因是</w:t>
      </w:r>
      <w:r>
        <w:rPr>
          <w:rFonts w:hint="default"/>
          <w:lang w:val="en-US" w:eastAsia="zh-CN"/>
        </w:rPr>
        <w:t>2024年增加聚贤风情小镇项目资金5</w:t>
      </w:r>
      <w:r>
        <w:rPr>
          <w:rFonts w:hint="eastAsia"/>
          <w:lang w:val="en-US" w:eastAsia="zh-CN"/>
        </w:rPr>
        <w:t>,</w:t>
      </w:r>
      <w:r>
        <w:rPr>
          <w:rFonts w:hint="default"/>
          <w:lang w:val="en-US" w:eastAsia="zh-CN"/>
        </w:rPr>
        <w:t>653</w:t>
      </w:r>
      <w:r>
        <w:rPr>
          <w:rFonts w:hint="eastAsia"/>
          <w:lang w:val="en-US" w:eastAsia="zh-CN"/>
        </w:rPr>
        <w:t>.</w:t>
      </w:r>
      <w:r>
        <w:rPr>
          <w:rFonts w:hint="default"/>
          <w:lang w:val="en-US" w:eastAsia="zh-CN"/>
        </w:rPr>
        <w:t>97</w:t>
      </w:r>
      <w:r>
        <w:rPr>
          <w:rFonts w:hint="eastAsia"/>
          <w:lang w:val="en-US" w:eastAsia="zh-CN"/>
        </w:rPr>
        <w:t>万</w:t>
      </w:r>
      <w:r>
        <w:rPr>
          <w:rFonts w:hint="default"/>
          <w:lang w:val="en-US" w:eastAsia="zh-CN"/>
        </w:rPr>
        <w:t>元</w:t>
      </w:r>
      <w:r>
        <w:rPr>
          <w:rFonts w:hint="eastAsia"/>
          <w:lang w:val="en-US" w:eastAsia="zh-CN"/>
        </w:rPr>
        <w:t>。</w:t>
      </w:r>
      <w:bookmarkEnd w:id="3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28"/>
          <w:szCs w:val="28"/>
          <w:highlight w:val="none"/>
        </w:rPr>
        <w:t>图1：</w:t>
      </w:r>
      <w:r>
        <w:rPr>
          <w:rFonts w:hint="eastAsia" w:ascii="Times New Roman" w:hAnsi="Times New Roman" w:eastAsia="仿宋_GB2312" w:cs="仿宋_GB2312"/>
          <w:color w:val="auto"/>
          <w:sz w:val="28"/>
          <w:szCs w:val="28"/>
          <w:highlight w:val="none"/>
          <w:lang w:eastAsia="zh-CN"/>
        </w:rPr>
        <w:t>收入</w:t>
      </w:r>
      <w:r>
        <w:rPr>
          <w:rFonts w:hint="eastAsia" w:ascii="Times New Roman" w:hAnsi="Times New Roman" w:eastAsia="仿宋_GB2312" w:cs="仿宋_GB2312"/>
          <w:color w:val="auto"/>
          <w:sz w:val="28"/>
          <w:szCs w:val="28"/>
          <w:highlight w:val="none"/>
        </w:rPr>
        <w:t>、</w:t>
      </w:r>
      <w:r>
        <w:rPr>
          <w:rFonts w:hint="eastAsia" w:ascii="Times New Roman" w:hAnsi="Times New Roman" w:eastAsia="仿宋_GB2312" w:cs="仿宋_GB2312"/>
          <w:color w:val="auto"/>
          <w:sz w:val="28"/>
          <w:szCs w:val="28"/>
          <w:highlight w:val="none"/>
          <w:lang w:eastAsia="zh-CN"/>
        </w:rPr>
        <w:t>支出</w:t>
      </w:r>
      <w:r>
        <w:rPr>
          <w:rFonts w:hint="eastAsia" w:ascii="Times New Roman" w:hAnsi="Times New Roman" w:eastAsia="仿宋_GB2312" w:cs="仿宋_GB2312"/>
          <w:color w:val="auto"/>
          <w:sz w:val="28"/>
          <w:szCs w:val="28"/>
          <w:highlight w:val="none"/>
        </w:rPr>
        <w:t>决算总计变动情况图</w:t>
      </w:r>
    </w:p>
    <w:p>
      <w:pPr>
        <w:pStyle w:val="6"/>
        <w:bidi w:val="0"/>
        <w:rPr>
          <w:rFonts w:hint="eastAsia"/>
          <w:lang w:eastAsia="zh-CN"/>
        </w:rPr>
      </w:pPr>
      <w:bookmarkStart w:id="31" w:name="_Toc15396604"/>
      <w:bookmarkStart w:id="32" w:name="_Toc15377206"/>
      <w:bookmarkStart w:id="33" w:name="_Toc22870"/>
      <w:bookmarkStart w:id="34" w:name="_Toc23776"/>
      <w:r>
        <w:rPr>
          <w:rFonts w:hint="eastAsia"/>
          <w:lang w:eastAsia="zh-CN"/>
        </w:rPr>
        <w:t>二、收入决算情况说明</w:t>
      </w:r>
      <w:bookmarkEnd w:id="31"/>
      <w:bookmarkEnd w:id="32"/>
      <w:bookmarkEnd w:id="33"/>
      <w:bookmarkEnd w:id="34"/>
    </w:p>
    <w:p>
      <w:pPr>
        <w:bidi w:val="0"/>
        <w:rPr>
          <w:rFonts w:hint="eastAsia"/>
          <w:lang w:eastAsia="zh-CN"/>
        </w:rPr>
      </w:pPr>
      <w:bookmarkStart w:id="35" w:name="_Toc28738"/>
      <w:r>
        <w:rPr>
          <w:rFonts w:hint="eastAsia"/>
          <w:lang w:eastAsia="zh-CN"/>
        </w:rPr>
        <w:t>2024年度本年收入合计</w:t>
      </w:r>
      <w:r>
        <w:rPr>
          <w:rFonts w:hint="eastAsia"/>
          <w:lang w:val="en-US" w:eastAsia="zh-CN"/>
        </w:rPr>
        <w:t>6977.17</w:t>
      </w:r>
      <w:r>
        <w:rPr>
          <w:rFonts w:hint="eastAsia"/>
          <w:lang w:eastAsia="zh-CN"/>
        </w:rPr>
        <w:t>万元，其中：一般公共预算财政拨款收入</w:t>
      </w:r>
      <w:r>
        <w:rPr>
          <w:rFonts w:hint="default"/>
          <w:lang w:val="en-US" w:eastAsia="zh-CN"/>
        </w:rPr>
        <w:t>1</w:t>
      </w:r>
      <w:r>
        <w:rPr>
          <w:rFonts w:hint="eastAsia"/>
          <w:lang w:val="en-US" w:eastAsia="zh-CN"/>
        </w:rPr>
        <w:t>,</w:t>
      </w:r>
      <w:r>
        <w:rPr>
          <w:rFonts w:hint="default"/>
          <w:lang w:val="en-US" w:eastAsia="zh-CN"/>
        </w:rPr>
        <w:t>244.20</w:t>
      </w:r>
      <w:r>
        <w:rPr>
          <w:rFonts w:hint="eastAsia"/>
          <w:lang w:eastAsia="zh-CN"/>
        </w:rPr>
        <w:t>万元，占</w:t>
      </w:r>
      <w:r>
        <w:rPr>
          <w:rFonts w:hint="default"/>
          <w:lang w:val="en-US" w:eastAsia="zh-CN"/>
        </w:rPr>
        <w:t>17.83%</w:t>
      </w:r>
      <w:r>
        <w:rPr>
          <w:rFonts w:hint="eastAsia"/>
          <w:lang w:eastAsia="zh-CN"/>
        </w:rPr>
        <w:t>；政府性基金预算财政拨款收入</w:t>
      </w:r>
      <w:r>
        <w:rPr>
          <w:rFonts w:hint="default"/>
          <w:lang w:val="en-US" w:eastAsia="zh-CN"/>
        </w:rPr>
        <w:t>5</w:t>
      </w:r>
      <w:r>
        <w:rPr>
          <w:rFonts w:hint="eastAsia"/>
          <w:lang w:val="en-US" w:eastAsia="zh-CN"/>
        </w:rPr>
        <w:t>,</w:t>
      </w:r>
      <w:r>
        <w:rPr>
          <w:rFonts w:hint="default"/>
          <w:lang w:val="en-US" w:eastAsia="zh-CN"/>
        </w:rPr>
        <w:t>732.97</w:t>
      </w:r>
      <w:r>
        <w:rPr>
          <w:rFonts w:hint="eastAsia"/>
          <w:lang w:eastAsia="zh-CN"/>
        </w:rPr>
        <w:t>万元，占</w:t>
      </w:r>
      <w:r>
        <w:rPr>
          <w:rFonts w:hint="default"/>
          <w:lang w:val="en-US" w:eastAsia="zh-CN"/>
        </w:rPr>
        <w:t>82.17%</w:t>
      </w:r>
      <w:r>
        <w:rPr>
          <w:rFonts w:hint="eastAsia"/>
          <w:lang w:val="en-US" w:eastAsia="zh-CN"/>
        </w:rPr>
        <w:t>。</w:t>
      </w:r>
      <w:bookmarkEnd w:id="35"/>
    </w:p>
    <w:p>
      <w:pPr>
        <w:ind w:firstLine="800" w:firstLineChars="250"/>
        <w:rPr>
          <w:rFonts w:hint="eastAsia" w:ascii="Times New Roman" w:hAnsi="Times New Roman" w:eastAsia="仿宋_GB2312" w:cs="仿宋_GB2312"/>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Times New Roman" w:hAnsi="Times New Roman" w:eastAsia="仿宋_GB2312" w:cs="仿宋_GB2312"/>
          <w:color w:val="auto"/>
          <w:sz w:val="28"/>
          <w:szCs w:val="28"/>
          <w:highlight w:val="none"/>
          <w:lang w:eastAsia="zh-CN"/>
        </w:rPr>
        <w:t>图2：收入决算结构图</w:t>
      </w:r>
    </w:p>
    <w:p>
      <w:pPr>
        <w:pStyle w:val="6"/>
        <w:bidi w:val="0"/>
        <w:rPr>
          <w:rFonts w:hint="eastAsia"/>
        </w:rPr>
      </w:pPr>
      <w:bookmarkStart w:id="36" w:name="_Toc15396605"/>
      <w:bookmarkStart w:id="37" w:name="_Toc22451"/>
      <w:bookmarkStart w:id="38" w:name="_Toc31390"/>
      <w:bookmarkStart w:id="39" w:name="_Toc15377207"/>
      <w:r>
        <w:rPr>
          <w:rFonts w:hint="eastAsia"/>
          <w:lang w:eastAsia="zh-CN"/>
        </w:rPr>
        <w:t>三、</w:t>
      </w:r>
      <w:r>
        <w:rPr>
          <w:rFonts w:hint="eastAsia"/>
        </w:rPr>
        <w:t>支出决算情况说明</w:t>
      </w:r>
      <w:bookmarkEnd w:id="36"/>
      <w:bookmarkEnd w:id="37"/>
      <w:bookmarkEnd w:id="38"/>
      <w:bookmarkEnd w:id="39"/>
    </w:p>
    <w:p>
      <w:pPr>
        <w:bidi w:val="0"/>
        <w:rPr>
          <w:rFonts w:hint="eastAsia"/>
          <w:lang w:eastAsia="zh-CN"/>
        </w:rPr>
      </w:pPr>
      <w:bookmarkStart w:id="40" w:name="_Toc29744"/>
      <w:r>
        <w:rPr>
          <w:rFonts w:hint="eastAsia"/>
          <w:lang w:eastAsia="zh-CN"/>
        </w:rPr>
        <w:t>2024年度本年支出合计</w:t>
      </w:r>
      <w:r>
        <w:rPr>
          <w:rFonts w:hint="eastAsia"/>
          <w:lang w:val="en-US" w:eastAsia="zh-CN"/>
        </w:rPr>
        <w:t>6977.17</w:t>
      </w:r>
      <w:r>
        <w:rPr>
          <w:rFonts w:hint="eastAsia"/>
          <w:lang w:eastAsia="zh-CN"/>
        </w:rPr>
        <w:t>万元，其中：基本支出</w:t>
      </w:r>
      <w:r>
        <w:rPr>
          <w:rFonts w:hint="default"/>
          <w:lang w:val="en-US" w:eastAsia="zh-CN"/>
        </w:rPr>
        <w:t>1038.33</w:t>
      </w:r>
      <w:r>
        <w:rPr>
          <w:rFonts w:hint="eastAsia"/>
          <w:lang w:eastAsia="zh-CN"/>
        </w:rPr>
        <w:t>万元，占</w:t>
      </w:r>
      <w:r>
        <w:rPr>
          <w:rFonts w:hint="eastAsia"/>
          <w:lang w:val="en-US" w:eastAsia="zh-CN"/>
        </w:rPr>
        <w:t>14.88</w:t>
      </w:r>
      <w:r>
        <w:rPr>
          <w:rFonts w:hint="eastAsia"/>
          <w:lang w:eastAsia="zh-CN"/>
        </w:rPr>
        <w:t>%；项目支出</w:t>
      </w:r>
      <w:r>
        <w:rPr>
          <w:rFonts w:hint="default"/>
          <w:lang w:val="en-US" w:eastAsia="zh-CN"/>
        </w:rPr>
        <w:t>5938.85</w:t>
      </w:r>
      <w:r>
        <w:rPr>
          <w:rFonts w:hint="eastAsia"/>
          <w:lang w:eastAsia="zh-CN"/>
        </w:rPr>
        <w:t>万元，占</w:t>
      </w:r>
      <w:r>
        <w:rPr>
          <w:rFonts w:hint="eastAsia"/>
          <w:lang w:val="en-US" w:eastAsia="zh-CN"/>
        </w:rPr>
        <w:t>85.12</w:t>
      </w:r>
      <w:r>
        <w:rPr>
          <w:rFonts w:hint="eastAsia"/>
          <w:lang w:eastAsia="zh-CN"/>
        </w:rPr>
        <w:t>%。</w:t>
      </w:r>
      <w:bookmarkEnd w:id="40"/>
    </w:p>
    <w:p>
      <w:pPr>
        <w:keepNext w:val="0"/>
        <w:keepLines w:val="0"/>
        <w:pageBreakBefore w:val="0"/>
        <w:widowControl w:val="0"/>
        <w:kinsoku/>
        <w:wordWrap/>
        <w:overflowPunct/>
        <w:topLinePunct w:val="0"/>
        <w:autoSpaceDE/>
        <w:autoSpaceDN/>
        <w:bidi w:val="0"/>
        <w:adjustRightInd/>
        <w:snapToGrid/>
        <w:spacing w:line="240" w:lineRule="auto"/>
        <w:ind w:firstLine="800" w:firstLineChars="25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509135" cy="2647950"/>
            <wp:effectExtent l="4445" t="4445" r="2032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28"/>
          <w:szCs w:val="28"/>
          <w:highlight w:val="none"/>
          <w:lang w:eastAsia="zh-CN"/>
        </w:rPr>
        <w:t>图3：支出决算结构图</w:t>
      </w:r>
    </w:p>
    <w:p>
      <w:pPr>
        <w:pStyle w:val="6"/>
        <w:bidi w:val="0"/>
      </w:pPr>
      <w:bookmarkStart w:id="41" w:name="_Toc18805"/>
      <w:bookmarkStart w:id="42" w:name="_Toc15377208"/>
      <w:bookmarkStart w:id="43" w:name="_Toc15396606"/>
      <w:bookmarkStart w:id="44" w:name="_Toc19194"/>
      <w:r>
        <w:rPr>
          <w:rFonts w:hint="eastAsia"/>
        </w:rPr>
        <w:t>四、财政拨款收入支出决算总体情况说明</w:t>
      </w:r>
      <w:bookmarkEnd w:id="41"/>
      <w:bookmarkEnd w:id="42"/>
      <w:bookmarkEnd w:id="43"/>
      <w:bookmarkEnd w:id="44"/>
    </w:p>
    <w:p>
      <w:pPr>
        <w:bidi w:val="0"/>
        <w:rPr>
          <w:rFonts w:hint="eastAsia"/>
          <w:lang w:eastAsia="zh-CN"/>
        </w:rPr>
      </w:pPr>
      <w:bookmarkStart w:id="45" w:name="_Toc5062"/>
      <w:r>
        <w:rPr>
          <w:rFonts w:hint="eastAsia"/>
          <w:lang w:val="en-US" w:eastAsia="zh-CN"/>
        </w:rPr>
        <w:t>2024年度财政拨款收入、支出总计均为6977.17万元。与2023年度相比，财政拨款收入、支出总计各增加5691.9万元，增长442.86%。主要变动原因是</w:t>
      </w:r>
      <w:r>
        <w:rPr>
          <w:rFonts w:hint="default"/>
          <w:lang w:val="en-US" w:eastAsia="zh-CN"/>
        </w:rPr>
        <w:t>2024年增加聚贤风情小镇项目资金5</w:t>
      </w:r>
      <w:r>
        <w:rPr>
          <w:rFonts w:hint="eastAsia"/>
          <w:lang w:val="en-US" w:eastAsia="zh-CN"/>
        </w:rPr>
        <w:t>,</w:t>
      </w:r>
      <w:r>
        <w:rPr>
          <w:rFonts w:hint="default"/>
          <w:lang w:val="en-US" w:eastAsia="zh-CN"/>
        </w:rPr>
        <w:t>653</w:t>
      </w:r>
      <w:r>
        <w:rPr>
          <w:rFonts w:hint="eastAsia"/>
          <w:lang w:val="en-US" w:eastAsia="zh-CN"/>
        </w:rPr>
        <w:t>.</w:t>
      </w:r>
      <w:r>
        <w:rPr>
          <w:rFonts w:hint="default"/>
          <w:lang w:val="en-US" w:eastAsia="zh-CN"/>
        </w:rPr>
        <w:t>97</w:t>
      </w:r>
      <w:r>
        <w:rPr>
          <w:rFonts w:hint="eastAsia"/>
          <w:lang w:val="en-US" w:eastAsia="zh-CN"/>
        </w:rPr>
        <w:t>万</w:t>
      </w:r>
      <w:r>
        <w:rPr>
          <w:rFonts w:hint="default"/>
          <w:lang w:val="en-US" w:eastAsia="zh-CN"/>
        </w:rPr>
        <w:t>元</w:t>
      </w:r>
      <w:r>
        <w:rPr>
          <w:rFonts w:hint="eastAsia"/>
          <w:lang w:val="en-US" w:eastAsia="zh-CN"/>
        </w:rPr>
        <w:t>。</w:t>
      </w:r>
      <w:bookmarkEnd w:id="45"/>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495675"/>
            <wp:effectExtent l="4445" t="4445" r="2095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图4：财政拨款收、支决算总计变动情况</w:t>
      </w:r>
      <w:r>
        <w:rPr>
          <w:rFonts w:hint="eastAsia" w:eastAsia="仿宋_GB2312" w:cs="仿宋_GB2312"/>
          <w:color w:val="auto"/>
          <w:kern w:val="2"/>
          <w:sz w:val="28"/>
          <w:szCs w:val="28"/>
          <w:highlight w:val="none"/>
          <w:lang w:val="en-US" w:eastAsia="zh-CN" w:bidi="ar-SA"/>
        </w:rPr>
        <w:t>图</w:t>
      </w:r>
    </w:p>
    <w:p>
      <w:pPr>
        <w:pStyle w:val="6"/>
        <w:bidi w:val="0"/>
      </w:pPr>
      <w:bookmarkStart w:id="46" w:name="_Toc9551"/>
      <w:bookmarkStart w:id="47" w:name="_Toc19158"/>
      <w:bookmarkStart w:id="48" w:name="_Toc15377209"/>
      <w:bookmarkStart w:id="49" w:name="_Toc15396607"/>
      <w:r>
        <w:rPr>
          <w:rFonts w:hint="eastAsia"/>
        </w:rPr>
        <w:t>五、一般公共预算财政拨款支出决算情况说明</w:t>
      </w:r>
      <w:bookmarkEnd w:id="46"/>
      <w:bookmarkEnd w:id="47"/>
      <w:bookmarkEnd w:id="48"/>
      <w:bookmarkEnd w:id="49"/>
    </w:p>
    <w:p>
      <w:pPr>
        <w:pStyle w:val="7"/>
        <w:bidi w:val="0"/>
        <w:rPr>
          <w:rFonts w:hint="eastAsia"/>
        </w:rPr>
      </w:pPr>
      <w:bookmarkStart w:id="50" w:name="_Toc15377210"/>
      <w:r>
        <w:rPr>
          <w:rFonts w:hint="eastAsia"/>
        </w:rPr>
        <w:t>（一）一般公共预算财政拨款支出决算总体情况</w:t>
      </w:r>
      <w:bookmarkEnd w:id="50"/>
    </w:p>
    <w:p>
      <w:pPr>
        <w:bidi w:val="0"/>
        <w:rPr>
          <w:rFonts w:hint="eastAsia"/>
          <w:lang w:val="en-US" w:eastAsia="zh-CN"/>
        </w:rPr>
      </w:pPr>
      <w:r>
        <w:rPr>
          <w:rFonts w:hint="eastAsia"/>
          <w:lang w:val="en-US" w:eastAsia="zh-CN"/>
        </w:rPr>
        <w:t>2024年度一般公共预算财政拨款支出1244.2万元，占本年支出合计的17.83%。与2023年度相比，一般公共预算财政拨款支出减少15.95万元，减少1.27%。主要变动原因是厉行节约，精简开支。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图5：一般公共预算财政拨款支出决算变动情况</w:t>
      </w:r>
      <w:r>
        <w:rPr>
          <w:rFonts w:hint="eastAsia" w:eastAsia="仿宋_GB2312" w:cs="仿宋_GB2312"/>
          <w:color w:val="auto"/>
          <w:kern w:val="2"/>
          <w:sz w:val="28"/>
          <w:szCs w:val="28"/>
          <w:highlight w:val="none"/>
          <w:lang w:val="en-US" w:eastAsia="zh-CN" w:bidi="ar-SA"/>
        </w:rPr>
        <w:t>图</w:t>
      </w:r>
    </w:p>
    <w:p>
      <w:pPr>
        <w:pStyle w:val="7"/>
        <w:bidi w:val="0"/>
        <w:rPr>
          <w:rFonts w:hint="eastAsia"/>
        </w:rPr>
      </w:pPr>
      <w:bookmarkStart w:id="51" w:name="_Toc15377211"/>
      <w:r>
        <w:rPr>
          <w:rFonts w:hint="eastAsia"/>
        </w:rPr>
        <w:t>（二）一般公共预算财政拨款支出决算结构情况</w:t>
      </w:r>
      <w:bookmarkEnd w:id="51"/>
    </w:p>
    <w:p>
      <w:pPr>
        <w:bidi w:val="0"/>
        <w:rPr>
          <w:rFonts w:hint="default"/>
          <w:lang w:val="en-US" w:eastAsia="zh-CN"/>
        </w:rPr>
      </w:pPr>
      <w:r>
        <w:rPr>
          <w:rFonts w:hint="eastAsia"/>
          <w:lang w:val="en-US" w:eastAsia="zh-CN"/>
        </w:rPr>
        <w:t>2024年度一般公共预算财政拨款支出</w:t>
      </w:r>
      <w:r>
        <w:rPr>
          <w:rFonts w:hint="default"/>
          <w:lang w:val="en-US" w:eastAsia="zh-CN"/>
        </w:rPr>
        <w:t>6</w:t>
      </w:r>
      <w:r>
        <w:rPr>
          <w:rFonts w:hint="eastAsia"/>
          <w:lang w:val="en-US" w:eastAsia="zh-CN"/>
        </w:rPr>
        <w:t>,</w:t>
      </w:r>
      <w:r>
        <w:rPr>
          <w:rFonts w:hint="default"/>
          <w:lang w:val="en-US" w:eastAsia="zh-CN"/>
        </w:rPr>
        <w:t>977.17</w:t>
      </w:r>
      <w:r>
        <w:rPr>
          <w:rFonts w:hint="eastAsia"/>
          <w:lang w:val="en-US" w:eastAsia="zh-CN"/>
        </w:rPr>
        <w:t>万元，主要用于以下方面：</w:t>
      </w:r>
      <w:r>
        <w:rPr>
          <w:rFonts w:hint="default"/>
          <w:lang w:eastAsia="zh-CN"/>
        </w:rPr>
        <w:t>一般公共服务支出</w:t>
      </w:r>
      <w:r>
        <w:rPr>
          <w:rFonts w:hint="default"/>
          <w:lang w:val="en-US" w:eastAsia="zh-CN"/>
        </w:rPr>
        <w:t>486.63万元，占6.98%；文化旅游体育与传媒支出6.00万元，占0.08%；社会保障和就业支出169.89万元，占2.43%；卫生健康支出41.73万元，占0.60%；节能环保支出6.00万元，占0.08%；城乡社区支出5</w:t>
      </w:r>
      <w:r>
        <w:rPr>
          <w:rFonts w:hint="eastAsia"/>
          <w:lang w:val="en-US" w:eastAsia="zh-CN"/>
        </w:rPr>
        <w:t>,</w:t>
      </w:r>
      <w:r>
        <w:rPr>
          <w:rFonts w:hint="default"/>
          <w:lang w:val="en-US" w:eastAsia="zh-CN"/>
        </w:rPr>
        <w:t>732.97万元，占82.17%；农林水支出474.8</w:t>
      </w:r>
      <w:r>
        <w:rPr>
          <w:rFonts w:hint="eastAsia"/>
          <w:lang w:val="en-US" w:eastAsia="zh-CN"/>
        </w:rPr>
        <w:t>0</w:t>
      </w:r>
      <w:r>
        <w:rPr>
          <w:rFonts w:hint="default"/>
          <w:lang w:val="en-US" w:eastAsia="zh-CN"/>
        </w:rPr>
        <w:t>万元，占6.81%；住房保障支出52.15万元，占0.75%；灾害防治及应急管理支出7.00万元，占0.10%。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drawing>
          <wp:inline distT="0" distB="0" distL="114300" distR="114300">
            <wp:extent cx="5080000" cy="4772660"/>
            <wp:effectExtent l="4445" t="4445" r="20955"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图6：一般公共预算财政拨款支出决算结构</w:t>
      </w:r>
      <w:r>
        <w:rPr>
          <w:rFonts w:hint="eastAsia" w:eastAsia="仿宋_GB2312" w:cs="仿宋_GB2312"/>
          <w:color w:val="auto"/>
          <w:kern w:val="2"/>
          <w:sz w:val="28"/>
          <w:szCs w:val="28"/>
          <w:highlight w:val="none"/>
          <w:lang w:val="en-US" w:eastAsia="zh-CN" w:bidi="ar-SA"/>
        </w:rPr>
        <w:t>图</w:t>
      </w:r>
    </w:p>
    <w:p>
      <w:pPr>
        <w:pStyle w:val="7"/>
        <w:bidi w:val="0"/>
        <w:rPr>
          <w:rFonts w:hint="eastAsia"/>
        </w:rPr>
      </w:pPr>
      <w:bookmarkStart w:id="52" w:name="_Toc15377212"/>
      <w:r>
        <w:rPr>
          <w:rFonts w:hint="eastAsia"/>
        </w:rPr>
        <w:t>（三）一般公共预算财政拨款支出决算具体情况</w:t>
      </w:r>
      <w:bookmarkEnd w:id="52"/>
    </w:p>
    <w:p>
      <w:pPr>
        <w:bidi w:val="0"/>
        <w:rPr>
          <w:rFonts w:hint="eastAsia"/>
          <w:lang w:val="en-US" w:eastAsia="zh-CN"/>
        </w:rPr>
      </w:pPr>
      <w:bookmarkStart w:id="53" w:name="_Toc15377444"/>
      <w:bookmarkStart w:id="54" w:name="_Toc15377213"/>
      <w:bookmarkStart w:id="55" w:name="_Toc15378460"/>
      <w:r>
        <w:rPr>
          <w:rFonts w:hint="eastAsia"/>
          <w:lang w:val="en-US" w:eastAsia="zh-CN"/>
        </w:rPr>
        <w:t>2024年度一般公共预算支出决算数为1244.2万元，完成预算100%。其中：</w:t>
      </w:r>
      <w:bookmarkEnd w:id="53"/>
      <w:bookmarkEnd w:id="54"/>
      <w:bookmarkEnd w:id="55"/>
    </w:p>
    <w:p>
      <w:pPr>
        <w:bidi w:val="0"/>
        <w:rPr>
          <w:rFonts w:hint="eastAsia"/>
          <w:lang w:val="en-US" w:eastAsia="zh-CN"/>
        </w:rPr>
      </w:pPr>
      <w:r>
        <w:rPr>
          <w:rFonts w:hint="eastAsia"/>
          <w:lang w:val="en-US" w:eastAsia="zh-CN"/>
        </w:rPr>
        <w:t>1.一般公共服务（类）人大事务（款）人大监督（项）：支出决算为2万元，完成预算100%，决算数等于预算数。</w:t>
      </w:r>
    </w:p>
    <w:p>
      <w:pPr>
        <w:bidi w:val="0"/>
        <w:rPr>
          <w:rFonts w:hint="eastAsia"/>
          <w:lang w:val="en-US" w:eastAsia="zh-CN"/>
        </w:rPr>
      </w:pPr>
      <w:r>
        <w:rPr>
          <w:rFonts w:hint="eastAsia"/>
          <w:lang w:val="en-US" w:eastAsia="zh-CN"/>
        </w:rPr>
        <w:t>2.一般公共服务（类）人大事务（款）代表工作（项）： 支出决算为2.85万元，完成预算100%，决算数等于预算数。</w:t>
      </w:r>
    </w:p>
    <w:p>
      <w:pPr>
        <w:bidi w:val="0"/>
        <w:rPr>
          <w:rFonts w:hint="default"/>
          <w:lang w:val="en-US" w:eastAsia="zh-CN"/>
        </w:rPr>
      </w:pPr>
      <w:r>
        <w:rPr>
          <w:rFonts w:hint="eastAsia"/>
          <w:lang w:val="en-US" w:eastAsia="zh-CN"/>
        </w:rPr>
        <w:t>3.一般公共服务（类）政府办公厅（室）及相关机构事务（款）行政运行（项）：支出决算为373.91万元，完成预算100%，决算数等于预算数。</w:t>
      </w:r>
    </w:p>
    <w:p>
      <w:pPr>
        <w:bidi w:val="0"/>
        <w:rPr>
          <w:rFonts w:hint="eastAsia"/>
          <w:lang w:val="en-US" w:eastAsia="zh-CN"/>
        </w:rPr>
      </w:pPr>
      <w:r>
        <w:rPr>
          <w:rFonts w:hint="eastAsia"/>
          <w:lang w:val="en-US" w:eastAsia="zh-CN"/>
        </w:rPr>
        <w:t>4.一般公共服务（类）政府办公厅（室）及相关机构事务（款）事业运行（项）：支出决算为78.12万元，完成预算100%，决算数等于预算数。</w:t>
      </w:r>
    </w:p>
    <w:p>
      <w:pPr>
        <w:bidi w:val="0"/>
        <w:rPr>
          <w:rFonts w:hint="eastAsia"/>
          <w:lang w:val="en-US" w:eastAsia="zh-CN"/>
        </w:rPr>
      </w:pPr>
      <w:r>
        <w:rPr>
          <w:rFonts w:hint="eastAsia"/>
          <w:lang w:val="en-US" w:eastAsia="zh-CN"/>
        </w:rPr>
        <w:t>5.一般公共服务（类）政府办公厅（室）及相关机构事务（款）其他政府办公厅（室）及相关机构事务支出（项）：支出决算为24.76万元，完成预算100%，决算数等于预算数。</w:t>
      </w:r>
    </w:p>
    <w:p>
      <w:pPr>
        <w:bidi w:val="0"/>
        <w:rPr>
          <w:rFonts w:hint="eastAsia"/>
          <w:lang w:val="en-US" w:eastAsia="zh-CN"/>
        </w:rPr>
      </w:pPr>
      <w:r>
        <w:rPr>
          <w:rFonts w:hint="eastAsia"/>
          <w:lang w:val="en-US" w:eastAsia="zh-CN"/>
        </w:rPr>
        <w:t>6.一般公共服务（类）统计信息事务（款）其他统计信息事务支出（项）：支出决算为2万元，完成预算100%，决算数等于预算数。</w:t>
      </w:r>
    </w:p>
    <w:p>
      <w:pPr>
        <w:bidi w:val="0"/>
        <w:rPr>
          <w:rFonts w:hint="eastAsia"/>
          <w:lang w:val="en-US" w:eastAsia="zh-CN"/>
        </w:rPr>
      </w:pPr>
      <w:r>
        <w:rPr>
          <w:rFonts w:hint="eastAsia"/>
          <w:lang w:val="en-US" w:eastAsia="zh-CN"/>
        </w:rPr>
        <w:t>7.一般公共服务（类）信访事务（款）其他信访事务支出（项）：支出决算为3万元，完成预算100%，决算数等于预算数。</w:t>
      </w:r>
    </w:p>
    <w:p>
      <w:pPr>
        <w:bidi w:val="0"/>
        <w:rPr>
          <w:rFonts w:hint="eastAsia"/>
          <w:lang w:val="en-US" w:eastAsia="zh-CN"/>
        </w:rPr>
      </w:pPr>
      <w:r>
        <w:rPr>
          <w:rFonts w:hint="eastAsia"/>
          <w:lang w:val="en-US" w:eastAsia="zh-CN"/>
        </w:rPr>
        <w:t>8.文化旅游体育与传媒支出（类）文化和旅游（款）其他文化和旅游支出（项）：支出决算为6万元，完成预算100%，决算数等于预算数。</w:t>
      </w:r>
    </w:p>
    <w:p>
      <w:pPr>
        <w:bidi w:val="0"/>
        <w:rPr>
          <w:rFonts w:hint="eastAsia"/>
          <w:lang w:val="en-US" w:eastAsia="zh-CN"/>
        </w:rPr>
      </w:pPr>
      <w:r>
        <w:rPr>
          <w:rFonts w:hint="eastAsia"/>
          <w:lang w:val="en-US" w:eastAsia="zh-CN"/>
        </w:rPr>
        <w:t>9.社会保障和就业支出（类）行政事业单位养老支出（款）行政单位离退休（项）：支出决算为71.07万元，完成预算100%，决算数等于预算数。</w:t>
      </w:r>
    </w:p>
    <w:p>
      <w:pPr>
        <w:bidi w:val="0"/>
        <w:rPr>
          <w:rFonts w:hint="eastAsia"/>
          <w:lang w:val="en-US" w:eastAsia="zh-CN"/>
        </w:rPr>
      </w:pPr>
      <w:r>
        <w:rPr>
          <w:rFonts w:hint="eastAsia"/>
          <w:lang w:val="en-US" w:eastAsia="zh-CN"/>
        </w:rPr>
        <w:t>10.社会保障和就业支出（类）行政事业单位养老支出（款）机关事业单位基本养老保险缴费支出（项）：支出决算为68.23万元，完成预算100%，决算数等于预算数。</w:t>
      </w:r>
    </w:p>
    <w:p>
      <w:pPr>
        <w:bidi w:val="0"/>
        <w:rPr>
          <w:rFonts w:hint="eastAsia"/>
          <w:lang w:val="en-US" w:eastAsia="zh-CN"/>
        </w:rPr>
      </w:pPr>
      <w:r>
        <w:rPr>
          <w:rFonts w:hint="eastAsia"/>
          <w:lang w:val="en-US" w:eastAsia="zh-CN"/>
        </w:rPr>
        <w:t>11.社会保障和就业支出（类）行政事业单位养老支出（款）其他行政事业单位养老支出（项）：支出决算为1.37万元，完成预算100%，决算数等于预算数。</w:t>
      </w:r>
    </w:p>
    <w:p>
      <w:pPr>
        <w:bidi w:val="0"/>
        <w:rPr>
          <w:rFonts w:hint="eastAsia"/>
          <w:lang w:val="en-US" w:eastAsia="zh-CN"/>
        </w:rPr>
      </w:pPr>
      <w:r>
        <w:rPr>
          <w:rFonts w:hint="eastAsia"/>
          <w:lang w:val="en-US" w:eastAsia="zh-CN"/>
        </w:rPr>
        <w:t>12.社会保障和就业支出（类）抚恤（款）死亡抚恤（项）：支出决算为25.41万元，完成预算100%，决算数等于预算数。</w:t>
      </w:r>
    </w:p>
    <w:p>
      <w:pPr>
        <w:bidi w:val="0"/>
        <w:rPr>
          <w:rFonts w:hint="eastAsia"/>
          <w:lang w:val="en-US" w:eastAsia="zh-CN"/>
        </w:rPr>
      </w:pPr>
      <w:r>
        <w:rPr>
          <w:rFonts w:hint="eastAsia"/>
          <w:lang w:val="en-US" w:eastAsia="zh-CN"/>
        </w:rPr>
        <w:t>13.社会保障和就业支出（类）其他社会保障和就业支出（款）其他社会保障和就业支出（项）：支出决算为3.82万元，完成预算100%，决算数等于预算数。</w:t>
      </w:r>
    </w:p>
    <w:p>
      <w:pPr>
        <w:bidi w:val="0"/>
        <w:rPr>
          <w:rFonts w:hint="eastAsia"/>
          <w:lang w:val="en-US" w:eastAsia="zh-CN"/>
        </w:rPr>
      </w:pPr>
      <w:r>
        <w:rPr>
          <w:rFonts w:hint="eastAsia"/>
          <w:lang w:val="en-US" w:eastAsia="zh-CN"/>
        </w:rPr>
        <w:t>14.卫生健康支出（类）计划生育事务（款）其他计划生育事务支出（项）：支出决算为1万元，完成预算100%，决算数等于预算数。</w:t>
      </w:r>
    </w:p>
    <w:p>
      <w:pPr>
        <w:bidi w:val="0"/>
        <w:rPr>
          <w:rFonts w:hint="eastAsia"/>
          <w:lang w:val="en-US" w:eastAsia="zh-CN"/>
        </w:rPr>
      </w:pPr>
      <w:r>
        <w:rPr>
          <w:rFonts w:hint="eastAsia"/>
          <w:lang w:val="en-US" w:eastAsia="zh-CN"/>
        </w:rPr>
        <w:t>15.卫生健康支出（类）行政事业单位医疗（款）行政单位医疗（项）：支出决算为19.65万元，完成预算100%，决算数等于预算数。</w:t>
      </w:r>
    </w:p>
    <w:p>
      <w:pPr>
        <w:bidi w:val="0"/>
        <w:rPr>
          <w:rFonts w:hint="eastAsia"/>
          <w:lang w:val="en-US" w:eastAsia="zh-CN"/>
        </w:rPr>
      </w:pPr>
      <w:r>
        <w:rPr>
          <w:rFonts w:hint="eastAsia"/>
          <w:lang w:val="en-US" w:eastAsia="zh-CN"/>
        </w:rPr>
        <w:t>16.卫生健康支出（类）行政事业单位医疗（款）事业单位医疗（项）：支出决算为9.82万元，完成预算100%，决算数等于预算数。</w:t>
      </w:r>
    </w:p>
    <w:p>
      <w:pPr>
        <w:bidi w:val="0"/>
        <w:rPr>
          <w:rFonts w:hint="eastAsia"/>
          <w:lang w:val="en-US" w:eastAsia="zh-CN"/>
        </w:rPr>
      </w:pPr>
      <w:r>
        <w:rPr>
          <w:rFonts w:hint="eastAsia"/>
          <w:lang w:val="en-US" w:eastAsia="zh-CN"/>
        </w:rPr>
        <w:t>17.卫生健康支出（类）行政事业单位医疗（款）公务员医疗补助（项）：支出决算为11.25万元，完成预算100%，决算数等于预算数。</w:t>
      </w:r>
    </w:p>
    <w:p>
      <w:pPr>
        <w:bidi w:val="0"/>
        <w:rPr>
          <w:rFonts w:hint="eastAsia"/>
          <w:lang w:val="en-US" w:eastAsia="zh-CN"/>
        </w:rPr>
      </w:pPr>
      <w:r>
        <w:rPr>
          <w:rFonts w:hint="eastAsia"/>
          <w:lang w:val="en-US" w:eastAsia="zh-CN"/>
        </w:rPr>
        <w:t>18.节能环保支出（类）污染防治（款）水体（项）：支出决算为6万元，完成预算100%，决算数等于预算数。</w:t>
      </w:r>
    </w:p>
    <w:p>
      <w:pPr>
        <w:bidi w:val="0"/>
        <w:rPr>
          <w:rFonts w:hint="eastAsia"/>
          <w:lang w:val="en-US" w:eastAsia="zh-CN"/>
        </w:rPr>
      </w:pPr>
      <w:r>
        <w:rPr>
          <w:rFonts w:hint="eastAsia"/>
          <w:lang w:val="en-US" w:eastAsia="zh-CN"/>
        </w:rPr>
        <w:t>19.农林水支出（类）农业农村（款）事业运行（项）：支出决算为91.32万元，完成预算100%，决算数等于预算数。</w:t>
      </w:r>
    </w:p>
    <w:p>
      <w:pPr>
        <w:bidi w:val="0"/>
        <w:rPr>
          <w:rFonts w:hint="eastAsia"/>
          <w:lang w:val="en-US" w:eastAsia="zh-CN"/>
        </w:rPr>
      </w:pPr>
      <w:r>
        <w:rPr>
          <w:rFonts w:hint="eastAsia"/>
          <w:lang w:val="en-US" w:eastAsia="zh-CN"/>
        </w:rPr>
        <w:t>20.农林水支出（类）水利（款）其他水利支出（项）：支出决算为1万元，完成预算100%，决算数等于预算数。</w:t>
      </w:r>
    </w:p>
    <w:p>
      <w:pPr>
        <w:bidi w:val="0"/>
        <w:rPr>
          <w:rFonts w:hint="eastAsia"/>
          <w:lang w:val="en-US" w:eastAsia="zh-CN"/>
        </w:rPr>
      </w:pPr>
      <w:r>
        <w:rPr>
          <w:rFonts w:hint="eastAsia"/>
          <w:lang w:val="en-US" w:eastAsia="zh-CN"/>
        </w:rPr>
        <w:t>21.农林水支出（类）农村综合改革（款）对村级公益事业建设的补助（项）：支出决算为28万元，完成预算100%，决算数等于预算数。</w:t>
      </w:r>
    </w:p>
    <w:p>
      <w:pPr>
        <w:bidi w:val="0"/>
        <w:rPr>
          <w:rFonts w:hint="eastAsia"/>
          <w:lang w:val="en-US" w:eastAsia="zh-CN"/>
        </w:rPr>
      </w:pPr>
      <w:r>
        <w:rPr>
          <w:rFonts w:hint="eastAsia"/>
          <w:lang w:val="en-US" w:eastAsia="zh-CN"/>
        </w:rPr>
        <w:t>22.农林水支出（类）农村综合改革（款）对村民委员会和村党支部的补助（项）：支出决算为354.21万元，完成预算100%，决算数等于预算数。</w:t>
      </w:r>
    </w:p>
    <w:p>
      <w:pPr>
        <w:bidi w:val="0"/>
        <w:rPr>
          <w:rFonts w:hint="eastAsia"/>
          <w:lang w:val="en-US" w:eastAsia="zh-CN"/>
        </w:rPr>
      </w:pPr>
      <w:r>
        <w:rPr>
          <w:rFonts w:hint="eastAsia"/>
          <w:lang w:val="en-US" w:eastAsia="zh-CN"/>
        </w:rPr>
        <w:t>23.农林水支出（类）其他农林水支出（款）其他农林水支出（项）：支出决算为0.27万元，完成预算100%，决算数等于预算数。</w:t>
      </w:r>
    </w:p>
    <w:p>
      <w:pPr>
        <w:bidi w:val="0"/>
        <w:rPr>
          <w:rFonts w:hint="eastAsia"/>
          <w:lang w:val="en-US" w:eastAsia="zh-CN"/>
        </w:rPr>
      </w:pPr>
      <w:r>
        <w:rPr>
          <w:rFonts w:hint="eastAsia"/>
          <w:lang w:val="en-US" w:eastAsia="zh-CN"/>
        </w:rPr>
        <w:t>24.住房保障支出（类）住房改革支出（款）住房公积金（项）：支出决算为52.15万元，完成预算100%，决算数等于预算数。</w:t>
      </w:r>
    </w:p>
    <w:p>
      <w:pPr>
        <w:bidi w:val="0"/>
        <w:rPr>
          <w:rFonts w:hint="eastAsia"/>
          <w:lang w:val="en-US" w:eastAsia="zh-CN"/>
        </w:rPr>
      </w:pPr>
      <w:r>
        <w:rPr>
          <w:rFonts w:hint="eastAsia"/>
          <w:lang w:val="en-US" w:eastAsia="zh-CN"/>
        </w:rPr>
        <w:t>25.灾害防治及应急管理支出（类）应急管理事务（款）灾害风险防治（项）：支出决算为5万元，完成预算100%，决算数等于预算数。</w:t>
      </w:r>
    </w:p>
    <w:p>
      <w:pPr>
        <w:bidi w:val="0"/>
        <w:rPr>
          <w:rFonts w:hint="eastAsia"/>
          <w:lang w:val="en-US" w:eastAsia="zh-CN"/>
        </w:rPr>
      </w:pPr>
      <w:r>
        <w:rPr>
          <w:rFonts w:hint="eastAsia"/>
          <w:lang w:val="en-US" w:eastAsia="zh-CN"/>
        </w:rPr>
        <w:t>26.灾害防治及应急管理支出（类）应急管理事务（款）应急救援（项）：支出决算为2万元，完成预算100%，决算数等于预算数。</w:t>
      </w:r>
    </w:p>
    <w:p>
      <w:pPr>
        <w:tabs>
          <w:tab w:val="right" w:pos="8306"/>
        </w:tabs>
        <w:spacing w:line="600" w:lineRule="exact"/>
        <w:ind w:firstLine="640"/>
        <w:outlineLvl w:val="1"/>
        <w:rPr>
          <w:rStyle w:val="20"/>
          <w:rFonts w:ascii="Times New Roman" w:hAnsi="Times New Roman"/>
          <w:color w:val="auto"/>
          <w:highlight w:val="none"/>
        </w:rPr>
      </w:pPr>
      <w:bookmarkStart w:id="56" w:name="_Toc15396608"/>
      <w:bookmarkStart w:id="57" w:name="_Toc18043"/>
      <w:bookmarkStart w:id="58" w:name="_Toc22349"/>
      <w:bookmarkStart w:id="59" w:name="_Toc15377214"/>
      <w:r>
        <w:rPr>
          <w:rStyle w:val="20"/>
          <w:rFonts w:hint="eastAsia"/>
        </w:rPr>
        <w:t>六、一般公共预算财政拨款基本支出决算情况说明</w:t>
      </w:r>
      <w:bookmarkEnd w:id="56"/>
      <w:bookmarkEnd w:id="57"/>
      <w:bookmarkEnd w:id="58"/>
      <w:bookmarkEnd w:id="59"/>
    </w:p>
    <w:p>
      <w:pPr>
        <w:bidi w:val="0"/>
        <w:rPr>
          <w:rFonts w:hint="eastAsia"/>
          <w:lang w:val="en-US" w:eastAsia="zh-CN"/>
        </w:rPr>
      </w:pPr>
      <w:r>
        <w:rPr>
          <w:rFonts w:hint="eastAsia"/>
          <w:lang w:val="en-US" w:eastAsia="zh-CN"/>
        </w:rPr>
        <w:t>2024年度一般公共预算财政拨款基本支出1038.33万元，其中：</w:t>
      </w:r>
    </w:p>
    <w:p>
      <w:pPr>
        <w:bidi w:val="0"/>
        <w:rPr>
          <w:rFonts w:hint="eastAsia"/>
          <w:lang w:val="en-US" w:eastAsia="zh-CN"/>
        </w:rPr>
      </w:pPr>
      <w:r>
        <w:rPr>
          <w:rFonts w:hint="eastAsia"/>
          <w:lang w:val="en-US" w:eastAsia="zh-CN"/>
        </w:rPr>
        <w:t>人员经费942.09万元，主要包括：基本工资、津贴补贴、奖金、伙食补助费、绩效工资、机关事业单位基本养老保险缴费、职工基本医疗保险缴费、公务员医疗补助缴费、其他社会保障缴费、住房公积金、其他工资福利支出、抚恤金、生活补助、其他对个人和家庭的补助支出等。</w:t>
      </w:r>
    </w:p>
    <w:p>
      <w:pPr>
        <w:bidi w:val="0"/>
        <w:rPr>
          <w:rFonts w:hint="eastAsia"/>
          <w:lang w:val="en-US" w:eastAsia="zh-CN"/>
        </w:rPr>
      </w:pPr>
      <w:r>
        <w:rPr>
          <w:rFonts w:hint="eastAsia"/>
          <w:lang w:val="en-US" w:eastAsia="zh-CN"/>
        </w:rPr>
        <w:t>公用经费96.24万元，主要包括：办公费、印刷费、水费、电费、邮电费、差旅费、维修（护）费、公务接待费、劳务费、工会经费、福利费、其他交通费、其他商品和服务支出等。</w:t>
      </w:r>
    </w:p>
    <w:p>
      <w:pPr>
        <w:pStyle w:val="6"/>
        <w:bidi w:val="0"/>
      </w:pPr>
      <w:bookmarkStart w:id="60" w:name="_Toc12668"/>
      <w:bookmarkStart w:id="61" w:name="_Toc15396609"/>
      <w:bookmarkStart w:id="62" w:name="_Toc9697"/>
      <w:bookmarkStart w:id="63" w:name="_Toc15377215"/>
      <w:r>
        <w:rPr>
          <w:rFonts w:hint="eastAsia"/>
        </w:rPr>
        <w:t>七、财政拨款“三公”经费支出决算情况说明</w:t>
      </w:r>
      <w:bookmarkEnd w:id="60"/>
      <w:bookmarkEnd w:id="61"/>
      <w:bookmarkEnd w:id="62"/>
      <w:bookmarkEnd w:id="63"/>
    </w:p>
    <w:p>
      <w:pPr>
        <w:pStyle w:val="7"/>
        <w:bidi w:val="0"/>
        <w:rPr>
          <w:rFonts w:hint="eastAsia"/>
        </w:rPr>
      </w:pPr>
      <w:bookmarkStart w:id="64" w:name="_Toc15377216"/>
      <w:r>
        <w:rPr>
          <w:rFonts w:hint="eastAsia"/>
        </w:rPr>
        <w:t>（一）“三公”经费财政拨款支出决算总体情况说明</w:t>
      </w:r>
      <w:bookmarkEnd w:id="64"/>
    </w:p>
    <w:p>
      <w:pPr>
        <w:bidi w:val="0"/>
        <w:rPr>
          <w:rFonts w:hint="eastAsia"/>
          <w:lang w:val="en-US" w:eastAsia="zh-CN"/>
        </w:rPr>
      </w:pPr>
      <w:r>
        <w:rPr>
          <w:rFonts w:hint="eastAsia"/>
          <w:lang w:val="en-US" w:eastAsia="zh-CN"/>
        </w:rPr>
        <w:t>2024年度“三公”经费财政拨款支出决算为2万元，完成预算100%，较上年度减少0.2万元，下降10%。</w:t>
      </w:r>
    </w:p>
    <w:p>
      <w:pPr>
        <w:pStyle w:val="7"/>
        <w:bidi w:val="0"/>
        <w:rPr>
          <w:rFonts w:hint="eastAsia"/>
        </w:rPr>
      </w:pPr>
      <w:bookmarkStart w:id="65" w:name="_Toc15377217"/>
      <w:r>
        <w:rPr>
          <w:rFonts w:hint="eastAsia"/>
        </w:rPr>
        <w:t>（二）“三公”经费财政拨款支出决算具体情况说明</w:t>
      </w:r>
      <w:bookmarkEnd w:id="65"/>
    </w:p>
    <w:p>
      <w:pPr>
        <w:bidi w:val="0"/>
        <w:rPr>
          <w:rFonts w:hint="eastAsia" w:ascii="Times New Roman" w:hAnsi="Times New Roman" w:eastAsia="仿宋_GB2312" w:cs="仿宋_GB2312"/>
          <w:color w:val="auto"/>
          <w:kern w:val="2"/>
          <w:szCs w:val="32"/>
          <w:highlight w:val="none"/>
          <w:lang w:val="en-US" w:eastAsia="zh-CN" w:bidi="ar-SA"/>
        </w:rPr>
      </w:pPr>
      <w:r>
        <w:rPr>
          <w:rFonts w:hint="eastAsia"/>
          <w:lang w:val="en-US" w:eastAsia="zh-CN"/>
        </w:rPr>
        <w:t>2024年度“三公”经费财政拨款支出决算中，因公出国（境）费支出决算0万元，占0%；公务用车购置及运行维护费支出决算0万元，占0%；公务接待费支出决算2万元，占100%。具体情况如下：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仿宋_GB2312"/>
          <w:color w:val="auto"/>
          <w:kern w:val="2"/>
          <w:sz w:val="28"/>
          <w:szCs w:val="28"/>
          <w:highlight w:val="none"/>
          <w:lang w:val="en-US" w:eastAsia="zh-CN" w:bidi="ar-SA"/>
        </w:rPr>
      </w:pPr>
      <w:r>
        <w:rPr>
          <w:rFonts w:hint="eastAsia" w:ascii="Times New Roman" w:hAnsi="Times New Roman" w:eastAsia="仿宋_GB2312" w:cs="仿宋_GB2312"/>
          <w:color w:val="auto"/>
          <w:kern w:val="2"/>
          <w:sz w:val="28"/>
          <w:szCs w:val="28"/>
          <w:highlight w:val="none"/>
          <w:lang w:val="en-US" w:eastAsia="zh-CN" w:bidi="ar-SA"/>
        </w:rPr>
        <w:t>图7：“三公”经费财政拨款支出结构图</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度持平。</w:t>
      </w:r>
    </w:p>
    <w:p>
      <w:pPr>
        <w:bidi w:val="0"/>
        <w:rPr>
          <w:rFonts w:hint="eastAsia"/>
          <w:lang w:val="en-US" w:eastAsia="zh-CN"/>
        </w:rPr>
      </w:pPr>
      <w:r>
        <w:rPr>
          <w:rFonts w:hint="eastAsia" w:ascii="Times New Roman" w:hAnsi="Times New Roman" w:eastAsia="仿宋_GB2312" w:cs="仿宋_GB2312"/>
          <w:b/>
          <w:bCs/>
          <w:color w:val="auto"/>
          <w:kern w:val="2"/>
          <w:szCs w:val="32"/>
          <w:highlight w:val="none"/>
          <w:lang w:val="en-US" w:eastAsia="zh-CN" w:bidi="ar-SA"/>
        </w:rPr>
        <w:t>2.公务用车购置及运行维护费支出</w:t>
      </w:r>
      <w:r>
        <w:rPr>
          <w:rFonts w:hint="eastAsia" w:eastAsia="仿宋_GB2312" w:cs="仿宋_GB2312"/>
          <w:b/>
          <w:bCs/>
          <w:color w:val="auto"/>
          <w:kern w:val="2"/>
          <w:szCs w:val="32"/>
          <w:highlight w:val="none"/>
          <w:lang w:val="en-US" w:eastAsia="zh-CN" w:bidi="ar-SA"/>
        </w:rPr>
        <w:t>0</w:t>
      </w:r>
      <w:r>
        <w:rPr>
          <w:rFonts w:hint="eastAsia" w:ascii="Times New Roman" w:hAnsi="Times New Roman" w:eastAsia="仿宋_GB2312" w:cs="仿宋_GB2312"/>
          <w:b/>
          <w:bCs/>
          <w:color w:val="auto"/>
          <w:kern w:val="2"/>
          <w:szCs w:val="32"/>
          <w:highlight w:val="none"/>
          <w:lang w:val="en-US" w:eastAsia="zh-CN" w:bidi="ar-SA"/>
        </w:rPr>
        <w:t>万元</w:t>
      </w:r>
      <w:r>
        <w:rPr>
          <w:rFonts w:hint="eastAsia" w:eastAsia="仿宋_GB2312" w:cs="仿宋_GB2312"/>
          <w:b/>
          <w:bCs/>
          <w:color w:val="auto"/>
          <w:kern w:val="2"/>
          <w:szCs w:val="32"/>
          <w:highlight w:val="none"/>
          <w:lang w:val="en-US" w:eastAsia="zh-CN" w:bidi="ar-SA"/>
        </w:rPr>
        <w:t>，</w:t>
      </w:r>
      <w:r>
        <w:rPr>
          <w:rFonts w:hint="eastAsia" w:ascii="Times New Roman" w:hAnsi="Times New Roman" w:eastAsia="仿宋_GB2312" w:cs="仿宋_GB2312"/>
          <w:b/>
          <w:bCs/>
          <w:color w:val="auto"/>
          <w:kern w:val="2"/>
          <w:szCs w:val="32"/>
          <w:highlight w:val="none"/>
          <w:lang w:val="en-US" w:eastAsia="zh-CN" w:bidi="ar-SA"/>
        </w:rPr>
        <w:t>完成预算</w:t>
      </w:r>
      <w:r>
        <w:rPr>
          <w:rFonts w:hint="eastAsia" w:eastAsia="仿宋_GB2312" w:cs="仿宋_GB2312"/>
          <w:b/>
          <w:bCs/>
          <w:color w:val="auto"/>
          <w:kern w:val="2"/>
          <w:szCs w:val="32"/>
          <w:highlight w:val="none"/>
          <w:lang w:val="en-US" w:eastAsia="zh-CN" w:bidi="ar-SA"/>
        </w:rPr>
        <w:t>100</w:t>
      </w:r>
      <w:r>
        <w:rPr>
          <w:rFonts w:hint="eastAsia" w:ascii="Times New Roman" w:hAnsi="Times New Roman" w:eastAsia="仿宋_GB2312" w:cs="仿宋_GB2312"/>
          <w:b/>
          <w:bCs/>
          <w:color w:val="auto"/>
          <w:kern w:val="2"/>
          <w:szCs w:val="32"/>
          <w:highlight w:val="none"/>
          <w:lang w:val="en-US" w:eastAsia="zh-CN" w:bidi="ar-SA"/>
        </w:rPr>
        <w:t>%。</w:t>
      </w:r>
      <w:r>
        <w:rPr>
          <w:rFonts w:hint="eastAsia"/>
          <w:lang w:val="en-US" w:eastAsia="zh-CN"/>
        </w:rPr>
        <w:t>公务用车购置及运行维护费支出决算与2023年持平。</w:t>
      </w:r>
    </w:p>
    <w:p>
      <w:pPr>
        <w:bidi w:val="0"/>
        <w:rPr>
          <w:rFonts w:hint="eastAsia"/>
          <w:lang w:val="en-US" w:eastAsia="zh-CN"/>
        </w:rPr>
      </w:pPr>
      <w:r>
        <w:rPr>
          <w:rFonts w:hint="eastAsia"/>
          <w:lang w:val="en-US" w:eastAsia="zh-CN"/>
        </w:rPr>
        <w:t>其中：公务用车购置支出0万元。全年按规定更新购置公务用车0辆，其中：轿车0辆、金额0万元，越野车0辆、金额0万元，载客汽车0辆、金额0万元。截至2024年12月31日，部门共有公务用车0辆，其中：轿车0辆、越野车0辆、载客汽车0辆。</w:t>
      </w:r>
    </w:p>
    <w:p>
      <w:pPr>
        <w:bidi w:val="0"/>
        <w:rPr>
          <w:rFonts w:hint="eastAsia"/>
          <w:lang w:val="en-US" w:eastAsia="zh-CN"/>
        </w:rPr>
      </w:pPr>
      <w:r>
        <w:rPr>
          <w:rFonts w:hint="eastAsia"/>
          <w:lang w:val="en-US" w:eastAsia="zh-CN"/>
        </w:rPr>
        <w:t>公务用车运行维护费支出0万元。</w:t>
      </w:r>
    </w:p>
    <w:p>
      <w:pPr>
        <w:bidi w:val="0"/>
        <w:rPr>
          <w:rFonts w:hint="default" w:ascii="Times New Roman" w:hAnsi="Times New Roman" w:cs="Times New Roman"/>
          <w:lang w:val="en-US" w:eastAsia="zh-CN"/>
        </w:rPr>
      </w:pPr>
      <w:r>
        <w:rPr>
          <w:rFonts w:hint="eastAsia" w:ascii="Times New Roman" w:hAnsi="Times New Roman" w:eastAsia="仿宋_GB2312" w:cs="仿宋_GB2312"/>
          <w:b/>
          <w:bCs/>
          <w:color w:val="auto"/>
          <w:kern w:val="2"/>
          <w:szCs w:val="32"/>
          <w:highlight w:val="none"/>
          <w:lang w:val="en-US" w:eastAsia="zh-CN" w:bidi="ar-SA"/>
        </w:rPr>
        <w:t>3.公务接待费支出</w:t>
      </w:r>
      <w:r>
        <w:rPr>
          <w:rFonts w:hint="eastAsia" w:eastAsia="仿宋_GB2312" w:cs="仿宋_GB2312"/>
          <w:b/>
          <w:bCs/>
          <w:color w:val="auto"/>
          <w:kern w:val="2"/>
          <w:szCs w:val="32"/>
          <w:highlight w:val="none"/>
          <w:lang w:val="en-US" w:eastAsia="zh-CN" w:bidi="ar-SA"/>
        </w:rPr>
        <w:t>2</w:t>
      </w:r>
      <w:r>
        <w:rPr>
          <w:rFonts w:hint="eastAsia" w:ascii="Times New Roman" w:hAnsi="Times New Roman" w:eastAsia="仿宋_GB2312" w:cs="仿宋_GB2312"/>
          <w:b/>
          <w:bCs/>
          <w:color w:val="auto"/>
          <w:kern w:val="2"/>
          <w:szCs w:val="32"/>
          <w:highlight w:val="none"/>
          <w:lang w:val="en-US" w:eastAsia="zh-CN" w:bidi="ar-SA"/>
        </w:rPr>
        <w:t>万元，完成预算</w:t>
      </w:r>
      <w:r>
        <w:rPr>
          <w:rFonts w:hint="eastAsia" w:eastAsia="仿宋_GB2312" w:cs="仿宋_GB2312"/>
          <w:b/>
          <w:bCs/>
          <w:color w:val="auto"/>
          <w:kern w:val="2"/>
          <w:szCs w:val="32"/>
          <w:highlight w:val="none"/>
          <w:lang w:val="en-US" w:eastAsia="zh-CN" w:bidi="ar-SA"/>
        </w:rPr>
        <w:t>100</w:t>
      </w:r>
      <w:r>
        <w:rPr>
          <w:rFonts w:hint="eastAsia" w:ascii="Times New Roman" w:hAnsi="Times New Roman" w:eastAsia="仿宋_GB2312" w:cs="仿宋_GB2312"/>
          <w:b/>
          <w:bCs/>
          <w:color w:val="auto"/>
          <w:kern w:val="2"/>
          <w:szCs w:val="32"/>
          <w:highlight w:val="none"/>
          <w:lang w:val="en-US" w:eastAsia="zh-CN" w:bidi="ar-SA"/>
        </w:rPr>
        <w:t>%。</w:t>
      </w:r>
      <w:r>
        <w:rPr>
          <w:rFonts w:hint="default" w:ascii="Times New Roman" w:hAnsi="Times New Roman" w:cs="Times New Roman"/>
          <w:lang w:val="en-US" w:eastAsia="zh-CN"/>
        </w:rPr>
        <w:t>公务接待费支出决算比2023年度减少0.2万元，下降10%。主要原因是厉行节约、精简开支。其中：</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国内公务接待支出2万元，主要用于执行公务、开展业务活动开支的用餐费等。国内公务接待45批次，</w:t>
      </w:r>
      <w:r>
        <w:rPr>
          <w:rFonts w:hint="eastAsia" w:cs="Times New Roman"/>
          <w:lang w:val="en-US" w:eastAsia="zh-CN"/>
        </w:rPr>
        <w:t>237</w:t>
      </w:r>
      <w:r>
        <w:rPr>
          <w:rFonts w:hint="default" w:ascii="Times New Roman" w:hAnsi="Times New Roman" w:cs="Times New Roman"/>
          <w:lang w:val="en-US" w:eastAsia="zh-CN"/>
        </w:rPr>
        <w:t>人次（不包括陪同人员），共计支出2万元，具体内容包括：文旅局检查文化站免费开放公务接待费、区农业农村局实绩考核督导公务接待费、区</w:t>
      </w:r>
      <w:r>
        <w:rPr>
          <w:rFonts w:hint="eastAsia" w:cs="Times New Roman"/>
          <w:lang w:val="en-US" w:eastAsia="zh-CN"/>
        </w:rPr>
        <w:t>卫健局</w:t>
      </w:r>
      <w:r>
        <w:rPr>
          <w:rFonts w:hint="default" w:ascii="Times New Roman" w:hAnsi="Times New Roman" w:cs="Times New Roman"/>
          <w:lang w:val="en-US" w:eastAsia="zh-CN"/>
        </w:rPr>
        <w:t>奖励扶助核实公务接待费、市救助站救助人员回访公务接待费、送温暖公务接待费、各项安全检查工作公务接待费、市场监管所交叉检查食品安全公务接待费、党建办区委组织部等调研集体经济公务接待费、党建办区委组织部等调研集体经济公务接待费、党建办区委组织部等调研集体经济公务接待费、区委组织部检查主题教育公务接待费、党建办区委组织部公务接待费、区委组织部检查党建工作、米亚罗镇到我镇开展对接工作交流学习公务接待费、区自规局指导土地进出平衡公务接待费、区水利局检查河长制工作公务接待费、区民政局查看社会救助工作公务接待费、区教体局查看体育器材工作公务接待费、区委宣传部查看宣传文化中心资料公务接待费、区统计局开展普查工作公务接待费、区</w:t>
      </w:r>
      <w:r>
        <w:rPr>
          <w:rFonts w:hint="eastAsia" w:cs="Times New Roman"/>
          <w:lang w:val="en-US" w:eastAsia="zh-CN"/>
        </w:rPr>
        <w:t>农业农村局</w:t>
      </w:r>
      <w:r>
        <w:rPr>
          <w:rFonts w:hint="default" w:ascii="Times New Roman" w:hAnsi="Times New Roman" w:cs="Times New Roman"/>
          <w:lang w:val="en-US" w:eastAsia="zh-CN"/>
        </w:rPr>
        <w:t>检查水库公务接待费、区</w:t>
      </w:r>
      <w:r>
        <w:rPr>
          <w:rFonts w:hint="eastAsia" w:cs="Times New Roman"/>
          <w:lang w:val="en-US" w:eastAsia="zh-CN"/>
        </w:rPr>
        <w:t>农业农村局</w:t>
      </w:r>
      <w:r>
        <w:rPr>
          <w:rFonts w:hint="default" w:ascii="Times New Roman" w:hAnsi="Times New Roman" w:cs="Times New Roman"/>
          <w:lang w:val="en-US" w:eastAsia="zh-CN"/>
        </w:rPr>
        <w:t>检查春耕工作公务接待费、防汛办水利局检查水利防洪公务接待费、区自规局外业举证公务接待费、区住建局指导危房改造工作公务接待费、区纪委急难愁盼回访公务接待费、区救助站慰问困难群众公务接待费、</w:t>
      </w:r>
      <w:r>
        <w:rPr>
          <w:rFonts w:hint="eastAsia" w:cs="Times New Roman"/>
          <w:lang w:val="en-US" w:eastAsia="zh-CN"/>
        </w:rPr>
        <w:t>区委政法委</w:t>
      </w:r>
      <w:r>
        <w:rPr>
          <w:rFonts w:hint="default" w:ascii="Times New Roman" w:hAnsi="Times New Roman" w:cs="Times New Roman"/>
          <w:lang w:val="en-US" w:eastAsia="zh-CN"/>
        </w:rPr>
        <w:t>开展基层社会治理工作公务接待费、区经科局检查再生资源工作公务接待费、民政局开展儿童救助公务接待费、区应急局检查企业安全工作公务接待费、区统计局指导经济普查公务接待费、区商务局检查再生资源网点公务接待费、区住建局节前燃气大排查公务接待费、区住建局燃气大排查公务接待费、区农业农村局督查大排查公务接待费、区农业农村局督查有效衔接工作公务接待费、区残联全覆盖督查公务接待费、区督察组督查大排查工作公务接待费、自规局增减挂钩选址公务接待费、交运局指导道路安全公务接待费、市环保局检查环保工作公务接待费、市住建局检查住房安全公务接待费、区委组织部调研公务接待费、耕地进出平衡接待费。</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外事接待支出0万元。外事接待0批次，0人次（不包括陪同人员），共计支出0万元。</w:t>
      </w:r>
      <w:bookmarkStart w:id="66" w:name="_Toc15377218"/>
      <w:bookmarkStart w:id="67" w:name="_Toc15396610"/>
    </w:p>
    <w:p>
      <w:pPr>
        <w:pStyle w:val="6"/>
        <w:bidi w:val="0"/>
      </w:pPr>
      <w:bookmarkStart w:id="68" w:name="_Toc21850"/>
      <w:bookmarkStart w:id="69" w:name="_Toc11500"/>
      <w:r>
        <w:rPr>
          <w:rFonts w:hint="eastAsia"/>
        </w:rPr>
        <w:t>八、政府性基金预算支出决算情况说明</w:t>
      </w:r>
      <w:bookmarkEnd w:id="66"/>
      <w:bookmarkEnd w:id="67"/>
      <w:bookmarkEnd w:id="68"/>
      <w:bookmarkEnd w:id="69"/>
    </w:p>
    <w:p>
      <w:pPr>
        <w:bidi w:val="0"/>
        <w:rPr>
          <w:rFonts w:hint="eastAsia"/>
          <w:lang w:val="en-US" w:eastAsia="zh-CN"/>
        </w:rPr>
      </w:pPr>
      <w:r>
        <w:rPr>
          <w:rFonts w:hint="eastAsia"/>
          <w:lang w:val="en-US" w:eastAsia="zh-CN"/>
        </w:rPr>
        <w:t>2024年度政府性基金预算财政拨款支出5732.97万元，占本年支出合计的82.17%。与2023年度相比，政府性基金预算财政拨款支出增加</w:t>
      </w:r>
      <w:r>
        <w:rPr>
          <w:rFonts w:hint="default"/>
          <w:lang w:val="en-US" w:eastAsia="zh-CN"/>
        </w:rPr>
        <w:t>5707.85</w:t>
      </w:r>
      <w:r>
        <w:rPr>
          <w:rFonts w:hint="eastAsia"/>
          <w:lang w:val="en-US" w:eastAsia="zh-CN"/>
        </w:rPr>
        <w:t>万元，增长</w:t>
      </w:r>
      <w:r>
        <w:rPr>
          <w:rFonts w:hint="default"/>
          <w:lang w:val="en-US" w:eastAsia="zh-CN"/>
        </w:rPr>
        <w:t>22722.33</w:t>
      </w:r>
      <w:r>
        <w:rPr>
          <w:rFonts w:hint="eastAsia"/>
          <w:lang w:val="en-US" w:eastAsia="zh-CN"/>
        </w:rPr>
        <w:t>%。主要变动原因是</w:t>
      </w:r>
      <w:r>
        <w:rPr>
          <w:rFonts w:hint="default"/>
          <w:lang w:val="en-US" w:eastAsia="zh-CN"/>
        </w:rPr>
        <w:t>2024年增加聚贤风情小镇项目资金5</w:t>
      </w:r>
      <w:r>
        <w:rPr>
          <w:rFonts w:hint="eastAsia"/>
          <w:lang w:val="en-US" w:eastAsia="zh-CN"/>
        </w:rPr>
        <w:t>,</w:t>
      </w:r>
      <w:r>
        <w:rPr>
          <w:rFonts w:hint="default"/>
          <w:lang w:val="en-US" w:eastAsia="zh-CN"/>
        </w:rPr>
        <w:t>653</w:t>
      </w:r>
      <w:r>
        <w:rPr>
          <w:rFonts w:hint="eastAsia"/>
          <w:lang w:val="en-US" w:eastAsia="zh-CN"/>
        </w:rPr>
        <w:t>.</w:t>
      </w:r>
      <w:r>
        <w:rPr>
          <w:rFonts w:hint="default"/>
          <w:lang w:val="en-US" w:eastAsia="zh-CN"/>
        </w:rPr>
        <w:t>97</w:t>
      </w:r>
      <w:r>
        <w:rPr>
          <w:rFonts w:hint="eastAsia"/>
          <w:lang w:val="en-US" w:eastAsia="zh-CN"/>
        </w:rPr>
        <w:t>万</w:t>
      </w:r>
      <w:r>
        <w:rPr>
          <w:rFonts w:hint="default"/>
          <w:lang w:val="en-US" w:eastAsia="zh-CN"/>
        </w:rPr>
        <w:t>元。</w:t>
      </w:r>
    </w:p>
    <w:p>
      <w:pPr>
        <w:pStyle w:val="6"/>
        <w:bidi w:val="0"/>
      </w:pPr>
      <w:bookmarkStart w:id="70" w:name="_Toc32528"/>
      <w:bookmarkStart w:id="71" w:name="_Toc15377219"/>
      <w:bookmarkStart w:id="72" w:name="_Toc15396611"/>
      <w:bookmarkStart w:id="73" w:name="_Toc7716"/>
      <w:r>
        <w:rPr>
          <w:rFonts w:hint="eastAsia"/>
          <w:lang w:eastAsia="zh-CN"/>
        </w:rPr>
        <w:t>九、</w:t>
      </w:r>
      <w:r>
        <w:rPr>
          <w:rFonts w:hint="eastAsia"/>
        </w:rPr>
        <w:t>国有资本经营预算支出决算情况说明</w:t>
      </w:r>
      <w:bookmarkEnd w:id="70"/>
      <w:bookmarkEnd w:id="71"/>
      <w:bookmarkEnd w:id="72"/>
      <w:bookmarkEnd w:id="73"/>
    </w:p>
    <w:p>
      <w:pPr>
        <w:bidi w:val="0"/>
        <w:rPr>
          <w:rFonts w:hint="eastAsia"/>
          <w:lang w:val="en-US" w:eastAsia="zh-CN"/>
        </w:rPr>
      </w:pPr>
      <w:r>
        <w:rPr>
          <w:rFonts w:hint="eastAsia"/>
          <w:lang w:val="en-US" w:eastAsia="zh-CN"/>
        </w:rPr>
        <w:t>2024年度国有资本经营预算财政拨款支出0万元，占本年支出合计的0%。与2023年度持平。</w:t>
      </w:r>
    </w:p>
    <w:p>
      <w:pPr>
        <w:pStyle w:val="6"/>
        <w:bidi w:val="0"/>
        <w:rPr>
          <w:rFonts w:hint="eastAsia"/>
        </w:rPr>
      </w:pPr>
      <w:bookmarkStart w:id="74" w:name="_Toc15396612"/>
      <w:bookmarkStart w:id="75" w:name="_Toc23396"/>
      <w:bookmarkStart w:id="76" w:name="_Toc13871"/>
      <w:bookmarkStart w:id="77" w:name="_Toc15377221"/>
      <w:r>
        <w:rPr>
          <w:rFonts w:hint="eastAsia"/>
          <w:lang w:eastAsia="zh-CN"/>
        </w:rPr>
        <w:t>十、</w:t>
      </w:r>
      <w:r>
        <w:rPr>
          <w:rFonts w:hint="eastAsia"/>
        </w:rPr>
        <w:t>其他重要事项的情况说明</w:t>
      </w:r>
      <w:bookmarkEnd w:id="74"/>
      <w:bookmarkEnd w:id="75"/>
      <w:bookmarkEnd w:id="76"/>
      <w:bookmarkEnd w:id="77"/>
    </w:p>
    <w:p>
      <w:pPr>
        <w:pStyle w:val="7"/>
        <w:bidi w:val="0"/>
        <w:rPr>
          <w:rFonts w:hint="eastAsia"/>
        </w:rPr>
      </w:pPr>
      <w:bookmarkStart w:id="78" w:name="_Toc15377222"/>
      <w:r>
        <w:rPr>
          <w:rFonts w:hint="eastAsia"/>
        </w:rPr>
        <w:t>（一）机关运行经费支出情况</w:t>
      </w:r>
      <w:bookmarkEnd w:id="78"/>
    </w:p>
    <w:p>
      <w:pPr>
        <w:bidi w:val="0"/>
        <w:rPr>
          <w:rFonts w:hint="eastAsia"/>
          <w:lang w:val="en-US" w:eastAsia="zh-CN"/>
        </w:rPr>
      </w:pPr>
      <w:r>
        <w:rPr>
          <w:rFonts w:hint="eastAsia"/>
          <w:lang w:val="en-US" w:eastAsia="zh-CN"/>
        </w:rPr>
        <w:t>2024年度，遂宁市安居区聚贤镇人民政府机关运行经费支出96.24万元，比2023年度减少5.16万元，下降5.09%。主要原因是厉行节约，精简开支。</w:t>
      </w:r>
    </w:p>
    <w:p>
      <w:pPr>
        <w:pStyle w:val="7"/>
        <w:bidi w:val="0"/>
        <w:rPr>
          <w:rFonts w:hint="eastAsia"/>
        </w:rPr>
      </w:pPr>
      <w:bookmarkStart w:id="79" w:name="_Toc15377223"/>
      <w:r>
        <w:rPr>
          <w:rFonts w:hint="eastAsia"/>
        </w:rPr>
        <w:t>（二）政府采购支出情况</w:t>
      </w:r>
      <w:bookmarkEnd w:id="79"/>
    </w:p>
    <w:p>
      <w:pPr>
        <w:bidi w:val="0"/>
        <w:rPr>
          <w:rFonts w:hint="eastAsia"/>
          <w:lang w:val="en-US" w:eastAsia="zh-CN"/>
        </w:rPr>
      </w:pPr>
      <w:r>
        <w:rPr>
          <w:rFonts w:hint="eastAsia"/>
          <w:lang w:val="en-US" w:eastAsia="zh-CN"/>
        </w:rPr>
        <w:t>2024年度，遂宁市安居区聚贤镇人民政府采购支出总额2.89万元，其中：政府采购货物支出2.89万元、政府采购工程支出0万元、政府采购服务支出0万元。主要用于政府办公。授予中小企业合同金额2.89万元，占政府采购支出总额的2.89%，其中：授予小微企业合同金额2.89万元，占政府采购支出总额的100%。</w:t>
      </w:r>
    </w:p>
    <w:p>
      <w:pPr>
        <w:pStyle w:val="7"/>
        <w:bidi w:val="0"/>
        <w:rPr>
          <w:rFonts w:hint="eastAsia"/>
        </w:rPr>
      </w:pPr>
      <w:bookmarkStart w:id="80" w:name="_Toc15377224"/>
      <w:r>
        <w:rPr>
          <w:rFonts w:hint="eastAsia"/>
        </w:rPr>
        <w:t>（三）国有资产占有使用情况</w:t>
      </w:r>
      <w:bookmarkEnd w:id="80"/>
    </w:p>
    <w:p>
      <w:pPr>
        <w:bidi w:val="0"/>
        <w:rPr>
          <w:rFonts w:hint="eastAsia"/>
          <w:lang w:val="en-US" w:eastAsia="zh-CN"/>
        </w:rPr>
      </w:pPr>
      <w:r>
        <w:rPr>
          <w:rFonts w:hint="eastAsia"/>
          <w:lang w:val="en-US" w:eastAsia="zh-CN"/>
        </w:rPr>
        <w:t>截至2024年12月31日，遂宁市安居区聚贤镇人民政府共有车辆0辆，其中：主要负责人用车0辆、机要通信用车0辆、应急保障用车0辆、其他用车0辆。单价100万元（含）以上设备（不含车辆）0台（套）。</w:t>
      </w:r>
    </w:p>
    <w:p>
      <w:pPr>
        <w:pStyle w:val="7"/>
        <w:bidi w:val="0"/>
        <w:rPr>
          <w:rFonts w:hint="eastAsia"/>
        </w:rPr>
      </w:pPr>
      <w:r>
        <w:rPr>
          <w:rFonts w:hint="eastAsia"/>
        </w:rPr>
        <w:t>（四）预算绩效管理情况</w:t>
      </w:r>
    </w:p>
    <w:p>
      <w:pPr>
        <w:bidi w:val="0"/>
        <w:rPr>
          <w:rFonts w:hint="eastAsia"/>
          <w:lang w:val="en-US" w:eastAsia="zh-CN"/>
        </w:rPr>
      </w:pPr>
      <w:r>
        <w:rPr>
          <w:rFonts w:hint="eastAsia"/>
          <w:lang w:val="en-US" w:eastAsia="zh-CN"/>
        </w:rPr>
        <w:t>根据预算绩效管理要求，遂宁市安居区聚贤镇人民政府在2024年度预算编制阶段，组织对安全生产监管（森林防火、食品安全）等经费（长期）项目、创新社区管理经费（长期）项目、防灾应急救助经费（长期）、关心下一代工作专项经费（长期）项目、环境卫生整治经费（长期）项目、统计工作经费（长期）项目、维稳信访调解经费（长期）项目、乡风文明建设经费（长期）项目、乡镇便民服务大厅维护及农村“三资”集体管理经费（长期）项目、乡镇基础设施和场镇街道维护经费（长期）项目、乡镇监察工作经费（长期）项目、乡镇人大代表监督、视察等经费（长期）项目、乡镇人大代表经费（长期）项目、乡镇武装部工作经费（含征兵工作经费）（长期）项目等14个项目开展了预算事前绩效评估，对14个项目编制了绩效目标，预算执行过程中，选取14个项目开展绩效监控。</w:t>
      </w:r>
    </w:p>
    <w:p>
      <w:pPr>
        <w:bidi w:val="0"/>
        <w:rPr>
          <w:rFonts w:hint="eastAsia"/>
          <w:lang w:val="en-US" w:eastAsia="zh-CN"/>
        </w:rPr>
      </w:pPr>
      <w:r>
        <w:rPr>
          <w:rFonts w:hint="eastAsia"/>
          <w:lang w:val="en-US" w:eastAsia="zh-CN"/>
        </w:rPr>
        <w:t>组织对2024年度一般公共预算、政府性基金预算等全面开展绩效自评，形成遂宁市安居区聚贤镇人民政府部门整体（含部门预算项目）绩效自评报告，2024年村级公共服务经费项目、2024年民生实事票决制项目经费项目、2024年信创替代专项资金项目、宝珠寺村党群服务中心亲民化改造项目、城乡基层治理能力建设专项资金项目、公共图书馆、美术馆、文化馆（站）免费开放资金项目、计划生育后遗症资金项目、聚贤风情小镇项目资金项目、聚贤镇2020年脱贫攻坚“两通工程”项目等专项预算项目绩效自评报告，其中，遂宁市安居区聚贤镇人民政府部门整体（含部门预算项目）绩效自评得分为86.5分，绩效自评综述：2024年根据镇年初工作规划和重点性工作，本部门积极履职，强化管理，较好地完成了年度工作目标。通过加强预算收支管理，不断健全内部管理制度，梳理内部管理流程，部门整体支出管理情况得到提升，但是仍存在一般性支出多于去年，人均资产变化率3.76%，办公家具利用率1.37%，采购项目并未专门面向中小企业采购，且未在采购预算中单独列示等问题；</w:t>
      </w:r>
      <w:r>
        <w:rPr>
          <w:rFonts w:hint="default"/>
          <w:lang w:val="en-US" w:eastAsia="zh-CN"/>
        </w:rPr>
        <w:t>2024</w:t>
      </w:r>
      <w:r>
        <w:rPr>
          <w:rFonts w:hint="eastAsia"/>
          <w:lang w:val="en-US" w:eastAsia="zh-CN"/>
        </w:rPr>
        <w:t>年村级公共服务经费项目</w:t>
      </w:r>
      <w:r>
        <w:rPr>
          <w:rFonts w:hint="default"/>
          <w:lang w:val="en-US" w:eastAsia="zh-CN"/>
        </w:rPr>
        <w:t>绩效自评总分为99.9分。项目完成既定绩效目标，预算执行率100%，村社区履职工作情况良好，</w:t>
      </w:r>
      <w:r>
        <w:rPr>
          <w:rFonts w:hint="default"/>
          <w:lang w:val="zh-CN"/>
        </w:rPr>
        <w:t>办公运转、基层活动、服务群众和公共运维四类有效保障</w:t>
      </w:r>
      <w:r>
        <w:rPr>
          <w:rFonts w:hint="default"/>
          <w:lang w:val="en-US" w:eastAsia="zh-CN"/>
        </w:rPr>
        <w:t>，达到预期经济效益和社会效益</w:t>
      </w:r>
      <w:r>
        <w:rPr>
          <w:rFonts w:hint="eastAsia"/>
          <w:lang w:val="en-US" w:eastAsia="zh-CN"/>
        </w:rPr>
        <w:t>；</w:t>
      </w:r>
      <w:r>
        <w:rPr>
          <w:rFonts w:hint="default"/>
          <w:lang w:val="zh-CN" w:eastAsia="zh-CN"/>
        </w:rPr>
        <w:t>2024民生实事票决制项目</w:t>
      </w:r>
      <w:r>
        <w:rPr>
          <w:rFonts w:hint="default"/>
          <w:lang w:val="en-US" w:eastAsia="zh-CN"/>
        </w:rPr>
        <w:t>绩效自评总分为9</w:t>
      </w:r>
      <w:r>
        <w:rPr>
          <w:rFonts w:hint="eastAsia"/>
          <w:lang w:val="en-US" w:eastAsia="zh-CN"/>
        </w:rPr>
        <w:t>8.</w:t>
      </w:r>
      <w:r>
        <w:rPr>
          <w:rFonts w:hint="default"/>
          <w:lang w:val="en-US" w:eastAsia="zh-CN"/>
        </w:rPr>
        <w:t>9分。项目完成既定绩效目标，预算执行率100%，</w:t>
      </w:r>
      <w:r>
        <w:rPr>
          <w:rFonts w:hint="eastAsia"/>
          <w:lang w:val="en-US" w:eastAsia="zh-CN"/>
        </w:rPr>
        <w:t>党群服务中心工作情况良好</w:t>
      </w:r>
      <w:r>
        <w:rPr>
          <w:rFonts w:hint="default"/>
          <w:lang w:val="en-US" w:eastAsia="zh-CN"/>
        </w:rPr>
        <w:t>，</w:t>
      </w:r>
      <w:r>
        <w:rPr>
          <w:rFonts w:hint="eastAsia"/>
          <w:lang w:val="en-US" w:eastAsia="zh-CN"/>
        </w:rPr>
        <w:t>强化了党组织凝聚力，</w:t>
      </w:r>
      <w:r>
        <w:rPr>
          <w:rFonts w:hint="eastAsia"/>
          <w:lang w:eastAsia="zh-CN"/>
        </w:rPr>
        <w:t>民生保障工作良好</w:t>
      </w:r>
      <w:r>
        <w:rPr>
          <w:rFonts w:hint="default"/>
          <w:lang w:val="en-US" w:eastAsia="zh-CN"/>
        </w:rPr>
        <w:t>，达到预期经济效益和社会效益</w:t>
      </w:r>
      <w:r>
        <w:rPr>
          <w:rFonts w:hint="eastAsia"/>
          <w:lang w:val="en-US" w:eastAsia="zh-CN"/>
        </w:rPr>
        <w:t>；</w:t>
      </w:r>
      <w:r>
        <w:rPr>
          <w:rFonts w:hint="default"/>
          <w:lang w:val="zh-CN" w:eastAsia="zh-CN"/>
        </w:rPr>
        <w:t>2024</w:t>
      </w:r>
      <w:r>
        <w:rPr>
          <w:rFonts w:hint="eastAsia"/>
          <w:lang w:val="en-US" w:eastAsia="zh-CN"/>
        </w:rPr>
        <w:t>年信创替代专项资金项目</w:t>
      </w:r>
      <w:r>
        <w:rPr>
          <w:rFonts w:hint="default"/>
          <w:lang w:val="en-US" w:eastAsia="zh-CN"/>
        </w:rPr>
        <w:t>绩效自评总分为</w:t>
      </w:r>
      <w:r>
        <w:rPr>
          <w:rFonts w:hint="eastAsia"/>
          <w:lang w:val="en-US" w:eastAsia="zh-CN"/>
        </w:rPr>
        <w:t>100</w:t>
      </w:r>
      <w:r>
        <w:rPr>
          <w:rFonts w:hint="default"/>
          <w:lang w:val="en-US" w:eastAsia="zh-CN"/>
        </w:rPr>
        <w:t>分。项目完成既定绩效目标，预算执行率100%，更换新电脑后，相关工作人员工作效率提升，达到预期社会效益</w:t>
      </w:r>
      <w:r>
        <w:rPr>
          <w:rFonts w:hint="eastAsia"/>
          <w:lang w:val="en-US" w:eastAsia="zh-CN"/>
        </w:rPr>
        <w:t>；</w:t>
      </w:r>
      <w:r>
        <w:rPr>
          <w:rFonts w:hint="eastAsia"/>
          <w:lang w:val="zh-CN" w:eastAsia="zh-CN"/>
        </w:rPr>
        <w:t>宝珠寺村党群服务中心亲民化改造项目</w:t>
      </w:r>
      <w:r>
        <w:rPr>
          <w:rFonts w:hint="default"/>
          <w:lang w:val="en-US" w:eastAsia="zh-CN"/>
        </w:rPr>
        <w:t>绩效自评总分为</w:t>
      </w:r>
      <w:r>
        <w:rPr>
          <w:rFonts w:hint="eastAsia"/>
          <w:lang w:val="en-US" w:eastAsia="zh-CN"/>
        </w:rPr>
        <w:t>99.9</w:t>
      </w:r>
      <w:r>
        <w:rPr>
          <w:rFonts w:hint="default"/>
          <w:lang w:val="en-US" w:eastAsia="zh-CN"/>
        </w:rPr>
        <w:t>分。项目完成既定绩效目标，预算执行率100%，党群服务中心工作情况良好，强化了党组织凝聚力，</w:t>
      </w:r>
      <w:r>
        <w:rPr>
          <w:rFonts w:hint="default"/>
          <w:lang w:eastAsia="zh-CN"/>
        </w:rPr>
        <w:t>民生保障工作良好</w:t>
      </w:r>
      <w:r>
        <w:rPr>
          <w:rFonts w:hint="default"/>
          <w:lang w:val="en-US" w:eastAsia="zh-CN"/>
        </w:rPr>
        <w:t>，达到预期经济效益和社会效益</w:t>
      </w:r>
      <w:r>
        <w:rPr>
          <w:rFonts w:hint="eastAsia"/>
          <w:lang w:val="en-US" w:eastAsia="zh-CN"/>
        </w:rPr>
        <w:t>；</w:t>
      </w:r>
      <w:r>
        <w:rPr>
          <w:rFonts w:hint="eastAsia"/>
          <w:lang w:val="zh-CN"/>
        </w:rPr>
        <w:t>城乡基层治理能力建设专项资金项目</w:t>
      </w:r>
      <w:r>
        <w:rPr>
          <w:rFonts w:hint="eastAsia"/>
          <w:lang w:val="en-US" w:eastAsia="zh-CN"/>
        </w:rPr>
        <w:t>绩效自评总分为98.9分。项目完成既定绩效目标，预算执行率100%，党群服务中心工作情况良好，强化了党组织凝聚力，民生保障工作良好，达到预期经济效益和社会效益；公共图书馆、美术馆、文化馆（站）免费开放资金项目绩效自评总分为100分。项目完成既定绩效目标，预算执行率</w:t>
      </w:r>
      <w:r>
        <w:rPr>
          <w:rFonts w:hint="default"/>
          <w:lang w:val="en-US" w:eastAsia="zh-CN"/>
        </w:rPr>
        <w:t>100%</w:t>
      </w:r>
      <w:r>
        <w:rPr>
          <w:rFonts w:hint="eastAsia"/>
          <w:lang w:val="en-US" w:eastAsia="zh-CN"/>
        </w:rPr>
        <w:t>，文化站免费开放工作情况良好，达到预期社会效益；计划生育后遗症项目绩效自评总分为96.6分。</w:t>
      </w:r>
      <w:r>
        <w:rPr>
          <w:rFonts w:hint="default"/>
          <w:lang w:val="en-US" w:eastAsia="zh-CN"/>
        </w:rPr>
        <w:t>项目完成既定绩效目标，预算执行率100%，</w:t>
      </w:r>
      <w:r>
        <w:rPr>
          <w:rFonts w:hint="eastAsia"/>
          <w:lang w:val="en-US" w:eastAsia="zh-CN"/>
        </w:rPr>
        <w:t>保障了计划生育后遗症患者权益</w:t>
      </w:r>
      <w:r>
        <w:rPr>
          <w:rFonts w:hint="default"/>
          <w:lang w:val="en-US" w:eastAsia="zh-CN"/>
        </w:rPr>
        <w:t>，达到预期社会效益</w:t>
      </w:r>
      <w:r>
        <w:rPr>
          <w:rFonts w:hint="eastAsia"/>
          <w:lang w:val="en-US" w:eastAsia="zh-CN"/>
        </w:rPr>
        <w:t>；</w:t>
      </w:r>
      <w:r>
        <w:rPr>
          <w:rFonts w:hint="default"/>
          <w:lang w:val="en-US" w:eastAsia="zh-CN"/>
        </w:rPr>
        <w:t>聚贤风情小镇项目资金项目</w:t>
      </w:r>
      <w:r>
        <w:rPr>
          <w:rFonts w:hint="eastAsia"/>
          <w:lang w:val="en-US" w:eastAsia="zh-CN"/>
        </w:rPr>
        <w:t>绩效自评总分为100分。</w:t>
      </w:r>
      <w:r>
        <w:rPr>
          <w:rFonts w:hint="default"/>
          <w:lang w:val="en-US" w:eastAsia="zh-CN"/>
        </w:rPr>
        <w:t>项目完成既定绩效目标，预算执行率100%，顺利返还新地置业前期投资款，推进省委巡视问题整改</w:t>
      </w:r>
      <w:r>
        <w:rPr>
          <w:rFonts w:hint="eastAsia"/>
          <w:lang w:val="en-US" w:eastAsia="zh-CN"/>
        </w:rPr>
        <w:t>；</w:t>
      </w:r>
      <w:r>
        <w:rPr>
          <w:rFonts w:hint="eastAsia"/>
        </w:rPr>
        <w:t>聚贤镇</w:t>
      </w:r>
      <w:r>
        <w:rPr>
          <w:rFonts w:hint="default"/>
        </w:rPr>
        <w:t>2020</w:t>
      </w:r>
      <w:r>
        <w:rPr>
          <w:rFonts w:hint="eastAsia"/>
        </w:rPr>
        <w:t>年脱贫攻坚“两通工程”项目</w:t>
      </w:r>
      <w:r>
        <w:rPr>
          <w:rFonts w:hint="eastAsia"/>
          <w:lang w:val="en-US" w:eastAsia="zh-CN"/>
        </w:rPr>
        <w:t>绩效自评总分为99.9分。</w:t>
      </w:r>
      <w:r>
        <w:rPr>
          <w:rFonts w:hint="default"/>
          <w:lang w:val="en-US" w:eastAsia="zh-CN"/>
        </w:rPr>
        <w:t>项目完成既定绩效目标，预算执行率100%，工程质量合格，群众满意度高，全镇交通出行条件和安全状况显著改善，运输成本降低，达到预期经济效益和社会效益</w:t>
      </w:r>
      <w:r>
        <w:rPr>
          <w:rFonts w:hint="eastAsia"/>
          <w:lang w:val="en-US" w:eastAsia="zh-CN"/>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黑体"/>
          <w:color w:val="auto"/>
          <w:sz w:val="44"/>
          <w:szCs w:val="44"/>
          <w:highlight w:val="none"/>
        </w:rPr>
      </w:pPr>
      <w:bookmarkStart w:id="81" w:name="_Toc15396613"/>
      <w:bookmarkStart w:id="82" w:name="_Toc15377225"/>
      <w:r>
        <w:rPr>
          <w:rFonts w:hint="eastAsia" w:ascii="Times New Roman" w:hAnsi="Times New Roman" w:eastAsia="黑体"/>
          <w:color w:val="auto"/>
          <w:sz w:val="44"/>
          <w:szCs w:val="44"/>
          <w:highlight w:val="none"/>
        </w:rPr>
        <w:br w:type="page"/>
      </w:r>
    </w:p>
    <w:p>
      <w:pPr>
        <w:pStyle w:val="5"/>
        <w:keepNext/>
        <w:keepLines/>
        <w:pageBreakBefore w:val="0"/>
        <w:widowControl w:val="0"/>
        <w:kinsoku/>
        <w:wordWrap/>
        <w:overflowPunct/>
        <w:topLinePunct w:val="0"/>
        <w:autoSpaceDE/>
        <w:autoSpaceDN/>
        <w:bidi w:val="0"/>
        <w:adjustRightInd/>
        <w:snapToGrid/>
        <w:spacing w:line="579" w:lineRule="auto"/>
        <w:ind w:firstLine="0" w:firstLineChars="0"/>
        <w:textAlignment w:val="auto"/>
        <w:rPr>
          <w:rFonts w:hint="eastAsia"/>
        </w:rPr>
      </w:pPr>
      <w:bookmarkStart w:id="83" w:name="_Toc22397"/>
      <w:bookmarkStart w:id="84" w:name="_Toc17693"/>
      <w:r>
        <w:rPr>
          <w:rFonts w:hint="eastAsia"/>
        </w:rPr>
        <w:t>第</w:t>
      </w:r>
      <w:r>
        <w:rPr>
          <w:rFonts w:hint="eastAsia"/>
          <w:lang w:eastAsia="zh-CN"/>
        </w:rPr>
        <w:t>三</w:t>
      </w:r>
      <w:r>
        <w:rPr>
          <w:rFonts w:hint="eastAsia"/>
        </w:rPr>
        <w:t>部分</w:t>
      </w:r>
      <w:r>
        <w:rPr>
          <w:rFonts w:hint="eastAsia"/>
          <w:lang w:val="en-US" w:eastAsia="zh-CN"/>
        </w:rPr>
        <w:t xml:space="preserve">  </w:t>
      </w:r>
      <w:r>
        <w:rPr>
          <w:rFonts w:hint="eastAsia"/>
        </w:rPr>
        <w:t>名词解释</w:t>
      </w:r>
      <w:bookmarkEnd w:id="81"/>
      <w:bookmarkEnd w:id="82"/>
      <w:bookmarkEnd w:id="83"/>
      <w:bookmarkEnd w:id="84"/>
    </w:p>
    <w:p>
      <w:pPr>
        <w:spacing w:line="600" w:lineRule="exact"/>
        <w:jc w:val="left"/>
        <w:rPr>
          <w:rFonts w:ascii="Times New Roman" w:hAnsi="Times New Roman"/>
          <w:b/>
          <w:color w:val="auto"/>
          <w:sz w:val="44"/>
          <w:szCs w:val="44"/>
          <w:highlight w:val="none"/>
        </w:rPr>
      </w:pPr>
    </w:p>
    <w:p>
      <w:pPr>
        <w:bidi w:val="0"/>
        <w:rPr>
          <w:rFonts w:hint="eastAsia"/>
          <w:lang w:val="en-US" w:eastAsia="zh-CN"/>
        </w:rPr>
      </w:pPr>
      <w:r>
        <w:rPr>
          <w:rFonts w:hint="eastAsia"/>
          <w:lang w:val="en-US" w:eastAsia="zh-CN"/>
        </w:rPr>
        <w:t>1.财政拨款收入：指单位从同级财政部门取得的财政预算资金。</w:t>
      </w:r>
    </w:p>
    <w:p>
      <w:pPr>
        <w:bidi w:val="0"/>
        <w:rPr>
          <w:rFonts w:hint="eastAsia"/>
          <w:lang w:val="en-US" w:eastAsia="zh-CN"/>
        </w:rPr>
      </w:pPr>
      <w:r>
        <w:rPr>
          <w:rFonts w:hint="eastAsia"/>
          <w:lang w:val="en-US" w:eastAsia="zh-CN"/>
        </w:rPr>
        <w:t>2.事业收入：指事业单位开展专业业务活动及辅助活动取得的收入。</w:t>
      </w:r>
    </w:p>
    <w:p>
      <w:pPr>
        <w:bidi w:val="0"/>
        <w:rPr>
          <w:rFonts w:hint="eastAsia"/>
          <w:lang w:val="en-US" w:eastAsia="zh-CN"/>
        </w:rPr>
      </w:pPr>
      <w:r>
        <w:rPr>
          <w:rFonts w:hint="eastAsia"/>
          <w:lang w:val="en-US" w:eastAsia="zh-CN"/>
        </w:rPr>
        <w:t>3.经营收入：指事业单位在专业业务活动及其辅助活动之外开展非独立核算经营活动取得的收入。</w:t>
      </w:r>
    </w:p>
    <w:p>
      <w:pPr>
        <w:bidi w:val="0"/>
        <w:rPr>
          <w:rFonts w:hint="eastAsia"/>
          <w:lang w:val="en-US" w:eastAsia="zh-CN"/>
        </w:rPr>
      </w:pPr>
      <w:r>
        <w:rPr>
          <w:rFonts w:hint="eastAsia"/>
          <w:lang w:val="en-US" w:eastAsia="zh-CN"/>
        </w:rPr>
        <w:t>4.其他收入：指单位取得的除上述收入以外的各项收入。</w:t>
      </w:r>
    </w:p>
    <w:p>
      <w:pPr>
        <w:bidi w:val="0"/>
        <w:rPr>
          <w:rFonts w:hint="eastAsia"/>
          <w:lang w:val="en-US" w:eastAsia="zh-CN"/>
        </w:rPr>
      </w:pPr>
      <w:r>
        <w:rPr>
          <w:rFonts w:hint="eastAsia"/>
          <w:lang w:val="en-US" w:eastAsia="zh-CN"/>
        </w:rPr>
        <w:t>5.使用非财政拨款结余（含专用结余）：指事业单位使用以前年度积累的非财政拨款结余弥补当年收支差额的金额。</w:t>
      </w:r>
    </w:p>
    <w:p>
      <w:pPr>
        <w:bidi w:val="0"/>
        <w:rPr>
          <w:rFonts w:hint="eastAsia"/>
          <w:lang w:val="en-US" w:eastAsia="zh-CN"/>
        </w:rPr>
      </w:pPr>
      <w:r>
        <w:rPr>
          <w:rFonts w:hint="eastAsia"/>
          <w:lang w:val="en-US" w:eastAsia="zh-CN"/>
        </w:rPr>
        <w:t>6.年初结转和结余：指以前年度尚未完成、结转到本年按有关规定继续使用的资金。</w:t>
      </w:r>
    </w:p>
    <w:p>
      <w:pPr>
        <w:bidi w:val="0"/>
        <w:rPr>
          <w:rFonts w:hint="eastAsia"/>
          <w:lang w:val="en-US" w:eastAsia="zh-CN"/>
        </w:rPr>
      </w:pPr>
      <w:r>
        <w:rPr>
          <w:rFonts w:hint="eastAsia"/>
          <w:lang w:val="en-US" w:eastAsia="zh-CN"/>
        </w:rPr>
        <w:t>7.结余分配：指事业单位按照会计制度规定缴纳的所得税、提取的专用结余以及转入非财政拨款结余的金额等。</w:t>
      </w:r>
    </w:p>
    <w:p>
      <w:pPr>
        <w:bidi w:val="0"/>
        <w:rPr>
          <w:rFonts w:hint="eastAsia"/>
          <w:lang w:val="en-US" w:eastAsia="zh-CN"/>
        </w:rPr>
      </w:pPr>
      <w:r>
        <w:rPr>
          <w:rFonts w:hint="eastAsia"/>
          <w:lang w:val="en-US" w:eastAsia="zh-CN"/>
        </w:rPr>
        <w:t>8.年末结转和结余：指单位按有关规定结转到下年或以后年度继续使用的资金。</w:t>
      </w:r>
    </w:p>
    <w:p>
      <w:pPr>
        <w:bidi w:val="0"/>
        <w:rPr>
          <w:rFonts w:hint="eastAsia"/>
          <w:lang w:val="en-US" w:eastAsia="zh-CN"/>
        </w:rPr>
      </w:pPr>
      <w:r>
        <w:rPr>
          <w:rFonts w:hint="eastAsia"/>
          <w:lang w:val="en-US" w:eastAsia="zh-CN"/>
        </w:rPr>
        <w:t>9.一般公共服务支出（类）人大事务（款）人大监督（项）：指乡镇人大代表监督、视察等经费支出。</w:t>
      </w:r>
    </w:p>
    <w:p>
      <w:pPr>
        <w:bidi w:val="0"/>
        <w:rPr>
          <w:rFonts w:hint="eastAsia"/>
          <w:lang w:val="en-US" w:eastAsia="zh-CN"/>
        </w:rPr>
      </w:pPr>
      <w:r>
        <w:rPr>
          <w:rFonts w:hint="eastAsia"/>
          <w:lang w:val="en-US" w:eastAsia="zh-CN"/>
        </w:rPr>
        <w:t>10.一般公共服务支出（类）人大事务（款）代表工作（项）：指乡镇人大代表经费支出。</w:t>
      </w:r>
    </w:p>
    <w:p>
      <w:pPr>
        <w:bidi w:val="0"/>
        <w:rPr>
          <w:rFonts w:hint="eastAsia"/>
        </w:rPr>
      </w:pPr>
      <w:r>
        <w:rPr>
          <w:rFonts w:hint="eastAsia"/>
          <w:lang w:val="en-US" w:eastAsia="zh-CN"/>
        </w:rPr>
        <w:t>11.一般公共服务支出（类）政府办公厅、室及相关机构事务（款）行政运行（项）：</w:t>
      </w:r>
      <w:r>
        <w:rPr>
          <w:rFonts w:hint="eastAsia"/>
        </w:rPr>
        <w:t>指行政机关及参公管理事业单位用于保障机构正常运行、开展日常工作的基本支出。</w:t>
      </w:r>
    </w:p>
    <w:p>
      <w:pPr>
        <w:bidi w:val="0"/>
        <w:rPr>
          <w:rFonts w:hint="eastAsia"/>
          <w:lang w:val="en-US" w:eastAsia="zh-CN"/>
        </w:rPr>
      </w:pPr>
      <w:r>
        <w:rPr>
          <w:rFonts w:hint="eastAsia"/>
          <w:lang w:val="en-US" w:eastAsia="zh-CN"/>
        </w:rPr>
        <w:t>12.一般公共服务支出（类）政府办公厅、室及相关机构事务（款）事业运行（项）：</w:t>
      </w:r>
      <w:r>
        <w:rPr>
          <w:rFonts w:hint="eastAsia"/>
        </w:rPr>
        <w:t>指事业单位用于保障机构正常运行、开展日常工作的基本支出。</w:t>
      </w:r>
    </w:p>
    <w:p>
      <w:pPr>
        <w:bidi w:val="0"/>
        <w:rPr>
          <w:rFonts w:hint="eastAsia"/>
          <w:lang w:val="en-US" w:eastAsia="zh-CN"/>
        </w:rPr>
      </w:pPr>
      <w:r>
        <w:rPr>
          <w:rFonts w:hint="eastAsia"/>
          <w:lang w:val="en-US" w:eastAsia="zh-CN"/>
        </w:rPr>
        <w:t>13.</w:t>
      </w:r>
      <w:r>
        <w:rPr>
          <w:rFonts w:hint="eastAsia"/>
        </w:rPr>
        <w:t>一般公共服务</w:t>
      </w:r>
      <w:r>
        <w:rPr>
          <w:rFonts w:hint="eastAsia"/>
          <w:lang w:eastAsia="zh-CN"/>
        </w:rPr>
        <w:t>支出</w:t>
      </w:r>
      <w:r>
        <w:rPr>
          <w:rFonts w:hint="eastAsia"/>
        </w:rPr>
        <w:t>（类）</w:t>
      </w:r>
      <w:r>
        <w:rPr>
          <w:rFonts w:hint="eastAsia"/>
          <w:lang w:eastAsia="zh-CN"/>
        </w:rPr>
        <w:t>政府办公厅、室及相关机构事务（</w:t>
      </w:r>
      <w:r>
        <w:rPr>
          <w:rFonts w:hint="eastAsia"/>
        </w:rPr>
        <w:t>款）</w:t>
      </w:r>
      <w:r>
        <w:rPr>
          <w:rFonts w:hint="eastAsia"/>
          <w:lang w:eastAsia="zh-CN"/>
        </w:rPr>
        <w:t>其他政府办公厅、室及相关机构事务支出</w:t>
      </w:r>
      <w:r>
        <w:rPr>
          <w:rFonts w:hint="eastAsia"/>
        </w:rPr>
        <w:t>（项）</w:t>
      </w:r>
      <w:r>
        <w:rPr>
          <w:rFonts w:hint="eastAsia"/>
          <w:lang w:val="en-US" w:eastAsia="zh-CN"/>
        </w:rPr>
        <w:t>：</w:t>
      </w:r>
      <w:r>
        <w:rPr>
          <w:rFonts w:hint="eastAsia"/>
        </w:rPr>
        <w:t>指除上述项目外，开展其他事务方面专门性工作任务的项目支出。</w:t>
      </w:r>
    </w:p>
    <w:p>
      <w:pPr>
        <w:bidi w:val="0"/>
        <w:rPr>
          <w:rFonts w:hint="eastAsia"/>
          <w:lang w:val="en-US" w:eastAsia="zh-CN"/>
        </w:rPr>
      </w:pPr>
      <w:r>
        <w:rPr>
          <w:rFonts w:hint="eastAsia"/>
          <w:lang w:val="en-US" w:eastAsia="zh-CN"/>
        </w:rPr>
        <w:t>14.</w:t>
      </w:r>
      <w:r>
        <w:rPr>
          <w:rFonts w:hint="eastAsia"/>
        </w:rPr>
        <w:t>一般公共服务</w:t>
      </w:r>
      <w:r>
        <w:rPr>
          <w:rFonts w:hint="eastAsia"/>
          <w:lang w:eastAsia="zh-CN"/>
        </w:rPr>
        <w:t>支出</w:t>
      </w:r>
      <w:r>
        <w:rPr>
          <w:rFonts w:hint="eastAsia"/>
        </w:rPr>
        <w:t>（类</w:t>
      </w:r>
      <w:r>
        <w:rPr>
          <w:rFonts w:hint="eastAsia"/>
          <w:lang w:eastAsia="zh-CN"/>
        </w:rPr>
        <w:t>）</w:t>
      </w:r>
      <w:r>
        <w:rPr>
          <w:rFonts w:hint="eastAsia"/>
          <w:lang w:val="en-US" w:eastAsia="zh-CN"/>
        </w:rPr>
        <w:t>统计信息</w:t>
      </w:r>
      <w:r>
        <w:rPr>
          <w:rFonts w:hint="eastAsia"/>
          <w:lang w:eastAsia="zh-CN"/>
        </w:rPr>
        <w:t>事务</w:t>
      </w:r>
      <w:r>
        <w:rPr>
          <w:rFonts w:hint="eastAsia"/>
        </w:rPr>
        <w:t>（款）</w:t>
      </w:r>
      <w:r>
        <w:rPr>
          <w:rFonts w:hint="eastAsia"/>
          <w:lang w:eastAsia="zh-CN"/>
        </w:rPr>
        <w:t>其他</w:t>
      </w:r>
      <w:r>
        <w:rPr>
          <w:rFonts w:hint="eastAsia"/>
          <w:lang w:val="en-US" w:eastAsia="zh-CN"/>
        </w:rPr>
        <w:t>统计信息事务</w:t>
      </w:r>
      <w:r>
        <w:rPr>
          <w:rFonts w:hint="eastAsia"/>
          <w:lang w:eastAsia="zh-CN"/>
        </w:rPr>
        <w:t>支出</w:t>
      </w:r>
      <w:r>
        <w:rPr>
          <w:rFonts w:hint="eastAsia"/>
        </w:rPr>
        <w:t>（项）</w:t>
      </w:r>
      <w:r>
        <w:rPr>
          <w:rFonts w:hint="eastAsia"/>
          <w:lang w:val="en-US" w:eastAsia="zh-CN"/>
        </w:rPr>
        <w:t>：指其他统计信息事务支出。</w:t>
      </w:r>
    </w:p>
    <w:p>
      <w:pPr>
        <w:bidi w:val="0"/>
        <w:rPr>
          <w:rFonts w:hint="eastAsia"/>
          <w:lang w:val="en-US" w:eastAsia="zh-CN"/>
        </w:rPr>
      </w:pPr>
      <w:r>
        <w:rPr>
          <w:rFonts w:hint="eastAsia"/>
          <w:lang w:val="en-US" w:eastAsia="zh-CN"/>
        </w:rPr>
        <w:t>15.一般公共服务支出（类）信访事务（款）其他信访事务支出（项）：指其他信访事务支出。</w:t>
      </w:r>
    </w:p>
    <w:p>
      <w:pPr>
        <w:bidi w:val="0"/>
        <w:rPr>
          <w:rFonts w:hint="eastAsia"/>
          <w:lang w:val="en-US" w:eastAsia="zh-CN"/>
        </w:rPr>
      </w:pPr>
      <w:r>
        <w:rPr>
          <w:rFonts w:hint="eastAsia"/>
          <w:lang w:val="en-US" w:eastAsia="zh-CN"/>
        </w:rPr>
        <w:t>16.文化旅游体育与传媒支出（类）文化和旅游（款）其他文化和旅游支出（项）：指其他用于文化和旅游方面的支出。</w:t>
      </w:r>
    </w:p>
    <w:p>
      <w:pPr>
        <w:bidi w:val="0"/>
        <w:rPr>
          <w:rFonts w:hint="eastAsia"/>
          <w:lang w:val="en-US" w:eastAsia="zh-CN"/>
        </w:rPr>
      </w:pPr>
      <w:r>
        <w:rPr>
          <w:rFonts w:hint="eastAsia"/>
          <w:lang w:val="en-US" w:eastAsia="zh-CN"/>
        </w:rPr>
        <w:t>17.社会保障和就业支出（类）行政事业单位养老支出（款）行政单位离退休（项）：指退休人员生活费等支出。</w:t>
      </w:r>
    </w:p>
    <w:p>
      <w:pPr>
        <w:bidi w:val="0"/>
        <w:rPr>
          <w:rFonts w:hint="eastAsia"/>
          <w:lang w:val="en-US" w:eastAsia="zh-CN"/>
        </w:rPr>
      </w:pPr>
      <w:r>
        <w:rPr>
          <w:rFonts w:hint="eastAsia"/>
          <w:lang w:val="en-US" w:eastAsia="zh-CN"/>
        </w:rPr>
        <w:t>18.社会保障和就业支出（类）行政事业单位养老支出（款）</w:t>
      </w:r>
      <w:r>
        <w:rPr>
          <w:rFonts w:hint="eastAsia"/>
          <w:lang w:eastAsia="zh-CN"/>
        </w:rPr>
        <w:t>机关事业单位基本养老保险缴费支出</w:t>
      </w:r>
      <w:r>
        <w:rPr>
          <w:rFonts w:hint="eastAsia"/>
        </w:rPr>
        <w:t>（项）</w:t>
      </w:r>
      <w:r>
        <w:rPr>
          <w:rFonts w:hint="eastAsia"/>
          <w:lang w:eastAsia="zh-CN"/>
        </w:rPr>
        <w:t>：指</w:t>
      </w:r>
      <w:r>
        <w:rPr>
          <w:rFonts w:hint="eastAsia"/>
        </w:rPr>
        <w:t>部门实施养老保险制度由单位缴纳的养老保险费的支出</w:t>
      </w:r>
      <w:r>
        <w:rPr>
          <w:rFonts w:hint="eastAsia"/>
          <w:lang w:val="en-US" w:eastAsia="zh-CN"/>
        </w:rPr>
        <w:t>。</w:t>
      </w:r>
    </w:p>
    <w:p>
      <w:pPr>
        <w:bidi w:val="0"/>
        <w:rPr>
          <w:rFonts w:hint="eastAsia"/>
          <w:lang w:val="en-US" w:eastAsia="zh-CN"/>
        </w:rPr>
      </w:pPr>
      <w:r>
        <w:rPr>
          <w:rFonts w:hint="eastAsia"/>
          <w:lang w:val="en-US" w:eastAsia="zh-CN"/>
        </w:rPr>
        <w:t>19.社会保障和就业支出（类）行政事业单位养老支出（款）</w:t>
      </w:r>
      <w:r>
        <w:rPr>
          <w:rFonts w:hint="eastAsia"/>
          <w:lang w:eastAsia="zh-CN"/>
        </w:rPr>
        <w:t>其他行政事业单位养老支出</w:t>
      </w:r>
      <w:r>
        <w:rPr>
          <w:rFonts w:hint="eastAsia"/>
        </w:rPr>
        <w:t>（项）</w:t>
      </w:r>
      <w:r>
        <w:rPr>
          <w:rFonts w:hint="eastAsia"/>
          <w:lang w:val="en-US" w:eastAsia="zh-CN"/>
        </w:rPr>
        <w:t>：指其他用于行政事业单位养老方面的支出。</w:t>
      </w:r>
    </w:p>
    <w:p>
      <w:pPr>
        <w:bidi w:val="0"/>
        <w:rPr>
          <w:rFonts w:hint="eastAsia"/>
          <w:lang w:val="en-US" w:eastAsia="zh-CN"/>
        </w:rPr>
      </w:pPr>
      <w:r>
        <w:rPr>
          <w:rFonts w:hint="eastAsia"/>
          <w:lang w:val="en-US" w:eastAsia="zh-CN"/>
        </w:rPr>
        <w:t>20.社会保障和就业支出（类）抚恤（款）死亡抚恤（项）：指按规定用于烈士和牺牲、病故人员家属的一次性和定期抚恤金、丧葬补助费以及烈士褒扬金。</w:t>
      </w:r>
    </w:p>
    <w:p>
      <w:pPr>
        <w:bidi w:val="0"/>
        <w:rPr>
          <w:rFonts w:hint="eastAsia"/>
          <w:lang w:val="en-US" w:eastAsia="zh-CN"/>
        </w:rPr>
      </w:pPr>
      <w:r>
        <w:rPr>
          <w:rFonts w:hint="eastAsia"/>
          <w:lang w:val="en-US" w:eastAsia="zh-CN"/>
        </w:rPr>
        <w:t>21.</w:t>
      </w:r>
      <w:r>
        <w:rPr>
          <w:rFonts w:hint="eastAsia"/>
          <w:lang w:eastAsia="zh-CN"/>
        </w:rPr>
        <w:t>社会保障和就业支出</w:t>
      </w:r>
      <w:r>
        <w:rPr>
          <w:rFonts w:hint="eastAsia"/>
        </w:rPr>
        <w:t>（类）</w:t>
      </w:r>
      <w:r>
        <w:rPr>
          <w:rFonts w:hint="eastAsia"/>
          <w:lang w:val="en-US" w:eastAsia="zh-CN"/>
        </w:rPr>
        <w:t>其他社会保障和就业支出</w:t>
      </w:r>
      <w:r>
        <w:rPr>
          <w:rFonts w:hint="eastAsia"/>
        </w:rPr>
        <w:t>（款）</w:t>
      </w:r>
      <w:r>
        <w:rPr>
          <w:rFonts w:hint="eastAsia"/>
          <w:lang w:eastAsia="zh-CN"/>
        </w:rPr>
        <w:t>其他社会保障和就业支出</w:t>
      </w:r>
      <w:r>
        <w:rPr>
          <w:rFonts w:hint="eastAsia"/>
        </w:rPr>
        <w:t>（项）</w:t>
      </w:r>
      <w:r>
        <w:rPr>
          <w:rFonts w:hint="eastAsia"/>
          <w:lang w:val="en-US" w:eastAsia="zh-CN"/>
        </w:rPr>
        <w:t>：指其他社会保障和就业支出。</w:t>
      </w:r>
    </w:p>
    <w:p>
      <w:pPr>
        <w:bidi w:val="0"/>
        <w:rPr>
          <w:rFonts w:hint="eastAsia"/>
          <w:lang w:val="en-US" w:eastAsia="zh-CN"/>
        </w:rPr>
      </w:pPr>
      <w:r>
        <w:rPr>
          <w:rFonts w:hint="eastAsia"/>
          <w:lang w:val="en-US" w:eastAsia="zh-CN"/>
        </w:rPr>
        <w:t>22.卫生健康支出（类）计划生育事务（款）其他计划生育事务支出（项）：指其他用于计划生育管理事务方面的支出。</w:t>
      </w:r>
    </w:p>
    <w:p>
      <w:pPr>
        <w:bidi w:val="0"/>
        <w:rPr>
          <w:rFonts w:hint="eastAsia"/>
          <w:lang w:val="en-US" w:eastAsia="zh-CN"/>
        </w:rPr>
      </w:pPr>
      <w:r>
        <w:rPr>
          <w:rFonts w:hint="eastAsia"/>
          <w:lang w:val="en-US" w:eastAsia="zh-CN"/>
        </w:rPr>
        <w:t>23.</w:t>
      </w:r>
      <w:r>
        <w:rPr>
          <w:rFonts w:hint="eastAsia"/>
          <w:lang w:eastAsia="zh-CN"/>
        </w:rPr>
        <w:t>卫生健康支出</w:t>
      </w:r>
      <w:r>
        <w:rPr>
          <w:rFonts w:hint="eastAsia"/>
        </w:rPr>
        <w:t>（类）</w:t>
      </w:r>
      <w:r>
        <w:rPr>
          <w:rFonts w:hint="eastAsia"/>
          <w:lang w:eastAsia="zh-CN"/>
        </w:rPr>
        <w:t>行政事业单位医疗</w:t>
      </w:r>
      <w:r>
        <w:rPr>
          <w:rFonts w:hint="eastAsia"/>
        </w:rPr>
        <w:t>（款）</w:t>
      </w:r>
      <w:r>
        <w:rPr>
          <w:rFonts w:hint="eastAsia"/>
          <w:lang w:eastAsia="zh-CN"/>
        </w:rPr>
        <w:t>行政单位医疗</w:t>
      </w:r>
      <w:r>
        <w:rPr>
          <w:rFonts w:hint="eastAsia"/>
        </w:rPr>
        <w:t>（项）</w:t>
      </w:r>
      <w:r>
        <w:rPr>
          <w:rFonts w:hint="eastAsia"/>
          <w:lang w:val="en-US" w:eastAsia="zh-CN"/>
        </w:rPr>
        <w:t>：</w:t>
      </w:r>
      <w:r>
        <w:rPr>
          <w:rFonts w:hint="eastAsia"/>
        </w:rPr>
        <w:t>指行政机关及参公管理事业单位用于缴纳单位基本医疗保险支出</w:t>
      </w:r>
      <w:r>
        <w:rPr>
          <w:rFonts w:hint="eastAsia"/>
          <w:lang w:val="en-US" w:eastAsia="zh-CN"/>
        </w:rPr>
        <w:t>。</w:t>
      </w:r>
    </w:p>
    <w:p>
      <w:pPr>
        <w:bidi w:val="0"/>
        <w:rPr>
          <w:rFonts w:hint="eastAsia"/>
          <w:lang w:eastAsia="zh-CN"/>
        </w:rPr>
      </w:pPr>
      <w:r>
        <w:rPr>
          <w:rFonts w:hint="eastAsia"/>
          <w:lang w:val="en-US" w:eastAsia="zh-CN"/>
        </w:rPr>
        <w:t>24.</w:t>
      </w:r>
      <w:r>
        <w:rPr>
          <w:rFonts w:hint="eastAsia"/>
          <w:lang w:eastAsia="zh-CN"/>
        </w:rPr>
        <w:t>卫生健康支出</w:t>
      </w:r>
      <w:r>
        <w:rPr>
          <w:rFonts w:hint="eastAsia"/>
        </w:rPr>
        <w:t>（类）</w:t>
      </w:r>
      <w:r>
        <w:rPr>
          <w:rFonts w:hint="eastAsia"/>
          <w:lang w:eastAsia="zh-CN"/>
        </w:rPr>
        <w:t>行政事业单位医疗</w:t>
      </w:r>
      <w:r>
        <w:rPr>
          <w:rFonts w:hint="eastAsia"/>
        </w:rPr>
        <w:t>（款）</w:t>
      </w:r>
      <w:r>
        <w:rPr>
          <w:rFonts w:hint="eastAsia"/>
          <w:lang w:eastAsia="zh-CN"/>
        </w:rPr>
        <w:t>事业单位医疗</w:t>
      </w:r>
      <w:r>
        <w:rPr>
          <w:rFonts w:hint="eastAsia"/>
        </w:rPr>
        <w:t>（项）</w:t>
      </w:r>
      <w:r>
        <w:rPr>
          <w:rFonts w:hint="eastAsia"/>
          <w:lang w:val="en-US" w:eastAsia="zh-CN"/>
        </w:rPr>
        <w:t>：</w:t>
      </w:r>
      <w:r>
        <w:rPr>
          <w:rFonts w:hint="eastAsia"/>
        </w:rPr>
        <w:t>指事业单位用于缴纳单位基本医疗保险支出</w:t>
      </w:r>
      <w:r>
        <w:rPr>
          <w:rFonts w:hint="eastAsia"/>
          <w:lang w:eastAsia="zh-CN"/>
        </w:rPr>
        <w:t>。</w:t>
      </w:r>
    </w:p>
    <w:p>
      <w:pPr>
        <w:bidi w:val="0"/>
        <w:rPr>
          <w:rFonts w:hint="eastAsia"/>
          <w:lang w:val="en-US" w:eastAsia="zh-CN"/>
        </w:rPr>
      </w:pPr>
      <w:r>
        <w:rPr>
          <w:rFonts w:hint="eastAsia"/>
          <w:lang w:val="en-US" w:eastAsia="zh-CN"/>
        </w:rPr>
        <w:t>25.</w:t>
      </w:r>
      <w:r>
        <w:rPr>
          <w:rFonts w:hint="eastAsia"/>
          <w:lang w:eastAsia="zh-CN"/>
        </w:rPr>
        <w:t>卫生健康支出</w:t>
      </w:r>
      <w:r>
        <w:rPr>
          <w:rFonts w:hint="eastAsia"/>
        </w:rPr>
        <w:t>（类）</w:t>
      </w:r>
      <w:r>
        <w:rPr>
          <w:rFonts w:hint="eastAsia"/>
          <w:lang w:eastAsia="zh-CN"/>
        </w:rPr>
        <w:t>行政事业单位医疗</w:t>
      </w:r>
      <w:r>
        <w:rPr>
          <w:rFonts w:hint="eastAsia"/>
        </w:rPr>
        <w:t>（款）</w:t>
      </w:r>
      <w:r>
        <w:rPr>
          <w:rFonts w:hint="eastAsia"/>
          <w:lang w:val="en-US" w:eastAsia="zh-CN"/>
        </w:rPr>
        <w:t>公务员医疗补助</w:t>
      </w:r>
      <w:r>
        <w:rPr>
          <w:rFonts w:hint="eastAsia"/>
        </w:rPr>
        <w:t>（项）</w:t>
      </w:r>
      <w:r>
        <w:rPr>
          <w:rFonts w:hint="eastAsia"/>
          <w:lang w:val="en-US" w:eastAsia="zh-CN"/>
        </w:rPr>
        <w:t>：指财政部门安排的公务员医疗补助经费。</w:t>
      </w:r>
    </w:p>
    <w:p>
      <w:pPr>
        <w:bidi w:val="0"/>
        <w:rPr>
          <w:rFonts w:hint="eastAsia"/>
          <w:lang w:val="en-US" w:eastAsia="zh-CN"/>
        </w:rPr>
      </w:pPr>
      <w:r>
        <w:rPr>
          <w:rFonts w:hint="eastAsia"/>
          <w:lang w:val="en-US" w:eastAsia="zh-CN"/>
        </w:rPr>
        <w:t>26.节能环保支出（类）污染防治（款）水体（项）：指政府在排水、污水处理、水污染防治、湖库生态环境保护、水源地保护、国土江河综合整治、河流治理与保护、地下水修复与保护等方面的支出。</w:t>
      </w:r>
    </w:p>
    <w:p>
      <w:pPr>
        <w:bidi w:val="0"/>
        <w:rPr>
          <w:rFonts w:hint="default"/>
          <w:lang w:val="en-US" w:eastAsia="zh-CN"/>
        </w:rPr>
      </w:pPr>
      <w:r>
        <w:rPr>
          <w:rFonts w:hint="eastAsia"/>
          <w:lang w:val="en-US" w:eastAsia="zh-CN"/>
        </w:rPr>
        <w:t>27.农林水支出（类）农业农村（款）事业运行（项）：指</w:t>
      </w:r>
      <w:r>
        <w:rPr>
          <w:rFonts w:hint="eastAsia"/>
        </w:rPr>
        <w:t>保障机构正常运行、开展日常工作的基本支出。</w:t>
      </w:r>
    </w:p>
    <w:p>
      <w:pPr>
        <w:bidi w:val="0"/>
        <w:rPr>
          <w:rFonts w:hint="eastAsia"/>
          <w:lang w:val="en-US" w:eastAsia="zh-CN"/>
        </w:rPr>
      </w:pPr>
      <w:r>
        <w:rPr>
          <w:rFonts w:hint="eastAsia"/>
          <w:lang w:val="en-US" w:eastAsia="zh-CN"/>
        </w:rPr>
        <w:t>28.农林水支出（类）水利（款）其他水利支出（项）：指其他用于水利方面的支出。</w:t>
      </w:r>
    </w:p>
    <w:p>
      <w:pPr>
        <w:bidi w:val="0"/>
        <w:rPr>
          <w:rFonts w:hint="default"/>
          <w:lang w:val="en-US" w:eastAsia="zh-CN"/>
        </w:rPr>
      </w:pPr>
      <w:r>
        <w:rPr>
          <w:rFonts w:hint="eastAsia"/>
          <w:lang w:val="en-US" w:eastAsia="zh-CN"/>
        </w:rPr>
        <w:t>29.农林水支出（类）农村综合改革（款）对村级公益事业建设的补助（项）：指农村税费改革后对村级公益事业建设的补助支出。</w:t>
      </w:r>
    </w:p>
    <w:p>
      <w:pPr>
        <w:bidi w:val="0"/>
        <w:rPr>
          <w:rFonts w:hint="eastAsia"/>
          <w:lang w:val="en-US" w:eastAsia="zh-CN"/>
        </w:rPr>
      </w:pPr>
      <w:r>
        <w:rPr>
          <w:rFonts w:hint="eastAsia"/>
          <w:lang w:val="en-US" w:eastAsia="zh-CN"/>
        </w:rPr>
        <w:t>30.</w:t>
      </w:r>
      <w:r>
        <w:rPr>
          <w:rFonts w:hint="eastAsia"/>
          <w:lang w:eastAsia="zh-CN"/>
        </w:rPr>
        <w:t>农林水支出</w:t>
      </w:r>
      <w:r>
        <w:rPr>
          <w:rFonts w:hint="eastAsia"/>
        </w:rPr>
        <w:t>（类）</w:t>
      </w:r>
      <w:r>
        <w:rPr>
          <w:rFonts w:hint="eastAsia"/>
          <w:lang w:eastAsia="zh-CN"/>
        </w:rPr>
        <w:t>农村综合改革</w:t>
      </w:r>
      <w:r>
        <w:rPr>
          <w:rFonts w:hint="eastAsia"/>
        </w:rPr>
        <w:t>（款）</w:t>
      </w:r>
      <w:r>
        <w:rPr>
          <w:rFonts w:hint="eastAsia"/>
          <w:lang w:eastAsia="zh-CN"/>
        </w:rPr>
        <w:t>对村民委员会和村党支部的补助</w:t>
      </w:r>
      <w:r>
        <w:rPr>
          <w:rFonts w:hint="eastAsia"/>
        </w:rPr>
        <w:t>（项）</w:t>
      </w:r>
      <w:r>
        <w:rPr>
          <w:rFonts w:hint="eastAsia"/>
          <w:lang w:val="en-US" w:eastAsia="zh-CN"/>
        </w:rPr>
        <w:t>：指各级政府对村民委员会和村党支部的补助支出，以及支持建立县级基本财力保障机制安排的村级组织运转奖补资金。</w:t>
      </w:r>
    </w:p>
    <w:p>
      <w:pPr>
        <w:bidi w:val="0"/>
        <w:rPr>
          <w:rFonts w:hint="default"/>
          <w:lang w:val="en-US" w:eastAsia="zh-CN"/>
        </w:rPr>
      </w:pPr>
      <w:r>
        <w:rPr>
          <w:rFonts w:hint="default"/>
          <w:lang w:val="en-US" w:eastAsia="zh-CN"/>
        </w:rPr>
        <w:t>31.农林水支出（类）其他农林水支出（款）其他农林水支出（项）：指除化解债务支出以外其他用于农林水方面的支出。</w:t>
      </w:r>
    </w:p>
    <w:p>
      <w:pPr>
        <w:bidi w:val="0"/>
        <w:rPr>
          <w:rFonts w:hint="default"/>
          <w:lang w:val="en-US" w:eastAsia="zh-CN"/>
        </w:rPr>
      </w:pPr>
      <w:r>
        <w:rPr>
          <w:rFonts w:hint="default"/>
          <w:lang w:val="en-US" w:eastAsia="zh-CN"/>
        </w:rPr>
        <w:t>32.</w:t>
      </w:r>
      <w:r>
        <w:rPr>
          <w:rFonts w:hint="default"/>
          <w:lang w:eastAsia="zh-CN"/>
        </w:rPr>
        <w:t>住房保障支出</w:t>
      </w:r>
      <w:r>
        <w:rPr>
          <w:rFonts w:hint="default"/>
        </w:rPr>
        <w:t>（类）</w:t>
      </w:r>
      <w:r>
        <w:rPr>
          <w:rFonts w:hint="default"/>
          <w:lang w:eastAsia="zh-CN"/>
        </w:rPr>
        <w:t>住房改革支出</w:t>
      </w:r>
      <w:r>
        <w:rPr>
          <w:rFonts w:hint="default"/>
        </w:rPr>
        <w:t>（款）</w:t>
      </w:r>
      <w:r>
        <w:rPr>
          <w:rFonts w:hint="default"/>
          <w:lang w:eastAsia="zh-CN"/>
        </w:rPr>
        <w:t>住房公积金</w:t>
      </w:r>
      <w:r>
        <w:rPr>
          <w:rFonts w:hint="default"/>
        </w:rPr>
        <w:t>（项）</w:t>
      </w:r>
      <w:r>
        <w:rPr>
          <w:rFonts w:hint="default"/>
          <w:lang w:val="en-US" w:eastAsia="zh-CN"/>
        </w:rPr>
        <w:t>：</w:t>
      </w:r>
      <w:r>
        <w:rPr>
          <w:rFonts w:hint="default"/>
        </w:rPr>
        <w:t>指按照住房公积金管理条例的规定，由单位及其在职职工缴存的长期住房储金。</w:t>
      </w:r>
    </w:p>
    <w:p>
      <w:pPr>
        <w:bidi w:val="0"/>
        <w:rPr>
          <w:rFonts w:hint="default"/>
          <w:lang w:val="en-US" w:eastAsia="zh-CN"/>
        </w:rPr>
      </w:pPr>
      <w:r>
        <w:rPr>
          <w:rFonts w:hint="default"/>
          <w:lang w:val="en-US" w:eastAsia="zh-CN"/>
        </w:rPr>
        <w:t>33.灾害防治及应急管理支出（类）应急管理事务（款）灾害风险防治（项）：指组织、指导、协调各类风险灾害防范治理方面的支出。</w:t>
      </w:r>
    </w:p>
    <w:p>
      <w:pPr>
        <w:bidi w:val="0"/>
        <w:rPr>
          <w:rFonts w:hint="default"/>
          <w:lang w:val="en-US" w:eastAsia="zh-CN"/>
        </w:rPr>
      </w:pPr>
      <w:r>
        <w:rPr>
          <w:rFonts w:hint="default"/>
          <w:lang w:val="en-US" w:eastAsia="zh-CN"/>
        </w:rPr>
        <w:t>34.灾害防治及应急管理支出（类）应急管理事务（款）应急救援（项）：指防灾应急救助方面的支出。</w:t>
      </w:r>
    </w:p>
    <w:p>
      <w:pPr>
        <w:bidi w:val="0"/>
        <w:rPr>
          <w:rFonts w:hint="eastAsia"/>
          <w:lang w:val="en-US" w:eastAsia="zh-CN"/>
        </w:rPr>
      </w:pPr>
      <w:r>
        <w:rPr>
          <w:rFonts w:hint="eastAsia"/>
          <w:lang w:val="en-US" w:eastAsia="zh-CN"/>
        </w:rPr>
        <w:t>35.基本支出：指为保障机构正常运转、完成日常工作任务而发生的人员支出和公用支出。</w:t>
      </w:r>
    </w:p>
    <w:p>
      <w:pPr>
        <w:bidi w:val="0"/>
        <w:rPr>
          <w:rFonts w:hint="eastAsia"/>
          <w:lang w:val="en-US" w:eastAsia="zh-CN"/>
        </w:rPr>
      </w:pPr>
      <w:r>
        <w:rPr>
          <w:rFonts w:hint="eastAsia"/>
          <w:lang w:val="en-US" w:eastAsia="zh-CN"/>
        </w:rPr>
        <w:t>36.项目支出：指在基本支出之外为完成特定行政任务和事业发展目标所发生的支出。</w:t>
      </w:r>
    </w:p>
    <w:p>
      <w:pPr>
        <w:bidi w:val="0"/>
        <w:rPr>
          <w:rFonts w:hint="eastAsia"/>
          <w:lang w:val="en-US" w:eastAsia="zh-CN"/>
        </w:rPr>
      </w:pPr>
      <w:r>
        <w:rPr>
          <w:rFonts w:hint="eastAsia"/>
          <w:lang w:val="en-US" w:eastAsia="zh-CN"/>
        </w:rPr>
        <w:t>37.经营支出：指事业单位在专业业务活动及其辅助活动之外开展非独立核算经营活动发生的支出。</w:t>
      </w:r>
    </w:p>
    <w:p>
      <w:pPr>
        <w:bidi w:val="0"/>
        <w:rPr>
          <w:rFonts w:hint="eastAsia"/>
          <w:lang w:val="en-US" w:eastAsia="zh-CN"/>
        </w:rPr>
      </w:pPr>
      <w:r>
        <w:rPr>
          <w:rFonts w:hint="eastAsia"/>
          <w:lang w:val="en-US" w:eastAsia="zh-CN"/>
        </w:rPr>
        <w:t>38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bidi w:val="0"/>
        <w:rPr>
          <w:rFonts w:hint="eastAsia"/>
          <w:lang w:val="en-US" w:eastAsia="zh-CN"/>
        </w:rPr>
      </w:pPr>
      <w:r>
        <w:rPr>
          <w:rFonts w:hint="eastAsia"/>
          <w:lang w:val="en-US" w:eastAsia="zh-CN"/>
        </w:rPr>
        <w:t>39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85" w:name="_Toc15396614"/>
      <w:bookmarkStart w:id="86" w:name="_Toc15377226"/>
    </w:p>
    <w:p>
      <w:pPr>
        <w:rPr>
          <w:rFonts w:hint="eastAsia"/>
          <w:lang w:val="en-US" w:eastAsia="zh-CN"/>
        </w:rPr>
      </w:pPr>
      <w:r>
        <w:rPr>
          <w:rFonts w:hint="eastAsia"/>
          <w:lang w:val="en-US" w:eastAsia="zh-CN"/>
        </w:rPr>
        <w:br w:type="page"/>
      </w:r>
    </w:p>
    <w:p>
      <w:pPr>
        <w:bidi w:val="0"/>
        <w:ind w:left="0" w:leftChars="0" w:right="0" w:rightChars="0" w:firstLine="0" w:firstLineChars="0"/>
        <w:jc w:val="center"/>
        <w:outlineLvl w:val="0"/>
        <w:rPr>
          <w:rStyle w:val="19"/>
          <w:rFonts w:hint="eastAsia" w:ascii="Times New Roman" w:hAnsi="Times New Roman" w:eastAsia="黑体"/>
          <w:b w:val="0"/>
          <w:color w:val="auto"/>
          <w:highlight w:val="none"/>
          <w:lang w:eastAsia="zh-CN"/>
        </w:rPr>
      </w:pPr>
      <w:bookmarkStart w:id="87" w:name="_Toc26357"/>
      <w:r>
        <w:rPr>
          <w:rStyle w:val="19"/>
          <w:rFonts w:hint="eastAsia"/>
        </w:rPr>
        <w:t>第四部分</w:t>
      </w:r>
      <w:r>
        <w:rPr>
          <w:rStyle w:val="19"/>
          <w:rFonts w:hint="eastAsia"/>
          <w:lang w:val="en-US" w:eastAsia="zh-CN"/>
        </w:rPr>
        <w:t xml:space="preserve"> </w:t>
      </w:r>
      <w:r>
        <w:rPr>
          <w:rStyle w:val="19"/>
          <w:rFonts w:hint="eastAsia"/>
        </w:rPr>
        <w:t xml:space="preserve"> 附件</w:t>
      </w:r>
      <w:bookmarkEnd w:id="85"/>
      <w:bookmarkEnd w:id="87"/>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pPr>
        <w:bidi w:val="0"/>
        <w:rPr>
          <w:rFonts w:hint="eastAsia" w:ascii="黑体" w:hAnsi="黑体" w:eastAsia="黑体" w:cs="黑体"/>
          <w:lang w:val="en-US" w:eastAsia="zh-CN"/>
        </w:rPr>
      </w:pPr>
      <w:bookmarkStart w:id="88" w:name="_Toc13637"/>
      <w:r>
        <w:rPr>
          <w:rFonts w:hint="eastAsia" w:ascii="黑体" w:hAnsi="黑体" w:eastAsia="黑体" w:cs="黑体"/>
        </w:rPr>
        <w:t>附件</w:t>
      </w:r>
      <w:r>
        <w:rPr>
          <w:rFonts w:hint="eastAsia" w:ascii="黑体" w:hAnsi="黑体" w:eastAsia="黑体" w:cs="黑体"/>
          <w:lang w:val="en-US" w:eastAsia="zh-CN"/>
        </w:rPr>
        <w:t>1</w:t>
      </w:r>
      <w:bookmarkEnd w:id="88"/>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聚贤镇整体</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关于印发〈遂宁市安居区聚贤镇职能配置、机构设置和人员编制方案〉的通知》。遂宁市安居区聚贤镇人民政府现内设机构6个（党政办公室、党建工作办公室、经济发展和乡村振兴办公室、社会事务和社会治理办公室、应急管理办公室、综合执法办公室），直属事业机构3个（便民服务中心、农业综合服务中心、宣传文化服务中心），属于行政单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遂宁市安居区聚贤镇人民政府属于一级预算单位，无下属单位。</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聚贤镇党委、政府负责贯彻落实党中央的方针政策和省委、市委、区委决策部署，把坚持和加强党的集中统一领导落实到履行职责过程中。主要职责是：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（一）</w:t>
      </w:r>
      <w:r>
        <w:rPr>
          <w:rFonts w:hint="eastAsia" w:ascii="Times New Roman" w:hAnsi="Times New Roman" w:eastAsia="仿宋_GB2312" w:cs="仿宋_GB2312"/>
          <w:color w:val="auto"/>
          <w:kern w:val="2"/>
          <w:sz w:val="32"/>
          <w:szCs w:val="32"/>
          <w:highlight w:val="none"/>
          <w:lang w:val="en-US" w:eastAsia="zh-CN" w:bidi="ar-SA"/>
        </w:rPr>
        <w:t>加强党的建设。强化党的经济建设、政治建设、文化建设、社会建设、生态文明建设。落实党建工作责任制，加强意识形态工作，推进全面从严治党。推进村</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党建、机关党建、行业党建互联互动。加强对人大工作机构、政协、人武部、群团组织等的领导。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（二）</w:t>
      </w:r>
      <w:r>
        <w:rPr>
          <w:rFonts w:hint="eastAsia" w:ascii="Times New Roman" w:hAnsi="Times New Roman" w:eastAsia="仿宋_GB2312" w:cs="仿宋_GB2312"/>
          <w:color w:val="auto"/>
          <w:kern w:val="2"/>
          <w:sz w:val="32"/>
          <w:szCs w:val="32"/>
          <w:highlight w:val="none"/>
          <w:lang w:val="en-US" w:eastAsia="zh-CN" w:bidi="ar-SA"/>
        </w:rPr>
        <w:t>促进经济发展。编制实施辖区经济社会发展、国土空间等各项规划。加快构建现代乡村产业体系，因地制宜发展特色产业，促进农村一、二、三产业融合发展，发展壮大农村集体经济，促进农民持续增收致富，推动镇、村</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经济高质量发展，有效推进乡村全面振兴。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（三）</w:t>
      </w:r>
      <w:r>
        <w:rPr>
          <w:rFonts w:hint="eastAsia" w:ascii="Times New Roman" w:hAnsi="Times New Roman" w:eastAsia="仿宋_GB2312" w:cs="仿宋_GB2312"/>
          <w:color w:val="auto"/>
          <w:kern w:val="2"/>
          <w:sz w:val="32"/>
          <w:szCs w:val="32"/>
          <w:highlight w:val="none"/>
          <w:lang w:val="en-US" w:eastAsia="zh-CN" w:bidi="ar-SA"/>
        </w:rPr>
        <w:t>强化民生服务。组织实施辖区内各项公共服务，落实民生保障政策。加强辖区内公共基础设施、农田水利和各项公益事业建设，积极构建公共服务均等化体系。健全完善镇村两级为民服务体系，加强政务服务规范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（四）</w:t>
      </w:r>
      <w:r>
        <w:rPr>
          <w:rFonts w:hint="eastAsia" w:ascii="Times New Roman" w:hAnsi="Times New Roman" w:eastAsia="仿宋_GB2312" w:cs="仿宋_GB2312"/>
          <w:color w:val="auto"/>
          <w:kern w:val="2"/>
          <w:sz w:val="32"/>
          <w:szCs w:val="32"/>
          <w:highlight w:val="none"/>
          <w:lang w:val="en-US" w:eastAsia="zh-CN" w:bidi="ar-SA"/>
        </w:rPr>
        <w:t>维护社会稳定。依法开展公共安全、平安建设、社会治安综合治理、安全生产监管、应急管理等工作，保障辖区内公民和各类经济组织的合法权益。推行网格化管理和服务，加强社会治安群防群治，及时化解各类矛盾纠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（五）</w:t>
      </w:r>
      <w:r>
        <w:rPr>
          <w:rFonts w:hint="eastAsia" w:ascii="Times New Roman" w:hAnsi="Times New Roman" w:eastAsia="仿宋_GB2312" w:cs="仿宋_GB2312"/>
          <w:color w:val="auto"/>
          <w:kern w:val="2"/>
          <w:sz w:val="32"/>
          <w:szCs w:val="32"/>
          <w:highlight w:val="none"/>
          <w:lang w:val="en-US" w:eastAsia="zh-CN" w:bidi="ar-SA"/>
        </w:rPr>
        <w:t>指导基层自治。完善党组织领导下的基层社会治理体系，提高基层自治水平，加强和改进对基层党组织的领导，指导和帮助村</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依法自治，推进村务公开、财务公开，促进村</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社区</w:t>
      </w:r>
      <w:r>
        <w:rPr>
          <w:rFonts w:hint="eastAsia"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居民委员会的组织建设和制度建设。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（六）</w:t>
      </w:r>
      <w:r>
        <w:rPr>
          <w:rFonts w:hint="eastAsia" w:ascii="Times New Roman" w:hAnsi="Times New Roman" w:eastAsia="仿宋_GB2312" w:cs="仿宋_GB2312"/>
          <w:color w:val="auto"/>
          <w:kern w:val="2"/>
          <w:sz w:val="32"/>
          <w:szCs w:val="32"/>
          <w:highlight w:val="none"/>
          <w:lang w:val="en-US" w:eastAsia="zh-CN" w:bidi="ar-SA"/>
        </w:rPr>
        <w:t>实施综合管理。依法履行上级赋予的行政执法权限，统筹协调辖区内派驻机构和派驻人员，依法开展综合执法，做好监督检查等事中事后监管工作。动员辖区内各类社会力量参与社会治理，引导辖区内单位履行社会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cs="仿宋_GB2312"/>
          <w:color w:val="auto"/>
          <w:kern w:val="2"/>
          <w:sz w:val="32"/>
          <w:szCs w:val="32"/>
          <w:highlight w:val="none"/>
          <w:lang w:val="en-US" w:eastAsia="zh-CN" w:bidi="ar-SA"/>
        </w:rPr>
        <w:t>（七）</w:t>
      </w:r>
      <w:r>
        <w:rPr>
          <w:rFonts w:hint="eastAsia" w:ascii="Times New Roman" w:hAnsi="Times New Roman" w:eastAsia="仿宋_GB2312" w:cs="仿宋_GB2312"/>
          <w:color w:val="auto"/>
          <w:kern w:val="2"/>
          <w:sz w:val="32"/>
          <w:szCs w:val="32"/>
          <w:highlight w:val="none"/>
          <w:lang w:val="en-US" w:eastAsia="zh-CN" w:bidi="ar-SA"/>
        </w:rPr>
        <w:t>完成区委、区政府交办的其他任务。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截至2024年末，本部门人员共37人，其中行政编制24人，事业编制13人</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5"/>
        <w:gridCol w:w="2091"/>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类别（单位</w:t>
            </w:r>
            <w:r>
              <w:rPr>
                <w:rFonts w:hint="eastAsia" w:cs="Times New Roman"/>
                <w:sz w:val="24"/>
                <w:szCs w:val="24"/>
                <w:vertAlign w:val="baseline"/>
                <w:lang w:val="en-US" w:eastAsia="zh-CN"/>
              </w:rPr>
              <w:t>：</w:t>
            </w:r>
            <w:r>
              <w:rPr>
                <w:rFonts w:hint="default" w:ascii="Times New Roman" w:hAnsi="Times New Roman" w:eastAsia="仿宋_GB2312" w:cs="Times New Roman"/>
                <w:sz w:val="24"/>
                <w:szCs w:val="24"/>
                <w:vertAlign w:val="baseline"/>
                <w:lang w:val="en-US" w:eastAsia="zh-CN"/>
              </w:rPr>
              <w:t>万元）</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年初预算</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年末决算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一般公共预算财政拨款收入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rPr>
              <w:t>1029.52</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rPr>
              <w:t>1244.20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政府性基金预算财政拨款收入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rPr>
              <w:t>5732.97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国有资本经营预算财政拨款收入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上级补助收入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事业收入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经营收入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附属单位上缴收入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其他收入</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691"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合计</w:t>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fldChar w:fldCharType="begin"/>
            </w:r>
            <w:r>
              <w:rPr>
                <w:rFonts w:hint="default" w:ascii="Times New Roman" w:hAnsi="Times New Roman" w:eastAsia="仿宋_GB2312" w:cs="Times New Roman"/>
                <w:sz w:val="24"/>
                <w:szCs w:val="24"/>
                <w:vertAlign w:val="baseline"/>
                <w:lang w:val="en-US" w:eastAsia="zh-CN"/>
              </w:rPr>
              <w:instrText xml:space="preserve"> = sum(B2:B9) \* MERGEFORMAT </w:instrText>
            </w:r>
            <w:r>
              <w:rPr>
                <w:rFonts w:hint="default" w:ascii="Times New Roman" w:hAnsi="Times New Roman" w:eastAsia="仿宋_GB2312" w:cs="Times New Roman"/>
                <w:sz w:val="24"/>
                <w:szCs w:val="24"/>
                <w:vertAlign w:val="baseline"/>
                <w:lang w:val="en-US" w:eastAsia="zh-CN"/>
              </w:rPr>
              <w:fldChar w:fldCharType="separate"/>
            </w:r>
            <w:r>
              <w:rPr>
                <w:rFonts w:hint="default" w:ascii="Times New Roman" w:hAnsi="Times New Roman" w:eastAsia="仿宋_GB2312" w:cs="Times New Roman"/>
                <w:sz w:val="24"/>
                <w:szCs w:val="24"/>
                <w:vertAlign w:val="baseline"/>
                <w:lang w:val="en-US" w:eastAsia="zh-CN"/>
              </w:rPr>
              <w:t>1029.52</w:t>
            </w:r>
            <w:r>
              <w:rPr>
                <w:rFonts w:hint="default" w:ascii="Times New Roman" w:hAnsi="Times New Roman" w:eastAsia="仿宋_GB2312" w:cs="Times New Roman"/>
                <w:sz w:val="24"/>
                <w:szCs w:val="24"/>
                <w:vertAlign w:val="baseline"/>
                <w:lang w:val="en-US" w:eastAsia="zh-CN"/>
              </w:rPr>
              <w:fldChar w:fldCharType="end"/>
            </w:r>
          </w:p>
        </w:tc>
        <w:tc>
          <w:tcPr>
            <w:tcW w:w="1154"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fldChar w:fldCharType="begin"/>
            </w:r>
            <w:r>
              <w:rPr>
                <w:rFonts w:hint="default" w:ascii="Times New Roman" w:hAnsi="Times New Roman" w:eastAsia="仿宋_GB2312" w:cs="Times New Roman"/>
                <w:sz w:val="24"/>
                <w:szCs w:val="24"/>
                <w:vertAlign w:val="baseline"/>
                <w:lang w:val="en-US" w:eastAsia="zh-CN"/>
              </w:rPr>
              <w:instrText xml:space="preserve"> = sum(C2:C9) \* MERGEFORMAT </w:instrText>
            </w:r>
            <w:r>
              <w:rPr>
                <w:rFonts w:hint="default" w:ascii="Times New Roman" w:hAnsi="Times New Roman" w:eastAsia="仿宋_GB2312" w:cs="Times New Roman"/>
                <w:sz w:val="24"/>
                <w:szCs w:val="24"/>
                <w:vertAlign w:val="baseline"/>
                <w:lang w:val="en-US" w:eastAsia="zh-CN"/>
              </w:rPr>
              <w:fldChar w:fldCharType="separate"/>
            </w:r>
            <w:r>
              <w:rPr>
                <w:rFonts w:hint="default" w:ascii="Times New Roman" w:hAnsi="Times New Roman" w:eastAsia="仿宋_GB2312" w:cs="Times New Roman"/>
                <w:sz w:val="24"/>
                <w:szCs w:val="24"/>
                <w:vertAlign w:val="baseline"/>
                <w:lang w:val="en-US" w:eastAsia="zh-CN"/>
              </w:rPr>
              <w:t>6977.17</w:t>
            </w:r>
            <w:r>
              <w:rPr>
                <w:rFonts w:hint="default" w:ascii="Times New Roman" w:hAnsi="Times New Roman" w:eastAsia="仿宋_GB2312" w:cs="Times New Roman"/>
                <w:sz w:val="24"/>
                <w:szCs w:val="24"/>
                <w:vertAlign w:val="baseline"/>
                <w:lang w:val="en-US" w:eastAsia="zh-CN"/>
              </w:rPr>
              <w:fldChar w:fldCharType="end"/>
            </w:r>
          </w:p>
        </w:tc>
      </w:tr>
    </w:tbl>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0" w:firstLineChars="0"/>
        <w:contextualSpacing/>
        <w:jc w:val="center"/>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表1：收入情况表</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20"/>
        <w:gridCol w:w="3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kern w:val="2"/>
                <w:sz w:val="24"/>
                <w:szCs w:val="24"/>
                <w:vertAlign w:val="baseline"/>
                <w:lang w:val="zh-CN" w:eastAsia="zh-CN" w:bidi="ar-SA"/>
              </w:rPr>
            </w:pPr>
            <w:r>
              <w:rPr>
                <w:rFonts w:hint="eastAsia" w:ascii="仿宋_GB2312" w:hAnsi="仿宋_GB2312" w:eastAsia="仿宋_GB2312" w:cs="仿宋_GB2312"/>
                <w:sz w:val="24"/>
                <w:szCs w:val="24"/>
                <w:vertAlign w:val="baseline"/>
                <w:lang w:val="en-US" w:eastAsia="zh-CN"/>
              </w:rPr>
              <w:t>类别（单位</w:t>
            </w:r>
            <w:r>
              <w:rPr>
                <w:rFonts w:hint="eastAsia" w:ascii="仿宋_GB2312" w:hAnsi="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val="en-US" w:eastAsia="zh-CN"/>
              </w:rPr>
              <w:t>万元）</w:t>
            </w:r>
          </w:p>
        </w:tc>
        <w:tc>
          <w:tcPr>
            <w:tcW w:w="1666"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kern w:val="2"/>
                <w:sz w:val="24"/>
                <w:szCs w:val="24"/>
                <w:vertAlign w:val="baseline"/>
                <w:lang w:val="zh-CN" w:eastAsia="zh-CN" w:bidi="ar-SA"/>
              </w:rPr>
            </w:pPr>
            <w:r>
              <w:rPr>
                <w:rFonts w:hint="eastAsia" w:ascii="仿宋_GB2312" w:hAnsi="仿宋_GB2312" w:eastAsia="仿宋_GB2312" w:cs="仿宋_GB2312"/>
                <w:sz w:val="24"/>
                <w:szCs w:val="24"/>
                <w:vertAlign w:val="baseline"/>
                <w:lang w:val="en-US" w:eastAsia="zh-CN"/>
              </w:rPr>
              <w:t>年初预算</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kern w:val="2"/>
                <w:sz w:val="24"/>
                <w:szCs w:val="24"/>
                <w:vertAlign w:val="baseline"/>
                <w:lang w:val="zh-CN" w:eastAsia="zh-CN" w:bidi="ar-SA"/>
              </w:rPr>
            </w:pPr>
            <w:r>
              <w:rPr>
                <w:rFonts w:hint="eastAsia" w:ascii="仿宋_GB2312" w:hAnsi="仿宋_GB2312" w:eastAsia="仿宋_GB2312" w:cs="仿宋_GB2312"/>
                <w:sz w:val="24"/>
                <w:szCs w:val="24"/>
                <w:vertAlign w:val="baseline"/>
                <w:lang w:val="en-US" w:eastAsia="zh-CN"/>
              </w:rPr>
              <w:t>年末决算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eastAsia="zh-CN"/>
              </w:rPr>
              <w:t>一、基本支出</w:t>
            </w:r>
          </w:p>
        </w:tc>
        <w:tc>
          <w:tcPr>
            <w:tcW w:w="1666"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vertAlign w:val="baseline"/>
                <w:lang w:val="zh-CN" w:eastAsia="zh-CN"/>
              </w:rPr>
              <w:t>984.52</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1038.33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（一）人员经费</w:t>
            </w:r>
          </w:p>
        </w:tc>
        <w:tc>
          <w:tcPr>
            <w:tcW w:w="1666"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894.63</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942.09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（二）公用经费</w:t>
            </w:r>
          </w:p>
        </w:tc>
        <w:tc>
          <w:tcPr>
            <w:tcW w:w="1666"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89.90</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vertAlign w:val="baseline"/>
                <w:lang w:val="zh-CN" w:eastAsia="zh-CN"/>
              </w:rPr>
              <w:t>二、项目支出</w:t>
            </w:r>
          </w:p>
        </w:tc>
        <w:tc>
          <w:tcPr>
            <w:tcW w:w="1666"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45.00</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5938.85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vertAlign w:val="baseline"/>
                <w:lang w:val="zh-CN" w:eastAsia="zh-CN"/>
              </w:rPr>
              <w:t>合计</w:t>
            </w:r>
          </w:p>
        </w:tc>
        <w:tc>
          <w:tcPr>
            <w:tcW w:w="1666"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1029.52</w:t>
            </w:r>
          </w:p>
        </w:tc>
        <w:tc>
          <w:tcPr>
            <w:tcW w:w="1667" w:type="pct"/>
            <w:vAlign w:val="center"/>
          </w:tcPr>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vertAlign w:val="baseline"/>
                <w:lang w:val="zh-CN" w:eastAsia="zh-CN"/>
              </w:rPr>
            </w:pPr>
            <w:r>
              <w:rPr>
                <w:rFonts w:hint="eastAsia" w:ascii="仿宋_GB2312" w:hAnsi="仿宋_GB2312" w:eastAsia="仿宋_GB2312" w:cs="仿宋_GB2312"/>
                <w:sz w:val="24"/>
                <w:szCs w:val="24"/>
              </w:rPr>
              <w:t>6977.17</w:t>
            </w:r>
          </w:p>
        </w:tc>
      </w:tr>
    </w:tbl>
    <w:p>
      <w:pPr>
        <w:keepNext w:val="0"/>
        <w:keepLines w:val="0"/>
        <w:pageBreakBefore w:val="0"/>
        <w:widowControl/>
        <w:kinsoku/>
        <w:wordWrap/>
        <w:overflowPunct/>
        <w:topLinePunct w:val="0"/>
        <w:autoSpaceDE/>
        <w:autoSpaceDN/>
        <w:bidi w:val="0"/>
        <w:adjustRightInd w:val="0"/>
        <w:snapToGrid w:val="0"/>
        <w:spacing w:line="600" w:lineRule="exact"/>
        <w:ind w:left="0" w:leftChars="0" w:right="0" w:rightChars="0" w:firstLine="0" w:firstLineChars="0"/>
        <w:contextualSpacing/>
        <w:jc w:val="center"/>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zh-CN" w:eastAsia="zh-CN"/>
        </w:rPr>
        <w:t>表</w:t>
      </w:r>
      <w:r>
        <w:rPr>
          <w:rFonts w:hint="eastAsia" w:ascii="仿宋_GB2312" w:hAnsi="仿宋_GB2312" w:eastAsia="仿宋_GB2312" w:cs="仿宋_GB2312"/>
          <w:sz w:val="24"/>
          <w:szCs w:val="24"/>
          <w:lang w:val="en-US" w:eastAsia="zh-CN"/>
        </w:rPr>
        <w:t>2：支出情况表</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both"/>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bidi w:val="0"/>
        <w:rPr>
          <w:rFonts w:hint="default"/>
          <w:lang w:val="zh-CN" w:eastAsia="zh-CN"/>
        </w:rPr>
      </w:pPr>
      <w:r>
        <w:rPr>
          <w:rFonts w:hint="default"/>
          <w:lang w:val="en-US" w:eastAsia="zh-CN"/>
        </w:rPr>
        <w:t>2024年，本部门无结余分配和结转结余情况。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bidi w:val="0"/>
        <w:rPr>
          <w:rFonts w:hint="eastAsia"/>
          <w:lang w:val="zh-CN" w:eastAsia="zh-CN"/>
        </w:rPr>
      </w:pPr>
      <w:r>
        <w:rPr>
          <w:rFonts w:hint="eastAsia"/>
          <w:lang w:val="en-US" w:eastAsia="zh-CN"/>
        </w:rPr>
        <w:t>1.</w:t>
      </w:r>
      <w:r>
        <w:rPr>
          <w:rFonts w:hint="eastAsia"/>
          <w:lang w:val="zh-CN" w:eastAsia="zh-CN"/>
        </w:rPr>
        <w:t>履职效能。</w:t>
      </w:r>
    </w:p>
    <w:p>
      <w:pPr>
        <w:bidi w:val="0"/>
        <w:rPr>
          <w:rFonts w:hint="default"/>
          <w:lang w:val="zh-CN"/>
        </w:rPr>
      </w:pPr>
      <w:r>
        <w:rPr>
          <w:rFonts w:hint="default"/>
          <w:lang w:val="zh-CN"/>
        </w:rPr>
        <w:t>（</w:t>
      </w:r>
      <w:r>
        <w:rPr>
          <w:rFonts w:hint="default"/>
          <w:lang w:val="en-US" w:eastAsia="zh-CN"/>
        </w:rPr>
        <w:t>1</w:t>
      </w:r>
      <w:r>
        <w:rPr>
          <w:rFonts w:hint="default"/>
          <w:lang w:val="zh-CN"/>
        </w:rPr>
        <w:t>）村级公共服务履职效果</w:t>
      </w:r>
    </w:p>
    <w:p>
      <w:pPr>
        <w:bidi w:val="0"/>
        <w:rPr>
          <w:rFonts w:hint="default"/>
          <w:lang w:val="en-US" w:eastAsia="zh-CN"/>
        </w:rPr>
      </w:pPr>
      <w:r>
        <w:rPr>
          <w:rFonts w:hint="default"/>
          <w:lang w:val="en-US" w:eastAsia="zh-CN"/>
        </w:rPr>
        <w:t>为保障村社区正常运行，2024年开展对应项目</w:t>
      </w:r>
      <w:r>
        <w:rPr>
          <w:rFonts w:hint="eastAsia"/>
          <w:lang w:val="en-US" w:eastAsia="zh-CN"/>
        </w:rPr>
        <w:t>一</w:t>
      </w:r>
      <w:r>
        <w:rPr>
          <w:rFonts w:hint="default"/>
          <w:lang w:val="en-US" w:eastAsia="zh-CN"/>
        </w:rPr>
        <w:t>项，预算资金合计122万元。其中2024年村级公共服务经费项目预算数</w:t>
      </w:r>
      <w:r>
        <w:rPr>
          <w:rFonts w:hint="eastAsia"/>
          <w:lang w:val="en-US" w:eastAsia="zh-CN"/>
        </w:rPr>
        <w:t>122</w:t>
      </w:r>
      <w:r>
        <w:rPr>
          <w:rFonts w:hint="default"/>
          <w:lang w:val="en-US" w:eastAsia="zh-CN"/>
        </w:rPr>
        <w:t>万元，决算数</w:t>
      </w:r>
      <w:r>
        <w:rPr>
          <w:rFonts w:hint="eastAsia"/>
          <w:lang w:val="en-US" w:eastAsia="zh-CN"/>
        </w:rPr>
        <w:t>122</w:t>
      </w:r>
      <w:r>
        <w:rPr>
          <w:rFonts w:hint="default"/>
          <w:lang w:val="en-US" w:eastAsia="zh-CN"/>
        </w:rPr>
        <w:t>万元，执行率100%</w:t>
      </w:r>
      <w:r>
        <w:rPr>
          <w:rFonts w:hint="eastAsia"/>
          <w:lang w:val="en-US" w:eastAsia="zh-CN"/>
        </w:rPr>
        <w:t>。</w:t>
      </w:r>
      <w:r>
        <w:rPr>
          <w:rFonts w:hint="default"/>
          <w:lang w:val="en-US" w:eastAsia="zh-CN"/>
        </w:rPr>
        <w:t>村级公共服务经费对村级运转、基层活动、服务群众、公共运维四类进行有效保障。</w:t>
      </w:r>
    </w:p>
    <w:p>
      <w:pPr>
        <w:bidi w:val="0"/>
        <w:rPr>
          <w:rFonts w:hint="default"/>
          <w:lang w:val="en-US" w:eastAsia="zh-CN"/>
        </w:rPr>
      </w:pPr>
      <w:r>
        <w:rPr>
          <w:rFonts w:hint="default"/>
          <w:lang w:val="en-US" w:eastAsia="zh-CN"/>
        </w:rPr>
        <w:t>（2）维稳信访调解履职效果</w:t>
      </w:r>
    </w:p>
    <w:p>
      <w:pPr>
        <w:bidi w:val="0"/>
        <w:rPr>
          <w:rFonts w:hint="default"/>
          <w:lang w:val="en-US" w:eastAsia="zh-CN"/>
        </w:rPr>
      </w:pPr>
      <w:r>
        <w:rPr>
          <w:rFonts w:hint="default"/>
          <w:lang w:val="en-US" w:eastAsia="zh-CN"/>
        </w:rPr>
        <w:t>为化解社会矛盾、维护社会稳定，2024年开展对应项目一项，预算资金合计3万元。其中维稳信访调解经费（长期）项目预算数3万元，决算数3万元，执行率100%。维稳信访调解（长期）项目的实施，对来访事件处理率达到100%，有效降低群众上访事件次数。</w:t>
      </w:r>
    </w:p>
    <w:p>
      <w:pPr>
        <w:bidi w:val="0"/>
        <w:rPr>
          <w:rFonts w:hint="eastAsia"/>
          <w:lang w:val="en-US" w:eastAsia="zh-CN"/>
        </w:rPr>
      </w:pPr>
      <w:r>
        <w:rPr>
          <w:rFonts w:hint="eastAsia"/>
          <w:lang w:val="en-US" w:eastAsia="zh-CN"/>
        </w:rPr>
        <w:t>（3）乡镇基础设施和场镇街道维护履职效果</w:t>
      </w:r>
    </w:p>
    <w:p>
      <w:pPr>
        <w:bidi w:val="0"/>
        <w:rPr>
          <w:rFonts w:hint="default"/>
          <w:lang w:val="en-US" w:eastAsia="zh-CN"/>
        </w:rPr>
      </w:pPr>
      <w:r>
        <w:rPr>
          <w:rFonts w:hint="eastAsia"/>
          <w:lang w:val="en-US" w:eastAsia="zh-CN"/>
        </w:rPr>
        <w:t>为维护场镇及场镇基础设施，2024年开展对应项目一项，预算资金合计7.15万元。其中乡镇基础设施和场镇街道维护经费（长期）项目预算数7.15万元，决算数7.15万元，执行率100%。乡镇基础设施和场镇街道维护经费（长期）项目的实施，有效维护了场镇环境及基础设施。</w:t>
      </w:r>
    </w:p>
    <w:p>
      <w:pPr>
        <w:bidi w:val="0"/>
        <w:rPr>
          <w:rFonts w:hint="default"/>
          <w:lang w:val="en-US" w:eastAsia="zh-CN"/>
        </w:rPr>
      </w:pPr>
      <w:r>
        <w:rPr>
          <w:rFonts w:hint="default"/>
          <w:lang w:val="en-US" w:eastAsia="zh-CN"/>
        </w:rPr>
        <w:t>（4）预算执行履职效果</w:t>
      </w:r>
    </w:p>
    <w:p>
      <w:pPr>
        <w:bidi w:val="0"/>
        <w:rPr>
          <w:rFonts w:hint="eastAsia"/>
          <w:lang w:val="zh-CN" w:eastAsia="zh-CN"/>
        </w:rPr>
      </w:pPr>
      <w:r>
        <w:rPr>
          <w:rFonts w:hint="default"/>
          <w:lang w:val="en-US" w:eastAsia="zh-CN"/>
        </w:rPr>
        <w:t>本部门年初预算1029.52万元，全年预算6977.17万元，决算6977.17万元。其中基本支出1038.33万元（人员经费942.09万元，公用经费96.24万元），项目支出5938.85万元，预算执行率100%。通过执行预算，保障了本部门24位行政编制，13位事业编制的工资、津补贴、绩效、奖金；保障了本部门日常运行费用；同时通过实施的项目，保障村社区办公经费，减少社会矛盾，保持环境卫生，维护基础设施，为群众解忧排难，保障了群众利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p>
    <w:p>
      <w:pPr>
        <w:bidi w:val="0"/>
        <w:rPr>
          <w:rFonts w:hint="default"/>
          <w:lang w:val="zh-CN"/>
        </w:rPr>
      </w:pPr>
      <w:r>
        <w:rPr>
          <w:rFonts w:hint="default"/>
          <w:lang w:val="zh-CN"/>
        </w:rPr>
        <w:t>（</w:t>
      </w:r>
      <w:r>
        <w:rPr>
          <w:rFonts w:hint="default"/>
          <w:lang w:val="en-US" w:eastAsia="zh-CN"/>
        </w:rPr>
        <w:t>1</w:t>
      </w:r>
      <w:r>
        <w:rPr>
          <w:rFonts w:hint="default"/>
          <w:lang w:val="zh-CN"/>
        </w:rPr>
        <w:t>）预算编制质量</w:t>
      </w:r>
    </w:p>
    <w:p>
      <w:pPr>
        <w:bidi w:val="0"/>
        <w:rPr>
          <w:rFonts w:hint="default"/>
          <w:lang w:val="en-US" w:eastAsia="zh-CN"/>
        </w:rPr>
      </w:pPr>
      <w:r>
        <w:rPr>
          <w:rFonts w:hint="default"/>
          <w:lang w:val="zh-CN"/>
        </w:rPr>
        <w:t>根据聚贤镇人民政府年初预算批复文件、年中收到的预算追加文件、</w:t>
      </w:r>
      <w:r>
        <w:rPr>
          <w:rFonts w:hint="default"/>
          <w:lang w:val="en-US" w:eastAsia="zh-CN"/>
        </w:rPr>
        <w:t>2024年1</w:t>
      </w:r>
      <w:r>
        <w:rPr>
          <w:rFonts w:hint="eastAsia"/>
          <w:lang w:val="en-US" w:eastAsia="zh-CN"/>
        </w:rPr>
        <w:t>—</w:t>
      </w:r>
      <w:r>
        <w:rPr>
          <w:rFonts w:hint="default"/>
          <w:lang w:val="en-US" w:eastAsia="zh-CN"/>
        </w:rPr>
        <w:t>12月本单位可执行指标执行情况表，本单位2024年预算执行数为6977.17万元，无调整预算数，偏离度0%。根据《部门整体支出绩效自评打分表》的评分说明本项指标权重8分、得分8分。</w:t>
      </w:r>
    </w:p>
    <w:p>
      <w:pPr>
        <w:bidi w:val="0"/>
        <w:rPr>
          <w:rFonts w:hint="default"/>
          <w:lang w:val="en-US" w:eastAsia="zh-CN"/>
        </w:rPr>
      </w:pPr>
      <w:r>
        <w:rPr>
          <w:rFonts w:hint="eastAsia"/>
          <w:lang w:val="en-US" w:eastAsia="zh-CN"/>
        </w:rPr>
        <w:t>（2）</w:t>
      </w:r>
      <w:r>
        <w:rPr>
          <w:rFonts w:hint="default"/>
          <w:lang w:val="en-US" w:eastAsia="zh-CN"/>
        </w:rPr>
        <w:t>支出执行进度</w:t>
      </w:r>
    </w:p>
    <w:p>
      <w:pPr>
        <w:bidi w:val="0"/>
        <w:rPr>
          <w:rFonts w:hint="default"/>
          <w:lang w:val="en-US" w:eastAsia="zh-CN"/>
        </w:rPr>
      </w:pPr>
      <w:r>
        <w:rPr>
          <w:rFonts w:hint="default"/>
          <w:lang w:val="en-US" w:eastAsia="zh-CN"/>
        </w:rPr>
        <w:t>根据聚贤镇人民政府年初预算批复文件、年中收到的预算追加文件、2024年1</w:t>
      </w:r>
      <w:r>
        <w:rPr>
          <w:rFonts w:hint="eastAsia"/>
          <w:lang w:val="en-US" w:eastAsia="zh-CN"/>
        </w:rPr>
        <w:t>—</w:t>
      </w:r>
      <w:r>
        <w:rPr>
          <w:rFonts w:hint="default"/>
          <w:lang w:val="en-US" w:eastAsia="zh-CN"/>
        </w:rPr>
        <w:t>12月本单位可执行指标执行情况表以及2024年本单位决算数据，本单位项目预算数为5938.85万元，项目支出决算数为5938.85万元。根据《部门整体支出绩效自评打分表》的评分说明本项指标权重9分、得分9分。</w:t>
      </w:r>
    </w:p>
    <w:p>
      <w:pPr>
        <w:bidi w:val="0"/>
        <w:rPr>
          <w:rFonts w:hint="default"/>
          <w:lang w:val="en-US" w:eastAsia="zh-CN"/>
        </w:rPr>
      </w:pPr>
      <w:r>
        <w:rPr>
          <w:rFonts w:hint="eastAsia"/>
          <w:lang w:val="en-US" w:eastAsia="zh-CN"/>
        </w:rPr>
        <w:t>（3）</w:t>
      </w:r>
      <w:r>
        <w:rPr>
          <w:rFonts w:hint="default"/>
          <w:lang w:val="en-US" w:eastAsia="zh-CN"/>
        </w:rPr>
        <w:t>预算年终结余</w:t>
      </w:r>
    </w:p>
    <w:p>
      <w:pPr>
        <w:bidi w:val="0"/>
        <w:rPr>
          <w:rFonts w:hint="default"/>
          <w:lang w:val="en-US" w:eastAsia="zh-CN"/>
        </w:rPr>
      </w:pPr>
      <w:r>
        <w:rPr>
          <w:rFonts w:hint="default"/>
          <w:lang w:val="en-US" w:eastAsia="zh-CN"/>
        </w:rPr>
        <w:t>根据聚贤镇人民政府年初预算批复文件、年中收到的预算追加文件、2024年1</w:t>
      </w:r>
      <w:r>
        <w:rPr>
          <w:rFonts w:hint="eastAsia"/>
          <w:lang w:val="en-US" w:eastAsia="zh-CN"/>
        </w:rPr>
        <w:t>—</w:t>
      </w:r>
      <w:r>
        <w:rPr>
          <w:rFonts w:hint="default"/>
          <w:lang w:val="en-US" w:eastAsia="zh-CN"/>
        </w:rPr>
        <w:t>12月本单位可执行指标执行情况表以及2024年本单位决算数据，本单位年终无结余。根据《部门整体支出绩效自评打分表》的评分说明本项指标权重8分、得分8分。</w:t>
      </w:r>
    </w:p>
    <w:p>
      <w:pPr>
        <w:bidi w:val="0"/>
        <w:rPr>
          <w:rFonts w:hint="default"/>
          <w:lang w:val="en-US" w:eastAsia="zh-CN"/>
        </w:rPr>
      </w:pPr>
      <w:r>
        <w:rPr>
          <w:rFonts w:hint="default"/>
          <w:lang w:val="en-US" w:eastAsia="zh-CN"/>
        </w:rPr>
        <w:t>（4）严控一般性支出</w:t>
      </w:r>
    </w:p>
    <w:p>
      <w:pPr>
        <w:keepNext w:val="0"/>
        <w:keepLines w:val="0"/>
        <w:pageBreakBefore w:val="0"/>
        <w:widowControl w:val="0"/>
        <w:kinsoku/>
        <w:wordWrap/>
        <w:overflowPunct/>
        <w:topLinePunct w:val="0"/>
        <w:autoSpaceDE/>
        <w:autoSpaceDN/>
        <w:bidi w:val="0"/>
        <w:spacing w:line="240" w:lineRule="auto"/>
        <w:textAlignment w:val="auto"/>
        <w:rPr>
          <w:rFonts w:hint="default"/>
          <w:lang w:val="en-US" w:eastAsia="zh-CN"/>
        </w:rPr>
      </w:pPr>
      <w:r>
        <w:rPr>
          <w:rFonts w:hint="default"/>
          <w:lang w:val="en-US" w:eastAsia="zh-CN"/>
        </w:rPr>
        <w:t>根据聚贤镇人民政府年初预算批复文件、年中收到的预算追加文件、2024年1</w:t>
      </w:r>
      <w:r>
        <w:rPr>
          <w:rFonts w:hint="eastAsia"/>
          <w:lang w:val="en-US" w:eastAsia="zh-CN"/>
        </w:rPr>
        <w:t>—</w:t>
      </w:r>
      <w:r>
        <w:rPr>
          <w:rFonts w:hint="default"/>
          <w:lang w:val="en-US" w:eastAsia="zh-CN"/>
        </w:rPr>
        <w:t>12月本单位可执行指标执行情况表以及2024年本单位决算数据，本单位2024年一般性支出较2023年增加。根据《部门整体支出绩效自评打分表》的评分说明本项指标权重6分、得分0分。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contextualSpacing/>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楷体_GB2312" w:cs="楷体_GB2312"/>
          <w:color w:val="000000"/>
          <w:kern w:val="0"/>
          <w:sz w:val="33"/>
          <w:szCs w:val="33"/>
          <w:highlight w:val="none"/>
          <w:shd w:val="clear" w:color="auto" w:fill="FFFFFF"/>
          <w:lang w:val="en-US" w:eastAsia="zh-CN"/>
        </w:rPr>
        <w:drawing>
          <wp:inline distT="0" distB="0" distL="114300" distR="114300">
            <wp:extent cx="5753100" cy="1929130"/>
            <wp:effectExtent l="0" t="0" r="0" b="13970"/>
            <wp:docPr id="7" name="图片 7" descr="2345截图20250523164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45截图20250523164858"/>
                    <pic:cNvPicPr>
                      <a:picLocks noChangeAspect="1"/>
                    </pic:cNvPicPr>
                  </pic:nvPicPr>
                  <pic:blipFill>
                    <a:blip r:embed="rId14"/>
                    <a:stretch>
                      <a:fillRect/>
                    </a:stretch>
                  </pic:blipFill>
                  <pic:spPr>
                    <a:xfrm>
                      <a:off x="0" y="0"/>
                      <a:ext cx="5753100" cy="192913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contextualSpacing/>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cs="仿宋_GB2312"/>
          <w:color w:val="000000"/>
          <w:kern w:val="0"/>
          <w:sz w:val="24"/>
          <w:szCs w:val="24"/>
          <w:highlight w:val="none"/>
          <w:shd w:val="clear" w:color="auto" w:fill="FFFFFF"/>
          <w:lang w:val="en-US" w:eastAsia="zh-CN"/>
        </w:rPr>
        <w:t>图</w:t>
      </w:r>
      <w:r>
        <w:rPr>
          <w:rFonts w:hint="eastAsia" w:ascii="Times New Roman" w:hAnsi="Times New Roman" w:cs="Times New Roman"/>
          <w:color w:val="000000"/>
          <w:kern w:val="0"/>
          <w:sz w:val="24"/>
          <w:szCs w:val="24"/>
          <w:highlight w:val="none"/>
          <w:shd w:val="clear" w:color="auto" w:fill="FFFFFF"/>
          <w:lang w:val="en-US" w:eastAsia="zh-CN"/>
        </w:rPr>
        <w:t>8</w:t>
      </w:r>
      <w:r>
        <w:rPr>
          <w:rFonts w:hint="default" w:ascii="Times New Roman" w:hAnsi="Times New Roman" w:eastAsia="仿宋_GB2312" w:cs="Times New Roman"/>
          <w:color w:val="000000"/>
          <w:kern w:val="0"/>
          <w:sz w:val="24"/>
          <w:szCs w:val="24"/>
          <w:highlight w:val="none"/>
          <w:shd w:val="clear" w:color="auto" w:fill="FFFFFF"/>
          <w:lang w:val="en-US" w:eastAsia="zh-CN"/>
        </w:rPr>
        <w:t>：</w:t>
      </w:r>
      <w:r>
        <w:rPr>
          <w:rFonts w:hint="eastAsia" w:ascii="仿宋_GB2312" w:hAnsi="仿宋_GB2312" w:eastAsia="仿宋_GB2312" w:cs="仿宋_GB2312"/>
          <w:color w:val="000000"/>
          <w:kern w:val="0"/>
          <w:sz w:val="24"/>
          <w:szCs w:val="24"/>
          <w:highlight w:val="none"/>
          <w:shd w:val="clear" w:color="auto" w:fill="FFFFFF"/>
          <w:lang w:val="en-US" w:eastAsia="zh-CN"/>
        </w:rPr>
        <w:t>一般性支出对比表</w:t>
      </w:r>
    </w:p>
    <w:p>
      <w:pPr>
        <w:bidi w:val="0"/>
        <w:rPr>
          <w:rFonts w:hint="eastAsia"/>
          <w:lang w:val="zh-CN" w:eastAsia="zh-CN"/>
        </w:rPr>
      </w:pPr>
      <w:r>
        <w:rPr>
          <w:rFonts w:hint="eastAsia"/>
          <w:lang w:val="en-US" w:eastAsia="zh-CN"/>
        </w:rPr>
        <w:t>3.</w:t>
      </w:r>
      <w:r>
        <w:rPr>
          <w:rFonts w:hint="default"/>
          <w:lang w:val="zh-CN" w:eastAsia="zh-CN"/>
        </w:rPr>
        <w:t>财务管理</w:t>
      </w:r>
      <w:r>
        <w:rPr>
          <w:rFonts w:hint="eastAsia"/>
          <w:lang w:val="zh-CN" w:eastAsia="zh-CN"/>
        </w:rPr>
        <w:t>。</w:t>
      </w:r>
    </w:p>
    <w:p>
      <w:pPr>
        <w:bidi w:val="0"/>
        <w:rPr>
          <w:rFonts w:hint="default"/>
          <w:lang w:val="zh-CN"/>
        </w:rPr>
      </w:pPr>
      <w:r>
        <w:rPr>
          <w:rFonts w:hint="default"/>
          <w:lang w:val="zh-CN"/>
        </w:rPr>
        <w:t>（</w:t>
      </w:r>
      <w:r>
        <w:rPr>
          <w:rFonts w:hint="default"/>
          <w:lang w:val="en-US" w:eastAsia="zh-CN"/>
        </w:rPr>
        <w:t>1</w:t>
      </w:r>
      <w:r>
        <w:rPr>
          <w:rFonts w:hint="default"/>
          <w:lang w:val="zh-CN"/>
        </w:rPr>
        <w:t>）财务管理制度</w:t>
      </w:r>
    </w:p>
    <w:p>
      <w:pPr>
        <w:bidi w:val="0"/>
        <w:rPr>
          <w:rFonts w:hint="default"/>
          <w:lang w:val="zh-CN"/>
        </w:rPr>
      </w:pPr>
      <w:r>
        <w:rPr>
          <w:rFonts w:hint="default"/>
          <w:lang w:val="zh-CN"/>
        </w:rPr>
        <w:t>本部门制定了《遂宁市安居区聚贤镇人民政府财务管理制度》，财务机构按照《遂宁市安居区聚贤镇人民政府财务管理制度》严格执行有关制度。不涉及扣分。</w:t>
      </w:r>
    </w:p>
    <w:p>
      <w:pPr>
        <w:bidi w:val="0"/>
        <w:rPr>
          <w:rFonts w:hint="default"/>
          <w:lang w:val="zh-CN"/>
        </w:rPr>
      </w:pPr>
      <w:r>
        <w:rPr>
          <w:rFonts w:hint="default"/>
          <w:lang w:val="zh-CN"/>
        </w:rPr>
        <w:t>（</w:t>
      </w:r>
      <w:r>
        <w:rPr>
          <w:rFonts w:hint="default"/>
          <w:lang w:val="en-US" w:eastAsia="zh-CN"/>
        </w:rPr>
        <w:t>2</w:t>
      </w:r>
      <w:r>
        <w:rPr>
          <w:rFonts w:hint="default"/>
          <w:lang w:val="zh-CN"/>
        </w:rPr>
        <w:t>）财务岗位设置</w:t>
      </w:r>
    </w:p>
    <w:p>
      <w:pPr>
        <w:bidi w:val="0"/>
        <w:rPr>
          <w:rFonts w:hint="default"/>
          <w:lang w:val="zh-CN"/>
        </w:rPr>
      </w:pPr>
      <w:r>
        <w:rPr>
          <w:rFonts w:hint="default"/>
          <w:lang w:val="zh-CN"/>
        </w:rPr>
        <w:t>本部门设置出纳、会计等财务工作岗位。出纳岗位的职责权限为现金管理、银行（国库）对账、登记日记账、预算内资金执行、非税收入管理等；会计岗位的职责权限为账务处理与核算、资产核算、财务报告、年度决算等。本部门严格实行不相容岗位分离。不涉及扣分。</w:t>
      </w:r>
    </w:p>
    <w:p>
      <w:pPr>
        <w:bidi w:val="0"/>
        <w:rPr>
          <w:rFonts w:hint="default"/>
          <w:lang w:val="zh-CN"/>
        </w:rPr>
      </w:pPr>
      <w:r>
        <w:rPr>
          <w:rFonts w:hint="eastAsia"/>
          <w:lang w:val="zh-CN"/>
        </w:rPr>
        <w:t>（</w:t>
      </w:r>
      <w:r>
        <w:rPr>
          <w:rFonts w:hint="eastAsia"/>
          <w:lang w:val="en-US" w:eastAsia="zh-CN"/>
        </w:rPr>
        <w:t>3</w:t>
      </w:r>
      <w:r>
        <w:rPr>
          <w:rFonts w:hint="eastAsia"/>
          <w:lang w:val="zh-CN"/>
        </w:rPr>
        <w:t>）</w:t>
      </w:r>
      <w:r>
        <w:rPr>
          <w:rFonts w:hint="default"/>
          <w:lang w:val="zh-CN"/>
        </w:rPr>
        <w:t>资金使用规范</w:t>
      </w:r>
    </w:p>
    <w:p>
      <w:pPr>
        <w:bidi w:val="0"/>
        <w:rPr>
          <w:rFonts w:hint="eastAsia"/>
          <w:lang w:val="zh-CN" w:eastAsia="zh-CN"/>
        </w:rPr>
      </w:pPr>
      <w:r>
        <w:rPr>
          <w:rFonts w:hint="default"/>
          <w:lang w:val="zh-CN"/>
        </w:rPr>
        <w:t>财务部门在本部门绩效自评价期间抽查了安全生产监管（森林防火、食品安全）等经费</w:t>
      </w:r>
      <w:r>
        <w:rPr>
          <w:rFonts w:hint="eastAsia"/>
          <w:lang w:val="zh-CN"/>
        </w:rPr>
        <w:t>（</w:t>
      </w:r>
      <w:r>
        <w:rPr>
          <w:rFonts w:hint="default"/>
          <w:lang w:val="zh-CN"/>
        </w:rPr>
        <w:t>长期</w:t>
      </w:r>
      <w:r>
        <w:rPr>
          <w:rFonts w:hint="eastAsia"/>
          <w:lang w:val="zh-CN"/>
        </w:rPr>
        <w:t>）</w:t>
      </w:r>
      <w:r>
        <w:rPr>
          <w:rFonts w:hint="default"/>
          <w:lang w:val="zh-CN"/>
        </w:rPr>
        <w:t>项目、创新社区管理经费（长期）项目、防灾应急救助经费（长期）项目、关心下一代工作专项经费（长期）项目、环境卫生整治经费（长期）项目、维稳信访调解经费（长期）项目、乡风文明建设经费（长期）项目、乡镇便民服务大厅维护及农村“三资”集体管理经费（长期）项目、乡镇基础设施和场镇街道维护经费（长期）项目、乡镇监察工作经费（长期）项目等项目支付有关资料。部门资金使用符合相关财务管理制度规定的专项资金管理办法。不涉及扣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p>
    <w:p>
      <w:pPr>
        <w:bidi w:val="0"/>
        <w:rPr>
          <w:rFonts w:hint="default"/>
          <w:lang w:val="zh-CN"/>
        </w:rPr>
      </w:pPr>
      <w:r>
        <w:rPr>
          <w:rFonts w:hint="default" w:ascii="Times New Roman" w:hAnsi="Times New Roman" w:eastAsia="仿宋_GB2312" w:cs="Times New Roman"/>
          <w:color w:val="000000"/>
          <w:kern w:val="0"/>
          <w:szCs w:val="32"/>
          <w:highlight w:val="none"/>
          <w:shd w:val="clear" w:color="auto" w:fill="FFFFFF"/>
          <w:lang w:val="zh-CN"/>
        </w:rPr>
        <w:t>（</w:t>
      </w:r>
      <w:r>
        <w:rPr>
          <w:rFonts w:hint="default"/>
          <w:lang w:val="en-US" w:eastAsia="zh-CN"/>
        </w:rPr>
        <w:t>1</w:t>
      </w:r>
      <w:r>
        <w:rPr>
          <w:rFonts w:hint="default"/>
          <w:lang w:val="zh-CN"/>
        </w:rPr>
        <w:t>）人均资产变化率</w:t>
      </w:r>
    </w:p>
    <w:p>
      <w:pPr>
        <w:bidi w:val="0"/>
        <w:rPr>
          <w:rFonts w:hint="default"/>
          <w:lang w:val="en-US" w:eastAsia="zh-CN"/>
        </w:rPr>
      </w:pPr>
      <w:r>
        <w:rPr>
          <w:rFonts w:hint="default"/>
          <w:lang w:val="en-US" w:eastAsia="zh-CN"/>
        </w:rPr>
        <w:t>根据2024年部门决算报表、部门预算报表及部门行政事业性国有资产报表资料，本部门部门人均资产变化率3.76%（其中2024年行政事业单位人均占有资产2.86万元/人员、2023年行政事业单位人均占有资产2.75万元/人员）。根据《部门整体支出绩效自评打分表》的评分说明本项指标权重3分、得分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lang w:val="en-US" w:eastAsia="zh-CN"/>
        </w:rPr>
      </w:pPr>
      <w:r>
        <w:rPr>
          <w:rFonts w:hint="eastAsia"/>
          <w:lang w:val="en-US" w:eastAsia="zh-CN"/>
        </w:rPr>
        <w:drawing>
          <wp:inline distT="0" distB="0" distL="114300" distR="114300">
            <wp:extent cx="5753100" cy="466725"/>
            <wp:effectExtent l="0" t="0" r="0" b="9525"/>
            <wp:docPr id="9" name="图片 9" descr="2345截图2025052317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345截图20250523170846"/>
                    <pic:cNvPicPr>
                      <a:picLocks noChangeAspect="1"/>
                    </pic:cNvPicPr>
                  </pic:nvPicPr>
                  <pic:blipFill>
                    <a:blip r:embed="rId15"/>
                    <a:stretch>
                      <a:fillRect/>
                    </a:stretch>
                  </pic:blipFill>
                  <pic:spPr>
                    <a:xfrm>
                      <a:off x="0" y="0"/>
                      <a:ext cx="5753100" cy="4667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default" w:ascii="Times New Roman" w:hAnsi="Times New Roman" w:eastAsia="仿宋_GB2312" w:cs="Times New Roman"/>
          <w:color w:val="000000"/>
          <w:kern w:val="0"/>
          <w:sz w:val="24"/>
          <w:szCs w:val="24"/>
          <w:highlight w:val="none"/>
          <w:shd w:val="clear" w:color="auto" w:fill="FFFFFF"/>
          <w:lang w:val="en-US" w:eastAsia="zh-CN"/>
        </w:rPr>
      </w:pPr>
      <w:r>
        <w:rPr>
          <w:rFonts w:hint="default" w:ascii="Times New Roman" w:hAnsi="Times New Roman" w:cs="Times New Roman"/>
          <w:color w:val="000000"/>
          <w:kern w:val="0"/>
          <w:sz w:val="24"/>
          <w:szCs w:val="24"/>
          <w:highlight w:val="none"/>
          <w:shd w:val="clear" w:color="auto" w:fill="FFFFFF"/>
          <w:lang w:val="en-US" w:eastAsia="zh-CN"/>
        </w:rPr>
        <w:t>图</w:t>
      </w:r>
      <w:r>
        <w:rPr>
          <w:rFonts w:hint="eastAsia" w:ascii="Times New Roman" w:hAnsi="Times New Roman" w:cs="Times New Roman"/>
          <w:color w:val="000000"/>
          <w:kern w:val="0"/>
          <w:sz w:val="24"/>
          <w:szCs w:val="24"/>
          <w:highlight w:val="none"/>
          <w:shd w:val="clear" w:color="auto" w:fill="FFFFFF"/>
          <w:lang w:val="en-US" w:eastAsia="zh-CN"/>
        </w:rPr>
        <w:t>9</w:t>
      </w:r>
      <w:r>
        <w:rPr>
          <w:rFonts w:hint="default" w:ascii="Times New Roman" w:hAnsi="Times New Roman" w:eastAsia="仿宋_GB2312" w:cs="Times New Roman"/>
          <w:color w:val="000000"/>
          <w:kern w:val="0"/>
          <w:sz w:val="24"/>
          <w:szCs w:val="24"/>
          <w:highlight w:val="none"/>
          <w:shd w:val="clear" w:color="auto" w:fill="FFFFFF"/>
          <w:lang w:val="en-US" w:eastAsia="zh-CN"/>
        </w:rPr>
        <w:t>：人均资产变化率表</w:t>
      </w:r>
    </w:p>
    <w:p>
      <w:pPr>
        <w:bidi w:val="0"/>
        <w:rPr>
          <w:rFonts w:hint="eastAsia"/>
          <w:lang w:val="en-US" w:eastAsia="zh-CN"/>
        </w:rPr>
      </w:pPr>
      <w:r>
        <w:rPr>
          <w:rFonts w:hint="default"/>
          <w:lang w:val="en-US" w:eastAsia="zh-CN"/>
        </w:rPr>
        <w:t>（2）</w:t>
      </w:r>
      <w:r>
        <w:rPr>
          <w:rFonts w:hint="eastAsia"/>
          <w:lang w:val="en-US" w:eastAsia="zh-CN"/>
        </w:rPr>
        <w:t>资产利用率</w:t>
      </w:r>
    </w:p>
    <w:p>
      <w:pPr>
        <w:bidi w:val="0"/>
        <w:rPr>
          <w:rFonts w:hint="eastAsia"/>
          <w:lang w:val="en-US" w:eastAsia="zh-CN"/>
        </w:rPr>
      </w:pPr>
      <w:r>
        <w:rPr>
          <w:rFonts w:hint="eastAsia"/>
          <w:lang w:val="en-US" w:eastAsia="zh-CN"/>
        </w:rPr>
        <w:t>根据本单位截至2024年12月31日固定资产卡片明细数据，超最低使用年限的办公家具资产利用率为1.37%；超最低使用年限的办公设备资产利用率为64.02%。根据《部门整体支出绩效自评打分表》的评分说明本项指标权重3分、得分1.5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contextualSpacing/>
        <w:jc w:val="both"/>
        <w:textAlignment w:val="auto"/>
        <w:outlineLvl w:val="9"/>
        <w:rPr>
          <w:rFonts w:hint="eastAsia" w:eastAsia="楷体_GB2312" w:cs="楷体_GB2312"/>
          <w:color w:val="000000"/>
          <w:kern w:val="0"/>
          <w:sz w:val="33"/>
          <w:szCs w:val="33"/>
          <w:highlight w:val="none"/>
          <w:shd w:val="clear" w:color="auto" w:fill="FFFFFF"/>
          <w:lang w:val="en-US" w:eastAsia="zh-CN"/>
        </w:rPr>
      </w:pPr>
      <w:r>
        <w:rPr>
          <w:rFonts w:hint="eastAsia" w:eastAsia="楷体_GB2312" w:cs="楷体_GB2312"/>
          <w:color w:val="000000"/>
          <w:kern w:val="0"/>
          <w:sz w:val="33"/>
          <w:szCs w:val="33"/>
          <w:highlight w:val="none"/>
          <w:shd w:val="clear" w:color="auto" w:fill="FFFFFF"/>
          <w:lang w:val="en-US" w:eastAsia="zh-CN"/>
        </w:rPr>
        <w:drawing>
          <wp:inline distT="0" distB="0" distL="114300" distR="114300">
            <wp:extent cx="5753100" cy="1328420"/>
            <wp:effectExtent l="0" t="0" r="0" b="5080"/>
            <wp:docPr id="10" name="图片 10" descr="2345截图2025052317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345截图20250523173306"/>
                    <pic:cNvPicPr>
                      <a:picLocks noChangeAspect="1"/>
                    </pic:cNvPicPr>
                  </pic:nvPicPr>
                  <pic:blipFill>
                    <a:blip r:embed="rId16"/>
                    <a:stretch>
                      <a:fillRect/>
                    </a:stretch>
                  </pic:blipFill>
                  <pic:spPr>
                    <a:xfrm>
                      <a:off x="0" y="0"/>
                      <a:ext cx="5753100" cy="132842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rPr>
      </w:pPr>
      <w:r>
        <w:rPr>
          <w:rFonts w:hint="eastAsia" w:ascii="仿宋_GB2312" w:hAnsi="仿宋_GB2312" w:eastAsia="仿宋_GB2312" w:cs="仿宋_GB2312"/>
          <w:color w:val="000000"/>
          <w:kern w:val="0"/>
          <w:sz w:val="24"/>
          <w:szCs w:val="24"/>
          <w:highlight w:val="none"/>
          <w:shd w:val="clear" w:color="auto" w:fill="FFFFFF"/>
          <w:lang w:val="en-US" w:eastAsia="zh-CN"/>
        </w:rPr>
        <w:t>图</w:t>
      </w:r>
      <w:r>
        <w:rPr>
          <w:rFonts w:hint="eastAsia" w:ascii="仿宋_GB2312" w:hAnsi="仿宋_GB2312" w:cs="仿宋_GB2312"/>
          <w:color w:val="000000"/>
          <w:kern w:val="0"/>
          <w:sz w:val="24"/>
          <w:szCs w:val="24"/>
          <w:highlight w:val="none"/>
          <w:shd w:val="clear" w:color="auto" w:fill="FFFFFF"/>
          <w:lang w:val="en-US" w:eastAsia="zh-CN"/>
        </w:rPr>
        <w:t>10</w:t>
      </w:r>
      <w:r>
        <w:rPr>
          <w:rFonts w:hint="eastAsia" w:ascii="仿宋_GB2312" w:hAnsi="仿宋_GB2312" w:eastAsia="仿宋_GB2312" w:cs="仿宋_GB2312"/>
          <w:color w:val="000000"/>
          <w:kern w:val="0"/>
          <w:sz w:val="24"/>
          <w:szCs w:val="24"/>
          <w:highlight w:val="none"/>
          <w:shd w:val="clear" w:color="auto" w:fill="FFFFFF"/>
          <w:lang w:val="en-US" w:eastAsia="zh-CN"/>
        </w:rPr>
        <w:t>：资产利用率表</w:t>
      </w:r>
    </w:p>
    <w:p>
      <w:pPr>
        <w:bidi w:val="0"/>
        <w:rPr>
          <w:rFonts w:hint="default"/>
          <w:lang w:val="en-US" w:eastAsia="zh-CN"/>
        </w:rPr>
      </w:pPr>
      <w:r>
        <w:rPr>
          <w:rFonts w:hint="eastAsia"/>
          <w:lang w:val="en-US" w:eastAsia="zh-CN"/>
        </w:rPr>
        <w:t>（3）</w:t>
      </w:r>
      <w:r>
        <w:rPr>
          <w:rFonts w:hint="default"/>
          <w:lang w:val="en-US" w:eastAsia="zh-CN"/>
        </w:rPr>
        <w:t>资产盘活率</w:t>
      </w:r>
    </w:p>
    <w:p>
      <w:pPr>
        <w:bidi w:val="0"/>
        <w:rPr>
          <w:rFonts w:hint="eastAsia" w:ascii="Times New Roman" w:hAnsi="Times New Roman" w:eastAsia="仿宋_GB2312" w:cs="仿宋_GB2312"/>
          <w:color w:val="auto"/>
          <w:kern w:val="2"/>
          <w:sz w:val="32"/>
          <w:szCs w:val="32"/>
          <w:highlight w:val="none"/>
          <w:lang w:val="en-US" w:eastAsia="zh-CN" w:bidi="ar-SA"/>
        </w:rPr>
      </w:pPr>
      <w:r>
        <w:rPr>
          <w:rFonts w:hint="default"/>
          <w:lang w:val="en-US" w:eastAsia="zh-CN"/>
        </w:rPr>
        <w:t>根据本单位截至2023年12月31日固定资产卡片明细数据，和2024年12月31日固定资产卡片明细数据，并结合现场勘查情况。2023年和2024年本单位均无闲置资产，根据《部门整体支出绩效自评打分表》的评分说明本项指标权重3分、得分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p>
    <w:p>
      <w:pPr>
        <w:bidi w:val="0"/>
        <w:rPr>
          <w:rFonts w:hint="default"/>
          <w:lang w:val="zh-CN"/>
        </w:rPr>
      </w:pPr>
      <w:r>
        <w:rPr>
          <w:rFonts w:hint="default"/>
          <w:lang w:val="zh-CN"/>
        </w:rPr>
        <w:t>（</w:t>
      </w:r>
      <w:r>
        <w:rPr>
          <w:rFonts w:hint="default"/>
          <w:lang w:val="en-US" w:eastAsia="zh-CN"/>
        </w:rPr>
        <w:t>1</w:t>
      </w:r>
      <w:r>
        <w:rPr>
          <w:rFonts w:hint="default"/>
          <w:lang w:val="zh-CN"/>
        </w:rPr>
        <w:t>）人均资产变化率</w:t>
      </w:r>
    </w:p>
    <w:p>
      <w:pPr>
        <w:bidi w:val="0"/>
        <w:rPr>
          <w:rFonts w:hint="default"/>
          <w:lang w:val="en-US" w:eastAsia="zh-CN"/>
        </w:rPr>
      </w:pPr>
      <w:r>
        <w:rPr>
          <w:rFonts w:hint="default"/>
          <w:lang w:val="en-US" w:eastAsia="zh-CN"/>
        </w:rPr>
        <w:t>根据2024年部门决算报表、部门预算报表及部门行政事业性国有资产报表资料，本部门部门人均资产变化率3.76%（其中2024年行政事业单位人均占有资产2.86万元/人员、2023年行政事业单位人均占有资产2.75万元/人员）。根据《部门整体支出绩效自评打分表》的评分说明本项指标权重3分、得分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contextualSpacing/>
        <w:jc w:val="both"/>
        <w:textAlignment w:val="auto"/>
        <w:outlineLvl w:val="9"/>
        <w:rPr>
          <w:rFonts w:hint="eastAsia"/>
          <w:lang w:val="en-US" w:eastAsia="zh-CN"/>
        </w:rPr>
      </w:pPr>
      <w:r>
        <w:rPr>
          <w:rFonts w:hint="eastAsia"/>
          <w:lang w:val="en-US" w:eastAsia="zh-CN"/>
        </w:rPr>
        <w:drawing>
          <wp:inline distT="0" distB="0" distL="114300" distR="114300">
            <wp:extent cx="5753100" cy="466725"/>
            <wp:effectExtent l="0" t="0" r="0" b="9525"/>
            <wp:docPr id="11" name="图片 11" descr="2345截图20250523170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345截图20250523170846"/>
                    <pic:cNvPicPr>
                      <a:picLocks noChangeAspect="1"/>
                    </pic:cNvPicPr>
                  </pic:nvPicPr>
                  <pic:blipFill>
                    <a:blip r:embed="rId15"/>
                    <a:stretch>
                      <a:fillRect/>
                    </a:stretch>
                  </pic:blipFill>
                  <pic:spPr>
                    <a:xfrm>
                      <a:off x="0" y="0"/>
                      <a:ext cx="5753100" cy="4667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default" w:ascii="Times New Roman" w:hAnsi="Times New Roman" w:eastAsia="仿宋_GB2312" w:cs="Times New Roman"/>
          <w:color w:val="000000"/>
          <w:kern w:val="0"/>
          <w:sz w:val="24"/>
          <w:szCs w:val="24"/>
          <w:highlight w:val="none"/>
          <w:shd w:val="clear" w:color="auto" w:fill="FFFFFF"/>
          <w:lang w:val="en-US" w:eastAsia="zh-CN"/>
        </w:rPr>
      </w:pPr>
      <w:r>
        <w:rPr>
          <w:rFonts w:hint="default" w:ascii="Times New Roman" w:hAnsi="Times New Roman" w:cs="Times New Roman"/>
          <w:color w:val="000000"/>
          <w:kern w:val="0"/>
          <w:sz w:val="24"/>
          <w:szCs w:val="24"/>
          <w:highlight w:val="none"/>
          <w:shd w:val="clear" w:color="auto" w:fill="FFFFFF"/>
          <w:lang w:val="en-US" w:eastAsia="zh-CN"/>
        </w:rPr>
        <w:t>图</w:t>
      </w:r>
      <w:r>
        <w:rPr>
          <w:rFonts w:hint="eastAsia" w:ascii="Times New Roman" w:hAnsi="Times New Roman" w:cs="Times New Roman"/>
          <w:color w:val="000000"/>
          <w:kern w:val="0"/>
          <w:sz w:val="24"/>
          <w:szCs w:val="24"/>
          <w:highlight w:val="none"/>
          <w:shd w:val="clear" w:color="auto" w:fill="FFFFFF"/>
          <w:lang w:val="en-US" w:eastAsia="zh-CN"/>
        </w:rPr>
        <w:t>11</w:t>
      </w:r>
      <w:r>
        <w:rPr>
          <w:rFonts w:hint="default" w:ascii="Times New Roman" w:hAnsi="Times New Roman" w:eastAsia="仿宋_GB2312" w:cs="Times New Roman"/>
          <w:color w:val="000000"/>
          <w:kern w:val="0"/>
          <w:sz w:val="24"/>
          <w:szCs w:val="24"/>
          <w:highlight w:val="none"/>
          <w:shd w:val="clear" w:color="auto" w:fill="FFFFFF"/>
          <w:lang w:val="en-US" w:eastAsia="zh-CN"/>
        </w:rPr>
        <w:t>：人均资产变化率表</w:t>
      </w:r>
    </w:p>
    <w:p>
      <w:pPr>
        <w:bidi w:val="0"/>
        <w:rPr>
          <w:rFonts w:hint="eastAsia"/>
          <w:lang w:val="en-US" w:eastAsia="zh-CN"/>
        </w:rPr>
      </w:pPr>
      <w:r>
        <w:rPr>
          <w:rFonts w:hint="default"/>
          <w:lang w:val="en-US" w:eastAsia="zh-CN"/>
        </w:rPr>
        <w:t>（2）</w:t>
      </w:r>
      <w:r>
        <w:rPr>
          <w:rFonts w:hint="eastAsia"/>
          <w:lang w:val="en-US" w:eastAsia="zh-CN"/>
        </w:rPr>
        <w:t>资产利用率</w:t>
      </w:r>
    </w:p>
    <w:p>
      <w:pPr>
        <w:bidi w:val="0"/>
        <w:rPr>
          <w:rFonts w:hint="eastAsia"/>
          <w:lang w:val="en-US" w:eastAsia="zh-CN"/>
        </w:rPr>
      </w:pPr>
      <w:r>
        <w:rPr>
          <w:rFonts w:hint="eastAsia"/>
          <w:lang w:val="en-US" w:eastAsia="zh-CN"/>
        </w:rPr>
        <w:t>根据本单位截至2024年12月31日固定资产卡片明细数据，超最低使用年限的办公家具资产利用率为1.37%；超最低使用年限的办公设备资产利用率为64.02%。根据《部门整体支出绩效自评打分表》的评分说明本项指标权重3分、得分1.5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contextualSpacing/>
        <w:jc w:val="both"/>
        <w:textAlignment w:val="auto"/>
        <w:outlineLvl w:val="9"/>
        <w:rPr>
          <w:rFonts w:hint="eastAsia" w:eastAsia="楷体_GB2312" w:cs="楷体_GB2312"/>
          <w:color w:val="000000"/>
          <w:kern w:val="0"/>
          <w:sz w:val="33"/>
          <w:szCs w:val="33"/>
          <w:highlight w:val="none"/>
          <w:shd w:val="clear" w:color="auto" w:fill="FFFFFF"/>
          <w:lang w:val="en-US" w:eastAsia="zh-CN"/>
        </w:rPr>
      </w:pPr>
      <w:r>
        <w:rPr>
          <w:rFonts w:hint="eastAsia" w:eastAsia="楷体_GB2312" w:cs="楷体_GB2312"/>
          <w:color w:val="000000"/>
          <w:kern w:val="0"/>
          <w:sz w:val="33"/>
          <w:szCs w:val="33"/>
          <w:highlight w:val="none"/>
          <w:shd w:val="clear" w:color="auto" w:fill="FFFFFF"/>
          <w:lang w:val="en-US" w:eastAsia="zh-CN"/>
        </w:rPr>
        <w:drawing>
          <wp:inline distT="0" distB="0" distL="114300" distR="114300">
            <wp:extent cx="5753100" cy="1328420"/>
            <wp:effectExtent l="0" t="0" r="0" b="5080"/>
            <wp:docPr id="12" name="图片 12" descr="2345截图20250523173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345截图20250523173306"/>
                    <pic:cNvPicPr>
                      <a:picLocks noChangeAspect="1"/>
                    </pic:cNvPicPr>
                  </pic:nvPicPr>
                  <pic:blipFill>
                    <a:blip r:embed="rId16"/>
                    <a:stretch>
                      <a:fillRect/>
                    </a:stretch>
                  </pic:blipFill>
                  <pic:spPr>
                    <a:xfrm>
                      <a:off x="0" y="0"/>
                      <a:ext cx="5753100" cy="132842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rPr>
      </w:pPr>
      <w:r>
        <w:rPr>
          <w:rFonts w:hint="eastAsia" w:ascii="仿宋_GB2312" w:hAnsi="仿宋_GB2312" w:eastAsia="仿宋_GB2312" w:cs="仿宋_GB2312"/>
          <w:color w:val="000000"/>
          <w:kern w:val="0"/>
          <w:sz w:val="24"/>
          <w:szCs w:val="24"/>
          <w:highlight w:val="none"/>
          <w:shd w:val="clear" w:color="auto" w:fill="FFFFFF"/>
          <w:lang w:val="en-US" w:eastAsia="zh-CN"/>
        </w:rPr>
        <w:t>图</w:t>
      </w:r>
      <w:r>
        <w:rPr>
          <w:rFonts w:hint="eastAsia" w:ascii="仿宋_GB2312" w:hAnsi="仿宋_GB2312" w:cs="仿宋_GB2312"/>
          <w:color w:val="000000"/>
          <w:kern w:val="0"/>
          <w:sz w:val="24"/>
          <w:szCs w:val="24"/>
          <w:highlight w:val="none"/>
          <w:shd w:val="clear" w:color="auto" w:fill="FFFFFF"/>
          <w:lang w:val="en-US" w:eastAsia="zh-CN"/>
        </w:rPr>
        <w:t>12</w:t>
      </w:r>
      <w:r>
        <w:rPr>
          <w:rFonts w:hint="eastAsia" w:ascii="仿宋_GB2312" w:hAnsi="仿宋_GB2312" w:eastAsia="仿宋_GB2312" w:cs="仿宋_GB2312"/>
          <w:color w:val="000000"/>
          <w:kern w:val="0"/>
          <w:sz w:val="24"/>
          <w:szCs w:val="24"/>
          <w:highlight w:val="none"/>
          <w:shd w:val="clear" w:color="auto" w:fill="FFFFFF"/>
          <w:lang w:val="en-US" w:eastAsia="zh-CN"/>
        </w:rPr>
        <w:t>：资产利用率表</w:t>
      </w:r>
    </w:p>
    <w:p>
      <w:pPr>
        <w:bidi w:val="0"/>
        <w:rPr>
          <w:rFonts w:hint="default"/>
          <w:lang w:val="en-US" w:eastAsia="zh-CN"/>
        </w:rPr>
      </w:pPr>
      <w:r>
        <w:rPr>
          <w:rFonts w:hint="eastAsia"/>
          <w:lang w:val="en-US" w:eastAsia="zh-CN"/>
        </w:rPr>
        <w:t>（3）</w:t>
      </w:r>
      <w:r>
        <w:rPr>
          <w:rFonts w:hint="default"/>
          <w:lang w:val="en-US" w:eastAsia="zh-CN"/>
        </w:rPr>
        <w:t>资产盘活率</w:t>
      </w:r>
    </w:p>
    <w:p>
      <w:pPr>
        <w:bidi w:val="0"/>
        <w:rPr>
          <w:rFonts w:hint="eastAsia"/>
          <w:lang w:val="zh-CN" w:eastAsia="zh-CN"/>
        </w:rPr>
      </w:pPr>
      <w:r>
        <w:rPr>
          <w:rFonts w:hint="default"/>
          <w:lang w:val="en-US" w:eastAsia="zh-CN"/>
        </w:rPr>
        <w:t>根据本单位截至2023年12月31日固定资产卡片明细数据，和2024年12月31日固定资产卡片明细数据，并结合现场勘查情况。2023年和2024年本单位均无闲置资产，根据《部门整体支出绩效自评打分表》的评分说明本项指标权重3分、得分3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常年项目绩效分析。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cs="仿宋_GB2312"/>
          <w:color w:val="auto"/>
          <w:kern w:val="2"/>
          <w:sz w:val="32"/>
          <w:szCs w:val="32"/>
          <w:highlight w:val="none"/>
          <w:lang w:val="en-US" w:eastAsia="zh-CN" w:bidi="ar-SA"/>
        </w:rPr>
        <w:t>23</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default" w:ascii="Times New Roman" w:hAnsi="Times New Roman" w:eastAsia="仿宋_GB2312" w:cs="Times New Roman"/>
          <w:color w:val="000000"/>
          <w:kern w:val="0"/>
          <w:sz w:val="32"/>
          <w:szCs w:val="32"/>
          <w:highlight w:val="none"/>
          <w:shd w:val="clear" w:color="auto" w:fill="FFFFFF"/>
          <w:lang w:val="en-US" w:eastAsia="zh-CN"/>
        </w:rPr>
        <w:t>205.16</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仿宋_GB2312" w:cs="仿宋_GB2312"/>
          <w:color w:val="auto"/>
          <w:kern w:val="2"/>
          <w:sz w:val="32"/>
          <w:szCs w:val="32"/>
          <w:highlight w:val="none"/>
          <w:lang w:val="en-US" w:eastAsia="zh-CN" w:bidi="ar-SA"/>
        </w:rPr>
        <w:t>阶段</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一次性</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项目绩效分析。</w:t>
      </w:r>
      <w:r>
        <w:rPr>
          <w:rFonts w:hint="default" w:ascii="Times New Roman" w:hAnsi="Times New Roman" w:eastAsia="仿宋_GB2312" w:cs="仿宋_GB2312"/>
          <w:color w:val="auto"/>
          <w:kern w:val="2"/>
          <w:sz w:val="32"/>
          <w:szCs w:val="32"/>
          <w:highlight w:val="none"/>
          <w:lang w:val="zh-CN" w:eastAsia="zh-CN" w:bidi="ar-SA"/>
        </w:rPr>
        <w:t>该类项目总数</w:t>
      </w:r>
      <w:r>
        <w:rPr>
          <w:rFonts w:hint="eastAsia" w:ascii="Times New Roman" w:hAnsi="Times New Roman"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个，涉及预算总金额</w:t>
      </w:r>
      <w:r>
        <w:rPr>
          <w:rFonts w:hint="default" w:ascii="Times New Roman" w:hAnsi="Times New Roman" w:eastAsia="仿宋_GB2312" w:cs="Times New Roman"/>
          <w:color w:val="000000"/>
          <w:kern w:val="0"/>
          <w:sz w:val="32"/>
          <w:szCs w:val="32"/>
          <w:highlight w:val="none"/>
          <w:shd w:val="clear" w:color="auto" w:fill="FFFFFF"/>
          <w:lang w:val="en-US" w:eastAsia="zh-CN"/>
        </w:rPr>
        <w:t>5733.69</w:t>
      </w:r>
      <w:r>
        <w:rPr>
          <w:rFonts w:hint="default" w:ascii="Times New Roman" w:hAnsi="Times New Roman" w:eastAsia="仿宋_GB2312" w:cs="仿宋_GB2312"/>
          <w:color w:val="auto"/>
          <w:kern w:val="2"/>
          <w:sz w:val="32"/>
          <w:szCs w:val="32"/>
          <w:highlight w:val="none"/>
          <w:lang w:val="zh-CN" w:eastAsia="zh-CN" w:bidi="ar-SA"/>
        </w:rPr>
        <w:t>万元，1</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1</w:t>
      </w:r>
      <w:r>
        <w:rPr>
          <w:rFonts w:hint="default"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月预算执行总体进度为</w:t>
      </w:r>
      <w:r>
        <w:rPr>
          <w:rFonts w:hint="eastAsia" w:ascii="Times New Roman" w:hAnsi="Times New Roman"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zh-CN" w:eastAsia="zh-CN" w:bidi="ar-SA"/>
        </w:rPr>
        <w:t>%，其中：预算结余率大于</w:t>
      </w:r>
      <w:r>
        <w:rPr>
          <w:rFonts w:hint="default" w:ascii="Times New Roman" w:hAnsi="Times New Roman" w:eastAsia="仿宋_GB2312" w:cs="仿宋_GB2312"/>
          <w:color w:val="auto"/>
          <w:kern w:val="2"/>
          <w:sz w:val="32"/>
          <w:szCs w:val="32"/>
          <w:highlight w:val="none"/>
          <w:lang w:val="en-US" w:eastAsia="zh-CN" w:bidi="ar-SA"/>
        </w:rPr>
        <w:t>10%</w:t>
      </w:r>
      <w:r>
        <w:rPr>
          <w:rFonts w:hint="default" w:ascii="Times New Roman" w:hAnsi="Times New Roman" w:eastAsia="仿宋_GB2312" w:cs="仿宋_GB2312"/>
          <w:color w:val="auto"/>
          <w:kern w:val="2"/>
          <w:sz w:val="32"/>
          <w:szCs w:val="32"/>
          <w:highlight w:val="none"/>
          <w:lang w:val="zh-CN" w:eastAsia="zh-CN" w:bidi="ar-SA"/>
        </w:rPr>
        <w:t>的项目共计</w:t>
      </w:r>
      <w:r>
        <w:rPr>
          <w:rFonts w:hint="eastAsia" w:ascii="Times New Roman" w:hAnsi="Times New Roman" w:cs="仿宋_GB2312"/>
          <w:color w:val="auto"/>
          <w:kern w:val="2"/>
          <w:sz w:val="32"/>
          <w:szCs w:val="32"/>
          <w:highlight w:val="none"/>
          <w:lang w:val="en-US" w:eastAsia="zh-CN" w:bidi="ar-SA"/>
        </w:rPr>
        <w:t>0</w:t>
      </w:r>
      <w:r>
        <w:rPr>
          <w:rFonts w:hint="default" w:ascii="Times New Roman" w:hAnsi="Times New Roman" w:eastAsia="仿宋_GB2312" w:cs="仿宋_GB2312"/>
          <w:color w:val="auto"/>
          <w:kern w:val="2"/>
          <w:sz w:val="32"/>
          <w:szCs w:val="32"/>
          <w:highlight w:val="none"/>
          <w:lang w:val="zh-CN" w:eastAsia="zh-CN" w:bidi="ar-SA"/>
        </w:rPr>
        <w:t>个。</w:t>
      </w:r>
    </w:p>
    <w:p>
      <w:pPr>
        <w:bidi w:val="0"/>
        <w:rPr>
          <w:rFonts w:hint="eastAsia"/>
          <w:lang w:val="zh-CN" w:eastAsia="zh-CN"/>
        </w:rPr>
      </w:pPr>
      <w:r>
        <w:rPr>
          <w:rFonts w:hint="eastAsia"/>
          <w:lang w:val="en-US" w:eastAsia="zh-CN"/>
        </w:rPr>
        <w:t>1.</w:t>
      </w:r>
      <w:r>
        <w:rPr>
          <w:rFonts w:hint="eastAsia"/>
          <w:lang w:val="zh-CN" w:eastAsia="zh-CN"/>
        </w:rPr>
        <w:t>项目决策。</w:t>
      </w:r>
    </w:p>
    <w:p>
      <w:pPr>
        <w:bidi w:val="0"/>
        <w:rPr>
          <w:rFonts w:hint="default"/>
          <w:lang w:val="en-US" w:eastAsia="zh-CN"/>
        </w:rPr>
      </w:pPr>
      <w:r>
        <w:rPr>
          <w:rFonts w:hint="default"/>
          <w:lang w:val="en-US" w:eastAsia="zh-CN"/>
        </w:rPr>
        <w:t>（1）决策程序</w:t>
      </w:r>
    </w:p>
    <w:p>
      <w:pPr>
        <w:bidi w:val="0"/>
        <w:rPr>
          <w:rFonts w:hint="default"/>
          <w:lang w:val="en-US" w:eastAsia="zh-CN"/>
        </w:rPr>
      </w:pPr>
      <w:r>
        <w:rPr>
          <w:rFonts w:hint="default"/>
          <w:lang w:val="en-US" w:eastAsia="zh-CN"/>
        </w:rPr>
        <w:t>对“年度预算100万元以上的新增项目，年度预算增幅达到30%或增加金额100万元以上的延续性项目”开展事前绩效评估。2024年本部门应开展部门预算阶段项目（含一次性项目）总数1个、实际开展部门预算阶段项目（含一次性项目）1个，开展比例100%。根据《部门整体支出绩效自评打分表》的评分说明本项指标权重4分、得分4分。</w:t>
      </w:r>
    </w:p>
    <w:p>
      <w:pPr>
        <w:bidi w:val="0"/>
        <w:rPr>
          <w:rFonts w:hint="default"/>
          <w:lang w:val="en-US" w:eastAsia="zh-CN"/>
        </w:rPr>
      </w:pPr>
      <w:r>
        <w:rPr>
          <w:rFonts w:hint="default"/>
          <w:lang w:val="en-US" w:eastAsia="zh-CN"/>
        </w:rPr>
        <w:t>（2）目标设置</w:t>
      </w:r>
    </w:p>
    <w:p>
      <w:pPr>
        <w:bidi w:val="0"/>
        <w:rPr>
          <w:rFonts w:hint="default"/>
          <w:lang w:val="en-US" w:eastAsia="zh-CN"/>
        </w:rPr>
      </w:pPr>
      <w:r>
        <w:rPr>
          <w:rFonts w:hint="default"/>
          <w:lang w:val="en-US" w:eastAsia="zh-CN"/>
        </w:rPr>
        <w:t>根据本部门项目绩效目标及预算审核结果。2024年本部门财务机构抽查预算阶段项目（含一次性项目）13个项目，不存在绩效目标与计划期内的任务量、预算安排不相匹配的部门预算阶段项目（含一次性项目）的项目。根据《部门整体支出绩效自评打分表》的评分说明本项指标权重4分、得分4分。</w:t>
      </w:r>
    </w:p>
    <w:p>
      <w:pPr>
        <w:bidi w:val="0"/>
        <w:rPr>
          <w:rFonts w:hint="default"/>
          <w:lang w:val="en-US" w:eastAsia="zh-CN"/>
        </w:rPr>
      </w:pPr>
      <w:r>
        <w:rPr>
          <w:rFonts w:hint="default"/>
          <w:lang w:val="en-US" w:eastAsia="zh-CN"/>
        </w:rPr>
        <w:t>（3）项目入库</w:t>
      </w:r>
    </w:p>
    <w:p>
      <w:pPr>
        <w:bidi w:val="0"/>
        <w:rPr>
          <w:rFonts w:hint="default"/>
          <w:lang w:val="en-US" w:eastAsia="zh-CN"/>
        </w:rPr>
      </w:pPr>
      <w:r>
        <w:rPr>
          <w:rFonts w:hint="default"/>
          <w:lang w:val="en-US" w:eastAsia="zh-CN"/>
        </w:rPr>
        <w:t>根据一体化系统导出部门预算阶段项目入库明细数据。2024年本部门最终安排部门预算阶段项目（含一次性项目）总数28个，不存</w:t>
      </w:r>
      <w:r>
        <w:rPr>
          <w:rFonts w:hint="eastAsia"/>
          <w:lang w:val="en-US" w:eastAsia="zh-CN"/>
        </w:rPr>
        <w:t>在</w:t>
      </w:r>
      <w:r>
        <w:rPr>
          <w:rFonts w:hint="default"/>
          <w:lang w:val="en-US" w:eastAsia="zh-CN"/>
        </w:rPr>
        <w:t>规定时间未入财政库部门预算阶段项目（含一次性项目），项目入库及时率100%。根据《部门整体支出绩效自评打分表》的评分说明本项指标权重4分、得分4分。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2.项目执行</w:t>
      </w:r>
      <w:r>
        <w:rPr>
          <w:rFonts w:hint="eastAsia" w:ascii="Times New Roman" w:hAnsi="Times New Roman" w:eastAsia="仿宋_GB2312" w:cs="仿宋_GB2312"/>
          <w:color w:val="auto"/>
          <w:kern w:val="2"/>
          <w:sz w:val="32"/>
          <w:szCs w:val="32"/>
          <w:highlight w:val="none"/>
          <w:lang w:val="zh-CN" w:eastAsia="zh-CN" w:bidi="ar-SA"/>
        </w:rPr>
        <w:t>。</w:t>
      </w:r>
    </w:p>
    <w:p>
      <w:pPr>
        <w:bidi w:val="0"/>
        <w:rPr>
          <w:rFonts w:hint="default"/>
          <w:lang w:val="en-US" w:eastAsia="zh-CN"/>
        </w:rPr>
      </w:pPr>
      <w:r>
        <w:rPr>
          <w:rFonts w:hint="default"/>
          <w:lang w:val="en-US" w:eastAsia="zh-CN"/>
        </w:rPr>
        <w:t>（1）执行同向</w:t>
      </w:r>
    </w:p>
    <w:p>
      <w:pPr>
        <w:bidi w:val="0"/>
        <w:rPr>
          <w:rFonts w:hint="default"/>
          <w:lang w:val="en-US" w:eastAsia="zh-CN"/>
        </w:rPr>
      </w:pPr>
      <w:r>
        <w:rPr>
          <w:rFonts w:hint="default"/>
          <w:lang w:val="en-US" w:eastAsia="zh-CN"/>
        </w:rPr>
        <w:t>2024年本部门部门预算阶段项目（含一次性项目）总数28个，按照“抽评的部门预算阶段项目（含一次性项目）总数10个以下的全部纳入，每增加5个多纳入1个，最多不超过30个”，抽评13个项目。根据《部门整体支出绩效自评打分表》的评分说明本项指标权重5分、得分5分。执行同向情况如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contextualSpacing/>
        <w:jc w:val="center"/>
        <w:textAlignment w:val="auto"/>
        <w:outlineLvl w:val="9"/>
        <w:rPr>
          <w:rFonts w:hint="eastAsia" w:ascii="Times New Roman" w:hAnsi="Times New Roman" w:eastAsia="楷体_GB2312" w:cs="楷体_GB2312"/>
          <w:color w:val="000000"/>
          <w:kern w:val="0"/>
          <w:sz w:val="33"/>
          <w:szCs w:val="33"/>
          <w:highlight w:val="none"/>
          <w:shd w:val="clear" w:color="auto" w:fill="FFFFFF"/>
          <w:lang w:val="en-US" w:eastAsia="zh-CN"/>
        </w:rPr>
      </w:pPr>
      <w:r>
        <w:rPr>
          <w:rFonts w:hint="eastAsia" w:ascii="Times New Roman" w:hAnsi="Times New Roman" w:eastAsia="楷体_GB2312" w:cs="楷体_GB2312"/>
          <w:color w:val="000000"/>
          <w:kern w:val="0"/>
          <w:sz w:val="33"/>
          <w:szCs w:val="33"/>
          <w:highlight w:val="none"/>
          <w:shd w:val="clear" w:color="auto" w:fill="FFFFFF"/>
          <w:lang w:val="en-US" w:eastAsia="zh-CN"/>
        </w:rPr>
        <w:drawing>
          <wp:inline distT="0" distB="0" distL="114300" distR="114300">
            <wp:extent cx="5753100" cy="2122170"/>
            <wp:effectExtent l="0" t="0" r="0" b="11430"/>
            <wp:docPr id="13" name="图片 13" descr="2345截图2025052709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345截图20250527093726"/>
                    <pic:cNvPicPr>
                      <a:picLocks noChangeAspect="1"/>
                    </pic:cNvPicPr>
                  </pic:nvPicPr>
                  <pic:blipFill>
                    <a:blip r:embed="rId17"/>
                    <a:stretch>
                      <a:fillRect/>
                    </a:stretch>
                  </pic:blipFill>
                  <pic:spPr>
                    <a:xfrm>
                      <a:off x="0" y="0"/>
                      <a:ext cx="5753100" cy="212217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contextualSpacing/>
        <w:jc w:val="center"/>
        <w:textAlignment w:val="auto"/>
        <w:outlineLvl w:val="9"/>
        <w:rPr>
          <w:rFonts w:hint="eastAsia" w:ascii="仿宋_GB2312" w:hAnsi="仿宋_GB2312" w:eastAsia="仿宋_GB2312" w:cs="仿宋_GB2312"/>
          <w:color w:val="000000"/>
          <w:kern w:val="0"/>
          <w:sz w:val="24"/>
          <w:szCs w:val="24"/>
          <w:highlight w:val="none"/>
          <w:shd w:val="clear" w:color="auto" w:fill="FFFFFF"/>
          <w:lang w:val="en-US" w:eastAsia="zh-CN"/>
        </w:rPr>
      </w:pPr>
      <w:r>
        <w:rPr>
          <w:rFonts w:hint="eastAsia" w:ascii="仿宋_GB2312" w:hAnsi="仿宋_GB2312" w:eastAsia="仿宋_GB2312" w:cs="仿宋_GB2312"/>
          <w:color w:val="000000"/>
          <w:kern w:val="0"/>
          <w:sz w:val="24"/>
          <w:szCs w:val="24"/>
          <w:highlight w:val="none"/>
          <w:shd w:val="clear" w:color="auto" w:fill="FFFFFF"/>
          <w:lang w:val="en-US" w:eastAsia="zh-CN"/>
        </w:rPr>
        <w:t>图</w:t>
      </w:r>
      <w:r>
        <w:rPr>
          <w:rFonts w:hint="eastAsia" w:ascii="仿宋_GB2312" w:hAnsi="仿宋_GB2312" w:cs="仿宋_GB2312"/>
          <w:color w:val="000000"/>
          <w:kern w:val="0"/>
          <w:sz w:val="24"/>
          <w:szCs w:val="24"/>
          <w:highlight w:val="none"/>
          <w:shd w:val="clear" w:color="auto" w:fill="FFFFFF"/>
          <w:lang w:val="en-US" w:eastAsia="zh-CN"/>
        </w:rPr>
        <w:t>13</w:t>
      </w:r>
      <w:r>
        <w:rPr>
          <w:rFonts w:hint="eastAsia" w:ascii="仿宋_GB2312" w:hAnsi="仿宋_GB2312" w:eastAsia="仿宋_GB2312" w:cs="仿宋_GB2312"/>
          <w:color w:val="000000"/>
          <w:kern w:val="0"/>
          <w:sz w:val="24"/>
          <w:szCs w:val="24"/>
          <w:highlight w:val="none"/>
          <w:shd w:val="clear" w:color="auto" w:fill="FFFFFF"/>
          <w:lang w:val="en-US" w:eastAsia="zh-CN"/>
        </w:rPr>
        <w:t>：项目执行同向情况表</w:t>
      </w:r>
    </w:p>
    <w:p>
      <w:pPr>
        <w:bidi w:val="0"/>
        <w:rPr>
          <w:rFonts w:hint="default"/>
          <w:lang w:val="en-US" w:eastAsia="zh-CN"/>
        </w:rPr>
      </w:pPr>
      <w:r>
        <w:rPr>
          <w:rFonts w:hint="default"/>
          <w:lang w:val="en-US" w:eastAsia="zh-CN"/>
        </w:rPr>
        <w:t>（2）项目调整</w:t>
      </w:r>
    </w:p>
    <w:p>
      <w:pPr>
        <w:bidi w:val="0"/>
        <w:rPr>
          <w:rFonts w:hint="default"/>
          <w:lang w:val="en-US" w:eastAsia="zh-CN"/>
        </w:rPr>
      </w:pPr>
      <w:r>
        <w:rPr>
          <w:rFonts w:hint="default"/>
          <w:lang w:val="en-US" w:eastAsia="zh-CN"/>
        </w:rPr>
        <w:t>2024年本部门不涉及应采取未采取收回预算、调整目标等处置措施的部门预算阶段项目（含一次性项目）。根据《部门整体支出绩效自评打分表》的评分说明本项指标权重6分、得分6分。</w:t>
      </w:r>
    </w:p>
    <w:p>
      <w:pPr>
        <w:bidi w:val="0"/>
        <w:rPr>
          <w:rFonts w:hint="default"/>
          <w:lang w:val="en-US" w:eastAsia="zh-CN"/>
        </w:rPr>
      </w:pPr>
      <w:r>
        <w:rPr>
          <w:rFonts w:hint="default"/>
          <w:lang w:val="en-US" w:eastAsia="zh-CN"/>
        </w:rPr>
        <w:t>（3）执行结果</w:t>
      </w:r>
    </w:p>
    <w:p>
      <w:pPr>
        <w:bidi w:val="0"/>
        <w:rPr>
          <w:rFonts w:hint="eastAsia"/>
          <w:lang w:val="zh-CN" w:eastAsia="zh-CN"/>
        </w:rPr>
      </w:pPr>
      <w:r>
        <w:rPr>
          <w:rFonts w:hint="default"/>
          <w:lang w:val="en-US" w:eastAsia="zh-CN"/>
        </w:rPr>
        <w:t>2024年本单位共实施28个项目，其中：常年项目2</w:t>
      </w:r>
      <w:r>
        <w:rPr>
          <w:rFonts w:hint="eastAsia"/>
          <w:lang w:val="en-US" w:eastAsia="zh-CN"/>
        </w:rPr>
        <w:t>3</w:t>
      </w:r>
      <w:r>
        <w:rPr>
          <w:rFonts w:hint="default"/>
          <w:lang w:val="en-US" w:eastAsia="zh-CN"/>
        </w:rPr>
        <w:t>个，一次性项目和阶段项目</w:t>
      </w:r>
      <w:r>
        <w:rPr>
          <w:rFonts w:hint="eastAsia"/>
          <w:lang w:val="en-US" w:eastAsia="zh-CN"/>
        </w:rPr>
        <w:t>5</w:t>
      </w:r>
      <w:r>
        <w:rPr>
          <w:rFonts w:hint="default"/>
          <w:lang w:val="en-US" w:eastAsia="zh-CN"/>
        </w:rPr>
        <w:t>个。根据一体化系统预算可执行情况表，所有项目预算结余率均为0%。根据《部门整体支出绩效自评打分表》的评分说明本项指标权重4分、得分4分。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目标实现。</w:t>
      </w:r>
    </w:p>
    <w:p>
      <w:pPr>
        <w:bidi w:val="0"/>
        <w:rPr>
          <w:rFonts w:hint="default"/>
          <w:lang w:eastAsia="zh-CN"/>
        </w:rPr>
      </w:pPr>
      <w:r>
        <w:rPr>
          <w:rFonts w:hint="default"/>
          <w:lang w:eastAsia="zh-CN"/>
        </w:rPr>
        <w:t>（</w:t>
      </w:r>
      <w:r>
        <w:rPr>
          <w:rFonts w:hint="default"/>
          <w:lang w:val="en-US" w:eastAsia="zh-CN"/>
        </w:rPr>
        <w:t>1</w:t>
      </w:r>
      <w:r>
        <w:rPr>
          <w:rFonts w:hint="default"/>
          <w:lang w:eastAsia="zh-CN"/>
        </w:rPr>
        <w:t>）目标完成</w:t>
      </w:r>
    </w:p>
    <w:p>
      <w:pPr>
        <w:bidi w:val="0"/>
        <w:rPr>
          <w:rFonts w:hint="default"/>
          <w:lang w:eastAsia="zh-CN"/>
        </w:rPr>
      </w:pPr>
      <w:r>
        <w:rPr>
          <w:rFonts w:hint="default"/>
          <w:lang w:eastAsia="zh-CN"/>
        </w:rPr>
        <w:t>2025年本单位共实施</w:t>
      </w:r>
      <w:r>
        <w:rPr>
          <w:rFonts w:hint="default"/>
          <w:lang w:val="en-US" w:eastAsia="zh-CN"/>
        </w:rPr>
        <w:t>28</w:t>
      </w:r>
      <w:r>
        <w:rPr>
          <w:rFonts w:hint="default"/>
          <w:lang w:eastAsia="zh-CN"/>
        </w:rPr>
        <w:t>个项目，财务机构抽查</w:t>
      </w:r>
      <w:r>
        <w:rPr>
          <w:rFonts w:hint="default"/>
          <w:lang w:val="en-US" w:eastAsia="zh-CN"/>
        </w:rPr>
        <w:t>13</w:t>
      </w:r>
      <w:r>
        <w:rPr>
          <w:rFonts w:hint="default"/>
          <w:lang w:eastAsia="zh-CN"/>
        </w:rPr>
        <w:t>个项目核查项目目标完成情况。</w:t>
      </w:r>
      <w:r>
        <w:rPr>
          <w:rFonts w:hint="default"/>
          <w:lang w:val="en-US" w:eastAsia="zh-CN"/>
        </w:rPr>
        <w:t>13</w:t>
      </w:r>
      <w:r>
        <w:rPr>
          <w:rFonts w:hint="default"/>
          <w:lang w:eastAsia="zh-CN"/>
        </w:rPr>
        <w:t>个项目共有</w:t>
      </w:r>
      <w:r>
        <w:rPr>
          <w:rFonts w:hint="default"/>
          <w:lang w:val="en-US" w:eastAsia="zh-CN"/>
        </w:rPr>
        <w:t>13</w:t>
      </w:r>
      <w:r>
        <w:rPr>
          <w:rFonts w:hint="default"/>
          <w:lang w:eastAsia="zh-CN"/>
        </w:rPr>
        <w:t>条数量指标，</w:t>
      </w:r>
      <w:r>
        <w:rPr>
          <w:rFonts w:hint="default"/>
          <w:lang w:val="en-US" w:eastAsia="zh-CN"/>
        </w:rPr>
        <w:t>13</w:t>
      </w:r>
      <w:r>
        <w:rPr>
          <w:rFonts w:hint="default"/>
          <w:lang w:eastAsia="zh-CN"/>
        </w:rPr>
        <w:t>条数量指标均完成目标值。根据《部门整体支出绩效自评打分表》的评分说明本项指标权重</w:t>
      </w:r>
      <w:r>
        <w:rPr>
          <w:rFonts w:hint="default"/>
          <w:lang w:val="en-US" w:eastAsia="zh-CN"/>
        </w:rPr>
        <w:t>6</w:t>
      </w:r>
      <w:r>
        <w:rPr>
          <w:rFonts w:hint="default"/>
          <w:lang w:eastAsia="zh-CN"/>
        </w:rPr>
        <w:t>分、得分</w:t>
      </w:r>
      <w:r>
        <w:rPr>
          <w:rFonts w:hint="default"/>
          <w:lang w:val="en-US" w:eastAsia="zh-CN"/>
        </w:rPr>
        <w:t>6</w:t>
      </w:r>
      <w:r>
        <w:rPr>
          <w:rFonts w:hint="default"/>
          <w:lang w:eastAsia="zh-CN"/>
        </w:rPr>
        <w:t>分。具体情况详见下表：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sz w:val="33"/>
          <w:szCs w:val="33"/>
          <w:u w:val="none"/>
          <w:lang w:eastAsia="zh-CN"/>
        </w:rPr>
      </w:pPr>
      <w:r>
        <w:rPr>
          <w:rFonts w:hint="eastAsia" w:cs="Times New Roman"/>
          <w:sz w:val="33"/>
          <w:szCs w:val="33"/>
          <w:u w:val="none"/>
          <w:lang w:eastAsia="zh-CN"/>
        </w:rPr>
        <w:drawing>
          <wp:inline distT="0" distB="0" distL="114300" distR="114300">
            <wp:extent cx="5753100" cy="2049780"/>
            <wp:effectExtent l="0" t="0" r="0" b="7620"/>
            <wp:docPr id="14" name="图片 14" descr="2345截图2025052816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345截图20250528161717"/>
                    <pic:cNvPicPr>
                      <a:picLocks noChangeAspect="1"/>
                    </pic:cNvPicPr>
                  </pic:nvPicPr>
                  <pic:blipFill>
                    <a:blip r:embed="rId18"/>
                    <a:stretch>
                      <a:fillRect/>
                    </a:stretch>
                  </pic:blipFill>
                  <pic:spPr>
                    <a:xfrm>
                      <a:off x="0" y="0"/>
                      <a:ext cx="5753100" cy="204978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4"/>
          <w:szCs w:val="24"/>
          <w:u w:val="none"/>
          <w:lang w:val="en-US" w:eastAsia="zh-CN"/>
        </w:rPr>
      </w:pPr>
      <w:r>
        <w:rPr>
          <w:rFonts w:hint="default" w:ascii="Times New Roman" w:hAnsi="Times New Roman" w:cs="Times New Roman"/>
          <w:sz w:val="24"/>
          <w:szCs w:val="24"/>
          <w:u w:val="none"/>
          <w:lang w:eastAsia="zh-CN"/>
        </w:rPr>
        <w:t>图</w:t>
      </w:r>
      <w:r>
        <w:rPr>
          <w:rFonts w:hint="eastAsia" w:ascii="Times New Roman" w:hAnsi="Times New Roman" w:cs="Times New Roman"/>
          <w:sz w:val="24"/>
          <w:szCs w:val="24"/>
          <w:u w:val="none"/>
          <w:lang w:val="en-US" w:eastAsia="zh-CN"/>
        </w:rPr>
        <w:t>14</w:t>
      </w:r>
      <w:r>
        <w:rPr>
          <w:rFonts w:hint="default" w:ascii="Times New Roman" w:hAnsi="Times New Roman" w:eastAsia="仿宋_GB2312" w:cs="Times New Roman"/>
          <w:sz w:val="24"/>
          <w:szCs w:val="24"/>
          <w:u w:val="none"/>
          <w:lang w:val="en-US" w:eastAsia="zh-CN"/>
        </w:rPr>
        <w:t>：目标完成情况表</w:t>
      </w:r>
    </w:p>
    <w:p>
      <w:pPr>
        <w:bidi w:val="0"/>
        <w:rPr>
          <w:rFonts w:hint="default"/>
          <w:lang w:eastAsia="zh-CN"/>
        </w:rPr>
      </w:pPr>
      <w:r>
        <w:rPr>
          <w:rFonts w:hint="default"/>
          <w:lang w:eastAsia="zh-CN"/>
        </w:rPr>
        <w:t>（</w:t>
      </w:r>
      <w:r>
        <w:rPr>
          <w:rFonts w:hint="default"/>
          <w:lang w:val="en-US" w:eastAsia="zh-CN"/>
        </w:rPr>
        <w:t>2</w:t>
      </w:r>
      <w:r>
        <w:rPr>
          <w:rFonts w:hint="default"/>
          <w:lang w:eastAsia="zh-CN"/>
        </w:rPr>
        <w:t>）目标偏离</w:t>
      </w:r>
    </w:p>
    <w:p>
      <w:pPr>
        <w:bidi w:val="0"/>
        <w:rPr>
          <w:rFonts w:hint="eastAsia"/>
          <w:lang w:eastAsia="zh-CN"/>
        </w:rPr>
      </w:pPr>
      <w:r>
        <w:rPr>
          <w:rFonts w:hint="default"/>
          <w:lang w:eastAsia="zh-CN"/>
        </w:rPr>
        <w:t>2025年本单位共实施</w:t>
      </w:r>
      <w:r>
        <w:rPr>
          <w:rFonts w:hint="default"/>
          <w:lang w:val="en-US" w:eastAsia="zh-CN"/>
        </w:rPr>
        <w:t>28</w:t>
      </w:r>
      <w:r>
        <w:rPr>
          <w:rFonts w:hint="default"/>
          <w:lang w:eastAsia="zh-CN"/>
        </w:rPr>
        <w:t>个项目，财务机构抽查</w:t>
      </w:r>
      <w:r>
        <w:rPr>
          <w:rFonts w:hint="default"/>
          <w:lang w:val="en-US" w:eastAsia="zh-CN"/>
        </w:rPr>
        <w:t>13</w:t>
      </w:r>
      <w:r>
        <w:rPr>
          <w:rFonts w:hint="default"/>
          <w:lang w:eastAsia="zh-CN"/>
        </w:rPr>
        <w:t>个项目核查项目目标完成情况。</w:t>
      </w:r>
      <w:r>
        <w:rPr>
          <w:rFonts w:hint="default"/>
          <w:lang w:val="en-US" w:eastAsia="zh-CN"/>
        </w:rPr>
        <w:t>13</w:t>
      </w:r>
      <w:r>
        <w:rPr>
          <w:rFonts w:hint="default"/>
          <w:lang w:eastAsia="zh-CN"/>
        </w:rPr>
        <w:t>个项目共有</w:t>
      </w:r>
      <w:r>
        <w:rPr>
          <w:rFonts w:hint="default"/>
          <w:lang w:val="en-US" w:eastAsia="zh-CN"/>
        </w:rPr>
        <w:t>13</w:t>
      </w:r>
      <w:r>
        <w:rPr>
          <w:rFonts w:hint="default"/>
          <w:lang w:eastAsia="zh-CN"/>
        </w:rPr>
        <w:t>条数量指标，2024年已完成预期指标值的数量指标共计</w:t>
      </w:r>
      <w:r>
        <w:rPr>
          <w:rFonts w:hint="default"/>
          <w:lang w:val="en-US" w:eastAsia="zh-CN"/>
        </w:rPr>
        <w:t>13</w:t>
      </w:r>
      <w:r>
        <w:rPr>
          <w:rFonts w:hint="default"/>
          <w:lang w:eastAsia="zh-CN"/>
        </w:rPr>
        <w:t>条，其中</w:t>
      </w:r>
      <w:r>
        <w:rPr>
          <w:rFonts w:hint="default"/>
          <w:lang w:val="en-US" w:eastAsia="zh-CN"/>
        </w:rPr>
        <w:t>0</w:t>
      </w:r>
      <w:r>
        <w:rPr>
          <w:rFonts w:hint="default"/>
          <w:lang w:eastAsia="zh-CN"/>
        </w:rPr>
        <w:t>条数量指标偏离度≥30%。根据《部门整体支出绩效自评打分表》的评分说明本项指标权重</w:t>
      </w:r>
      <w:r>
        <w:rPr>
          <w:rFonts w:hint="default"/>
          <w:lang w:val="en-US" w:eastAsia="zh-CN"/>
        </w:rPr>
        <w:t>6</w:t>
      </w:r>
      <w:r>
        <w:rPr>
          <w:rFonts w:hint="default"/>
          <w:lang w:eastAsia="zh-CN"/>
        </w:rPr>
        <w:t>分、得分</w:t>
      </w:r>
      <w:r>
        <w:rPr>
          <w:rFonts w:hint="default"/>
          <w:lang w:val="en-US" w:eastAsia="zh-CN"/>
        </w:rPr>
        <w:t>6</w:t>
      </w:r>
      <w:r>
        <w:rPr>
          <w:rFonts w:hint="default"/>
          <w:lang w:eastAsia="zh-CN"/>
        </w:rPr>
        <w:t>分。具体情况详见下表：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sz w:val="33"/>
          <w:szCs w:val="33"/>
          <w:u w:val="none"/>
          <w:lang w:eastAsia="zh-CN"/>
        </w:rPr>
      </w:pPr>
      <w:r>
        <w:rPr>
          <w:rFonts w:hint="eastAsia" w:cs="Times New Roman"/>
          <w:sz w:val="33"/>
          <w:szCs w:val="33"/>
          <w:u w:val="none"/>
          <w:lang w:eastAsia="zh-CN"/>
        </w:rPr>
        <w:drawing>
          <wp:inline distT="0" distB="0" distL="114300" distR="114300">
            <wp:extent cx="5753100" cy="2043430"/>
            <wp:effectExtent l="0" t="0" r="0" b="13970"/>
            <wp:docPr id="15" name="图片 15" descr="2345截图2025052816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2345截图20250528161828"/>
                    <pic:cNvPicPr>
                      <a:picLocks noChangeAspect="1"/>
                    </pic:cNvPicPr>
                  </pic:nvPicPr>
                  <pic:blipFill>
                    <a:blip r:embed="rId19"/>
                    <a:stretch>
                      <a:fillRect/>
                    </a:stretch>
                  </pic:blipFill>
                  <pic:spPr>
                    <a:xfrm>
                      <a:off x="0" y="0"/>
                      <a:ext cx="5753100" cy="2043430"/>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4"/>
          <w:szCs w:val="24"/>
          <w:u w:val="none"/>
          <w:lang w:val="en-US" w:eastAsia="zh-CN"/>
        </w:rPr>
      </w:pPr>
      <w:r>
        <w:rPr>
          <w:rFonts w:hint="default" w:ascii="Times New Roman" w:hAnsi="Times New Roman" w:cs="Times New Roman"/>
          <w:sz w:val="24"/>
          <w:szCs w:val="24"/>
          <w:u w:val="none"/>
          <w:lang w:eastAsia="zh-CN"/>
        </w:rPr>
        <w:t>图</w:t>
      </w:r>
      <w:r>
        <w:rPr>
          <w:rFonts w:hint="eastAsia" w:ascii="Times New Roman" w:hAnsi="Times New Roman" w:cs="Times New Roman"/>
          <w:sz w:val="24"/>
          <w:szCs w:val="24"/>
          <w:u w:val="none"/>
          <w:lang w:val="en-US" w:eastAsia="zh-CN"/>
        </w:rPr>
        <w:t>15</w:t>
      </w:r>
      <w:r>
        <w:rPr>
          <w:rFonts w:hint="default" w:ascii="Times New Roman" w:hAnsi="Times New Roman" w:eastAsia="仿宋_GB2312" w:cs="Times New Roman"/>
          <w:sz w:val="24"/>
          <w:szCs w:val="24"/>
          <w:u w:val="none"/>
          <w:lang w:val="en-US" w:eastAsia="zh-CN"/>
        </w:rPr>
        <w:t>：目标偏离情况表</w:t>
      </w:r>
    </w:p>
    <w:p>
      <w:pPr>
        <w:bidi w:val="0"/>
        <w:rPr>
          <w:rFonts w:hint="default"/>
          <w:lang w:eastAsia="zh-CN"/>
        </w:rPr>
      </w:pPr>
      <w:r>
        <w:rPr>
          <w:rFonts w:hint="default"/>
          <w:lang w:eastAsia="zh-CN"/>
        </w:rPr>
        <w:t>（</w:t>
      </w:r>
      <w:r>
        <w:rPr>
          <w:rFonts w:hint="default"/>
          <w:lang w:val="en-US" w:eastAsia="zh-CN"/>
        </w:rPr>
        <w:t>3</w:t>
      </w:r>
      <w:r>
        <w:rPr>
          <w:rFonts w:hint="default"/>
          <w:lang w:eastAsia="zh-CN"/>
        </w:rPr>
        <w:t>）实现效果</w:t>
      </w:r>
    </w:p>
    <w:p>
      <w:pPr>
        <w:bidi w:val="0"/>
        <w:rPr>
          <w:rFonts w:hint="default"/>
          <w:lang w:eastAsia="zh-CN"/>
        </w:rPr>
      </w:pPr>
      <w:r>
        <w:rPr>
          <w:rFonts w:hint="default"/>
          <w:lang w:eastAsia="zh-CN"/>
        </w:rPr>
        <w:t>2024年本部门共实施</w:t>
      </w:r>
      <w:r>
        <w:rPr>
          <w:rFonts w:hint="default"/>
          <w:lang w:val="en-US" w:eastAsia="zh-CN"/>
        </w:rPr>
        <w:t>28</w:t>
      </w:r>
      <w:r>
        <w:rPr>
          <w:rFonts w:hint="default"/>
          <w:lang w:eastAsia="zh-CN"/>
        </w:rPr>
        <w:t>个项目，财务机构共抽查</w:t>
      </w:r>
      <w:r>
        <w:rPr>
          <w:rFonts w:hint="default"/>
          <w:lang w:val="en-US" w:eastAsia="zh-CN"/>
        </w:rPr>
        <w:t>13</w:t>
      </w:r>
      <w:r>
        <w:rPr>
          <w:rFonts w:hint="default"/>
          <w:lang w:eastAsia="zh-CN"/>
        </w:rPr>
        <w:t>个项目，</w:t>
      </w:r>
      <w:r>
        <w:rPr>
          <w:rFonts w:hint="default"/>
          <w:lang w:val="en-US" w:eastAsia="zh-CN"/>
        </w:rPr>
        <w:t>13</w:t>
      </w:r>
      <w:r>
        <w:rPr>
          <w:rFonts w:hint="default"/>
          <w:lang w:eastAsia="zh-CN"/>
        </w:rPr>
        <w:t>个项目共有</w:t>
      </w:r>
      <w:r>
        <w:rPr>
          <w:rFonts w:hint="default"/>
          <w:lang w:val="en-US" w:eastAsia="zh-CN"/>
        </w:rPr>
        <w:t>13</w:t>
      </w:r>
      <w:r>
        <w:rPr>
          <w:rFonts w:hint="default"/>
          <w:lang w:eastAsia="zh-CN"/>
        </w:rPr>
        <w:t>条效益指标，经核查</w:t>
      </w:r>
      <w:r>
        <w:rPr>
          <w:rFonts w:hint="default"/>
          <w:lang w:val="en-US" w:eastAsia="zh-CN"/>
        </w:rPr>
        <w:t>13</w:t>
      </w:r>
      <w:r>
        <w:rPr>
          <w:rFonts w:hint="default"/>
          <w:lang w:eastAsia="zh-CN"/>
        </w:rPr>
        <w:t>条效益指标完成。各类项目均实现其效果。根据《部门整体支出绩效自评打分表》的评分说明本项指标权重</w:t>
      </w:r>
      <w:r>
        <w:rPr>
          <w:rFonts w:hint="default"/>
          <w:lang w:val="en-US" w:eastAsia="zh-CN"/>
        </w:rPr>
        <w:t>5</w:t>
      </w:r>
      <w:r>
        <w:rPr>
          <w:rFonts w:hint="default"/>
          <w:lang w:eastAsia="zh-CN"/>
        </w:rPr>
        <w:t>分、得分</w:t>
      </w:r>
      <w:r>
        <w:rPr>
          <w:rFonts w:hint="default"/>
          <w:lang w:val="en-US" w:eastAsia="zh-CN"/>
        </w:rPr>
        <w:t>5</w:t>
      </w:r>
      <w:r>
        <w:rPr>
          <w:rFonts w:hint="default"/>
          <w:lang w:eastAsia="zh-CN"/>
        </w:rPr>
        <w:t>分。具体情况详见下表：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sz w:val="33"/>
          <w:szCs w:val="33"/>
          <w:u w:val="none"/>
          <w:lang w:eastAsia="zh-CN"/>
        </w:rPr>
      </w:pPr>
      <w:r>
        <w:rPr>
          <w:rFonts w:hint="eastAsia" w:cs="Times New Roman"/>
          <w:sz w:val="33"/>
          <w:szCs w:val="33"/>
          <w:u w:val="none"/>
          <w:lang w:eastAsia="zh-CN"/>
        </w:rPr>
        <w:drawing>
          <wp:inline distT="0" distB="0" distL="114300" distR="114300">
            <wp:extent cx="5753100" cy="2088515"/>
            <wp:effectExtent l="0" t="0" r="0" b="6985"/>
            <wp:docPr id="16" name="图片 16" descr="2345截图2025052710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345截图20250527104315"/>
                    <pic:cNvPicPr>
                      <a:picLocks noChangeAspect="1"/>
                    </pic:cNvPicPr>
                  </pic:nvPicPr>
                  <pic:blipFill>
                    <a:blip r:embed="rId20"/>
                    <a:stretch>
                      <a:fillRect/>
                    </a:stretch>
                  </pic:blipFill>
                  <pic:spPr>
                    <a:xfrm>
                      <a:off x="0" y="0"/>
                      <a:ext cx="5753100" cy="208851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sz w:val="24"/>
          <w:szCs w:val="24"/>
          <w:u w:val="none"/>
          <w:lang w:eastAsia="zh-CN"/>
        </w:rPr>
      </w:pPr>
      <w:r>
        <w:rPr>
          <w:rFonts w:hint="default" w:ascii="Times New Roman" w:hAnsi="Times New Roman" w:cs="Times New Roman"/>
          <w:sz w:val="24"/>
          <w:szCs w:val="24"/>
          <w:u w:val="none"/>
          <w:lang w:eastAsia="zh-CN"/>
        </w:rPr>
        <w:t>图</w:t>
      </w:r>
      <w:r>
        <w:rPr>
          <w:rFonts w:hint="eastAsia" w:ascii="Times New Roman" w:hAnsi="Times New Roman" w:cs="Times New Roman"/>
          <w:sz w:val="24"/>
          <w:szCs w:val="24"/>
          <w:u w:val="none"/>
          <w:lang w:val="en-US" w:eastAsia="zh-CN"/>
        </w:rPr>
        <w:t>16</w:t>
      </w:r>
      <w:r>
        <w:rPr>
          <w:rFonts w:hint="default" w:ascii="Times New Roman" w:hAnsi="Times New Roman" w:eastAsia="仿宋_GB2312" w:cs="Times New Roman"/>
          <w:sz w:val="24"/>
          <w:szCs w:val="24"/>
          <w:u w:val="none"/>
          <w:lang w:eastAsia="zh-CN"/>
        </w:rPr>
        <w:t>：实现效果情况表</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bidi w:val="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lang w:val="en-US" w:eastAsia="zh-CN"/>
        </w:rPr>
        <w:t>2024年根据镇年初工作规划和重点工作，本部门积极履职，强化管理，较好地完成了年度工作目标。通过加强预算收支管理，不断健全内部管理制度，梳理内部管理流程，部门整体支出管理情况得到提升，但是仍存在一般性支出多于去年，人均资产变化率3.76%，办公家具利用率1.37%，采购项目并未专门面向中小企业采购，且未在采购预算中单独列示等问题，总评分为86.5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bidi w:val="0"/>
        <w:rPr>
          <w:rFonts w:hint="default"/>
          <w:lang w:val="zh-CN" w:eastAsia="zh-CN"/>
        </w:rPr>
      </w:pPr>
      <w:r>
        <w:rPr>
          <w:rFonts w:hint="default"/>
          <w:lang w:val="zh-CN" w:eastAsia="zh-CN"/>
        </w:rPr>
        <w:t>（</w:t>
      </w:r>
      <w:r>
        <w:rPr>
          <w:rFonts w:hint="default"/>
          <w:lang w:val="en-US" w:eastAsia="zh-CN"/>
        </w:rPr>
        <w:t>1</w:t>
      </w:r>
      <w:r>
        <w:rPr>
          <w:rFonts w:hint="default"/>
          <w:lang w:val="zh-CN" w:eastAsia="zh-CN"/>
        </w:rPr>
        <w:t>）一般性支出有待控制</w:t>
      </w:r>
    </w:p>
    <w:p>
      <w:pPr>
        <w:bidi w:val="0"/>
        <w:rPr>
          <w:rFonts w:hint="default"/>
          <w:lang w:val="en-US" w:eastAsia="zh-CN"/>
        </w:rPr>
      </w:pPr>
      <w:r>
        <w:rPr>
          <w:rFonts w:hint="default"/>
          <w:lang w:val="en-US" w:eastAsia="zh-CN"/>
        </w:rPr>
        <w:t>2024年一般性支出为17.5375万元，比2023年一般性支出多7.11%。</w:t>
      </w:r>
    </w:p>
    <w:p>
      <w:pPr>
        <w:bidi w:val="0"/>
        <w:rPr>
          <w:rFonts w:hint="default"/>
          <w:lang w:val="zh-CN" w:eastAsia="zh-CN"/>
        </w:rPr>
      </w:pPr>
      <w:r>
        <w:rPr>
          <w:rFonts w:hint="default"/>
          <w:lang w:val="zh-CN" w:eastAsia="zh-CN"/>
        </w:rPr>
        <w:t>（</w:t>
      </w:r>
      <w:r>
        <w:rPr>
          <w:rFonts w:hint="default"/>
          <w:lang w:val="en-US" w:eastAsia="zh-CN"/>
        </w:rPr>
        <w:t>2</w:t>
      </w:r>
      <w:r>
        <w:rPr>
          <w:rFonts w:hint="default"/>
          <w:lang w:val="zh-CN" w:eastAsia="zh-CN"/>
        </w:rPr>
        <w:t>）人均资产变化情况有待控制</w:t>
      </w:r>
    </w:p>
    <w:p>
      <w:pPr>
        <w:bidi w:val="0"/>
        <w:rPr>
          <w:rFonts w:hint="default"/>
          <w:lang w:val="zh-CN" w:eastAsia="zh-CN"/>
        </w:rPr>
      </w:pPr>
      <w:r>
        <w:rPr>
          <w:rFonts w:hint="default"/>
          <w:lang w:val="zh-CN" w:eastAsia="zh-CN"/>
        </w:rPr>
        <w:t>202</w:t>
      </w:r>
      <w:r>
        <w:rPr>
          <w:rFonts w:hint="default"/>
          <w:lang w:val="en-US" w:eastAsia="zh-CN"/>
        </w:rPr>
        <w:t>4</w:t>
      </w:r>
      <w:r>
        <w:rPr>
          <w:rFonts w:hint="default"/>
          <w:lang w:val="zh-CN" w:eastAsia="zh-CN"/>
        </w:rPr>
        <w:t>年部门人均资产变化率为</w:t>
      </w:r>
      <w:r>
        <w:rPr>
          <w:rFonts w:hint="default"/>
          <w:lang w:val="en-US" w:eastAsia="zh-CN"/>
        </w:rPr>
        <w:t>3.76</w:t>
      </w:r>
      <w:r>
        <w:rPr>
          <w:rFonts w:hint="default"/>
          <w:lang w:val="zh-CN" w:eastAsia="zh-CN"/>
        </w:rPr>
        <w:t>%，高于市直行政事业单位人均资产变化率</w:t>
      </w:r>
      <w:r>
        <w:rPr>
          <w:rFonts w:hint="default"/>
          <w:lang w:val="en-US" w:eastAsia="zh-CN"/>
        </w:rPr>
        <w:t>-4.63</w:t>
      </w:r>
      <w:r>
        <w:rPr>
          <w:rFonts w:hint="default"/>
          <w:lang w:val="zh-CN" w:eastAsia="zh-CN"/>
        </w:rPr>
        <w:t>%。聚贤镇人民政府人均资产增长情况有待控制。</w:t>
      </w:r>
    </w:p>
    <w:p>
      <w:pPr>
        <w:bidi w:val="0"/>
        <w:rPr>
          <w:rFonts w:hint="default"/>
          <w:lang w:val="zh-CN" w:eastAsia="zh-CN"/>
        </w:rPr>
      </w:pPr>
      <w:r>
        <w:rPr>
          <w:rFonts w:hint="default"/>
          <w:lang w:val="zh-CN" w:eastAsia="zh-CN"/>
        </w:rPr>
        <w:t>（</w:t>
      </w:r>
      <w:r>
        <w:rPr>
          <w:rFonts w:hint="default"/>
          <w:lang w:val="en-US" w:eastAsia="zh-CN"/>
        </w:rPr>
        <w:t>3</w:t>
      </w:r>
      <w:r>
        <w:rPr>
          <w:rFonts w:hint="default"/>
          <w:lang w:val="zh-CN" w:eastAsia="zh-CN"/>
        </w:rPr>
        <w:t>）未向中小企业专门预留采购份额</w:t>
      </w:r>
    </w:p>
    <w:p>
      <w:pPr>
        <w:bidi w:val="0"/>
        <w:rPr>
          <w:rFonts w:hint="eastAsia" w:ascii="仿宋_GB2312" w:hAnsi="仿宋_GB2312" w:eastAsia="仿宋_GB2312" w:cs="仿宋_GB2312"/>
          <w:b w:val="0"/>
          <w:bCs w:val="0"/>
          <w:color w:val="000000"/>
          <w:kern w:val="0"/>
          <w:szCs w:val="33"/>
          <w:highlight w:val="none"/>
          <w:shd w:val="clear" w:color="auto" w:fill="FFFFFF"/>
          <w:lang w:val="zh-CN" w:eastAsia="zh-CN"/>
        </w:rPr>
      </w:pPr>
      <w:r>
        <w:rPr>
          <w:rFonts w:hint="default"/>
          <w:lang w:val="zh-CN" w:eastAsia="zh-CN"/>
        </w:rPr>
        <w:t>通过政府采购结果明细数据采集表，本部门</w:t>
      </w:r>
      <w:r>
        <w:rPr>
          <w:rFonts w:hint="default"/>
          <w:lang w:val="en-US" w:eastAsia="zh-CN"/>
        </w:rPr>
        <w:t>2</w:t>
      </w:r>
      <w:r>
        <w:rPr>
          <w:rFonts w:hint="default"/>
          <w:lang w:val="zh-CN" w:eastAsia="zh-CN"/>
        </w:rPr>
        <w:t>024年采购金额为</w:t>
      </w:r>
      <w:r>
        <w:rPr>
          <w:rFonts w:hint="default"/>
          <w:lang w:val="en-US" w:eastAsia="zh-CN"/>
        </w:rPr>
        <w:t>2.8875</w:t>
      </w:r>
      <w:r>
        <w:rPr>
          <w:rFonts w:hint="default"/>
          <w:lang w:val="zh-CN" w:eastAsia="zh-CN"/>
        </w:rPr>
        <w:t>万元，但</w:t>
      </w:r>
      <w:r>
        <w:rPr>
          <w:rFonts w:hint="default"/>
          <w:lang w:val="en-US" w:eastAsia="zh-CN"/>
        </w:rPr>
        <w:t>2024</w:t>
      </w:r>
      <w:r>
        <w:rPr>
          <w:rFonts w:hint="default"/>
          <w:lang w:val="zh-CN" w:eastAsia="zh-CN"/>
        </w:rPr>
        <w:t>年度采购项目未预留采购份额专门面向中小企业采购，未在采购预算中单独列示。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89" w:name="_Hlk110546638"/>
    </w:p>
    <w:p>
      <w:pPr>
        <w:bidi w:val="0"/>
        <w:rPr>
          <w:rFonts w:hint="default"/>
          <w:lang w:val="zh-CN" w:eastAsia="zh-CN"/>
        </w:rPr>
      </w:pPr>
      <w:r>
        <w:rPr>
          <w:rFonts w:hint="default"/>
          <w:lang w:val="zh-CN" w:eastAsia="zh-CN"/>
        </w:rPr>
        <w:t>加强绩效管理体系政策学习，严格按照相关绩效编制要求，结合目标执行情况及区域发展重大事件合理编制预算及绩效目标，提高预算编制、绩效编制的科学性和准确性，进一步健全绩效管理体系。</w:t>
      </w:r>
    </w:p>
    <w:p>
      <w:pPr>
        <w:bidi w:val="0"/>
        <w:rPr>
          <w:rFonts w:hint="default"/>
          <w:lang w:val="zh-CN" w:eastAsia="zh-CN"/>
        </w:rPr>
      </w:pPr>
      <w:r>
        <w:rPr>
          <w:rFonts w:hint="default"/>
          <w:lang w:val="zh-CN" w:eastAsia="zh-CN"/>
        </w:rPr>
        <w:t>（</w:t>
      </w:r>
      <w:r>
        <w:rPr>
          <w:rFonts w:hint="default"/>
          <w:lang w:val="en-US" w:eastAsia="zh-CN"/>
        </w:rPr>
        <w:t>1</w:t>
      </w:r>
      <w:r>
        <w:rPr>
          <w:rFonts w:hint="default"/>
          <w:lang w:val="zh-CN" w:eastAsia="zh-CN"/>
        </w:rPr>
        <w:t>）严控一般性支出</w:t>
      </w:r>
    </w:p>
    <w:p>
      <w:pPr>
        <w:bidi w:val="0"/>
        <w:rPr>
          <w:rFonts w:hint="default"/>
          <w:lang w:val="en-US" w:eastAsia="zh-CN"/>
        </w:rPr>
      </w:pPr>
      <w:r>
        <w:rPr>
          <w:rFonts w:hint="default"/>
          <w:lang w:val="en-US" w:eastAsia="zh-CN"/>
        </w:rPr>
        <w:t>牢固树立过紧日子思想，优化支出结构，压减非急需、非刚性支出。部门严控“三公”经费、会议、培训、差旅、办节办展、办公设备购置、信息网络及软件购置更新、课题经费等8项一般性支出。</w:t>
      </w:r>
    </w:p>
    <w:p>
      <w:pPr>
        <w:bidi w:val="0"/>
        <w:rPr>
          <w:rFonts w:hint="default"/>
          <w:lang w:val="en-US" w:eastAsia="zh-CN"/>
        </w:rPr>
      </w:pPr>
      <w:r>
        <w:rPr>
          <w:rFonts w:hint="default"/>
          <w:lang w:val="en-US" w:eastAsia="zh-CN"/>
        </w:rPr>
        <w:t>（2）控制人均资产变化情况</w:t>
      </w:r>
    </w:p>
    <w:p>
      <w:pPr>
        <w:bidi w:val="0"/>
        <w:rPr>
          <w:rFonts w:hint="default"/>
          <w:lang w:val="en-US" w:eastAsia="zh-CN"/>
        </w:rPr>
      </w:pPr>
      <w:r>
        <w:rPr>
          <w:rFonts w:hint="default"/>
          <w:lang w:val="en-US" w:eastAsia="zh-CN"/>
        </w:rPr>
        <w:t>减少非必要政府采购资产，实行采购前必要性论证，使用中绩效评估等；同时对于季节性使用的设备，可以采取短期租赁的形式，减少资产采购支出。</w:t>
      </w:r>
    </w:p>
    <w:p>
      <w:pPr>
        <w:bidi w:val="0"/>
        <w:rPr>
          <w:rFonts w:hint="default"/>
          <w:lang w:val="en-US" w:eastAsia="zh-CN"/>
        </w:rPr>
      </w:pPr>
      <w:r>
        <w:rPr>
          <w:rFonts w:hint="default"/>
          <w:lang w:val="en-US" w:eastAsia="zh-CN"/>
        </w:rPr>
        <w:t>（3）向中小企业专门预留采购份额</w:t>
      </w:r>
    </w:p>
    <w:p>
      <w:pPr>
        <w:bidi w:val="0"/>
        <w:rPr>
          <w:rFonts w:hint="default"/>
          <w:lang w:val="en-US" w:eastAsia="zh-CN"/>
        </w:rPr>
      </w:pPr>
      <w:r>
        <w:rPr>
          <w:rFonts w:hint="default"/>
          <w:lang w:val="en-US" w:eastAsia="zh-CN"/>
        </w:rPr>
        <w:t>严格执行政府采购促进中小企业发展相关管理办法，对适宜由中小企业提供的采购项目和采购包，预留采购份额专门面向中小企业采购，并在采购预算中单独列示。</w:t>
      </w:r>
    </w:p>
    <w:p>
      <w:pPr>
        <w:pStyle w:val="2"/>
        <w:rPr>
          <w:rFonts w:hint="default"/>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pPr>
        <w:rPr>
          <w:rFonts w:hint="default"/>
          <w:lang w:val="en-US" w:eastAsia="zh-CN"/>
        </w:rPr>
        <w:sectPr>
          <w:footerReference r:id="rId5" w:type="default"/>
          <w:pgSz w:w="11906" w:h="16838"/>
          <w:pgMar w:top="2041" w:right="1474" w:bottom="1701" w:left="1587" w:header="851" w:footer="1417" w:gutter="0"/>
          <w:pgNumType w:fmt="decimal" w:start="1"/>
          <w:cols w:space="0" w:num="1"/>
          <w:rtlGutter w:val="0"/>
          <w:docGrid w:type="lines" w:linePitch="436" w:charSpace="0"/>
        </w:sectPr>
      </w:pPr>
    </w:p>
    <w:p>
      <w:pPr>
        <w:bidi w:val="0"/>
        <w:rPr>
          <w:rFonts w:hint="default"/>
          <w:lang w:val="en-US" w:eastAsia="zh-CN"/>
        </w:rPr>
      </w:pPr>
      <w:r>
        <w:rPr>
          <w:rFonts w:hint="default"/>
          <w:lang w:val="en-US" w:eastAsia="zh-CN"/>
        </w:rPr>
        <w:t>附表：部门整体支出绩效目标完成情况自评表</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7"/>
        <w:gridCol w:w="1273"/>
        <w:gridCol w:w="1429"/>
        <w:gridCol w:w="2758"/>
        <w:gridCol w:w="755"/>
        <w:gridCol w:w="827"/>
        <w:gridCol w:w="754"/>
        <w:gridCol w:w="416"/>
        <w:gridCol w:w="1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年度部门整体支出预算</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资金总额</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财政拨款</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1,029.52</w:t>
            </w:r>
          </w:p>
        </w:tc>
        <w:tc>
          <w:tcPr>
            <w:tcW w:w="3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1,029.52</w:t>
            </w:r>
          </w:p>
        </w:tc>
        <w:tc>
          <w:tcPr>
            <w:tcW w:w="31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年度总体目标</w:t>
            </w:r>
          </w:p>
        </w:tc>
        <w:tc>
          <w:tcPr>
            <w:tcW w:w="933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保证聚贤镇政府各办公室工作顺利开展、推动经济建设、党员发展、社会治理等各项工作稳步发展，保障辖区内安全稳定，维持社会安定和谐，及时、准确地完成各预算指标的拨付。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年度主要任务</w:t>
            </w: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坚持党建引领，筑牢思想政治根基</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持续抓好班子建设，驰而不息改作风、雷厉风行抓落实。细化学习计划，抓实第二批主题教育活动开展。持续抓活集体经济，推进集体经济“一村一项目”，整合村级集体资源，争取实现集体经济总收入“大跨步”，打造具有影响力的党建品牌1-2个。加强阵地建设，打造党建示范村，切实以高质量党建引领保障各项工作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聚力园区建设，打造特色农旅品牌</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以园区建设为核心，积极协助编制聚贤镇蔬菜粮油现代农业产业园区（吉林村、和平村片区）规划，出台规划文本初稿提交区农业农村局研究。全面梳理土地流转现状，充分发挥产业园区辐射效应和向心力，紧盯产业园区业主发展方向和渠道需求，重新明确主导产业及土地流转计划。深挖历史人文资源，用好现有资源，打造“舒心游，安心食，静心养”聚贤农旅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守住底板底线，确保社会持续稳定</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坚决按照“防风险、保安全、护稳定、促发展”的工作思路，多措并举做好平安建设、安全生产、粮食安全、耕地保护各领域底板底线工作。标本兼治、综合治理，切实加强监督管理工作，有效防范和坚决遏制各类安全事故发生。持续抓好社会福利、慈善救济、残疾人群帮扶等兜底性工作，做到动态管理，及时救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增进民生福祉，推动社会事业发展</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善现代公共文化服务体系，建强用好新时代文明实践站、活动中心、农家书屋等文化矩阵。关注乡村“一老一小”，完善留守儿童、妇女、老人和残疾人关心关爱保障机制。积极打造新时代幸福聚贤图景，提档升级公共服务，为群众提供更全面的民生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突出项目建设，着力壮大支撑平台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全方位盯紧项目建设，不断增加乡村产业、美丽乡村、基础设施提升等方面投入，力争补足发展短板。推进快捷通道、农环线等主干道全面联通行政村，争取新建提灌站2座、灌溉水网20公里，整治山坪塘、堰塘15处，全面提升保水供水能力；建设5处约6000平方米的烘干、冷藏、冷冻和仓储设施，吸引社会资本，提升全时段、全天候农业农事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年度绩效指标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绩效指标性质</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绩效指标值</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绩效度量单位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聘请保洁员人数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12345接听人员、综治人员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429" w:type="dxa"/>
            <w:vMerge w:val="continue"/>
            <w:tcBorders>
              <w:top w:val="single" w:color="000000" w:sz="4" w:space="0"/>
              <w:left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村公共服务经费保障村社区个数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14</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个</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14个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4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场镇维护质量合格率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对村级运转、基层活动、服务群众、公共运维四类进行保障</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eastAsia="zh-CN"/>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来访事件处理率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right="0" w:rightChars="0" w:firstLine="0" w:firstLineChars="0"/>
              <w:jc w:val="center"/>
              <w:textAlignment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right="0" w:rightChars="0" w:firstLine="0" w:firstLineChars="0"/>
              <w:jc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sz w:val="18"/>
                <w:szCs w:val="18"/>
                <w:u w:val="none"/>
                <w:lang w:val="en-US" w:eastAsia="zh-CN"/>
              </w:rPr>
              <w:t>100%</w:t>
            </w:r>
          </w:p>
        </w:tc>
      </w:tr>
      <w:bookmarkEnd w:id="89"/>
    </w:tbl>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5"/>
        <w:tblW w:w="0" w:type="auto"/>
        <w:tblInd w:w="0" w:type="dxa"/>
        <w:shd w:val="clear" w:color="auto" w:fill="auto"/>
        <w:tblLayout w:type="autofit"/>
        <w:tblCellMar>
          <w:top w:w="0" w:type="dxa"/>
          <w:left w:w="0" w:type="dxa"/>
          <w:bottom w:w="0" w:type="dxa"/>
          <w:right w:w="0" w:type="dxa"/>
        </w:tblCellMar>
      </w:tblPr>
      <w:tblGrid>
        <w:gridCol w:w="1025"/>
        <w:gridCol w:w="1160"/>
        <w:gridCol w:w="929"/>
        <w:gridCol w:w="1621"/>
        <w:gridCol w:w="441"/>
        <w:gridCol w:w="467"/>
        <w:gridCol w:w="441"/>
        <w:gridCol w:w="775"/>
        <w:gridCol w:w="363"/>
        <w:gridCol w:w="362"/>
        <w:gridCol w:w="752"/>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bookmarkStart w:id="90" w:name="_Toc21957"/>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51090424T000011119020-安全生产监管（森林防火、食品安全）等经费(长期)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保障安全生产监管（森林防火、食品安全）等工作顺利开展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宣传安全生产(森林防火、食品安全）工作，以及相关人员的费用</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各村每月安全宣传次数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群众对宣传的知识及相关防火知识知晓率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较2023年发生安全事故率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从总体上看，目标规划合理，资金管理办法健全完善，我镇安全生产监管（森林防火、食品安全）等经费(长期)项目较好实现了绩效目标。自评100分。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项目资金缺乏，不能满足安全生产监管（森林防火、食品安全）等经费(长期)项目工作需要。</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一是加强资金监管，完善多部门联动机制；二是建议增加安全生产监管（森林防火、食品安全）等经费（长期）项目工作资金投入，保障工作开展。</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项目负责人：杨文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026"/>
        <w:gridCol w:w="1332"/>
        <w:gridCol w:w="1058"/>
        <w:gridCol w:w="876"/>
        <w:gridCol w:w="499"/>
        <w:gridCol w:w="534"/>
        <w:gridCol w:w="500"/>
        <w:gridCol w:w="848"/>
        <w:gridCol w:w="398"/>
        <w:gridCol w:w="397"/>
        <w:gridCol w:w="868"/>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51090424T000011119029-创新社区管理经费（长期）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保障创新社区管理工作顺利开展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开展创新社区管理工作，对群众开展教育培训，调解群众矛盾</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管理社区个数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管理工作情况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社区创新工作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从总体上看，目标规划合理，资金管理办法健全完善，我镇创新社区管理经费（长期）项目较好实现了绩效目标。自评100分。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项目管理员缺乏专业的知识并且部分居民参与积极性不高。</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一是上级加强对乡镇创新社区管理工作的指导，加强对项目管理员的培训；二是加强对居民创新社区管理工作的宣传和引导，鼓励居民参与到社区事务中来。</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项目负责人：何勇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006"/>
        <w:gridCol w:w="1313"/>
        <w:gridCol w:w="1045"/>
        <w:gridCol w:w="956"/>
        <w:gridCol w:w="494"/>
        <w:gridCol w:w="533"/>
        <w:gridCol w:w="494"/>
        <w:gridCol w:w="847"/>
        <w:gridCol w:w="397"/>
        <w:gridCol w:w="397"/>
        <w:gridCol w:w="854"/>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51090424T000011119050-防灾应急救助经费（长期）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保障防灾应急救助工作顺利开展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开展防灾应急演练工作，配备防灾应急相应设施设备</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接受应急演练人数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防灾应急救助率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应急救助情况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从总体上看，目标规划合理，资金管理办法健全完善，我镇防灾应急救助经费（长期）项目较好实现了绩效目标。自评100分。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一是项目资金缺乏，防灾应急的设施设备较少。二是参加应急演练的部分人员缺乏专业知识。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一是建议增加防灾应急救助经费（长期）项目工作资金投入，保障工作开展；二是加强对应急人员的培训，如邀请消防员等专业人员进行现场实操和理论讲解等。</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项目负责人：杨文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136"/>
        <w:gridCol w:w="1295"/>
        <w:gridCol w:w="1024"/>
        <w:gridCol w:w="933"/>
        <w:gridCol w:w="482"/>
        <w:gridCol w:w="594"/>
        <w:gridCol w:w="482"/>
        <w:gridCol w:w="796"/>
        <w:gridCol w:w="374"/>
        <w:gridCol w:w="373"/>
        <w:gridCol w:w="847"/>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51090424T000011119098-关心下一代工作专项经费（长期）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保障关心下一代工作顺利开展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采购关爱儿童活动物资以及开展相关的慰问</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开展儿童关爱活动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活动开展质量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从总体上看，目标规划合理，资金管理办法健全完善，我镇关心下一代工作专项经费（长期）项目较好实现了绩效目标。自评100分。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项目资金缺乏，不能满足关心下一代工作专项经费（长期）项目工作需要。</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一是加强资金监管，完善多部门联动机制；二是建议增加关心下一代工作专项经费（长期）项目工作资金投入，保障工作开展。</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项目负责人：何小彪</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925"/>
        <w:gridCol w:w="1317"/>
        <w:gridCol w:w="1053"/>
        <w:gridCol w:w="966"/>
        <w:gridCol w:w="500"/>
        <w:gridCol w:w="527"/>
        <w:gridCol w:w="500"/>
        <w:gridCol w:w="875"/>
        <w:gridCol w:w="410"/>
        <w:gridCol w:w="409"/>
        <w:gridCol w:w="854"/>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51090424T000011119107-环境卫生整治经费（长期）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保障环境卫生整治工作顺利开展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为环境卫生整治工作提供广告费、办公费、工作人员劳务费等</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聘请保洁员人数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垃圾转运情况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工作保障时间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清洁程度是否提高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从总体上看，目标规划合理，资金管理办法健全完善，我镇环境卫生整治经费（长期）项目较好实现了绩效目标。自评100分。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项目资金缺乏，不能满足环境卫生整治经费（长期）项目工作需要。</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一是加强资金监管，完善多部门联动机制；二是建议增加环境卫生整治经费（长期）项目工作资金投入，保障工作开展。三是对居民进行宣传，引导居民参加环境卫生整治行动中来。</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项目负责人：杨文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086"/>
        <w:gridCol w:w="1372"/>
        <w:gridCol w:w="797"/>
        <w:gridCol w:w="989"/>
        <w:gridCol w:w="511"/>
        <w:gridCol w:w="534"/>
        <w:gridCol w:w="511"/>
        <w:gridCol w:w="845"/>
        <w:gridCol w:w="397"/>
        <w:gridCol w:w="397"/>
        <w:gridCol w:w="897"/>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51090424T000011119302-统计工作经费（长期）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保障统计工作顺利开展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保障统计工作、统计数据质量、统计人员培训等</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完成固投项目个数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统计工作开展情况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全镇经济指标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从总体上看，目标规划合理，资金管理办法健全完善，我镇统计工作经费（长期）项目较好实现了绩效目标。自评100分。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乡镇统计员面临的统计数据庞大，统计人员配置不足且统计人员变动大；部分人员专业度不足。</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一是聘请统计专员，确保统计人员专职化，提高统计人员待遇，确保统计人员稳定化。二是建立标准化的电子台账系统，实现畜牧业、服务员等动态数据实时采集。</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项目负责人：何勇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111"/>
        <w:gridCol w:w="1264"/>
        <w:gridCol w:w="1002"/>
        <w:gridCol w:w="1090"/>
        <w:gridCol w:w="472"/>
        <w:gridCol w:w="565"/>
        <w:gridCol w:w="472"/>
        <w:gridCol w:w="791"/>
        <w:gridCol w:w="371"/>
        <w:gridCol w:w="372"/>
        <w:gridCol w:w="826"/>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51090424T000011119146-维稳信访调解经费（长期）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保障维稳信访调解工作顺利开展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开展维稳信访调解工作，维持社会稳定，减少信访人员，调解群众矛盾</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来访事件处理率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信访处理质量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群众上访事件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有所降低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上访群众满意度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信访维稳工作预算控制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从总体上看，目标规划合理，资金管理办法健全完善，我镇维稳信访调解经费（长期）项目较好实现了绩效目标。自评100分。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项目资金缺乏，不能满足维稳信访调解经费（长期）项目工作需要。</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一是加强资金监管，完善多部门联动机制；二是建议增加维稳信访调解经费（长期）项目工作资金投入，保障工作开展。</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项目负责人：杨文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112"/>
        <w:gridCol w:w="1144"/>
        <w:gridCol w:w="927"/>
        <w:gridCol w:w="1433"/>
        <w:gridCol w:w="444"/>
        <w:gridCol w:w="511"/>
        <w:gridCol w:w="443"/>
        <w:gridCol w:w="821"/>
        <w:gridCol w:w="383"/>
        <w:gridCol w:w="382"/>
        <w:gridCol w:w="736"/>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51090424T000011119160-乡风文明建设经费（长期）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保障乡风文明建设工作顺利开展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开展文化下乡活动，丰富群众精神世界</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开展活动质量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保障工作时效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群众文化生活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从总体上看，目标规划合理，资金管理办法健全完善，我镇乡风文明建设经费（长期）项目较好实现了绩效目标。自评100分。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陈规陋习依然存在，部分群众依旧存在大操大办，攀比等现象；村民参与积极性不足，认为乡风文明建设与自身无关。</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一是深化移风易俗治理，制定村规民约，将优秀传统文化纳入规范；二是宣传引导，通过微信群，抖音号等宣传各村先进典型，引导村民参与乡风文明建设。</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项目负责人：杨文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r>
        <w:tblPrEx>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51090424T000011119189-乡镇便民服务大厅维护及农村“三资”集体管理经费（长期）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保障乡镇便民服务大厅维护及农村“三资”集体管理工作顺利开展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优化群众办事流程，解决群众问题，确保群众知晓所在村资金流向</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9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保障便民服务大厅临聘人员工资人数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大厅工作群众投诉次数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便民办事效率是否提高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从总体上看，目标规划合理，资金管理办法健全完善，我镇乡镇便民服务大厅维护及农村“三资”集体管理经费（长期）项目较好实现了绩效目标。自评100分。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项目资金缺乏，不能满足乡镇便民服务大厅维护及农村“三资”集体管理经费（长期）项目工作需要；处于一线工作。面临群众问题各种各样，业务人员专业知识不足，影响服务质量和效率。</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both"/>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一是建议增加乡镇便民服务大厅维护及农村“三资”集体管理经费（长期）项目工作资金投入，保障工作开展；二是加强对一线业务人员的培训，提高培训的针对性和实效性。</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项目负责人：何勇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092"/>
        <w:gridCol w:w="1290"/>
        <w:gridCol w:w="1022"/>
        <w:gridCol w:w="1023"/>
        <w:gridCol w:w="482"/>
        <w:gridCol w:w="535"/>
        <w:gridCol w:w="482"/>
        <w:gridCol w:w="809"/>
        <w:gridCol w:w="379"/>
        <w:gridCol w:w="379"/>
        <w:gridCol w:w="843"/>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51090424T000011119195-乡镇基础设施和场镇街道维护经费（长期）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保障乡镇基础设施和场镇街道维护工作顺利开展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对乡镇基础设施和场镇进行维护</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保洁员人数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8人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场镇维护质量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场镇清洁及生态环境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71500元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从总体上看，目标规划合理，资金管理办法健全完善，我镇乡镇基础设施和场镇街道维护经费（长期）项目较好实现了绩效目标。自评100分。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项目资金缺乏，部分基础设施维护资金不足。</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一是加强资金监管，完善多部门联动机制；二是建议增加乡镇基础设施和场镇街道维护经费（长期）项目工作资金投入，保障工作开展。</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项目负责人：彭岚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925"/>
        <w:gridCol w:w="1317"/>
        <w:gridCol w:w="1053"/>
        <w:gridCol w:w="966"/>
        <w:gridCol w:w="500"/>
        <w:gridCol w:w="527"/>
        <w:gridCol w:w="500"/>
        <w:gridCol w:w="875"/>
        <w:gridCol w:w="410"/>
        <w:gridCol w:w="409"/>
        <w:gridCol w:w="854"/>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51090424T000011119210-乡镇监察工作经费（长期）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保障乡镇监察工作顺利开展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为乡镇监察工作人员提高办公费、差旅费等</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办理纪检案件件数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7件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违法违纪查处率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清正廉洁社会风气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从总体上看，目标规划合理，资金管理办法健全完善，有效地维护了群众利益，塑造了清正廉洁的社会风气，我镇乡镇监察工作经费（长期）项目较好实现了绩效目标。自评100分。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项目资金缺乏，不能满足乡镇监察工作经费（长期）项目工作需要。</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一是加强资金监管，完善多部门联动机制；二是建议增加乡镇监察工作经费（长期）项目工作资金投入，保障工作开展。</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项目负责人：曾星</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763"/>
        <w:gridCol w:w="1282"/>
        <w:gridCol w:w="1038"/>
        <w:gridCol w:w="1038"/>
        <w:gridCol w:w="496"/>
        <w:gridCol w:w="631"/>
        <w:gridCol w:w="496"/>
        <w:gridCol w:w="915"/>
        <w:gridCol w:w="426"/>
        <w:gridCol w:w="426"/>
        <w:gridCol w:w="825"/>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51090424T000011119221-乡镇人大代表监督、视察等经费（长期）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顺利开展镇人大代表监督、视察等工作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为乡镇人大代表监督、视察等工作提供相应的经费</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保障人大代表人数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53人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人大监督、视察保障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人大监督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有效监督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有效监督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从总体上看，目标规划合理，资金管理办法健全完善，我镇乡镇人大代表监督、视察等经费（长期）项目较好实现了绩效目标。自评100分。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项目资金缺乏，不能满足乡镇人大代表监督、视察等经费（长期）项目工作需要；部分代表缺乏专业知识，在监督、视察工作中，发现问题，解决问题的能力不足。</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建议增加乡镇人大代表监督、视察等经费（长期）项目工作资金投入，保障工作开展；二是完善履职能力建设，围绕乡村振兴、安全生产等议题开展技能培训，提高人大代表的专业素养，推动人大代表监督与行政、司法监督联动，形成监管合力。</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项目负责人：杨天铭</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r>
        <w:tblPrEx>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51090424T000011119232-乡镇人大代表经费（长期）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保障镇人大代表工作顺利开展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为乡镇人大代表提供经费</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保障人大代表数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53人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代表工作开展情况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人大代表作用发挥</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2.85万元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从总体上看，目标规划合理，资金管理办法健全完善，我镇乡镇人大代表经费（长期）项目较好实现了绩效目标。自评100分。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项目资金缺乏，不能满足乡镇人大代表经费（长期）项目工作需要。</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一是加强资金监管，完善多部门联动机制；二是建议增加乡镇人大代表经费（长期）项目工作资金投入，保障工作开展。</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项目负责人：杨天铭</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kern w:val="0"/>
          <w:sz w:val="30"/>
          <w:szCs w:val="30"/>
          <w:u w:val="none"/>
          <w:lang w:val="en-US" w:eastAsia="zh-CN" w:bidi="ar"/>
        </w:rPr>
      </w:pPr>
      <w:r>
        <w:rPr>
          <w:rFonts w:hint="eastAsia" w:ascii="黑体" w:hAnsi="宋体" w:eastAsia="黑体" w:cs="黑体"/>
          <w:b/>
          <w:i w:val="0"/>
          <w:color w:val="000000"/>
          <w:kern w:val="0"/>
          <w:sz w:val="30"/>
          <w:szCs w:val="30"/>
          <w:u w:val="none"/>
          <w:lang w:val="en-US" w:eastAsia="zh-CN" w:bidi="ar"/>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1155"/>
        <w:gridCol w:w="1319"/>
        <w:gridCol w:w="1040"/>
        <w:gridCol w:w="947"/>
        <w:gridCol w:w="489"/>
        <w:gridCol w:w="483"/>
        <w:gridCol w:w="489"/>
        <w:gridCol w:w="799"/>
        <w:gridCol w:w="376"/>
        <w:gridCol w:w="375"/>
        <w:gridCol w:w="864"/>
      </w:tblGrid>
      <w:tr>
        <w:tblPrEx>
          <w:shd w:val="clear" w:color="auto" w:fill="auto"/>
          <w:tblCellMar>
            <w:top w:w="0" w:type="dxa"/>
            <w:left w:w="0" w:type="dxa"/>
            <w:bottom w:w="0" w:type="dxa"/>
            <w:right w:w="0" w:type="dxa"/>
          </w:tblCellMar>
        </w:tblPrEx>
        <w:trPr>
          <w:trHeight w:val="3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51090424T000011119249-乡镇武装部工作经费（含征兵工作经费）（长期）</w:t>
            </w:r>
          </w:p>
        </w:tc>
      </w:tr>
      <w:tr>
        <w:tblPrEx>
          <w:tblCellMar>
            <w:top w:w="0" w:type="dxa"/>
            <w:left w:w="0" w:type="dxa"/>
            <w:bottom w:w="0" w:type="dxa"/>
            <w:right w:w="0" w:type="dxa"/>
          </w:tblCellMar>
        </w:tblPrEx>
        <w:trPr>
          <w:trHeight w:val="27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保障乡镇武装部工作（含征兵工作）顺利开展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为乡镇武装部日常工作及征兵体检提供经费</w:t>
            </w: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color w:val="000000"/>
                <w:sz w:val="18"/>
                <w:szCs w:val="18"/>
                <w:u w:val="none"/>
              </w:rPr>
            </w:pPr>
          </w:p>
        </w:tc>
      </w:tr>
      <w:tr>
        <w:tblPrEx>
          <w:tblCellMar>
            <w:top w:w="0" w:type="dxa"/>
            <w:left w:w="0" w:type="dxa"/>
            <w:bottom w:w="0" w:type="dxa"/>
            <w:right w:w="0" w:type="dxa"/>
          </w:tblCellMar>
        </w:tblPrEx>
        <w:trPr>
          <w:trHeight w:val="45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征兵报名人数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21人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征兵宣传工作质量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较好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r>
      <w:tr>
        <w:tblPrEx>
          <w:tblCellMar>
            <w:top w:w="0" w:type="dxa"/>
            <w:left w:w="0" w:type="dxa"/>
            <w:bottom w:w="0" w:type="dxa"/>
            <w:right w:w="0"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工作时间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征兵工作响应人数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r>
      <w:tr>
        <w:tblPrEx>
          <w:tblCellMar>
            <w:top w:w="0" w:type="dxa"/>
            <w:left w:w="0" w:type="dxa"/>
            <w:bottom w:w="0" w:type="dxa"/>
            <w:right w:w="0" w:type="dxa"/>
          </w:tblCellMar>
        </w:tblPrEx>
        <w:trPr>
          <w:trHeight w:val="4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预算控制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Theme="minorEastAsia" w:hAnsiTheme="minorEastAsia" w:eastAsiaTheme="minorEastAsia" w:cstheme="minorEastAsia"/>
                <w:i/>
                <w:color w:val="000000"/>
                <w:sz w:val="16"/>
                <w:szCs w:val="16"/>
                <w:u w:val="none"/>
              </w:rPr>
            </w:pPr>
          </w:p>
        </w:tc>
      </w:tr>
      <w:tr>
        <w:tblPrEx>
          <w:tblCellMar>
            <w:top w:w="0" w:type="dxa"/>
            <w:left w:w="0" w:type="dxa"/>
            <w:bottom w:w="0" w:type="dxa"/>
            <w:right w:w="0" w:type="dxa"/>
          </w:tblCellMar>
        </w:tblPrEx>
        <w:trPr>
          <w:trHeight w:val="27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Theme="minorEastAsia" w:hAnsiTheme="minorEastAsia" w:eastAsiaTheme="minorEastAsia" w:cstheme="minorEastAsia"/>
                <w:i w:val="0"/>
                <w:color w:val="000000"/>
                <w:sz w:val="18"/>
                <w:szCs w:val="18"/>
                <w:u w:val="none"/>
              </w:rPr>
            </w:pP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从总体上看，目标规划合理，资金管理办法健全完善，我镇乡镇武装部工作经费（含征兵工作经费）（长期）项目较好实现了绩效目标。自评100分。</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预算额度不足，导致装备更新、民兵训练等基础工作开展受限，不能满足乡镇武装部工作经费（含征兵工作经费）（长期）项目工作需要。</w:t>
            </w:r>
          </w:p>
        </w:tc>
      </w:tr>
      <w:tr>
        <w:tblPrEx>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6"/>
                <w:szCs w:val="16"/>
                <w:u w:val="none"/>
              </w:rPr>
            </w:pPr>
            <w:r>
              <w:rPr>
                <w:rFonts w:hint="eastAsia" w:asciiTheme="minorEastAsia" w:hAnsiTheme="minorEastAsia" w:eastAsiaTheme="minorEastAsia" w:cstheme="minorEastAsia"/>
                <w:i w:val="0"/>
                <w:color w:val="000000"/>
                <w:kern w:val="0"/>
                <w:sz w:val="16"/>
                <w:szCs w:val="16"/>
                <w:u w:val="none"/>
                <w:lang w:val="en-US" w:eastAsia="zh-CN" w:bidi="ar"/>
              </w:rPr>
              <w:t>一是加强资金监管，完善多部门联动机制；二是建议增加乡镇武装部工作经费（含征兵工作经费）（长期）项目工作资金投入，保障工作开展。</w:t>
            </w:r>
          </w:p>
        </w:tc>
      </w:tr>
      <w:tr>
        <w:tblPrEx>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项目负责人：曾广利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Theme="minorEastAsia" w:hAnsiTheme="minorEastAsia" w:eastAsiaTheme="minorEastAsia" w:cstheme="minorEastAsia"/>
                <w:i w:val="0"/>
                <w:color w:val="000000"/>
                <w:sz w:val="18"/>
                <w:szCs w:val="18"/>
                <w:u w:val="none"/>
              </w:rPr>
            </w:pPr>
            <w:r>
              <w:rPr>
                <w:rFonts w:hint="eastAsia" w:asciiTheme="minorEastAsia" w:hAnsiTheme="minorEastAsia" w:eastAsiaTheme="minorEastAsia" w:cstheme="minorEastAsia"/>
                <w:i w:val="0"/>
                <w:color w:val="000000"/>
                <w:kern w:val="0"/>
                <w:sz w:val="18"/>
                <w:szCs w:val="18"/>
                <w:u w:val="none"/>
                <w:lang w:val="en-US" w:eastAsia="zh-CN" w:bidi="ar"/>
              </w:rPr>
              <w:t>财务负责人：陈维维</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lang w:val="zh-CN"/>
        </w:rPr>
      </w:pPr>
    </w:p>
    <w:p>
      <w:pPr>
        <w:rPr>
          <w:rFonts w:hint="eastAsia" w:ascii="黑体" w:hAnsi="黑体" w:eastAsia="黑体" w:cs="黑体"/>
          <w:lang w:val="zh-CN"/>
        </w:rPr>
      </w:pPr>
      <w:r>
        <w:rPr>
          <w:rFonts w:hint="eastAsia" w:ascii="黑体" w:hAnsi="黑体" w:eastAsia="黑体" w:cs="黑体"/>
          <w:lang w:val="zh-CN"/>
        </w:rPr>
        <w:br w:type="page"/>
      </w:r>
    </w:p>
    <w:p>
      <w:pPr>
        <w:bidi w:val="0"/>
        <w:rPr>
          <w:rFonts w:hint="default" w:ascii="黑体" w:hAnsi="黑体" w:eastAsia="黑体" w:cs="黑体"/>
          <w:sz w:val="24"/>
          <w:szCs w:val="24"/>
          <w:highlight w:val="none"/>
          <w:lang w:val="en-US" w:eastAsia="zh-CN"/>
        </w:rPr>
      </w:pPr>
      <w:r>
        <w:rPr>
          <w:rFonts w:hint="eastAsia" w:ascii="黑体" w:hAnsi="黑体" w:eastAsia="黑体" w:cs="黑体"/>
          <w:lang w:val="zh-CN"/>
        </w:rPr>
        <w:t>附件</w:t>
      </w:r>
      <w:r>
        <w:rPr>
          <w:rFonts w:hint="eastAsia" w:ascii="黑体" w:hAnsi="黑体" w:eastAsia="黑体" w:cs="黑体"/>
          <w:lang w:val="en-US" w:eastAsia="zh-CN"/>
        </w:rPr>
        <w:t>2</w:t>
      </w:r>
      <w:bookmarkEnd w:id="90"/>
    </w:p>
    <w:p>
      <w:pPr>
        <w:ind w:left="0" w:leftChars="0" w:firstLine="0" w:firstLineChars="0"/>
        <w:jc w:val="center"/>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ascii="宋体" w:hAnsi="宋体"/>
          <w:color w:val="auto"/>
          <w:kern w:val="2"/>
          <w:position w:val="0"/>
          <w:sz w:val="32"/>
          <w:szCs w:val="32"/>
          <w:highlight w:val="none"/>
        </w:rPr>
      </w:pPr>
      <w:r>
        <w:rPr>
          <w:rFonts w:hint="eastAsia" w:ascii="仿宋_GB2312" w:hAnsi="仿宋_GB2312" w:eastAsia="仿宋_GB2312" w:cs="仿宋_GB2312"/>
          <w:b w:val="0"/>
          <w:bCs/>
          <w:color w:val="auto"/>
          <w:kern w:val="2"/>
          <w:position w:val="0"/>
          <w:sz w:val="32"/>
          <w:szCs w:val="32"/>
          <w:highlight w:val="none"/>
          <w:u w:val="none"/>
          <w:lang w:val="en-US" w:eastAsia="zh-CN" w:bidi="ar-SA"/>
        </w:rPr>
        <w:t>（</w:t>
      </w:r>
      <w:r>
        <w:rPr>
          <w:rFonts w:hint="default" w:ascii="Times New Roman" w:hAnsi="Times New Roman" w:eastAsia="仿宋_GB2312" w:cs="Times New Roman"/>
          <w:b w:val="0"/>
          <w:bCs/>
          <w:color w:val="auto"/>
          <w:kern w:val="2"/>
          <w:position w:val="0"/>
          <w:sz w:val="32"/>
          <w:szCs w:val="32"/>
          <w:highlight w:val="none"/>
          <w:u w:val="none"/>
          <w:lang w:val="en-US" w:eastAsia="zh-CN" w:bidi="ar-SA"/>
        </w:rPr>
        <w:t>2024</w:t>
      </w:r>
      <w:r>
        <w:rPr>
          <w:rFonts w:hint="eastAsia" w:ascii="仿宋_GB2312" w:hAnsi="仿宋_GB2312" w:eastAsia="仿宋_GB2312" w:cs="仿宋_GB2312"/>
          <w:b w:val="0"/>
          <w:bCs/>
          <w:color w:val="auto"/>
          <w:kern w:val="2"/>
          <w:position w:val="0"/>
          <w:sz w:val="32"/>
          <w:szCs w:val="32"/>
          <w:highlight w:val="none"/>
          <w:u w:val="none"/>
          <w:lang w:val="en-US" w:eastAsia="zh-CN" w:bidi="ar-SA"/>
        </w:rPr>
        <w:t>年村级公共服务经费项目）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position w:val="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position w:val="0"/>
          <w:highlight w:val="none"/>
          <w:lang w:val="zh-CN"/>
        </w:rPr>
      </w:pPr>
      <w:r>
        <w:rPr>
          <w:rFonts w:hint="default" w:ascii="Times New Roman" w:hAnsi="Times New Roman" w:eastAsia="黑体" w:cs="Times New Roman"/>
          <w:position w:val="0"/>
          <w:highlight w:val="none"/>
        </w:rPr>
        <w:t>一、</w:t>
      </w:r>
      <w:r>
        <w:rPr>
          <w:rFonts w:hint="default" w:ascii="Times New Roman" w:hAnsi="Times New Roman" w:eastAsia="黑体" w:cs="Times New Roman"/>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cs="Times New Roman"/>
          <w:b w:val="0"/>
          <w:bCs/>
          <w:color w:val="auto"/>
          <w:position w:val="0"/>
          <w:sz w:val="32"/>
          <w:szCs w:val="32"/>
          <w:highlight w:val="none"/>
          <w:u w:val="none"/>
          <w:lang w:val="zh-CN"/>
        </w:rPr>
        <w:t>党的</w:t>
      </w:r>
      <w:r>
        <w:rPr>
          <w:rFonts w:hint="default" w:ascii="Times New Roman" w:hAnsi="Times New Roman" w:eastAsia="仿宋_GB2312" w:cs="Times New Roman"/>
          <w:b w:val="0"/>
          <w:bCs/>
          <w:color w:val="auto"/>
          <w:position w:val="0"/>
          <w:sz w:val="32"/>
          <w:szCs w:val="32"/>
          <w:highlight w:val="none"/>
          <w:u w:val="none"/>
          <w:lang w:val="zh-CN"/>
        </w:rPr>
        <w:t>二十大报告明确要求“健全现代公共文化服务体系”“统筹乡村基础设施和公共服务布局”，</w:t>
      </w:r>
      <w:r>
        <w:rPr>
          <w:rFonts w:hint="default" w:ascii="Times New Roman" w:hAnsi="Times New Roman" w:cs="Times New Roman"/>
          <w:b w:val="0"/>
          <w:bCs/>
          <w:color w:val="auto"/>
          <w:position w:val="0"/>
          <w:sz w:val="32"/>
          <w:szCs w:val="32"/>
          <w:highlight w:val="none"/>
          <w:u w:val="none"/>
          <w:lang w:val="zh-CN"/>
        </w:rPr>
        <w:t>党的</w:t>
      </w:r>
      <w:r>
        <w:rPr>
          <w:rFonts w:hint="default" w:ascii="Times New Roman" w:hAnsi="Times New Roman" w:eastAsia="仿宋_GB2312" w:cs="Times New Roman"/>
          <w:b w:val="0"/>
          <w:bCs/>
          <w:color w:val="auto"/>
          <w:position w:val="0"/>
          <w:sz w:val="32"/>
          <w:szCs w:val="32"/>
          <w:highlight w:val="none"/>
          <w:u w:val="none"/>
          <w:lang w:val="zh-CN"/>
        </w:rPr>
        <w:t>二十届三中全会提出建立“优质文化资源直达基层机制”，同时部分地区存在资金挪用，支出低效等问题，需要通过专项经费项目强化制度约束，确保不同规模存在获得保障。项目主要内容是用于保障办公运转、基层活动、服务群众和公共运维四类。</w:t>
      </w:r>
      <w:r>
        <w:rPr>
          <w:rFonts w:hint="default" w:ascii="Times New Roman" w:hAnsi="Times New Roman" w:eastAsia="仿宋_GB2312" w:cs="Times New Roman"/>
          <w:b w:val="0"/>
          <w:bCs/>
          <w:color w:val="auto"/>
          <w:position w:val="0"/>
          <w:sz w:val="32"/>
          <w:szCs w:val="32"/>
          <w:highlight w:val="none"/>
          <w:u w:val="none"/>
          <w:lang w:val="en-US" w:eastAsia="zh-CN"/>
        </w:rPr>
        <w:t>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实施目的及支持方向。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left"/>
        <w:textAlignment w:val="auto"/>
        <w:rPr>
          <w:rFonts w:hint="default" w:ascii="Times New Roman" w:hAnsi="Times New Roman" w:eastAsia="仿宋_GB2312" w:cs="Times New Roman"/>
          <w:b w:val="0"/>
          <w:bCs/>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eastAsia="zh-CN"/>
        </w:rPr>
        <w:t>项目资金严格按照财务会计管理，</w:t>
      </w:r>
      <w:r>
        <w:rPr>
          <w:rFonts w:hint="eastAsia" w:cs="Times New Roman"/>
          <w:b w:val="0"/>
          <w:bCs/>
          <w:color w:val="auto"/>
          <w:position w:val="0"/>
          <w:sz w:val="32"/>
          <w:szCs w:val="32"/>
          <w:highlight w:val="none"/>
          <w:u w:val="none"/>
          <w:lang w:val="zh-CN" w:eastAsia="zh-CN"/>
        </w:rPr>
        <w:t>实行</w:t>
      </w:r>
      <w:r>
        <w:rPr>
          <w:rFonts w:hint="default" w:ascii="Times New Roman" w:hAnsi="Times New Roman" w:eastAsia="仿宋_GB2312" w:cs="Times New Roman"/>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报账制，保证专款专用，按有关程序要求保证，并接受纪委和财政部门检查监督，符合资金管理办法等相关规定。项目实施目的是保障村和社区履职。主要工作任务是</w:t>
      </w:r>
      <w:r>
        <w:rPr>
          <w:rFonts w:hint="default" w:ascii="Times New Roman" w:hAnsi="Times New Roman" w:eastAsia="仿宋_GB2312" w:cs="Times New Roman"/>
          <w:b w:val="0"/>
          <w:bCs/>
          <w:color w:val="auto"/>
          <w:position w:val="0"/>
          <w:sz w:val="32"/>
          <w:szCs w:val="32"/>
          <w:highlight w:val="none"/>
          <w:u w:val="none"/>
          <w:lang w:val="zh-CN"/>
        </w:rPr>
        <w:t>保障办公运转、基层活动、服务群众和公共运维四类</w:t>
      </w:r>
      <w:r>
        <w:rPr>
          <w:rFonts w:hint="default" w:ascii="Times New Roman" w:hAnsi="Times New Roman" w:eastAsia="仿宋_GB2312" w:cs="Times New Roman"/>
          <w:b w:val="0"/>
          <w:bCs/>
          <w:color w:val="auto"/>
          <w:position w:val="0"/>
          <w:sz w:val="32"/>
          <w:szCs w:val="32"/>
          <w:highlight w:val="none"/>
          <w:u w:val="none"/>
          <w:lang w:val="zh-CN" w:eastAsia="zh-CN"/>
        </w:rPr>
        <w:t>。项目支持方向是民生保障领域。</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eastAsia="zh-CN"/>
        </w:rPr>
        <w:t>（三）</w:t>
      </w:r>
      <w:r>
        <w:rPr>
          <w:rFonts w:hint="default" w:ascii="Times New Roman" w:hAnsi="Times New Roman" w:eastAsia="楷体_GB2312" w:cs="Times New Roman"/>
          <w:b/>
          <w:color w:val="auto"/>
          <w:position w:val="0"/>
          <w:sz w:val="32"/>
          <w:szCs w:val="32"/>
          <w:highlight w:val="none"/>
          <w:u w:val="none"/>
          <w:lang w:val="en-US" w:eastAsia="zh-CN"/>
        </w:rPr>
        <w:t>预算安排及分配管理</w:t>
      </w:r>
      <w:r>
        <w:rPr>
          <w:rFonts w:hint="default" w:ascii="Times New Roman" w:hAnsi="Times New Roman"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2024年</w:t>
      </w:r>
      <w:r>
        <w:rPr>
          <w:rFonts w:hint="default" w:ascii="Times New Roman" w:hAnsi="Times New Roman" w:cs="Times New Roman"/>
          <w:b w:val="0"/>
          <w:bCs/>
          <w:color w:val="auto"/>
          <w:position w:val="0"/>
          <w:sz w:val="32"/>
          <w:szCs w:val="32"/>
          <w:highlight w:val="none"/>
          <w:u w:val="none"/>
          <w:lang w:val="en-US" w:eastAsia="zh-CN"/>
        </w:rPr>
        <w:t>村级公共服务经费</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eastAsia="仿宋_GB2312" w:cs="Times New Roman"/>
          <w:b w:val="0"/>
          <w:bCs/>
          <w:color w:val="auto"/>
          <w:position w:val="0"/>
          <w:sz w:val="32"/>
          <w:szCs w:val="32"/>
          <w:highlight w:val="none"/>
          <w:u w:val="none"/>
          <w:lang w:val="zh-CN" w:eastAsia="zh-CN"/>
        </w:rPr>
        <w:t>预算总额为</w:t>
      </w:r>
      <w:r>
        <w:rPr>
          <w:rFonts w:hint="eastAsia" w:cs="Times New Roman"/>
          <w:b w:val="0"/>
          <w:bCs/>
          <w:color w:val="auto"/>
          <w:position w:val="0"/>
          <w:sz w:val="32"/>
          <w:szCs w:val="32"/>
          <w:highlight w:val="none"/>
          <w:u w:val="none"/>
          <w:lang w:val="en-US" w:eastAsia="zh-CN"/>
        </w:rPr>
        <w:t>122</w:t>
      </w:r>
      <w:r>
        <w:rPr>
          <w:rFonts w:hint="default" w:ascii="Times New Roman" w:hAnsi="Times New Roman" w:eastAsia="仿宋_GB2312" w:cs="Times New Roman"/>
          <w:b w:val="0"/>
          <w:bCs/>
          <w:color w:val="auto"/>
          <w:position w:val="0"/>
          <w:sz w:val="32"/>
          <w:szCs w:val="32"/>
          <w:highlight w:val="none"/>
          <w:u w:val="none"/>
          <w:lang w:val="zh-CN" w:eastAsia="zh-CN"/>
        </w:rPr>
        <w:t>万元，其中财政资金</w:t>
      </w:r>
      <w:r>
        <w:rPr>
          <w:rFonts w:hint="eastAsia" w:cs="Times New Roman"/>
          <w:b w:val="0"/>
          <w:bCs/>
          <w:color w:val="auto"/>
          <w:position w:val="0"/>
          <w:sz w:val="32"/>
          <w:szCs w:val="32"/>
          <w:highlight w:val="none"/>
          <w:u w:val="none"/>
          <w:lang w:val="en-US" w:eastAsia="zh-CN"/>
        </w:rPr>
        <w:t>122</w:t>
      </w:r>
      <w:r>
        <w:rPr>
          <w:rFonts w:hint="default" w:ascii="Times New Roman" w:hAnsi="Times New Roman" w:eastAsia="仿宋_GB2312" w:cs="Times New Roman"/>
          <w:b w:val="0"/>
          <w:bCs/>
          <w:color w:val="auto"/>
          <w:position w:val="0"/>
          <w:sz w:val="32"/>
          <w:szCs w:val="32"/>
          <w:highlight w:val="none"/>
          <w:u w:val="none"/>
          <w:lang w:val="zh-CN" w:eastAsia="zh-CN"/>
        </w:rPr>
        <w:t>万元。项目资金全用于</w:t>
      </w:r>
      <w:r>
        <w:rPr>
          <w:rFonts w:hint="default" w:ascii="Times New Roman" w:hAnsi="Times New Roman" w:cs="Times New Roman"/>
          <w:b w:val="0"/>
          <w:bCs/>
          <w:color w:val="auto"/>
          <w:position w:val="0"/>
          <w:sz w:val="32"/>
          <w:szCs w:val="32"/>
          <w:highlight w:val="none"/>
          <w:u w:val="none"/>
          <w:lang w:val="en-US" w:eastAsia="zh-CN"/>
        </w:rPr>
        <w:t>保障村和社区履职</w:t>
      </w:r>
      <w:r>
        <w:rPr>
          <w:rFonts w:hint="default" w:ascii="Times New Roman" w:hAnsi="Times New Roman" w:eastAsia="仿宋_GB2312" w:cs="Times New Roman"/>
          <w:b w:val="0"/>
          <w:bCs/>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cs="Times New Roman"/>
          <w:color w:val="auto"/>
          <w:kern w:val="0"/>
          <w:position w:val="0"/>
          <w:sz w:val="32"/>
          <w:szCs w:val="32"/>
          <w:highlight w:val="none"/>
          <w:u w:val="none"/>
          <w:shd w:val="clear" w:color="auto" w:fill="FFFFFF"/>
          <w:lang w:val="zh-CN" w:eastAsia="zh-CN"/>
        </w:rPr>
      </w:pPr>
      <w:r>
        <w:rPr>
          <w:rFonts w:hint="default" w:ascii="Times New Roman" w:hAnsi="Times New Roman"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highlight w:val="none"/>
          <w:lang w:eastAsia="zh-CN"/>
        </w:rPr>
      </w:pPr>
      <w:r>
        <w:rPr>
          <w:rFonts w:hint="default" w:ascii="Times New Roman" w:hAnsi="Times New Roman" w:eastAsia="仿宋_GB2312" w:cs="Times New Roman"/>
          <w:position w:val="0"/>
          <w:highlight w:val="none"/>
          <w:lang w:eastAsia="zh-CN"/>
        </w:rPr>
        <w:t>整体绩效目标：加强村级组织经费保障、规范资金管理、提高资金使用效率。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highlight w:val="none"/>
          <w:lang w:val="en-US" w:eastAsia="zh-CN"/>
        </w:rPr>
      </w:pPr>
      <w:r>
        <w:rPr>
          <w:rFonts w:hint="default" w:ascii="Times New Roman" w:hAnsi="Times New Roman" w:eastAsia="仿宋_GB2312" w:cs="Times New Roman"/>
          <w:position w:val="0"/>
          <w:highlight w:val="none"/>
          <w:lang w:eastAsia="zh-CN"/>
        </w:rPr>
        <w:t>区域绩效目标：</w:t>
      </w:r>
      <w:r>
        <w:rPr>
          <w:rFonts w:hint="default" w:ascii="Times New Roman" w:hAnsi="Times New Roman" w:eastAsia="仿宋_GB2312" w:cs="Times New Roman"/>
          <w:b w:val="0"/>
          <w:bCs/>
          <w:color w:val="auto"/>
          <w:position w:val="0"/>
          <w:sz w:val="32"/>
          <w:szCs w:val="32"/>
          <w:highlight w:val="none"/>
          <w:u w:val="none"/>
          <w:lang w:val="zh-CN"/>
        </w:rPr>
        <w:t>保障办公运转、基层活动、服务群众和公共运维四类</w:t>
      </w:r>
      <w:r>
        <w:rPr>
          <w:rFonts w:hint="default" w:ascii="Times New Roman" w:hAnsi="Times New Roman" w:cs="Times New Roman"/>
          <w:b w:val="0"/>
          <w:bCs/>
          <w:color w:val="auto"/>
          <w:position w:val="0"/>
          <w:sz w:val="32"/>
          <w:szCs w:val="32"/>
          <w:highlight w:val="none"/>
          <w:u w:val="none"/>
          <w:lang w:val="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highlight w:val="none"/>
          <w:lang w:val="en-US" w:eastAsia="zh-CN"/>
        </w:rPr>
      </w:pPr>
      <w:r>
        <w:rPr>
          <w:rFonts w:hint="default" w:ascii="Times New Roman" w:hAnsi="Times New Roman" w:eastAsia="仿宋_GB2312" w:cs="Times New Roman"/>
          <w:position w:val="0"/>
          <w:highlight w:val="none"/>
          <w:lang w:eastAsia="zh-CN"/>
        </w:rPr>
        <w:t>具体绩效目标：保障村社区个数</w:t>
      </w:r>
      <w:r>
        <w:rPr>
          <w:rFonts w:hint="default" w:ascii="Times New Roman" w:hAnsi="Times New Roman" w:eastAsia="仿宋_GB2312" w:cs="Times New Roman"/>
          <w:position w:val="0"/>
          <w:highlight w:val="none"/>
          <w:lang w:val="en-US" w:eastAsia="zh-CN"/>
        </w:rPr>
        <w:t>=14个；资金到位率=100%；工作开展时间2024年；村社区履职情况良好；</w:t>
      </w:r>
      <w:r>
        <w:rPr>
          <w:rFonts w:hint="default" w:ascii="Times New Roman" w:hAnsi="Times New Roman" w:cs="Times New Roman"/>
          <w:position w:val="0"/>
          <w:highlight w:val="none"/>
          <w:lang w:val="en-US" w:eastAsia="zh-CN"/>
        </w:rPr>
        <w:t>村社区</w:t>
      </w:r>
      <w:r>
        <w:rPr>
          <w:rFonts w:hint="default" w:ascii="Times New Roman" w:hAnsi="Times New Roman" w:eastAsia="仿宋_GB2312" w:cs="Times New Roman"/>
          <w:position w:val="0"/>
          <w:highlight w:val="none"/>
          <w:lang w:val="en-US" w:eastAsia="zh-CN"/>
        </w:rPr>
        <w:t>满意度≥90%。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highlight w:val="none"/>
          <w:lang w:eastAsia="zh-CN"/>
        </w:rPr>
      </w:pPr>
      <w:r>
        <w:rPr>
          <w:rFonts w:hint="default" w:ascii="Times New Roman" w:hAnsi="Times New Roman" w:eastAsia="黑体" w:cs="Times New Roman"/>
          <w:position w:val="0"/>
          <w:highlight w:val="none"/>
        </w:rPr>
        <w:t>二、</w:t>
      </w:r>
      <w:r>
        <w:rPr>
          <w:rFonts w:hint="default" w:ascii="Times New Roman" w:hAnsi="Times New Roman" w:eastAsia="黑体" w:cs="Times New Roman"/>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position w:val="0"/>
          <w:szCs w:val="32"/>
        </w:rPr>
      </w:pPr>
      <w:r>
        <w:rPr>
          <w:rFonts w:hint="default" w:ascii="Times New Roman" w:hAnsi="Times New Roman" w:eastAsia="楷体_GB2312" w:cs="Times New Roman"/>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通过对比项目实际成果与预设绩效目标，验证目标完成情况；总结项目经验，发现项目问题，改进同类项目方向，有利于优化资源配置效率，提升过程管控能力。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预设问题包括资金支出是否规范；</w:t>
      </w:r>
      <w:r>
        <w:rPr>
          <w:rFonts w:hint="default" w:ascii="Times New Roman" w:hAnsi="Times New Roman" w:eastAsia="仿宋_GB2312" w:cs="Times New Roman"/>
          <w:b w:val="0"/>
          <w:bCs/>
          <w:position w:val="0"/>
          <w:highlight w:val="none"/>
          <w:lang w:val="en-US" w:eastAsia="zh-CN"/>
        </w:rPr>
        <w:t>村社区履职情况</w:t>
      </w:r>
      <w:r>
        <w:rPr>
          <w:rFonts w:hint="default" w:ascii="Times New Roman" w:hAnsi="Times New Roman" w:eastAsia="仿宋_GB2312" w:cs="Times New Roman"/>
          <w:b w:val="0"/>
          <w:bCs/>
          <w:color w:val="auto"/>
          <w:position w:val="0"/>
          <w:sz w:val="32"/>
          <w:szCs w:val="32"/>
          <w:highlight w:val="none"/>
          <w:u w:val="none"/>
          <w:lang w:val="zh-CN"/>
        </w:rPr>
        <w:t>是否良好；是否保障办公运转、基层活动、服务群众和公共运维四类；群众是否满意等。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本次项目绩效自评选取</w:t>
      </w:r>
      <w:r>
        <w:rPr>
          <w:rFonts w:hint="default" w:ascii="Times New Roman" w:hAnsi="Times New Roman" w:cs="Times New Roman"/>
          <w:b w:val="0"/>
          <w:bCs/>
          <w:color w:val="auto"/>
          <w:position w:val="0"/>
          <w:sz w:val="32"/>
          <w:szCs w:val="32"/>
          <w:highlight w:val="none"/>
          <w:u w:val="none"/>
          <w:lang w:val="zh-CN"/>
        </w:rPr>
        <w:t>聚贤镇包括大柏林村、宝珠寺村等十三个村一个社区</w:t>
      </w:r>
      <w:r>
        <w:rPr>
          <w:rFonts w:hint="default" w:ascii="Times New Roman" w:hAnsi="Times New Roman" w:eastAsia="仿宋_GB2312" w:cs="Times New Roman"/>
          <w:b w:val="0"/>
          <w:bCs/>
          <w:color w:val="auto"/>
          <w:position w:val="0"/>
          <w:sz w:val="32"/>
          <w:szCs w:val="32"/>
          <w:highlight w:val="none"/>
          <w:u w:val="none"/>
          <w:lang w:val="zh-CN"/>
        </w:rPr>
        <w:t>作为抽样点位，确保评价能够全面</w:t>
      </w:r>
      <w:r>
        <w:rPr>
          <w:rFonts w:hint="default" w:ascii="Times New Roman" w:hAnsi="Times New Roman" w:cs="Times New Roman"/>
          <w:b w:val="0"/>
          <w:bCs/>
          <w:color w:val="auto"/>
          <w:position w:val="0"/>
          <w:sz w:val="32"/>
          <w:szCs w:val="32"/>
          <w:highlight w:val="none"/>
          <w:u w:val="none"/>
          <w:lang w:val="zh-CN"/>
        </w:rPr>
        <w:t>反映</w:t>
      </w:r>
      <w:r>
        <w:rPr>
          <w:rFonts w:hint="default" w:ascii="Times New Roman" w:hAnsi="Times New Roman" w:eastAsia="仿宋_GB2312" w:cs="Times New Roman"/>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问卷调查法：设计调查问卷，随机抽取村民及过往群众填报问卷，了解群众对项目实施的意见、建议以及群众满意度。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实地调查法：通过十三个村一个社区现场了解村社区工作情况。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Cs/>
          <w:position w:val="0"/>
          <w:lang w:eastAsia="zh-CN"/>
        </w:rPr>
      </w:pPr>
      <w:r>
        <w:rPr>
          <w:rFonts w:hint="default" w:ascii="Times New Roman" w:hAnsi="Times New Roman" w:eastAsia="楷体_GB2312" w:cs="Times New Roman"/>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rPr>
      </w:pPr>
      <w:r>
        <w:rPr>
          <w:rFonts w:hint="default" w:ascii="Times New Roman" w:hAnsi="Times New Roman" w:eastAsia="仿宋_GB2312" w:cs="Times New Roman"/>
          <w:color w:val="auto"/>
          <w:position w:val="0"/>
          <w:sz w:val="32"/>
          <w:szCs w:val="32"/>
          <w:highlight w:val="none"/>
          <w:u w:val="none"/>
        </w:rPr>
        <w:t>本次绩效评价工作成立了政府牵头组建的绩效评价小组（包括财政部门、业务部门、纪委监察部门等多个部门），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cs="Times New Roman"/>
          <w:color w:val="auto"/>
          <w:position w:val="0"/>
          <w:sz w:val="32"/>
          <w:szCs w:val="32"/>
          <w:highlight w:val="none"/>
          <w:u w:val="none"/>
          <w:lang w:val="zh-CN"/>
        </w:rPr>
      </w:pPr>
      <w:r>
        <w:rPr>
          <w:rFonts w:hint="default" w:ascii="Times New Roman" w:hAnsi="Times New Roman" w:eastAsia="黑体" w:cs="Times New Roman"/>
          <w:color w:val="auto"/>
          <w:position w:val="0"/>
          <w:sz w:val="32"/>
          <w:szCs w:val="32"/>
          <w:highlight w:val="none"/>
          <w:u w:val="none"/>
        </w:rPr>
        <w:t>三、</w:t>
      </w:r>
      <w:r>
        <w:rPr>
          <w:rFonts w:hint="default" w:ascii="Times New Roman" w:hAnsi="Times New Roman" w:eastAsia="黑体" w:cs="Times New Roman"/>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楷体_GB2312" w:cs="Times New Roman"/>
          <w:b/>
          <w:color w:val="auto"/>
          <w:position w:val="0"/>
          <w:sz w:val="32"/>
          <w:szCs w:val="32"/>
          <w:highlight w:val="none"/>
          <w:u w:val="none"/>
          <w:lang w:val="zh-CN"/>
        </w:rPr>
        <w:t>（一）</w:t>
      </w:r>
      <w:r>
        <w:rPr>
          <w:rFonts w:hint="default" w:ascii="Times New Roman" w:hAnsi="Times New Roman"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1.</w:t>
      </w:r>
      <w:r>
        <w:rPr>
          <w:rFonts w:hint="default" w:ascii="Times New Roman" w:hAnsi="Times New Roman" w:eastAsia="仿宋_GB2312" w:cs="Times New Roman"/>
          <w:color w:val="auto"/>
          <w:position w:val="0"/>
          <w:szCs w:val="32"/>
          <w:lang w:eastAsia="zh-CN"/>
        </w:rPr>
        <w:t>项目决策。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2024年村级公共服务经费项目</w:t>
      </w:r>
      <w:r>
        <w:rPr>
          <w:rFonts w:hint="default" w:ascii="Times New Roman" w:hAnsi="Times New Roman" w:eastAsia="仿宋_GB2312" w:cs="Times New Roman"/>
          <w:color w:val="auto"/>
          <w:position w:val="0"/>
          <w:szCs w:val="32"/>
          <w:lang w:val="en-US" w:eastAsia="zh-CN"/>
        </w:rPr>
        <w:t>为延续性项目，立项经过镇党委会审议通过，决策程序规范；前期通过实地调研、问卷调查等形式，开展了充分的论证，规划合理；</w:t>
      </w:r>
      <w:r>
        <w:rPr>
          <w:rFonts w:hint="default" w:ascii="Times New Roman" w:hAnsi="Times New Roman" w:eastAsia="仿宋_GB2312" w:cs="Times New Roman"/>
          <w:b w:val="0"/>
          <w:bCs/>
          <w:color w:val="auto"/>
          <w:position w:val="0"/>
          <w:sz w:val="32"/>
          <w:szCs w:val="32"/>
          <w:highlight w:val="none"/>
          <w:u w:val="none"/>
          <w:lang w:val="en-US" w:eastAsia="zh-CN"/>
        </w:rPr>
        <w:t>2024年村级公共服务经费项目</w:t>
      </w:r>
      <w:r>
        <w:rPr>
          <w:rFonts w:hint="default" w:ascii="Times New Roman" w:hAnsi="Times New Roman" w:eastAsia="仿宋_GB2312" w:cs="Times New Roman"/>
          <w:color w:val="auto"/>
          <w:position w:val="0"/>
          <w:szCs w:val="32"/>
          <w:lang w:val="en-US" w:eastAsia="zh-CN"/>
        </w:rPr>
        <w:t>聚焦民生保障领域，符合群众需求。该项指标18分、得18分。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2.</w:t>
      </w:r>
      <w:r>
        <w:rPr>
          <w:rFonts w:hint="default" w:ascii="Times New Roman" w:hAnsi="Times New Roman" w:eastAsia="仿宋_GB2312" w:cs="Times New Roman"/>
          <w:color w:val="auto"/>
          <w:position w:val="0"/>
          <w:szCs w:val="32"/>
          <w:lang w:eastAsia="zh-CN"/>
        </w:rPr>
        <w:t>项目管理。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为使项目如期完成，结合聚贤镇实际情况，</w:t>
      </w:r>
      <w:r>
        <w:rPr>
          <w:rFonts w:hint="default" w:ascii="Times New Roman" w:hAnsi="Times New Roman" w:eastAsia="仿宋_GB2312" w:cs="Times New Roman"/>
          <w:b w:val="0"/>
          <w:bCs/>
          <w:color w:val="auto"/>
          <w:position w:val="0"/>
          <w:sz w:val="32"/>
          <w:szCs w:val="32"/>
          <w:highlight w:val="none"/>
          <w:u w:val="none"/>
          <w:lang w:val="en-US" w:eastAsia="zh-CN"/>
        </w:rPr>
        <w:t>2024年村级公共服务经费项目</w:t>
      </w:r>
      <w:r>
        <w:rPr>
          <w:rFonts w:hint="default" w:ascii="Times New Roman" w:hAnsi="Times New Roman" w:eastAsia="仿宋_GB2312" w:cs="Times New Roman"/>
          <w:b w:val="0"/>
          <w:bCs w:val="0"/>
          <w:color w:val="auto"/>
          <w:position w:val="0"/>
          <w:sz w:val="32"/>
          <w:szCs w:val="32"/>
          <w:highlight w:val="none"/>
          <w:u w:val="none"/>
          <w:lang w:val="en-US" w:eastAsia="zh-CN"/>
        </w:rPr>
        <w:t>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3.项目实施。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预算执行率100%，未出现截留、挤占、挪用等情况，资金使用规范。该项指标9分，得9分。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4.项目结果。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en-US" w:eastAsia="zh-CN"/>
        </w:rPr>
        <w:t>2024年村级公共服务经费项目</w:t>
      </w:r>
      <w:r>
        <w:rPr>
          <w:rFonts w:hint="default" w:ascii="Times New Roman" w:hAnsi="Times New Roman" w:eastAsia="仿宋_GB2312" w:cs="Times New Roman"/>
          <w:b w:val="0"/>
          <w:bCs w:val="0"/>
          <w:color w:val="auto"/>
          <w:position w:val="0"/>
          <w:sz w:val="32"/>
          <w:szCs w:val="32"/>
          <w:highlight w:val="none"/>
          <w:u w:val="none"/>
          <w:lang w:val="en-US" w:eastAsia="zh-CN"/>
        </w:rPr>
        <w:t>绩效目标完成，村社区履职工作良好，达到预期效果。该项指标9分，得9分。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color w:val="auto"/>
          <w:position w:val="0"/>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color w:val="auto"/>
          <w:position w:val="0"/>
          <w:sz w:val="32"/>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2024年</w:t>
      </w:r>
      <w:r>
        <w:rPr>
          <w:rFonts w:hint="default" w:ascii="Times New Roman" w:hAnsi="Times New Roman" w:cs="Times New Roman"/>
          <w:b w:val="0"/>
          <w:bCs/>
          <w:color w:val="auto"/>
          <w:position w:val="0"/>
          <w:sz w:val="32"/>
          <w:szCs w:val="32"/>
          <w:highlight w:val="none"/>
          <w:u w:val="none"/>
          <w:lang w:val="en-US" w:eastAsia="zh-CN"/>
        </w:rPr>
        <w:t>村级公共服务经费</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cs="Times New Roman"/>
          <w:b w:val="0"/>
          <w:bCs w:val="0"/>
          <w:color w:val="auto"/>
          <w:position w:val="0"/>
          <w:sz w:val="32"/>
          <w:szCs w:val="32"/>
          <w:highlight w:val="none"/>
          <w:u w:val="none"/>
          <w:lang w:val="en-US" w:eastAsia="zh-CN"/>
        </w:rPr>
        <w:t>属于民生保障类项目，具体分析如下：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区域均衡性：</w:t>
      </w:r>
      <w:r>
        <w:rPr>
          <w:rFonts w:hint="default" w:ascii="Times New Roman" w:hAnsi="Times New Roman" w:eastAsia="仿宋_GB2312" w:cs="Times New Roman"/>
          <w:b w:val="0"/>
          <w:bCs/>
          <w:color w:val="auto"/>
          <w:position w:val="0"/>
          <w:sz w:val="32"/>
          <w:szCs w:val="32"/>
          <w:highlight w:val="none"/>
          <w:u w:val="none"/>
          <w:lang w:val="en-US" w:eastAsia="zh-CN"/>
        </w:rPr>
        <w:t>2024年</w:t>
      </w:r>
      <w:r>
        <w:rPr>
          <w:rFonts w:hint="default" w:ascii="Times New Roman" w:hAnsi="Times New Roman" w:cs="Times New Roman"/>
          <w:b w:val="0"/>
          <w:bCs/>
          <w:color w:val="auto"/>
          <w:position w:val="0"/>
          <w:sz w:val="32"/>
          <w:szCs w:val="32"/>
          <w:highlight w:val="none"/>
          <w:u w:val="none"/>
          <w:lang w:val="en-US" w:eastAsia="zh-CN"/>
        </w:rPr>
        <w:t>村级公共服务经费</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cs="Times New Roman"/>
          <w:position w:val="0"/>
          <w:highlight w:val="none"/>
          <w:lang w:val="en-US" w:eastAsia="zh-CN"/>
        </w:rPr>
        <w:t>的实施，面向的服务对象是聚贤镇辖区内所有的村和社区，</w:t>
      </w:r>
      <w:r>
        <w:rPr>
          <w:rFonts w:hint="default" w:ascii="Times New Roman" w:hAnsi="Times New Roman" w:eastAsia="仿宋_GB2312" w:cs="Times New Roman"/>
          <w:b w:val="0"/>
          <w:bCs/>
          <w:color w:val="auto"/>
          <w:position w:val="0"/>
          <w:sz w:val="32"/>
          <w:szCs w:val="32"/>
          <w:highlight w:val="none"/>
          <w:u w:val="none"/>
          <w:lang w:val="zh-CN"/>
        </w:rPr>
        <w:t>保障办公运转、基层活动、服务群众和公共运维四类</w:t>
      </w:r>
      <w:r>
        <w:rPr>
          <w:rFonts w:hint="default" w:ascii="Times New Roman" w:hAnsi="Times New Roman" w:cs="Times New Roman"/>
          <w:b w:val="0"/>
          <w:bCs/>
          <w:color w:val="auto"/>
          <w:position w:val="0"/>
          <w:sz w:val="32"/>
          <w:szCs w:val="32"/>
          <w:highlight w:val="none"/>
          <w:u w:val="none"/>
          <w:lang w:val="zh-CN"/>
        </w:rPr>
        <w:t>，</w:t>
      </w:r>
      <w:r>
        <w:rPr>
          <w:rFonts w:hint="default" w:ascii="Times New Roman" w:hAnsi="Times New Roman" w:cs="Times New Roman"/>
          <w:position w:val="0"/>
          <w:highlight w:val="none"/>
          <w:lang w:val="en-US" w:eastAsia="zh-CN"/>
        </w:rPr>
        <w:t>这使</w:t>
      </w:r>
      <w:r>
        <w:rPr>
          <w:rFonts w:hint="default" w:ascii="Times New Roman" w:hAnsi="Times New Roman" w:cs="Times New Roman"/>
          <w:b w:val="0"/>
          <w:bCs/>
          <w:color w:val="auto"/>
          <w:position w:val="0"/>
          <w:sz w:val="32"/>
          <w:szCs w:val="32"/>
          <w:highlight w:val="none"/>
          <w:u w:val="none"/>
          <w:lang w:val="en-US" w:eastAsia="zh-CN"/>
        </w:rPr>
        <w:t>区域间差距缩小。</w:t>
      </w:r>
      <w:r>
        <w:rPr>
          <w:rFonts w:hint="default" w:ascii="Times New Roman" w:hAnsi="Times New Roman" w:eastAsia="仿宋_GB2312" w:cs="Times New Roman"/>
          <w:b w:val="0"/>
          <w:bCs/>
          <w:color w:val="auto"/>
          <w:position w:val="0"/>
          <w:sz w:val="32"/>
          <w:szCs w:val="32"/>
          <w:highlight w:val="none"/>
          <w:u w:val="none"/>
          <w:lang w:val="en-US" w:eastAsia="zh-CN"/>
        </w:rPr>
        <w:t>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对象精准性：</w:t>
      </w:r>
      <w:r>
        <w:rPr>
          <w:rFonts w:hint="default" w:ascii="Times New Roman" w:hAnsi="Times New Roman" w:eastAsia="仿宋_GB2312" w:cs="Times New Roman"/>
          <w:b w:val="0"/>
          <w:bCs/>
          <w:color w:val="auto"/>
          <w:position w:val="0"/>
          <w:sz w:val="32"/>
          <w:szCs w:val="32"/>
          <w:highlight w:val="none"/>
          <w:u w:val="none"/>
          <w:lang w:val="en-US" w:eastAsia="zh-CN"/>
        </w:rPr>
        <w:t>2024年</w:t>
      </w:r>
      <w:r>
        <w:rPr>
          <w:rFonts w:hint="default" w:ascii="Times New Roman" w:hAnsi="Times New Roman" w:cs="Times New Roman"/>
          <w:b w:val="0"/>
          <w:bCs/>
          <w:color w:val="auto"/>
          <w:position w:val="0"/>
          <w:sz w:val="32"/>
          <w:szCs w:val="32"/>
          <w:highlight w:val="none"/>
          <w:u w:val="none"/>
          <w:lang w:val="en-US" w:eastAsia="zh-CN"/>
        </w:rPr>
        <w:t>村级公共服务经费</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cs="Times New Roman"/>
          <w:b w:val="0"/>
          <w:bCs/>
          <w:color w:val="auto"/>
          <w:position w:val="0"/>
          <w:sz w:val="32"/>
          <w:szCs w:val="32"/>
          <w:highlight w:val="none"/>
          <w:u w:val="none"/>
          <w:lang w:val="zh-CN" w:eastAsia="zh-CN"/>
        </w:rPr>
        <w:t>保障各村社区，保障对象明确</w:t>
      </w:r>
      <w:r>
        <w:rPr>
          <w:rFonts w:hint="default" w:ascii="Times New Roman" w:hAnsi="Times New Roman" w:eastAsia="仿宋_GB2312" w:cs="Times New Roman"/>
          <w:b w:val="0"/>
          <w:bCs/>
          <w:color w:val="auto"/>
          <w:position w:val="0"/>
          <w:sz w:val="32"/>
          <w:szCs w:val="32"/>
          <w:highlight w:val="none"/>
          <w:u w:val="none"/>
          <w:lang w:val="en-US" w:eastAsia="zh-CN"/>
        </w:rPr>
        <w:t>。该项指标10分，得</w:t>
      </w:r>
      <w:r>
        <w:rPr>
          <w:rFonts w:hint="default" w:ascii="Times New Roman" w:hAnsi="Times New Roman" w:cs="Times New Roman"/>
          <w:b w:val="0"/>
          <w:bCs/>
          <w:color w:val="auto"/>
          <w:position w:val="0"/>
          <w:sz w:val="32"/>
          <w:szCs w:val="32"/>
          <w:highlight w:val="none"/>
          <w:u w:val="none"/>
          <w:lang w:val="en-US" w:eastAsia="zh-CN"/>
        </w:rPr>
        <w:t>10</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标准合理性：</w:t>
      </w:r>
      <w:r>
        <w:rPr>
          <w:rFonts w:hint="default" w:ascii="Times New Roman" w:hAnsi="Times New Roman" w:cs="Times New Roman"/>
          <w:b w:val="0"/>
          <w:bCs/>
          <w:color w:val="auto"/>
          <w:position w:val="0"/>
          <w:sz w:val="32"/>
          <w:szCs w:val="32"/>
          <w:highlight w:val="none"/>
          <w:u w:val="none"/>
          <w:lang w:val="zh-CN"/>
        </w:rPr>
        <w:t>项目符合村级公共服务经费补助资金管理办法</w:t>
      </w:r>
      <w:r>
        <w:rPr>
          <w:rFonts w:hint="default" w:ascii="Times New Roman" w:hAnsi="Times New Roman" w:eastAsia="仿宋_GB2312" w:cs="Times New Roman"/>
          <w:b w:val="0"/>
          <w:bCs/>
          <w:color w:val="auto"/>
          <w:position w:val="0"/>
          <w:sz w:val="32"/>
          <w:szCs w:val="32"/>
          <w:highlight w:val="none"/>
          <w:u w:val="none"/>
          <w:lang w:val="zh-CN"/>
        </w:rPr>
        <w:t>相关标准和要求，项目实施达到预期效果</w:t>
      </w:r>
      <w:r>
        <w:rPr>
          <w:rFonts w:hint="default" w:ascii="Times New Roman" w:hAnsi="Times New Roman" w:cs="Times New Roman"/>
          <w:b w:val="0"/>
          <w:bCs/>
          <w:color w:val="auto"/>
          <w:position w:val="0"/>
          <w:sz w:val="32"/>
          <w:szCs w:val="32"/>
          <w:highlight w:val="none"/>
          <w:u w:val="none"/>
          <w:lang w:val="zh-CN"/>
        </w:rPr>
        <w:t>，村社区工作良好</w:t>
      </w:r>
      <w:r>
        <w:rPr>
          <w:rFonts w:hint="default" w:ascii="Times New Roman" w:hAnsi="Times New Roman" w:eastAsia="仿宋_GB2312" w:cs="Times New Roman"/>
          <w:b w:val="0"/>
          <w:bCs/>
          <w:color w:val="auto"/>
          <w:position w:val="0"/>
          <w:sz w:val="32"/>
          <w:szCs w:val="32"/>
          <w:highlight w:val="none"/>
          <w:u w:val="none"/>
          <w:lang w:val="zh-CN"/>
        </w:rPr>
        <w:t>。该项指标</w:t>
      </w:r>
      <w:r>
        <w:rPr>
          <w:rFonts w:hint="default" w:ascii="Times New Roman" w:hAnsi="Times New Roman" w:eastAsia="仿宋_GB2312" w:cs="Times New Roman"/>
          <w:b w:val="0"/>
          <w:bCs/>
          <w:color w:val="auto"/>
          <w:position w:val="0"/>
          <w:sz w:val="32"/>
          <w:szCs w:val="32"/>
          <w:highlight w:val="none"/>
          <w:u w:val="none"/>
          <w:lang w:val="en-US" w:eastAsia="zh-CN"/>
        </w:rPr>
        <w:t>5分，得5分。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zh-CN"/>
        </w:rPr>
        <w:t>群众满意度：通过问卷调查，群众对项目满意度达到</w:t>
      </w:r>
      <w:r>
        <w:rPr>
          <w:rFonts w:hint="default" w:ascii="Times New Roman" w:hAnsi="Times New Roman" w:eastAsia="仿宋_GB2312" w:cs="Times New Roman"/>
          <w:b w:val="0"/>
          <w:bCs/>
          <w:color w:val="auto"/>
          <w:position w:val="0"/>
          <w:sz w:val="32"/>
          <w:szCs w:val="32"/>
          <w:highlight w:val="none"/>
          <w:u w:val="none"/>
          <w:lang w:val="en-US" w:eastAsia="zh-CN"/>
        </w:rPr>
        <w:t>9</w:t>
      </w:r>
      <w:r>
        <w:rPr>
          <w:rFonts w:hint="default" w:ascii="Times New Roman" w:hAnsi="Times New Roman" w:cs="Times New Roman"/>
          <w:b w:val="0"/>
          <w:bCs/>
          <w:color w:val="auto"/>
          <w:position w:val="0"/>
          <w:sz w:val="32"/>
          <w:szCs w:val="32"/>
          <w:highlight w:val="none"/>
          <w:u w:val="none"/>
          <w:lang w:val="en-US" w:eastAsia="zh-CN"/>
        </w:rPr>
        <w:t>8</w:t>
      </w:r>
      <w:r>
        <w:rPr>
          <w:rFonts w:hint="default" w:ascii="Times New Roman" w:hAnsi="Times New Roman" w:eastAsia="仿宋_GB2312" w:cs="Times New Roman"/>
          <w:b w:val="0"/>
          <w:bCs/>
          <w:color w:val="auto"/>
          <w:position w:val="0"/>
          <w:sz w:val="32"/>
          <w:szCs w:val="32"/>
          <w:highlight w:val="none"/>
          <w:u w:val="none"/>
          <w:lang w:val="en-US" w:eastAsia="zh-CN"/>
        </w:rPr>
        <w:t>%。该项指标5分，得</w:t>
      </w:r>
      <w:r>
        <w:rPr>
          <w:rFonts w:hint="default" w:ascii="Times New Roman" w:hAnsi="Times New Roman" w:cs="Times New Roman"/>
          <w:b w:val="0"/>
          <w:bCs/>
          <w:color w:val="auto"/>
          <w:position w:val="0"/>
          <w:sz w:val="32"/>
          <w:szCs w:val="32"/>
          <w:highlight w:val="none"/>
          <w:u w:val="none"/>
          <w:lang w:val="en-US" w:eastAsia="zh-CN"/>
        </w:rPr>
        <w:t>4.9</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（三）</w:t>
      </w:r>
      <w:r>
        <w:rPr>
          <w:rFonts w:hint="default" w:ascii="Times New Roman" w:hAnsi="Times New Roman"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保障村级组织基本运转：本项目实施覆盖村级办公用品、水电费等刚性支出，确保村社区正常履职，且支持卫生防疫、垃圾清运、治安巡逻等基础公共管理服务，改善村社区环境质量。该项指标</w:t>
      </w:r>
      <w:r>
        <w:rPr>
          <w:rFonts w:hint="default" w:ascii="Times New Roman" w:hAnsi="Times New Roman" w:eastAsia="仿宋_GB2312" w:cs="Times New Roman"/>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资金使用规范</w:t>
      </w:r>
      <w:r>
        <w:rPr>
          <w:rFonts w:hint="default" w:ascii="Times New Roman" w:hAnsi="Times New Roman" w:eastAsia="仿宋_GB2312" w:cs="Times New Roman"/>
          <w:color w:val="auto"/>
          <w:position w:val="0"/>
          <w:sz w:val="32"/>
          <w:szCs w:val="32"/>
          <w:highlight w:val="none"/>
          <w:u w:val="none"/>
          <w:lang w:val="en-US" w:eastAsia="zh-CN"/>
        </w:rPr>
        <w:t>:项目资金通过专项管理办法明确支出范围，禁止经费挪用或变相分配给个人，资金使用规范。该项指标8分、得8分。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黑体" w:cs="Times New Roman"/>
          <w:color w:val="auto"/>
          <w:position w:val="0"/>
          <w:sz w:val="32"/>
          <w:szCs w:val="32"/>
          <w:highlight w:val="none"/>
          <w:u w:val="none"/>
          <w:lang w:eastAsia="zh-CN"/>
        </w:rPr>
        <w:t>四</w:t>
      </w:r>
      <w:r>
        <w:rPr>
          <w:rFonts w:hint="default" w:ascii="Times New Roman" w:hAnsi="Times New Roman" w:eastAsia="黑体" w:cs="Times New Roman"/>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经综合评价</w:t>
      </w:r>
      <w:r>
        <w:rPr>
          <w:rFonts w:hint="eastAsia" w:ascii="Times New Roman" w:eastAsia="仿宋_GB2312" w:cs="Times New Roman"/>
          <w:b w:val="0"/>
          <w:bCs w:val="0"/>
          <w:kern w:val="0"/>
          <w:position w:val="0"/>
          <w:sz w:val="32"/>
          <w:szCs w:val="32"/>
          <w:highlight w:val="none"/>
          <w:lang w:val="en-US" w:eastAsia="zh-CN" w:bidi="ar-SA"/>
        </w:rPr>
        <w:t>，</w:t>
      </w:r>
      <w:r>
        <w:rPr>
          <w:rFonts w:hint="default" w:ascii="Times New Roman" w:hAnsi="Times New Roman" w:eastAsia="仿宋_GB2312" w:cs="Times New Roman"/>
          <w:b w:val="0"/>
          <w:bCs/>
          <w:color w:val="auto"/>
          <w:position w:val="0"/>
          <w:sz w:val="32"/>
          <w:szCs w:val="32"/>
          <w:highlight w:val="none"/>
          <w:u w:val="none"/>
          <w:lang w:val="en-US" w:eastAsia="zh-CN"/>
        </w:rPr>
        <w:t>2024年村级公共服务经费项目</w:t>
      </w:r>
      <w:r>
        <w:rPr>
          <w:rFonts w:hint="default" w:ascii="Times New Roman" w:hAnsi="Times New Roman" w:eastAsia="仿宋_GB2312" w:cs="Times New Roman"/>
          <w:b w:val="0"/>
          <w:bCs w:val="0"/>
          <w:kern w:val="0"/>
          <w:position w:val="0"/>
          <w:sz w:val="32"/>
          <w:szCs w:val="32"/>
          <w:highlight w:val="none"/>
          <w:lang w:val="en-US" w:eastAsia="zh-CN" w:bidi="ar-SA"/>
        </w:rPr>
        <w:t>绩效自评总分为99.9分。项目完成既定绩效目标，预算执行率100%，村社区履职工作情况良好，</w:t>
      </w:r>
      <w:r>
        <w:rPr>
          <w:rFonts w:hint="default" w:ascii="Times New Roman" w:hAnsi="Times New Roman" w:eastAsia="仿宋_GB2312" w:cs="Times New Roman"/>
          <w:b w:val="0"/>
          <w:bCs/>
          <w:color w:val="auto"/>
          <w:position w:val="0"/>
          <w:sz w:val="32"/>
          <w:szCs w:val="32"/>
          <w:highlight w:val="none"/>
          <w:u w:val="none"/>
          <w:lang w:val="zh-CN"/>
        </w:rPr>
        <w:t>办公运转、基层活动、服务群众和公共运维四类有效保障</w:t>
      </w:r>
      <w:r>
        <w:rPr>
          <w:rFonts w:hint="default" w:ascii="Times New Roman" w:hAnsi="Times New Roman" w:eastAsia="仿宋_GB2312" w:cs="Times New Roman"/>
          <w:b w:val="0"/>
          <w:bCs w:val="0"/>
          <w:kern w:val="0"/>
          <w:position w:val="0"/>
          <w:sz w:val="32"/>
          <w:szCs w:val="32"/>
          <w:highlight w:val="none"/>
          <w:lang w:val="en-US" w:eastAsia="zh-CN" w:bidi="ar-SA"/>
        </w:rPr>
        <w:t>，达到预期经济效益和社会效益。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default" w:ascii="Times New Roman" w:hAnsi="Times New Roman"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color w:val="auto"/>
          <w:kern w:val="0"/>
          <w:position w:val="0"/>
          <w:sz w:val="32"/>
          <w:szCs w:val="32"/>
          <w:highlight w:val="none"/>
          <w:u w:val="none"/>
          <w:lang w:val="en-US" w:eastAsia="zh-CN" w:bidi="ar-SA"/>
        </w:rPr>
      </w:pPr>
      <w:r>
        <w:rPr>
          <w:rFonts w:hint="default" w:ascii="Times New Roman" w:hAnsi="Times New Roman" w:eastAsia="仿宋_GB2312" w:cs="Times New Roman"/>
          <w:color w:val="auto"/>
          <w:kern w:val="0"/>
          <w:position w:val="0"/>
          <w:sz w:val="32"/>
          <w:szCs w:val="32"/>
          <w:highlight w:val="none"/>
          <w:u w:val="none"/>
          <w:lang w:val="zh-CN" w:eastAsia="zh-CN" w:bidi="ar-SA"/>
        </w:rPr>
        <w:t>一是资金不足，随着农村发展，村民对公共服务的需求日益提高，现有经费难以满足村民需要；二是资金使用效率有待提高，在经费使用过程中，部分项目规划不够合理，导致资金使用效率不高。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kern w:val="0"/>
          <w:position w:val="0"/>
          <w:sz w:val="32"/>
          <w:szCs w:val="32"/>
          <w:highlight w:val="none"/>
          <w:u w:val="none"/>
          <w:lang w:val="zh-CN" w:eastAsia="zh-CN" w:bidi="ar-SA"/>
        </w:rPr>
      </w:pPr>
      <w:r>
        <w:rPr>
          <w:rFonts w:hint="default" w:ascii="Times New Roman" w:hAnsi="Times New Roman"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zh-CN" w:eastAsia="zh-CN"/>
        </w:rPr>
      </w:pPr>
      <w:r>
        <w:rPr>
          <w:rFonts w:hint="default" w:ascii="Times New Roman" w:hAnsi="Times New Roman" w:cs="Times New Roman"/>
          <w:color w:val="000000"/>
          <w:kern w:val="0"/>
          <w:position w:val="0"/>
          <w:sz w:val="32"/>
          <w:szCs w:val="32"/>
          <w:highlight w:val="none"/>
          <w:shd w:val="clear" w:color="auto" w:fill="FFFFFF"/>
          <w:lang w:val="zh-CN" w:eastAsia="zh-CN"/>
        </w:rPr>
        <w:t>一是建议增加</w:t>
      </w:r>
      <w:r>
        <w:rPr>
          <w:rFonts w:hint="default" w:ascii="Times New Roman" w:hAnsi="Times New Roman" w:cs="Times New Roman"/>
          <w:position w:val="0"/>
          <w:sz w:val="32"/>
          <w:szCs w:val="32"/>
          <w:highlight w:val="none"/>
          <w:lang w:val="en-US" w:eastAsia="zh-CN"/>
        </w:rPr>
        <w:t>公共服务经费</w:t>
      </w:r>
      <w:r>
        <w:rPr>
          <w:rFonts w:hint="default" w:ascii="Times New Roman" w:hAnsi="Times New Roman" w:eastAsia="仿宋_GB2312" w:cs="Times New Roman"/>
          <w:position w:val="0"/>
          <w:sz w:val="32"/>
          <w:szCs w:val="32"/>
          <w:highlight w:val="none"/>
          <w:lang w:val="en-US" w:eastAsia="zh-CN"/>
        </w:rPr>
        <w:t>项目</w:t>
      </w:r>
      <w:r>
        <w:rPr>
          <w:rFonts w:hint="default" w:ascii="Times New Roman" w:hAnsi="Times New Roman" w:cs="Times New Roman"/>
          <w:b w:val="0"/>
          <w:bCs/>
          <w:color w:val="auto"/>
          <w:position w:val="0"/>
          <w:sz w:val="32"/>
          <w:szCs w:val="32"/>
          <w:highlight w:val="none"/>
          <w:u w:val="none"/>
          <w:lang w:val="en-US" w:eastAsia="zh-CN"/>
        </w:rPr>
        <w:t>工作资金投入，保障工作开展；二是提高资金使用效率，加强项目前期规划论证，科学合理地安排经费使用。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en-US" w:eastAsia="zh-CN"/>
        </w:rPr>
      </w:pPr>
      <w:r>
        <w:rPr>
          <w:rFonts w:hint="default" w:ascii="Times New Roman" w:hAnsi="Times New Roman" w:cs="Times New Roman"/>
          <w:color w:val="000000"/>
          <w:kern w:val="0"/>
          <w:position w:val="0"/>
          <w:szCs w:val="32"/>
          <w:highlight w:val="none"/>
          <w:shd w:val="clear" w:color="auto" w:fill="FFFFFF"/>
          <w:lang w:val="en-US" w:eastAsia="zh-CN"/>
        </w:rPr>
        <w:t>附表：专项资金绩效目标完成情况自评表</w:t>
      </w:r>
    </w:p>
    <w:tbl>
      <w:tblPr>
        <w:tblStyle w:val="15"/>
        <w:tblW w:w="5000" w:type="pct"/>
        <w:tblInd w:w="0" w:type="dxa"/>
        <w:shd w:val="clear" w:color="auto" w:fill="auto"/>
        <w:tblLayout w:type="autofit"/>
        <w:tblCellMar>
          <w:top w:w="0" w:type="dxa"/>
          <w:left w:w="0" w:type="dxa"/>
          <w:bottom w:w="0" w:type="dxa"/>
          <w:right w:w="0" w:type="dxa"/>
        </w:tblCellMar>
      </w:tblPr>
      <w:tblGrid>
        <w:gridCol w:w="390"/>
        <w:gridCol w:w="982"/>
        <w:gridCol w:w="1650"/>
        <w:gridCol w:w="1290"/>
        <w:gridCol w:w="390"/>
        <w:gridCol w:w="793"/>
        <w:gridCol w:w="210"/>
        <w:gridCol w:w="660"/>
        <w:gridCol w:w="300"/>
        <w:gridCol w:w="300"/>
        <w:gridCol w:w="1371"/>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51090424T000011646123-2024年村级公共服务经费</w:t>
            </w:r>
          </w:p>
        </w:tc>
      </w:tr>
      <w:tr>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保障办公运转、基层活动、服务群众和公共运维四类</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保障办公运转、基层活动、服务群众和公共运维四类经费</w:t>
            </w:r>
          </w:p>
        </w:tc>
      </w:tr>
      <w:tr>
        <w:tblPrEx>
          <w:tblCellMar>
            <w:top w:w="0" w:type="dxa"/>
            <w:left w:w="0" w:type="dxa"/>
            <w:bottom w:w="0" w:type="dxa"/>
            <w:right w:w="0"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64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保障村社区个数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14个</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对村级运转、基层活动、服务群众、公共运维四类进行保障</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工作开展时间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工作开展情况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村社区满意度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122万元</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386"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完成既定绩效目标，预算执行率100%，村社区履职工作情况良好，办公运转、基层活动、服务群众和公共运维四类有效保障，达到预期经济效益和社会效益。</w:t>
            </w:r>
          </w:p>
        </w:tc>
      </w:tr>
      <w:tr>
        <w:tblPrEx>
          <w:tblCellMar>
            <w:top w:w="0" w:type="dxa"/>
            <w:left w:w="0" w:type="dxa"/>
            <w:bottom w:w="0" w:type="dxa"/>
            <w:right w:w="0"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一是资金不足，随着农村发展，村民对公共服务的需求日益提高，现有经费难以满足村民需要；二是资金使用效率有待提高，在经费使用过程中，部分项目规划不够合理，导致资金使用效率不高。</w:t>
            </w:r>
          </w:p>
        </w:tc>
      </w:tr>
      <w:tr>
        <w:tblPrEx>
          <w:tblCellMar>
            <w:top w:w="0" w:type="dxa"/>
            <w:left w:w="0" w:type="dxa"/>
            <w:bottom w:w="0" w:type="dxa"/>
            <w:right w:w="0"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一是建议增加公共服务经费项目工作资金投入，保障工作开展；二是提高资金使用效率，加强项目前期规划论证，科学合理地安排经费使用。</w:t>
            </w:r>
          </w:p>
        </w:tc>
      </w:tr>
      <w:tr>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项目负责人：杨天铭</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财务负责人：陈维维</w:t>
            </w:r>
          </w:p>
        </w:tc>
      </w:tr>
    </w:tbl>
    <w:p>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textAlignment w:val="auto"/>
        <w:outlineLvl w:val="9"/>
      </w:pPr>
      <w:r>
        <w:rPr>
          <w:rFonts w:hint="eastAsia" w:ascii="Times New Roman" w:hAnsi="Times New Roman" w:cs="Times New Roman"/>
          <w:color w:val="000000"/>
          <w:kern w:val="0"/>
          <w:position w:val="0"/>
          <w:szCs w:val="32"/>
          <w:highlight w:val="none"/>
          <w:shd w:val="clear" w:color="auto" w:fill="FFFFFF"/>
          <w:lang w:val="zh-CN" w:eastAsia="zh-CN"/>
        </w:rPr>
        <w:br w:type="page"/>
      </w:r>
    </w:p>
    <w:p>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default" w:ascii="Times New Roman" w:hAnsi="Times New Roman" w:eastAsia="仿宋_GB2312" w:cs="Times New Roman"/>
          <w:bCs/>
          <w:color w:val="auto"/>
          <w:kern w:val="2"/>
          <w:position w:val="0"/>
          <w:sz w:val="32"/>
          <w:szCs w:val="32"/>
          <w:highlight w:val="none"/>
          <w:u w:val="none"/>
          <w:lang w:eastAsia="zh-CN"/>
        </w:rPr>
      </w:pPr>
      <w:r>
        <w:rPr>
          <w:rFonts w:hint="default" w:ascii="Times New Roman" w:hAnsi="Times New Roman" w:eastAsia="仿宋_GB2312" w:cs="Times New Roman"/>
          <w:bCs/>
          <w:color w:val="auto"/>
          <w:kern w:val="2"/>
          <w:position w:val="0"/>
          <w:sz w:val="32"/>
          <w:szCs w:val="32"/>
          <w:highlight w:val="none"/>
          <w:u w:val="none"/>
          <w:lang w:eastAsia="zh-CN"/>
        </w:rPr>
        <w:t>（</w:t>
      </w:r>
      <w:r>
        <w:rPr>
          <w:rFonts w:hint="default" w:ascii="Times New Roman" w:hAnsi="Times New Roman" w:eastAsia="仿宋_GB2312" w:cs="Times New Roman"/>
          <w:bCs/>
          <w:i w:val="0"/>
          <w:color w:val="000000"/>
          <w:kern w:val="2"/>
          <w:position w:val="0"/>
          <w:sz w:val="32"/>
          <w:szCs w:val="32"/>
          <w:highlight w:val="none"/>
          <w:u w:val="none"/>
          <w:lang w:val="zh-CN" w:eastAsia="zh-CN"/>
        </w:rPr>
        <w:t>2024民生实事票决制项目</w:t>
      </w:r>
      <w:r>
        <w:rPr>
          <w:rFonts w:hint="default" w:ascii="Times New Roman" w:hAnsi="Times New Roman" w:eastAsia="仿宋_GB2312" w:cs="Times New Roman"/>
          <w:bCs/>
          <w:color w:val="auto"/>
          <w:kern w:val="2"/>
          <w:position w:val="0"/>
          <w:sz w:val="32"/>
          <w:szCs w:val="32"/>
          <w:highlight w:val="none"/>
          <w:u w:val="none"/>
          <w:lang w:eastAsia="zh-CN"/>
        </w:rPr>
        <w:t>）</w:t>
      </w:r>
    </w:p>
    <w:p>
      <w:pPr>
        <w:pStyle w:val="2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positio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position w:val="0"/>
          <w:highlight w:val="none"/>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黑体" w:cs="Times New Roman"/>
          <w:position w:val="0"/>
          <w:highlight w:val="none"/>
          <w:lang w:val="zh-CN"/>
        </w:rPr>
      </w:pPr>
      <w:r>
        <w:rPr>
          <w:rFonts w:hint="default" w:ascii="Times New Roman" w:hAnsi="Times New Roman" w:eastAsia="黑体" w:cs="Times New Roman"/>
          <w:position w:val="0"/>
          <w:highlight w:val="none"/>
        </w:rPr>
        <w:t>一、</w:t>
      </w:r>
      <w:r>
        <w:rPr>
          <w:rFonts w:hint="default" w:ascii="Times New Roman" w:hAnsi="Times New Roman" w:eastAsia="黑体" w:cs="Times New Roman"/>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随着乡村振兴战略的深入推进，群众对基层治理现代化和服务精细化有了需求，传统党群服务中心</w:t>
      </w:r>
      <w:r>
        <w:rPr>
          <w:rFonts w:hint="default" w:ascii="Times New Roman" w:hAnsi="Times New Roman" w:cs="Times New Roman"/>
          <w:b w:val="0"/>
          <w:bCs/>
          <w:color w:val="auto"/>
          <w:position w:val="0"/>
          <w:sz w:val="32"/>
          <w:szCs w:val="32"/>
          <w:highlight w:val="none"/>
          <w:u w:val="none"/>
          <w:lang w:val="zh-CN"/>
        </w:rPr>
        <w:t>空间不足，</w:t>
      </w:r>
      <w:r>
        <w:rPr>
          <w:rFonts w:hint="default" w:ascii="Times New Roman" w:hAnsi="Times New Roman" w:eastAsia="仿宋_GB2312" w:cs="Times New Roman"/>
          <w:b w:val="0"/>
          <w:bCs/>
          <w:color w:val="auto"/>
          <w:position w:val="0"/>
          <w:sz w:val="32"/>
          <w:szCs w:val="32"/>
          <w:highlight w:val="none"/>
          <w:u w:val="none"/>
          <w:lang w:val="zh-CN"/>
        </w:rPr>
        <w:t>功能单一，行政功能占地大于服务群众占地，群众办事效率低，未能发挥服务效能。为了切实解决群众关心的热点难点问题，增强政府决策的可行性和民主性，我镇推出民生实事票决制，由群众参与投票表决确定年度民生实事项目。</w:t>
      </w:r>
      <w:r>
        <w:rPr>
          <w:rFonts w:hint="default" w:ascii="Times New Roman" w:hAnsi="Times New Roman" w:eastAsia="仿宋_GB2312" w:cs="Times New Roman"/>
          <w:b w:val="0"/>
          <w:bCs/>
          <w:color w:val="auto"/>
          <w:position w:val="0"/>
          <w:sz w:val="32"/>
          <w:szCs w:val="32"/>
          <w:highlight w:val="none"/>
          <w:u w:val="none"/>
          <w:lang w:val="en-US" w:eastAsia="zh-CN"/>
        </w:rPr>
        <w:t>2024年民生实事票决制项目经镇人民代表大会审议通过，选择对文兴社区党群服务中心进行提档升级。项目主要内容是</w:t>
      </w:r>
      <w:r>
        <w:rPr>
          <w:rFonts w:hint="default" w:ascii="Times New Roman" w:hAnsi="Times New Roman" w:cs="Times New Roman"/>
          <w:b w:val="0"/>
          <w:bCs/>
          <w:color w:val="auto"/>
          <w:position w:val="0"/>
          <w:sz w:val="32"/>
          <w:szCs w:val="32"/>
          <w:highlight w:val="none"/>
          <w:u w:val="none"/>
          <w:lang w:val="en-US" w:eastAsia="zh-CN"/>
        </w:rPr>
        <w:t>对</w:t>
      </w:r>
      <w:r>
        <w:rPr>
          <w:rFonts w:hint="default" w:ascii="Times New Roman" w:hAnsi="Times New Roman" w:eastAsia="仿宋_GB2312" w:cs="Times New Roman"/>
          <w:b w:val="0"/>
          <w:bCs/>
          <w:color w:val="auto"/>
          <w:position w:val="0"/>
          <w:sz w:val="32"/>
          <w:szCs w:val="32"/>
          <w:highlight w:val="none"/>
          <w:u w:val="none"/>
          <w:lang w:val="en-US" w:eastAsia="zh-CN"/>
        </w:rPr>
        <w:t>社区阵地便民服务大厅、新时代文明实践站、退伍军人服务站、人大之家、妇女儿童之家、聚贤镇社区戒毒社区康复工作站、日间照料中心、警务室等进行改造装修。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实施目的及支持方向。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left"/>
        <w:textAlignment w:val="auto"/>
        <w:rPr>
          <w:rFonts w:hint="default" w:ascii="Times New Roman" w:hAnsi="Times New Roman" w:eastAsia="仿宋_GB2312" w:cs="Times New Roman"/>
          <w:b w:val="0"/>
          <w:bCs/>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eastAsia="zh-CN"/>
        </w:rPr>
        <w:t>项目资金严格按照财务会计管理，</w:t>
      </w:r>
      <w:r>
        <w:rPr>
          <w:rFonts w:hint="eastAsia" w:cs="Times New Roman"/>
          <w:b w:val="0"/>
          <w:bCs/>
          <w:color w:val="auto"/>
          <w:position w:val="0"/>
          <w:sz w:val="32"/>
          <w:szCs w:val="32"/>
          <w:highlight w:val="none"/>
          <w:u w:val="none"/>
          <w:lang w:val="zh-CN" w:eastAsia="zh-CN"/>
        </w:rPr>
        <w:t>实行</w:t>
      </w:r>
      <w:r>
        <w:rPr>
          <w:rFonts w:hint="default" w:ascii="Times New Roman" w:hAnsi="Times New Roman" w:eastAsia="仿宋_GB2312" w:cs="Times New Roman"/>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w:t>
      </w:r>
      <w:r>
        <w:rPr>
          <w:rFonts w:hint="default" w:ascii="Times New Roman" w:hAnsi="Times New Roman" w:cs="Times New Roman"/>
          <w:b w:val="0"/>
          <w:bCs/>
          <w:color w:val="auto"/>
          <w:position w:val="0"/>
          <w:sz w:val="32"/>
          <w:szCs w:val="32"/>
          <w:highlight w:val="none"/>
          <w:u w:val="none"/>
          <w:lang w:val="zh-CN" w:eastAsia="zh-CN"/>
        </w:rPr>
        <w:t>是</w:t>
      </w:r>
      <w:r>
        <w:rPr>
          <w:rFonts w:hint="default" w:ascii="Times New Roman" w:hAnsi="Times New Roman" w:eastAsia="仿宋_GB2312" w:cs="Times New Roman"/>
          <w:b w:val="0"/>
          <w:bCs/>
          <w:color w:val="auto"/>
          <w:position w:val="0"/>
          <w:sz w:val="32"/>
          <w:szCs w:val="32"/>
          <w:highlight w:val="none"/>
          <w:u w:val="none"/>
          <w:lang w:val="en-US" w:eastAsia="zh-CN"/>
        </w:rPr>
        <w:t>文兴社区党群服务中心进行提档升级</w:t>
      </w:r>
      <w:r>
        <w:rPr>
          <w:rFonts w:hint="default" w:ascii="Times New Roman" w:hAnsi="Times New Roman" w:eastAsia="仿宋_GB2312" w:cs="Times New Roman"/>
          <w:b w:val="0"/>
          <w:bCs/>
          <w:color w:val="auto"/>
          <w:position w:val="0"/>
          <w:sz w:val="32"/>
          <w:szCs w:val="32"/>
          <w:highlight w:val="none"/>
          <w:u w:val="none"/>
          <w:lang w:val="zh-CN" w:eastAsia="zh-CN"/>
        </w:rPr>
        <w:t>。主要工作任务是对社区阵地便民服务大厅、新时代文明实践站、退伍军人服务站、人大之家、妇女儿童之家、聚贤镇社区戒毒社区康复工作站、日间照料中心、警务室等进行改造装修。项目支持方向是民生保障领域，重点解决群众问题。</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eastAsia="zh-CN"/>
        </w:rPr>
        <w:t>（三）</w:t>
      </w:r>
      <w:r>
        <w:rPr>
          <w:rFonts w:hint="default" w:ascii="Times New Roman" w:hAnsi="Times New Roman" w:eastAsia="楷体_GB2312" w:cs="Times New Roman"/>
          <w:b/>
          <w:color w:val="auto"/>
          <w:position w:val="0"/>
          <w:sz w:val="32"/>
          <w:szCs w:val="32"/>
          <w:highlight w:val="none"/>
          <w:u w:val="none"/>
          <w:lang w:val="en-US" w:eastAsia="zh-CN"/>
        </w:rPr>
        <w:t>预算安排及分配管理</w:t>
      </w:r>
      <w:r>
        <w:rPr>
          <w:rFonts w:hint="default" w:ascii="Times New Roman" w:hAnsi="Times New Roman"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en-US" w:eastAsia="zh-CN"/>
        </w:rPr>
        <w:t>2024年民生实事票决制项目</w:t>
      </w:r>
      <w:r>
        <w:rPr>
          <w:rFonts w:hint="default" w:ascii="Times New Roman" w:hAnsi="Times New Roman" w:eastAsia="仿宋_GB2312" w:cs="Times New Roman"/>
          <w:b w:val="0"/>
          <w:bCs/>
          <w:color w:val="auto"/>
          <w:position w:val="0"/>
          <w:sz w:val="32"/>
          <w:szCs w:val="32"/>
          <w:highlight w:val="none"/>
          <w:u w:val="none"/>
          <w:lang w:val="zh-CN" w:eastAsia="zh-CN"/>
        </w:rPr>
        <w:t>预算总额为</w:t>
      </w:r>
      <w:r>
        <w:rPr>
          <w:rFonts w:hint="default" w:ascii="Times New Roman" w:hAnsi="Times New Roman" w:eastAsia="仿宋_GB2312" w:cs="Times New Roman"/>
          <w:b w:val="0"/>
          <w:bCs/>
          <w:color w:val="auto"/>
          <w:position w:val="0"/>
          <w:sz w:val="32"/>
          <w:szCs w:val="32"/>
          <w:highlight w:val="none"/>
          <w:u w:val="none"/>
          <w:lang w:val="en-US" w:eastAsia="zh-CN"/>
        </w:rPr>
        <w:t>1</w:t>
      </w:r>
      <w:r>
        <w:rPr>
          <w:rFonts w:hint="default" w:ascii="Times New Roman" w:hAnsi="Times New Roman" w:cs="Times New Roman"/>
          <w:b w:val="0"/>
          <w:bCs/>
          <w:color w:val="auto"/>
          <w:position w:val="0"/>
          <w:sz w:val="32"/>
          <w:szCs w:val="32"/>
          <w:highlight w:val="none"/>
          <w:u w:val="none"/>
          <w:lang w:val="en-US" w:eastAsia="zh-CN"/>
        </w:rPr>
        <w:t>7</w:t>
      </w:r>
      <w:r>
        <w:rPr>
          <w:rFonts w:hint="default" w:ascii="Times New Roman" w:hAnsi="Times New Roman" w:eastAsia="仿宋_GB2312" w:cs="Times New Roman"/>
          <w:b w:val="0"/>
          <w:bCs/>
          <w:color w:val="auto"/>
          <w:position w:val="0"/>
          <w:sz w:val="32"/>
          <w:szCs w:val="32"/>
          <w:highlight w:val="none"/>
          <w:u w:val="none"/>
          <w:lang w:val="zh-CN" w:eastAsia="zh-CN"/>
        </w:rPr>
        <w:t>万元，其中财政资金</w:t>
      </w:r>
      <w:r>
        <w:rPr>
          <w:rFonts w:hint="default" w:ascii="Times New Roman" w:hAnsi="Times New Roman" w:eastAsia="仿宋_GB2312" w:cs="Times New Roman"/>
          <w:b w:val="0"/>
          <w:bCs/>
          <w:color w:val="auto"/>
          <w:position w:val="0"/>
          <w:sz w:val="32"/>
          <w:szCs w:val="32"/>
          <w:highlight w:val="none"/>
          <w:u w:val="none"/>
          <w:lang w:val="en-US" w:eastAsia="zh-CN"/>
        </w:rPr>
        <w:t>1</w:t>
      </w:r>
      <w:r>
        <w:rPr>
          <w:rFonts w:hint="default" w:ascii="Times New Roman" w:hAnsi="Times New Roman" w:cs="Times New Roman"/>
          <w:b w:val="0"/>
          <w:bCs/>
          <w:color w:val="auto"/>
          <w:position w:val="0"/>
          <w:sz w:val="32"/>
          <w:szCs w:val="32"/>
          <w:highlight w:val="none"/>
          <w:u w:val="none"/>
          <w:lang w:val="en-US" w:eastAsia="zh-CN"/>
        </w:rPr>
        <w:t>7</w:t>
      </w:r>
      <w:r>
        <w:rPr>
          <w:rFonts w:hint="default" w:ascii="Times New Roman" w:hAnsi="Times New Roman" w:eastAsia="仿宋_GB2312" w:cs="Times New Roman"/>
          <w:b w:val="0"/>
          <w:bCs/>
          <w:color w:val="auto"/>
          <w:position w:val="0"/>
          <w:sz w:val="32"/>
          <w:szCs w:val="32"/>
          <w:highlight w:val="none"/>
          <w:u w:val="none"/>
          <w:lang w:val="zh-CN" w:eastAsia="zh-CN"/>
        </w:rPr>
        <w:t>万元。项目资金全用于</w:t>
      </w:r>
      <w:r>
        <w:rPr>
          <w:rFonts w:hint="default" w:ascii="Times New Roman" w:hAnsi="Times New Roman" w:eastAsia="仿宋_GB2312" w:cs="Times New Roman"/>
          <w:b w:val="0"/>
          <w:bCs/>
          <w:color w:val="auto"/>
          <w:position w:val="0"/>
          <w:sz w:val="32"/>
          <w:szCs w:val="32"/>
          <w:highlight w:val="none"/>
          <w:u w:val="none"/>
          <w:lang w:val="en-US" w:eastAsia="zh-CN"/>
        </w:rPr>
        <w:t>文兴社区党群服务中心提档升级</w:t>
      </w:r>
      <w:r>
        <w:rPr>
          <w:rFonts w:hint="default" w:ascii="Times New Roman" w:hAnsi="Times New Roman" w:eastAsia="仿宋_GB2312" w:cs="Times New Roman"/>
          <w:b w:val="0"/>
          <w:bCs/>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cs="Times New Roman"/>
          <w:color w:val="auto"/>
          <w:kern w:val="0"/>
          <w:position w:val="0"/>
          <w:sz w:val="32"/>
          <w:szCs w:val="32"/>
          <w:highlight w:val="none"/>
          <w:u w:val="none"/>
          <w:shd w:val="clear" w:color="auto" w:fill="FFFFFF"/>
          <w:lang w:val="zh-CN" w:eastAsia="zh-CN"/>
        </w:rPr>
      </w:pPr>
      <w:r>
        <w:rPr>
          <w:rFonts w:hint="default" w:ascii="Times New Roman" w:hAnsi="Times New Roman"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position w:val="0"/>
          <w:lang w:val="en-US" w:eastAsia="zh-CN"/>
        </w:rPr>
      </w:pPr>
      <w:r>
        <w:rPr>
          <w:rFonts w:hint="default" w:ascii="Times New Roman" w:hAnsi="Times New Roman" w:eastAsia="仿宋_GB2312" w:cs="Times New Roman"/>
          <w:position w:val="0"/>
          <w:highlight w:val="none"/>
          <w:lang w:eastAsia="zh-CN"/>
        </w:rPr>
        <w:t>整体绩效目标：</w:t>
      </w:r>
      <w:r>
        <w:rPr>
          <w:rFonts w:hint="default" w:ascii="Times New Roman" w:hAnsi="Times New Roman" w:eastAsia="仿宋_GB2312" w:cs="Times New Roman"/>
          <w:position w:val="0"/>
          <w:highlight w:val="none"/>
          <w:lang w:val="en-US" w:eastAsia="zh-CN"/>
        </w:rPr>
        <w:t>2024民生实事票决制项目顺利实施，文兴社区党群服务中心能够符合群众需求，解决群众问题。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position w:val="0"/>
          <w:lang w:eastAsia="zh-CN"/>
        </w:rPr>
      </w:pPr>
      <w:r>
        <w:rPr>
          <w:rFonts w:hint="default" w:ascii="Times New Roman" w:hAnsi="Times New Roman" w:eastAsia="仿宋_GB2312" w:cs="Times New Roman"/>
          <w:position w:val="0"/>
          <w:highlight w:val="none"/>
          <w:lang w:eastAsia="zh-CN"/>
        </w:rPr>
        <w:t>区域绩效目标：标准化建设党群服务中心，实现服务集成、群体全面覆盖，治理延伸的功能。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position w:val="0"/>
          <w:highlight w:val="none"/>
          <w:lang w:val="en-US" w:eastAsia="zh-CN"/>
        </w:rPr>
      </w:pPr>
      <w:r>
        <w:rPr>
          <w:rFonts w:hint="default" w:ascii="Times New Roman" w:hAnsi="Times New Roman" w:eastAsia="仿宋_GB2312" w:cs="Times New Roman"/>
          <w:position w:val="0"/>
          <w:highlight w:val="none"/>
          <w:lang w:eastAsia="zh-CN"/>
        </w:rPr>
        <w:t>具体绩效目标：保障项目实施</w:t>
      </w:r>
      <w:r>
        <w:rPr>
          <w:rFonts w:hint="default" w:ascii="Times New Roman" w:hAnsi="Times New Roman" w:eastAsia="仿宋_GB2312" w:cs="Times New Roman"/>
          <w:position w:val="0"/>
          <w:highlight w:val="none"/>
          <w:lang w:val="en-US" w:eastAsia="zh-CN"/>
        </w:rPr>
        <w:t>=1个；项目建设质量合格；项目开展时间2024年；党群服务中心工作良好；群众满意度≥90%。</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黑体" w:cs="Times New Roman"/>
          <w:position w:val="0"/>
          <w:highlight w:val="none"/>
          <w:lang w:eastAsia="zh-CN"/>
        </w:rPr>
      </w:pPr>
      <w:r>
        <w:rPr>
          <w:rFonts w:hint="default" w:ascii="Times New Roman" w:hAnsi="Times New Roman" w:eastAsia="黑体" w:cs="Times New Roman"/>
          <w:position w:val="0"/>
          <w:highlight w:val="none"/>
        </w:rPr>
        <w:t>二、</w:t>
      </w:r>
      <w:r>
        <w:rPr>
          <w:rFonts w:hint="default" w:ascii="Times New Roman" w:hAnsi="Times New Roman" w:eastAsia="黑体" w:cs="Times New Roman"/>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position w:val="0"/>
          <w:szCs w:val="32"/>
        </w:rPr>
      </w:pPr>
      <w:r>
        <w:rPr>
          <w:rFonts w:hint="default" w:ascii="Times New Roman" w:hAnsi="Times New Roman" w:eastAsia="楷体_GB2312" w:cs="Times New Roman"/>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通过对比项目实际成果与预设绩效目标，验证目标完成情况；总结项目经验，发现项目问题，改进</w:t>
      </w:r>
      <w:r>
        <w:rPr>
          <w:rFonts w:hint="default" w:ascii="Times New Roman" w:hAnsi="Times New Roman" w:cs="Times New Roman"/>
          <w:b w:val="0"/>
          <w:bCs/>
          <w:color w:val="auto"/>
          <w:position w:val="0"/>
          <w:sz w:val="32"/>
          <w:szCs w:val="32"/>
          <w:highlight w:val="none"/>
          <w:u w:val="none"/>
          <w:lang w:val="zh-CN"/>
        </w:rPr>
        <w:t>同类</w:t>
      </w:r>
      <w:r>
        <w:rPr>
          <w:rFonts w:hint="default" w:ascii="Times New Roman" w:hAnsi="Times New Roman" w:eastAsia="仿宋_GB2312" w:cs="Times New Roman"/>
          <w:b w:val="0"/>
          <w:bCs/>
          <w:color w:val="auto"/>
          <w:position w:val="0"/>
          <w:sz w:val="32"/>
          <w:szCs w:val="32"/>
          <w:highlight w:val="none"/>
          <w:u w:val="none"/>
          <w:lang w:val="zh-CN"/>
        </w:rPr>
        <w:t>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Cs w:val="32"/>
          <w:lang w:eastAsia="zh-CN"/>
        </w:rPr>
      </w:pPr>
      <w:r>
        <w:rPr>
          <w:rFonts w:hint="default" w:ascii="Times New Roman" w:hAnsi="Times New Roman" w:eastAsia="楷体_GB2312" w:cs="Times New Roman"/>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预设问题包括资金支出是否规范；</w:t>
      </w:r>
      <w:r>
        <w:rPr>
          <w:rFonts w:hint="default" w:ascii="Times New Roman" w:hAnsi="Times New Roman" w:cs="Times New Roman"/>
          <w:b w:val="0"/>
          <w:bCs/>
          <w:color w:val="auto"/>
          <w:position w:val="0"/>
          <w:sz w:val="32"/>
          <w:szCs w:val="32"/>
          <w:highlight w:val="none"/>
          <w:u w:val="none"/>
          <w:lang w:val="zh-CN"/>
        </w:rPr>
        <w:t>党群服务中心改造升级</w:t>
      </w:r>
      <w:r>
        <w:rPr>
          <w:rFonts w:hint="default" w:ascii="Times New Roman" w:hAnsi="Times New Roman" w:eastAsia="仿宋_GB2312" w:cs="Times New Roman"/>
          <w:b w:val="0"/>
          <w:bCs/>
          <w:color w:val="auto"/>
          <w:position w:val="0"/>
          <w:sz w:val="32"/>
          <w:szCs w:val="32"/>
          <w:highlight w:val="none"/>
          <w:u w:val="none"/>
          <w:lang w:val="zh-CN"/>
        </w:rPr>
        <w:t>是否</w:t>
      </w:r>
      <w:r>
        <w:rPr>
          <w:rFonts w:hint="default" w:ascii="Times New Roman" w:hAnsi="Times New Roman" w:cs="Times New Roman"/>
          <w:b w:val="0"/>
          <w:bCs/>
          <w:color w:val="auto"/>
          <w:position w:val="0"/>
          <w:sz w:val="32"/>
          <w:szCs w:val="32"/>
          <w:highlight w:val="none"/>
          <w:u w:val="none"/>
          <w:lang w:val="zh-CN"/>
        </w:rPr>
        <w:t>合格</w:t>
      </w:r>
      <w:r>
        <w:rPr>
          <w:rFonts w:hint="default" w:ascii="Times New Roman" w:hAnsi="Times New Roman" w:eastAsia="仿宋_GB2312" w:cs="Times New Roman"/>
          <w:b w:val="0"/>
          <w:bCs/>
          <w:color w:val="auto"/>
          <w:position w:val="0"/>
          <w:sz w:val="32"/>
          <w:szCs w:val="32"/>
          <w:highlight w:val="none"/>
          <w:u w:val="none"/>
          <w:lang w:val="zh-CN"/>
        </w:rPr>
        <w:t>；</w:t>
      </w:r>
      <w:r>
        <w:rPr>
          <w:rFonts w:hint="default" w:ascii="Times New Roman" w:hAnsi="Times New Roman" w:cs="Times New Roman"/>
          <w:b w:val="0"/>
          <w:bCs/>
          <w:color w:val="auto"/>
          <w:position w:val="0"/>
          <w:sz w:val="32"/>
          <w:szCs w:val="32"/>
          <w:highlight w:val="none"/>
          <w:u w:val="none"/>
          <w:lang w:val="zh-CN"/>
        </w:rPr>
        <w:t>党群服务中心工作是否良好；</w:t>
      </w:r>
      <w:r>
        <w:rPr>
          <w:rFonts w:hint="default" w:ascii="Times New Roman" w:hAnsi="Times New Roman" w:eastAsia="仿宋_GB2312" w:cs="Times New Roman"/>
          <w:b w:val="0"/>
          <w:bCs/>
          <w:color w:val="auto"/>
          <w:position w:val="0"/>
          <w:sz w:val="32"/>
          <w:szCs w:val="32"/>
          <w:highlight w:val="none"/>
          <w:u w:val="none"/>
          <w:lang w:val="zh-CN"/>
        </w:rPr>
        <w:t>群众是否满意等。评价重点围绕资金支出使用全过程及其实施效果，依据绩效评价指标体系，对项目预算、管理、实施、结果进行综合性评价和判断。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本次项目绩效自评选取文兴社区党群服务中心作为抽样点位，确保评价能够全面</w:t>
      </w:r>
      <w:r>
        <w:rPr>
          <w:rFonts w:hint="default" w:ascii="Times New Roman" w:hAnsi="Times New Roman" w:cs="Times New Roman"/>
          <w:b w:val="0"/>
          <w:bCs/>
          <w:color w:val="auto"/>
          <w:position w:val="0"/>
          <w:sz w:val="32"/>
          <w:szCs w:val="32"/>
          <w:highlight w:val="none"/>
          <w:u w:val="none"/>
          <w:lang w:val="zh-CN"/>
        </w:rPr>
        <w:t>反映</w:t>
      </w:r>
      <w:r>
        <w:rPr>
          <w:rFonts w:hint="default" w:ascii="Times New Roman" w:hAnsi="Times New Roman" w:eastAsia="仿宋_GB2312" w:cs="Times New Roman"/>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position w:val="0"/>
          <w:szCs w:val="32"/>
          <w:lang w:eastAsia="zh-CN"/>
        </w:rPr>
      </w:pPr>
      <w:r>
        <w:rPr>
          <w:rFonts w:hint="default" w:ascii="Times New Roman" w:hAnsi="Times New Roman" w:eastAsia="楷体_GB2312" w:cs="Times New Roman"/>
          <w:b/>
          <w:color w:val="auto"/>
          <w:position w:val="0"/>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问卷调查法：设计调查问卷，随机抽取村民及过往群众填报问卷，了解群众对项目实施的意见、建议以及群众满意度。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实地调查法：通过去文兴社区党群服务中心现场了解党群服务中心改造升级程度以及工作情况。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仿宋_GB2312" w:cs="Times New Roman"/>
          <w:bCs/>
          <w:position w:val="0"/>
          <w:lang w:eastAsia="zh-CN"/>
        </w:rPr>
      </w:pPr>
      <w:r>
        <w:rPr>
          <w:rFonts w:hint="default" w:ascii="Times New Roman" w:hAnsi="Times New Roman" w:eastAsia="楷体_GB2312" w:cs="Times New Roman"/>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rPr>
      </w:pPr>
      <w:r>
        <w:rPr>
          <w:rFonts w:hint="default" w:ascii="Times New Roman" w:hAnsi="Times New Roman" w:eastAsia="仿宋_GB2312" w:cs="Times New Roman"/>
          <w:color w:val="auto"/>
          <w:position w:val="0"/>
          <w:sz w:val="32"/>
          <w:szCs w:val="32"/>
          <w:highlight w:val="none"/>
          <w:u w:val="none"/>
        </w:rPr>
        <w:t>本次绩效评价工作成立了政府牵头组建的绩效评价小组（包括财政部门、业务部门、纪委监察部门等多个部门），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right="0" w:rightChars="0" w:firstLine="640" w:firstLineChars="200"/>
        <w:textAlignment w:val="auto"/>
        <w:rPr>
          <w:rFonts w:hint="default" w:ascii="Times New Roman" w:hAnsi="Times New Roman" w:cs="Times New Roman"/>
          <w:color w:val="auto"/>
          <w:position w:val="0"/>
          <w:sz w:val="32"/>
          <w:szCs w:val="32"/>
          <w:highlight w:val="none"/>
          <w:u w:val="none"/>
          <w:lang w:val="zh-CN"/>
        </w:rPr>
      </w:pPr>
      <w:r>
        <w:rPr>
          <w:rFonts w:hint="default" w:ascii="Times New Roman" w:hAnsi="Times New Roman" w:eastAsia="黑体" w:cs="Times New Roman"/>
          <w:color w:val="auto"/>
          <w:position w:val="0"/>
          <w:sz w:val="32"/>
          <w:szCs w:val="32"/>
          <w:highlight w:val="none"/>
          <w:u w:val="none"/>
        </w:rPr>
        <w:t>三、</w:t>
      </w:r>
      <w:r>
        <w:rPr>
          <w:rFonts w:hint="default" w:ascii="Times New Roman" w:hAnsi="Times New Roman" w:eastAsia="黑体" w:cs="Times New Roman"/>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楷体_GB2312" w:cs="Times New Roman"/>
          <w:b/>
          <w:color w:val="auto"/>
          <w:position w:val="0"/>
          <w:sz w:val="32"/>
          <w:szCs w:val="32"/>
          <w:highlight w:val="none"/>
          <w:u w:val="none"/>
          <w:lang w:val="zh-CN"/>
        </w:rPr>
        <w:t>（一）</w:t>
      </w:r>
      <w:r>
        <w:rPr>
          <w:rFonts w:hint="default" w:ascii="Times New Roman" w:hAnsi="Times New Roman"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bidi w:val="0"/>
        <w:rPr>
          <w:rFonts w:hint="default"/>
          <w:lang w:eastAsia="zh-CN"/>
        </w:rPr>
      </w:pPr>
      <w:r>
        <w:rPr>
          <w:rFonts w:hint="default"/>
          <w:lang w:val="en-US" w:eastAsia="zh-CN"/>
        </w:rPr>
        <w:t>1.项目决策</w:t>
      </w:r>
      <w:r>
        <w:rPr>
          <w:rFonts w:hint="default"/>
          <w:lang w:eastAsia="zh-CN"/>
        </w:rPr>
        <w:t>。</w:t>
      </w:r>
    </w:p>
    <w:p>
      <w:pPr>
        <w:bidi w:val="0"/>
        <w:rPr>
          <w:rFonts w:hint="default"/>
          <w:lang w:val="en-US" w:eastAsia="zh-CN"/>
        </w:rPr>
      </w:pPr>
      <w:r>
        <w:rPr>
          <w:rFonts w:hint="default"/>
          <w:lang w:val="en-US" w:eastAsia="zh-CN"/>
        </w:rPr>
        <w:t>2024民生实事票决制项目为延续性项目，立项经过镇人民代表大会审议通过，决策程序规范；前期通过实地调研、问卷调查等形式，开展了充分的论证，规划合理；2024民生实事票决制项目聚焦民生保障领域，符合群众需求。该项指标18分、得17分。</w:t>
      </w:r>
    </w:p>
    <w:p>
      <w:pPr>
        <w:bidi w:val="0"/>
        <w:rPr>
          <w:rFonts w:hint="default"/>
          <w:lang w:eastAsia="zh-CN"/>
        </w:rPr>
      </w:pPr>
      <w:r>
        <w:rPr>
          <w:rFonts w:hint="default"/>
          <w:lang w:val="en-US" w:eastAsia="zh-CN"/>
        </w:rPr>
        <w:t>2.项目管理</w:t>
      </w:r>
      <w:r>
        <w:rPr>
          <w:rFonts w:hint="default"/>
          <w:lang w:eastAsia="zh-CN"/>
        </w:rPr>
        <w:t>。</w:t>
      </w:r>
    </w:p>
    <w:p>
      <w:pPr>
        <w:bidi w:val="0"/>
        <w:rPr>
          <w:rFonts w:hint="default"/>
          <w:lang w:val="en-US" w:eastAsia="zh-CN"/>
        </w:rPr>
      </w:pPr>
      <w:r>
        <w:rPr>
          <w:rFonts w:hint="default"/>
          <w:lang w:val="en-US" w:eastAsia="zh-CN"/>
        </w:rPr>
        <w:t>为使项目如期完成，结合聚贤镇实际情况，2024民生实事票决制项目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bidi w:val="0"/>
        <w:rPr>
          <w:rFonts w:hint="default"/>
          <w:lang w:eastAsia="zh-CN"/>
        </w:rPr>
      </w:pPr>
      <w:r>
        <w:rPr>
          <w:rFonts w:hint="default"/>
          <w:lang w:val="en-US" w:eastAsia="zh-CN"/>
        </w:rPr>
        <w:t>3.项目实施。</w:t>
      </w:r>
    </w:p>
    <w:p>
      <w:pPr>
        <w:bidi w:val="0"/>
        <w:rPr>
          <w:rFonts w:hint="default"/>
          <w:lang w:val="en-US" w:eastAsia="zh-CN"/>
        </w:rPr>
      </w:pPr>
      <w:r>
        <w:rPr>
          <w:rFonts w:hint="default"/>
          <w:lang w:val="en-US" w:eastAsia="zh-CN"/>
        </w:rPr>
        <w:t>预算执行率100%，未出现截留、挤占、挪用等情况，资金使用规范。该项指标9分，得9分。</w:t>
      </w:r>
    </w:p>
    <w:p>
      <w:pPr>
        <w:bidi w:val="0"/>
        <w:rPr>
          <w:rFonts w:hint="default"/>
          <w:lang w:eastAsia="zh-CN"/>
        </w:rPr>
      </w:pPr>
      <w:r>
        <w:rPr>
          <w:rFonts w:hint="default"/>
          <w:lang w:val="en-US" w:eastAsia="zh-CN"/>
        </w:rPr>
        <w:t>4.项目结果。</w:t>
      </w:r>
    </w:p>
    <w:p>
      <w:pPr>
        <w:bidi w:val="0"/>
        <w:rPr>
          <w:rFonts w:hint="default"/>
          <w:lang w:val="zh-CN"/>
        </w:rPr>
      </w:pPr>
      <w:r>
        <w:rPr>
          <w:rFonts w:hint="default"/>
          <w:lang w:val="en-US" w:eastAsia="zh-CN"/>
        </w:rPr>
        <w:t>2024民生实事票决制项目绩效目标完成，均按时完工，达到预期效果。该项指标9分，得9分。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eastAsia="楷体_GB2312" w:cs="Times New Roman"/>
          <w:color w:val="auto"/>
          <w:position w:val="0"/>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color w:val="auto"/>
          <w:position w:val="0"/>
          <w:sz w:val="32"/>
          <w:szCs w:val="32"/>
          <w:lang w:val="en-US" w:eastAsia="zh-CN"/>
        </w:rPr>
      </w:pPr>
      <w:r>
        <w:rPr>
          <w:rFonts w:hint="default" w:ascii="Times New Roman" w:hAnsi="Times New Roman" w:eastAsia="仿宋_GB2312" w:cs="Times New Roman"/>
          <w:position w:val="0"/>
          <w:highlight w:val="none"/>
          <w:lang w:val="en-US" w:eastAsia="zh-CN"/>
        </w:rPr>
        <w:t>2024民生实事票决制项目</w:t>
      </w:r>
      <w:r>
        <w:rPr>
          <w:rFonts w:hint="default" w:ascii="Times New Roman" w:hAnsi="Times New Roman" w:cs="Times New Roman"/>
          <w:b w:val="0"/>
          <w:bCs w:val="0"/>
          <w:color w:val="auto"/>
          <w:position w:val="0"/>
          <w:sz w:val="32"/>
          <w:szCs w:val="32"/>
          <w:highlight w:val="none"/>
          <w:u w:val="none"/>
          <w:lang w:val="en-US" w:eastAsia="zh-CN"/>
        </w:rPr>
        <w:t>属于民生保障类项目，具体分析如下：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区域均衡性：</w:t>
      </w:r>
      <w:r>
        <w:rPr>
          <w:rFonts w:hint="default" w:ascii="Times New Roman" w:hAnsi="Times New Roman" w:eastAsia="仿宋_GB2312" w:cs="Times New Roman"/>
          <w:position w:val="0"/>
          <w:highlight w:val="none"/>
          <w:lang w:val="en-US" w:eastAsia="zh-CN"/>
        </w:rPr>
        <w:t>2024民生实事票决制项目</w:t>
      </w:r>
      <w:r>
        <w:rPr>
          <w:rFonts w:hint="default" w:ascii="Times New Roman" w:hAnsi="Times New Roman" w:cs="Times New Roman"/>
          <w:position w:val="0"/>
          <w:highlight w:val="none"/>
          <w:lang w:val="en-US" w:eastAsia="zh-CN"/>
        </w:rPr>
        <w:t>的实施，文兴社区党群服务中心进行了提档升级，且文兴社区党群服务中心是面向的服务对象是所有群众，这使</w:t>
      </w:r>
      <w:r>
        <w:rPr>
          <w:rFonts w:hint="default" w:ascii="Times New Roman" w:hAnsi="Times New Roman" w:cs="Times New Roman"/>
          <w:b w:val="0"/>
          <w:bCs/>
          <w:color w:val="auto"/>
          <w:position w:val="0"/>
          <w:sz w:val="32"/>
          <w:szCs w:val="32"/>
          <w:highlight w:val="none"/>
          <w:u w:val="none"/>
          <w:lang w:val="en-US" w:eastAsia="zh-CN"/>
        </w:rPr>
        <w:t>区域间差距缩小。</w:t>
      </w:r>
      <w:r>
        <w:rPr>
          <w:rFonts w:hint="default" w:ascii="Times New Roman" w:hAnsi="Times New Roman" w:eastAsia="仿宋_GB2312" w:cs="Times New Roman"/>
          <w:b w:val="0"/>
          <w:bCs/>
          <w:color w:val="auto"/>
          <w:position w:val="0"/>
          <w:sz w:val="32"/>
          <w:szCs w:val="32"/>
          <w:highlight w:val="none"/>
          <w:u w:val="none"/>
          <w:lang w:val="en-US" w:eastAsia="zh-CN"/>
        </w:rPr>
        <w:t>该项指标10分，得10分。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对象精准性：</w:t>
      </w:r>
      <w:r>
        <w:rPr>
          <w:rFonts w:hint="default" w:ascii="Times New Roman" w:hAnsi="Times New Roman" w:eastAsia="仿宋_GB2312" w:cs="Times New Roman"/>
          <w:position w:val="0"/>
          <w:highlight w:val="none"/>
          <w:lang w:val="en-US" w:eastAsia="zh-CN"/>
        </w:rPr>
        <w:t>2024民生实事票决制项</w:t>
      </w:r>
      <w:r>
        <w:rPr>
          <w:rFonts w:hint="default" w:ascii="Times New Roman" w:hAnsi="Times New Roman" w:cs="Times New Roman"/>
          <w:position w:val="0"/>
          <w:highlight w:val="none"/>
          <w:lang w:val="en-US" w:eastAsia="zh-CN"/>
        </w:rPr>
        <w:t>目</w:t>
      </w:r>
      <w:r>
        <w:rPr>
          <w:rFonts w:hint="default" w:ascii="Times New Roman" w:hAnsi="Times New Roman" w:cs="Times New Roman"/>
          <w:b w:val="0"/>
          <w:bCs/>
          <w:color w:val="auto"/>
          <w:position w:val="0"/>
          <w:sz w:val="32"/>
          <w:szCs w:val="32"/>
          <w:highlight w:val="none"/>
          <w:u w:val="none"/>
          <w:lang w:val="zh-CN" w:eastAsia="zh-CN"/>
        </w:rPr>
        <w:t>实施保障文兴社区党群服务中心提档升级，实施对象精准，</w:t>
      </w:r>
      <w:r>
        <w:rPr>
          <w:rFonts w:hint="default" w:ascii="Times New Roman" w:hAnsi="Times New Roman" w:eastAsia="仿宋_GB2312" w:cs="Times New Roman"/>
          <w:b w:val="0"/>
          <w:bCs/>
          <w:color w:val="auto"/>
          <w:position w:val="0"/>
          <w:sz w:val="32"/>
          <w:szCs w:val="32"/>
          <w:highlight w:val="none"/>
          <w:u w:val="none"/>
          <w:lang w:val="en-US" w:eastAsia="zh-CN"/>
        </w:rPr>
        <w:t>符合群众实际需求。该项指标10分，得</w:t>
      </w:r>
      <w:r>
        <w:rPr>
          <w:rFonts w:hint="default" w:ascii="Times New Roman" w:hAnsi="Times New Roman" w:cs="Times New Roman"/>
          <w:b w:val="0"/>
          <w:bCs/>
          <w:color w:val="auto"/>
          <w:position w:val="0"/>
          <w:sz w:val="32"/>
          <w:szCs w:val="32"/>
          <w:highlight w:val="none"/>
          <w:u w:val="none"/>
          <w:lang w:val="en-US" w:eastAsia="zh-CN"/>
        </w:rPr>
        <w:t>10</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标准合理性：</w:t>
      </w:r>
      <w:r>
        <w:rPr>
          <w:rFonts w:hint="default" w:ascii="Times New Roman" w:hAnsi="Times New Roman" w:cs="Times New Roman"/>
          <w:b w:val="0"/>
          <w:bCs/>
          <w:color w:val="auto"/>
          <w:position w:val="0"/>
          <w:sz w:val="32"/>
          <w:szCs w:val="32"/>
          <w:highlight w:val="none"/>
          <w:u w:val="none"/>
          <w:lang w:val="zh-CN"/>
        </w:rPr>
        <w:t>项目符合聚贤镇党群服务中心改造升级</w:t>
      </w:r>
      <w:r>
        <w:rPr>
          <w:rFonts w:hint="default" w:ascii="Times New Roman" w:hAnsi="Times New Roman" w:eastAsia="仿宋_GB2312" w:cs="Times New Roman"/>
          <w:b w:val="0"/>
          <w:bCs/>
          <w:color w:val="auto"/>
          <w:position w:val="0"/>
          <w:sz w:val="32"/>
          <w:szCs w:val="32"/>
          <w:highlight w:val="none"/>
          <w:u w:val="none"/>
          <w:lang w:val="zh-CN"/>
        </w:rPr>
        <w:t>相关标准和要求，项目实施达到预期效果</w:t>
      </w:r>
      <w:r>
        <w:rPr>
          <w:rFonts w:hint="default" w:ascii="Times New Roman" w:hAnsi="Times New Roman" w:cs="Times New Roman"/>
          <w:b w:val="0"/>
          <w:bCs/>
          <w:color w:val="auto"/>
          <w:position w:val="0"/>
          <w:sz w:val="32"/>
          <w:szCs w:val="32"/>
          <w:highlight w:val="none"/>
          <w:u w:val="none"/>
          <w:lang w:val="zh-CN"/>
        </w:rPr>
        <w:t>，党群服务中心工作良好</w:t>
      </w:r>
      <w:r>
        <w:rPr>
          <w:rFonts w:hint="default" w:ascii="Times New Roman" w:hAnsi="Times New Roman" w:eastAsia="仿宋_GB2312" w:cs="Times New Roman"/>
          <w:b w:val="0"/>
          <w:bCs/>
          <w:color w:val="auto"/>
          <w:position w:val="0"/>
          <w:sz w:val="32"/>
          <w:szCs w:val="32"/>
          <w:highlight w:val="none"/>
          <w:u w:val="none"/>
          <w:lang w:val="zh-CN"/>
        </w:rPr>
        <w:t>。该项指标</w:t>
      </w:r>
      <w:r>
        <w:rPr>
          <w:rFonts w:hint="default" w:ascii="Times New Roman" w:hAnsi="Times New Roman" w:eastAsia="仿宋_GB2312" w:cs="Times New Roman"/>
          <w:b w:val="0"/>
          <w:bCs/>
          <w:color w:val="auto"/>
          <w:position w:val="0"/>
          <w:sz w:val="32"/>
          <w:szCs w:val="32"/>
          <w:highlight w:val="none"/>
          <w:u w:val="none"/>
          <w:lang w:val="en-US" w:eastAsia="zh-CN"/>
        </w:rPr>
        <w:t>5分，得5分。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群众满意度：通过问卷调查，群众对项目满意度达到</w:t>
      </w:r>
      <w:r>
        <w:rPr>
          <w:rFonts w:hint="default" w:ascii="Times New Roman" w:hAnsi="Times New Roman" w:eastAsia="仿宋_GB2312" w:cs="Times New Roman"/>
          <w:b w:val="0"/>
          <w:bCs/>
          <w:color w:val="auto"/>
          <w:position w:val="0"/>
          <w:sz w:val="32"/>
          <w:szCs w:val="32"/>
          <w:highlight w:val="none"/>
          <w:u w:val="none"/>
          <w:lang w:val="en-US" w:eastAsia="zh-CN"/>
        </w:rPr>
        <w:t>9</w:t>
      </w:r>
      <w:r>
        <w:rPr>
          <w:rFonts w:hint="default" w:ascii="Times New Roman" w:hAnsi="Times New Roman" w:cs="Times New Roman"/>
          <w:b w:val="0"/>
          <w:bCs/>
          <w:color w:val="auto"/>
          <w:position w:val="0"/>
          <w:sz w:val="32"/>
          <w:szCs w:val="32"/>
          <w:highlight w:val="none"/>
          <w:u w:val="none"/>
          <w:lang w:val="en-US" w:eastAsia="zh-CN"/>
        </w:rPr>
        <w:t>8</w:t>
      </w:r>
      <w:r>
        <w:rPr>
          <w:rFonts w:hint="default" w:ascii="Times New Roman" w:hAnsi="Times New Roman" w:eastAsia="仿宋_GB2312" w:cs="Times New Roman"/>
          <w:b w:val="0"/>
          <w:bCs/>
          <w:color w:val="auto"/>
          <w:position w:val="0"/>
          <w:sz w:val="32"/>
          <w:szCs w:val="32"/>
          <w:highlight w:val="none"/>
          <w:u w:val="none"/>
          <w:lang w:val="en-US" w:eastAsia="zh-CN"/>
        </w:rPr>
        <w:t>%。该项指标5分，得</w:t>
      </w:r>
      <w:r>
        <w:rPr>
          <w:rFonts w:hint="default" w:ascii="Times New Roman" w:hAnsi="Times New Roman" w:cs="Times New Roman"/>
          <w:b w:val="0"/>
          <w:bCs/>
          <w:color w:val="auto"/>
          <w:position w:val="0"/>
          <w:sz w:val="32"/>
          <w:szCs w:val="32"/>
          <w:highlight w:val="none"/>
          <w:u w:val="none"/>
          <w:lang w:val="en-US" w:eastAsia="zh-CN"/>
        </w:rPr>
        <w:t>4.9</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（三）</w:t>
      </w:r>
      <w:r>
        <w:rPr>
          <w:rFonts w:hint="default" w:ascii="Times New Roman" w:hAnsi="Times New Roman"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政治引领：文兴社区党群服务中心提档升级后，整合党务、政务、生活服务于一体，可以提供党务政策咨询、办理党内业务、传播党建知识、提供便民政务服务。该项指标</w:t>
      </w:r>
      <w:r>
        <w:rPr>
          <w:rFonts w:hint="default" w:ascii="Times New Roman" w:hAnsi="Times New Roman" w:eastAsia="仿宋_GB2312" w:cs="Times New Roman"/>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民生服务覆盖面：文兴社区党群服务中心提档升级后，提供的服务面对的不仅仅是文兴社区内的居民，而是面向全年龄段的群众。该项指标</w:t>
      </w:r>
      <w:r>
        <w:rPr>
          <w:rFonts w:hint="default" w:ascii="Times New Roman" w:hAnsi="Times New Roman" w:eastAsia="仿宋_GB2312" w:cs="Times New Roman"/>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黑体" w:cs="Times New Roman"/>
          <w:color w:val="auto"/>
          <w:position w:val="0"/>
          <w:sz w:val="32"/>
          <w:szCs w:val="32"/>
          <w:highlight w:val="none"/>
          <w:u w:val="none"/>
          <w:lang w:eastAsia="zh-CN"/>
        </w:rPr>
        <w:t>四</w:t>
      </w:r>
      <w:r>
        <w:rPr>
          <w:rFonts w:hint="default" w:ascii="Times New Roman" w:hAnsi="Times New Roman" w:eastAsia="黑体" w:cs="Times New Roman"/>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经综合评价，</w:t>
      </w:r>
      <w:r>
        <w:rPr>
          <w:rFonts w:hint="default" w:ascii="Times New Roman" w:hAnsi="Times New Roman" w:eastAsia="仿宋_GB2312" w:cs="Times New Roman"/>
          <w:position w:val="0"/>
          <w:sz w:val="32"/>
          <w:szCs w:val="32"/>
          <w:highlight w:val="none"/>
          <w:lang w:val="en-US" w:eastAsia="zh-CN"/>
        </w:rPr>
        <w:t>2024民生实事票决制项目</w:t>
      </w:r>
      <w:r>
        <w:rPr>
          <w:rFonts w:hint="default" w:ascii="Times New Roman" w:hAnsi="Times New Roman" w:eastAsia="仿宋_GB2312" w:cs="Times New Roman"/>
          <w:b w:val="0"/>
          <w:bCs/>
          <w:color w:val="auto"/>
          <w:position w:val="0"/>
          <w:sz w:val="32"/>
          <w:szCs w:val="32"/>
          <w:highlight w:val="none"/>
          <w:u w:val="none"/>
          <w:lang w:val="en-US" w:eastAsia="zh-CN"/>
        </w:rPr>
        <w:t>绩效自评总分为98.9分。项目完成既定绩效目标，预算执行率100%，党群服务中心工作情况良好，强化了党组织凝聚力，</w:t>
      </w:r>
      <w:r>
        <w:rPr>
          <w:rFonts w:hint="default" w:ascii="Times New Roman" w:hAnsi="Times New Roman" w:eastAsia="仿宋_GB2312" w:cs="Times New Roman"/>
          <w:color w:val="auto"/>
          <w:position w:val="0"/>
          <w:sz w:val="32"/>
          <w:szCs w:val="32"/>
          <w:highlight w:val="none"/>
          <w:u w:val="none"/>
          <w:lang w:eastAsia="zh-CN"/>
        </w:rPr>
        <w:t>民生保障工作良好</w:t>
      </w:r>
      <w:r>
        <w:rPr>
          <w:rFonts w:hint="default" w:ascii="Times New Roman" w:hAnsi="Times New Roman" w:eastAsia="仿宋_GB2312" w:cs="Times New Roman"/>
          <w:b w:val="0"/>
          <w:bCs/>
          <w:color w:val="auto"/>
          <w:position w:val="0"/>
          <w:sz w:val="32"/>
          <w:szCs w:val="32"/>
          <w:highlight w:val="none"/>
          <w:u w:val="none"/>
          <w:lang w:val="en-US" w:eastAsia="zh-CN"/>
        </w:rPr>
        <w:t>，达到预期经济效益和社会效益。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default" w:ascii="Times New Roman" w:hAnsi="Times New Roman" w:eastAsia="黑体" w:cs="Times New Roman"/>
          <w:color w:val="auto"/>
          <w:position w:val="0"/>
          <w:sz w:val="32"/>
          <w:szCs w:val="32"/>
          <w:highlight w:val="none"/>
          <w:u w:val="none"/>
          <w:lang w:eastAsia="zh-CN"/>
        </w:rPr>
        <w:t>五、存在主要问题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项目资金不足，</w:t>
      </w:r>
      <w:r>
        <w:rPr>
          <w:rFonts w:hint="default" w:ascii="Times New Roman" w:hAnsi="Times New Roman" w:eastAsia="仿宋_GB2312" w:cs="Times New Roman"/>
          <w:position w:val="0"/>
          <w:sz w:val="32"/>
          <w:szCs w:val="32"/>
          <w:highlight w:val="none"/>
          <w:lang w:val="en-US" w:eastAsia="zh-CN"/>
        </w:rPr>
        <w:t>2024民生实事票决制项目</w:t>
      </w:r>
      <w:r>
        <w:rPr>
          <w:rFonts w:hint="default" w:ascii="Times New Roman" w:hAnsi="Times New Roman" w:eastAsia="仿宋_GB2312" w:cs="Times New Roman"/>
          <w:b w:val="0"/>
          <w:bCs/>
          <w:color w:val="auto"/>
          <w:position w:val="0"/>
          <w:sz w:val="32"/>
          <w:szCs w:val="32"/>
          <w:highlight w:val="none"/>
          <w:u w:val="none"/>
          <w:lang w:val="en-US" w:eastAsia="zh-CN"/>
        </w:rPr>
        <w:t>仅选取一个党群服务中心进行提档升级，其余党群服务中心暂未得到保障。</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党群服务中心工作人员专业度不足，部分政策宣讲不到位。</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right="0" w:rightChars="0" w:firstLine="640" w:firstLineChars="200"/>
        <w:textAlignment w:val="auto"/>
        <w:rPr>
          <w:rFonts w:hint="default" w:ascii="Times New Roman" w:hAnsi="Times New Roman" w:eastAsia="黑体" w:cs="Times New Roman"/>
          <w:color w:val="auto"/>
          <w:kern w:val="0"/>
          <w:position w:val="0"/>
          <w:sz w:val="32"/>
          <w:szCs w:val="32"/>
          <w:highlight w:val="none"/>
          <w:u w:val="none"/>
          <w:lang w:val="zh-CN" w:eastAsia="zh-CN" w:bidi="ar-SA"/>
        </w:rPr>
      </w:pPr>
      <w:r>
        <w:rPr>
          <w:rFonts w:hint="default" w:ascii="Times New Roman" w:hAnsi="Times New Roman"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zh-CN" w:eastAsia="zh-CN"/>
        </w:rPr>
      </w:pPr>
      <w:r>
        <w:rPr>
          <w:rFonts w:hint="default" w:ascii="Times New Roman" w:hAnsi="Times New Roman" w:cs="Times New Roman"/>
          <w:color w:val="000000"/>
          <w:kern w:val="0"/>
          <w:position w:val="0"/>
          <w:sz w:val="32"/>
          <w:szCs w:val="32"/>
          <w:highlight w:val="none"/>
          <w:shd w:val="clear" w:color="auto" w:fill="FFFFFF"/>
          <w:lang w:val="zh-CN" w:eastAsia="zh-CN"/>
        </w:rPr>
        <w:t>一是加强资金统筹管理，完善多部门联动机制；二是建议增加</w:t>
      </w:r>
      <w:r>
        <w:rPr>
          <w:rFonts w:hint="default" w:ascii="Times New Roman" w:hAnsi="Times New Roman" w:eastAsia="仿宋_GB2312" w:cs="Times New Roman"/>
          <w:position w:val="0"/>
          <w:sz w:val="32"/>
          <w:szCs w:val="32"/>
          <w:highlight w:val="none"/>
          <w:lang w:val="en-US" w:eastAsia="zh-CN"/>
        </w:rPr>
        <w:t>民生实事票决制项目</w:t>
      </w:r>
      <w:r>
        <w:rPr>
          <w:rFonts w:hint="default" w:ascii="Times New Roman" w:hAnsi="Times New Roman" w:cs="Times New Roman"/>
          <w:b w:val="0"/>
          <w:bCs/>
          <w:color w:val="auto"/>
          <w:position w:val="0"/>
          <w:sz w:val="32"/>
          <w:szCs w:val="32"/>
          <w:highlight w:val="none"/>
          <w:u w:val="none"/>
          <w:lang w:val="en-US" w:eastAsia="zh-CN"/>
        </w:rPr>
        <w:t>工作资金投入，保障工作开展；三是不定期召开培训会，提高工作人员的素养和能力。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en-US" w:eastAsia="zh-CN"/>
        </w:rPr>
      </w:pPr>
      <w:r>
        <w:rPr>
          <w:rFonts w:hint="default" w:ascii="Times New Roman" w:hAnsi="Times New Roman" w:cs="Times New Roman"/>
          <w:color w:val="000000"/>
          <w:kern w:val="0"/>
          <w:position w:val="0"/>
          <w:szCs w:val="32"/>
          <w:highlight w:val="none"/>
          <w:shd w:val="clear" w:color="auto" w:fill="FFFFFF"/>
          <w:lang w:val="en-US" w:eastAsia="zh-CN"/>
        </w:rPr>
        <w:t>附表：专项资金绩效目标完成情况自评表</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eastAsia" w:ascii="Times New Roman" w:hAnsi="Times New Roman" w:cs="Times New Roman"/>
          <w:color w:val="000000"/>
          <w:kern w:val="0"/>
          <w:position w:val="0"/>
          <w:szCs w:val="32"/>
          <w:highlight w:val="none"/>
          <w:shd w:val="clear" w:color="auto" w:fill="FFFFFF"/>
          <w:lang w:val="zh-CN" w:eastAsia="zh-CN"/>
        </w:rPr>
      </w:pPr>
      <w:r>
        <w:rPr>
          <w:rFonts w:hint="eastAsia" w:ascii="Times New Roman" w:hAnsi="Times New Roman" w:cs="Times New Roman"/>
          <w:color w:val="000000"/>
          <w:kern w:val="0"/>
          <w:position w:val="0"/>
          <w:szCs w:val="32"/>
          <w:highlight w:val="none"/>
          <w:shd w:val="clear" w:color="auto" w:fill="FFFFFF"/>
          <w:lang w:val="zh-CN" w:eastAsia="zh-CN"/>
        </w:rPr>
        <w:br w:type="page"/>
      </w:r>
    </w:p>
    <w:tbl>
      <w:tblPr>
        <w:tblStyle w:val="15"/>
        <w:tblW w:w="0" w:type="auto"/>
        <w:tblInd w:w="0" w:type="dxa"/>
        <w:shd w:val="clear" w:color="auto" w:fill="auto"/>
        <w:tblLayout w:type="autofit"/>
        <w:tblCellMar>
          <w:top w:w="0" w:type="dxa"/>
          <w:left w:w="0" w:type="dxa"/>
          <w:bottom w:w="0" w:type="dxa"/>
          <w:right w:w="0" w:type="dxa"/>
        </w:tblCellMar>
      </w:tblPr>
      <w:tblGrid>
        <w:gridCol w:w="489"/>
        <w:gridCol w:w="1038"/>
        <w:gridCol w:w="1668"/>
        <w:gridCol w:w="2214"/>
        <w:gridCol w:w="422"/>
        <w:gridCol w:w="622"/>
        <w:gridCol w:w="254"/>
        <w:gridCol w:w="688"/>
        <w:gridCol w:w="315"/>
        <w:gridCol w:w="315"/>
        <w:gridCol w:w="311"/>
      </w:tblGrid>
      <w:tr>
        <w:tblPrEx>
          <w:shd w:val="clear" w:color="auto" w:fill="auto"/>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51090424T000011156342-2024年民生实事票决制项目经费</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保障2024年民生实事票决制项目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提供2024年民生实事票决制项目经费</w:t>
            </w: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保障项目个数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项目开展时间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党群服务中心建设工作情况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left="0" w:leftChars="0" w:right="0" w:rightChars="0"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项目完成既定绩效目标，预算执行率100%，党群服务中心工作情况良好，强化了党组织凝聚力，民生保障工作良好，达到预期经济效益和社会效益。</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项目资金不足，2024民生实事票决制项目仅选取一个党群服务中心进行提档升级，其余党群服务中心暂未得到保障。</w:t>
            </w:r>
            <w:r>
              <w:rPr>
                <w:rFonts w:hint="eastAsia" w:ascii="宋体" w:hAnsi="宋体" w:eastAsia="宋体" w:cs="宋体"/>
                <w:i w:val="0"/>
                <w:iCs/>
                <w:color w:val="000000"/>
                <w:kern w:val="0"/>
                <w:sz w:val="18"/>
                <w:szCs w:val="18"/>
                <w:u w:val="none"/>
                <w:lang w:val="en-US" w:eastAsia="zh-CN" w:bidi="ar"/>
              </w:rPr>
              <w:br w:type="textWrapping"/>
            </w:r>
            <w:r>
              <w:rPr>
                <w:rFonts w:hint="eastAsia" w:ascii="宋体" w:hAnsi="宋体" w:eastAsia="宋体" w:cs="宋体"/>
                <w:i w:val="0"/>
                <w:iCs/>
                <w:color w:val="000000"/>
                <w:kern w:val="0"/>
                <w:sz w:val="18"/>
                <w:szCs w:val="18"/>
                <w:u w:val="none"/>
                <w:lang w:val="en-US" w:eastAsia="zh-CN" w:bidi="ar"/>
              </w:rPr>
              <w:t>党群服务中心工作人员专业度不足，部分政策宣讲不到位。</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一是加强资金统筹管理，完善多部门联动机制；二是建议增加民生实事票决制项目工作资金投入，保障工作开展；三是不定期召开培训会，提高工作人员的素养和能力。</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项目负责人：周勤</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财务负责人：陈维维</w:t>
            </w:r>
          </w:p>
        </w:tc>
      </w:tr>
    </w:tbl>
    <w:p>
      <w:pPr>
        <w:pStyle w:val="3"/>
        <w:keepNext w:val="0"/>
        <w:keepLines w:val="0"/>
        <w:pageBreakBefore w:val="0"/>
        <w:kinsoku/>
        <w:wordWrap/>
        <w:overflowPunct/>
        <w:topLinePunct w:val="0"/>
        <w:autoSpaceDE/>
        <w:autoSpaceDN/>
        <w:bidi w:val="0"/>
        <w:spacing w:after="0" w:line="578" w:lineRule="exact"/>
        <w:ind w:left="0" w:leftChars="0" w:firstLine="0" w:firstLineChars="0"/>
        <w:rPr>
          <w:rFonts w:hint="default" w:ascii="黑体" w:hAnsi="黑体" w:eastAsia="黑体" w:cs="黑体"/>
          <w:position w:val="0"/>
          <w:sz w:val="24"/>
          <w:szCs w:val="24"/>
          <w:highlight w:val="none"/>
          <w:lang w:val="en-US" w:eastAsia="zh-CN"/>
        </w:rPr>
      </w:pPr>
    </w:p>
    <w:p>
      <w:pPr>
        <w:ind w:left="0" w:leftChars="0" w:firstLine="0" w:firstLineChars="0"/>
      </w:pPr>
      <w:r>
        <w:br w:type="page"/>
      </w:r>
    </w:p>
    <w:p>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jc w:val="center"/>
        <w:textAlignment w:val="auto"/>
        <w:rPr>
          <w:rFonts w:hint="eastAsia" w:ascii="仿宋_GB2312" w:hAnsi="仿宋_GB2312" w:eastAsia="仿宋_GB2312" w:cs="仿宋_GB2312"/>
          <w:bCs/>
          <w:color w:val="auto"/>
          <w:kern w:val="2"/>
          <w:position w:val="0"/>
          <w:sz w:val="32"/>
          <w:szCs w:val="32"/>
          <w:highlight w:val="none"/>
          <w:u w:val="none"/>
          <w:lang w:val="en-US" w:eastAsia="zh-CN"/>
        </w:rPr>
      </w:pPr>
      <w:r>
        <w:rPr>
          <w:rFonts w:hint="eastAsia" w:ascii="仿宋_GB2312" w:hAnsi="仿宋_GB2312" w:eastAsia="仿宋_GB2312" w:cs="仿宋_GB2312"/>
          <w:bCs/>
          <w:color w:val="auto"/>
          <w:kern w:val="2"/>
          <w:position w:val="0"/>
          <w:sz w:val="32"/>
          <w:szCs w:val="32"/>
          <w:highlight w:val="none"/>
          <w:u w:val="none"/>
          <w:lang w:val="en-US" w:eastAsia="zh-CN"/>
        </w:rPr>
        <w:t>（</w:t>
      </w:r>
      <w:r>
        <w:rPr>
          <w:rFonts w:hint="default" w:ascii="Times New Roman" w:hAnsi="Times New Roman" w:eastAsia="仿宋_GB2312" w:cs="Times New Roman"/>
          <w:bCs/>
          <w:i w:val="0"/>
          <w:color w:val="000000"/>
          <w:kern w:val="2"/>
          <w:position w:val="0"/>
          <w:sz w:val="32"/>
          <w:szCs w:val="32"/>
          <w:highlight w:val="none"/>
          <w:u w:val="none"/>
          <w:lang w:val="en-US" w:eastAsia="zh-CN" w:bidi="ar-SA"/>
        </w:rPr>
        <w:t>2024</w:t>
      </w:r>
      <w:r>
        <w:rPr>
          <w:rFonts w:hint="eastAsia" w:ascii="仿宋_GB2312" w:hAnsi="仿宋_GB2312" w:eastAsia="仿宋_GB2312" w:cs="仿宋_GB2312"/>
          <w:bCs/>
          <w:i w:val="0"/>
          <w:color w:val="000000"/>
          <w:kern w:val="2"/>
          <w:position w:val="0"/>
          <w:sz w:val="32"/>
          <w:szCs w:val="32"/>
          <w:highlight w:val="none"/>
          <w:u w:val="none"/>
          <w:lang w:val="en-US" w:eastAsia="zh-CN" w:bidi="ar-SA"/>
        </w:rPr>
        <w:t>年信创替代专项资金项目</w:t>
      </w:r>
      <w:r>
        <w:rPr>
          <w:rFonts w:hint="eastAsia" w:ascii="仿宋_GB2312" w:hAnsi="仿宋_GB2312" w:eastAsia="仿宋_GB2312" w:cs="仿宋_GB2312"/>
          <w:bCs/>
          <w:color w:val="auto"/>
          <w:kern w:val="2"/>
          <w:position w:val="0"/>
          <w:sz w:val="32"/>
          <w:szCs w:val="32"/>
          <w:highlight w:val="none"/>
          <w:u w:val="none"/>
          <w:lang w:val="en-US" w:eastAsia="zh-CN"/>
        </w:rPr>
        <w:t>）</w:t>
      </w:r>
    </w:p>
    <w:p>
      <w:pPr>
        <w:pStyle w:val="2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positio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position w:val="0"/>
          <w:highlight w:val="none"/>
          <w:lang w:val="zh-CN"/>
        </w:rPr>
      </w:pPr>
      <w:r>
        <w:rPr>
          <w:rFonts w:hint="default" w:ascii="Times New Roman" w:hAnsi="Times New Roman" w:eastAsia="黑体" w:cs="Times New Roman"/>
          <w:position w:val="0"/>
          <w:highlight w:val="none"/>
        </w:rPr>
        <w:t>一、</w:t>
      </w:r>
      <w:r>
        <w:rPr>
          <w:rFonts w:hint="default" w:ascii="Times New Roman" w:hAnsi="Times New Roman" w:eastAsia="黑体" w:cs="Times New Roman"/>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核心技术长期</w:t>
      </w:r>
      <w:r>
        <w:rPr>
          <w:rFonts w:hint="default" w:ascii="Times New Roman" w:hAnsi="Times New Roman" w:cs="Times New Roman"/>
          <w:b w:val="0"/>
          <w:bCs/>
          <w:color w:val="auto"/>
          <w:position w:val="0"/>
          <w:sz w:val="32"/>
          <w:szCs w:val="32"/>
          <w:highlight w:val="none"/>
          <w:u w:val="none"/>
          <w:lang w:val="zh-CN"/>
        </w:rPr>
        <w:t>依赖</w:t>
      </w:r>
      <w:r>
        <w:rPr>
          <w:rFonts w:hint="default" w:ascii="Times New Roman" w:hAnsi="Times New Roman" w:eastAsia="仿宋_GB2312" w:cs="Times New Roman"/>
          <w:b w:val="0"/>
          <w:bCs/>
          <w:color w:val="auto"/>
          <w:position w:val="0"/>
          <w:sz w:val="32"/>
          <w:szCs w:val="32"/>
          <w:highlight w:val="none"/>
          <w:u w:val="none"/>
          <w:lang w:val="zh-CN"/>
        </w:rPr>
        <w:t>国外产品（如芯片、数据库等），面临供应链中断和数据</w:t>
      </w:r>
      <w:r>
        <w:rPr>
          <w:rFonts w:hint="default" w:ascii="Times New Roman" w:hAnsi="Times New Roman" w:cs="Times New Roman"/>
          <w:b w:val="0"/>
          <w:bCs/>
          <w:color w:val="auto"/>
          <w:position w:val="0"/>
          <w:sz w:val="32"/>
          <w:szCs w:val="32"/>
          <w:highlight w:val="none"/>
          <w:u w:val="none"/>
          <w:lang w:val="zh-CN"/>
        </w:rPr>
        <w:t>泄漏</w:t>
      </w:r>
      <w:r>
        <w:rPr>
          <w:rFonts w:hint="default" w:ascii="Times New Roman" w:hAnsi="Times New Roman" w:eastAsia="仿宋_GB2312" w:cs="Times New Roman"/>
          <w:b w:val="0"/>
          <w:bCs/>
          <w:color w:val="auto"/>
          <w:position w:val="0"/>
          <w:sz w:val="32"/>
          <w:szCs w:val="32"/>
          <w:highlight w:val="none"/>
          <w:u w:val="none"/>
          <w:lang w:val="zh-CN"/>
        </w:rPr>
        <w:t>风险；国资委</w:t>
      </w:r>
      <w:r>
        <w:rPr>
          <w:rFonts w:hint="default" w:ascii="Times New Roman" w:hAnsi="Times New Roman" w:eastAsia="仿宋_GB2312" w:cs="Times New Roman"/>
          <w:b w:val="0"/>
          <w:bCs/>
          <w:color w:val="auto"/>
          <w:position w:val="0"/>
          <w:sz w:val="32"/>
          <w:szCs w:val="32"/>
          <w:highlight w:val="none"/>
          <w:u w:val="none"/>
          <w:lang w:val="en-US" w:eastAsia="zh-CN"/>
        </w:rPr>
        <w:t>明确要求2027年前完成操作系统、数据库等核心领域的国产化替代；从党政机关向金融、电信等8大行业扩展，最终覆盖全产业生态。项目主要内容是购买五台国产电脑。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eastAsia="zh-CN"/>
        </w:rPr>
        <w:t>项目资金严格按照财务会计管理，</w:t>
      </w:r>
      <w:r>
        <w:rPr>
          <w:rFonts w:hint="eastAsia" w:cs="Times New Roman"/>
          <w:b w:val="0"/>
          <w:bCs/>
          <w:color w:val="auto"/>
          <w:position w:val="0"/>
          <w:sz w:val="32"/>
          <w:szCs w:val="32"/>
          <w:highlight w:val="none"/>
          <w:u w:val="none"/>
          <w:lang w:val="zh-CN" w:eastAsia="zh-CN"/>
        </w:rPr>
        <w:t>实行</w:t>
      </w:r>
      <w:r>
        <w:rPr>
          <w:rFonts w:hint="default" w:ascii="Times New Roman" w:hAnsi="Times New Roman" w:eastAsia="仿宋_GB2312" w:cs="Times New Roman"/>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报账制，保证专款专用，按有关程序要求保证，并接受纪委和财政部门检查监督，符合资金管理办法等相关规定。项目实施目的在于</w:t>
      </w:r>
      <w:r>
        <w:rPr>
          <w:rFonts w:hint="default" w:ascii="Times New Roman" w:hAnsi="Times New Roman" w:eastAsia="仿宋_GB2312" w:cs="Times New Roman"/>
          <w:position w:val="0"/>
          <w:highlight w:val="none"/>
          <w:lang w:eastAsia="zh-CN"/>
        </w:rPr>
        <w:t>维护国家信息安全</w:t>
      </w:r>
      <w:r>
        <w:rPr>
          <w:rFonts w:hint="default" w:ascii="Times New Roman" w:hAnsi="Times New Roman" w:eastAsia="仿宋_GB2312" w:cs="Times New Roman"/>
          <w:b w:val="0"/>
          <w:bCs/>
          <w:color w:val="auto"/>
          <w:position w:val="0"/>
          <w:sz w:val="32"/>
          <w:szCs w:val="32"/>
          <w:highlight w:val="none"/>
          <w:u w:val="none"/>
          <w:lang w:val="zh-CN" w:eastAsia="zh-CN"/>
        </w:rPr>
        <w:t>。主要工作任务是</w:t>
      </w:r>
      <w:r>
        <w:rPr>
          <w:rFonts w:hint="default" w:ascii="Times New Roman" w:hAnsi="Times New Roman" w:cs="Times New Roman"/>
          <w:b w:val="0"/>
          <w:bCs/>
          <w:color w:val="auto"/>
          <w:position w:val="0"/>
          <w:sz w:val="32"/>
          <w:szCs w:val="32"/>
          <w:highlight w:val="none"/>
          <w:u w:val="none"/>
          <w:lang w:val="en-US" w:eastAsia="zh-CN"/>
        </w:rPr>
        <w:t>购买5台电脑。项目支持方向是行政运转领域</w:t>
      </w:r>
      <w:r>
        <w:rPr>
          <w:rFonts w:hint="eastAsia" w:cs="Times New Roman"/>
          <w:b w:val="0"/>
          <w:bCs/>
          <w:color w:val="auto"/>
          <w:positio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eastAsia="zh-CN"/>
        </w:rPr>
        <w:t>（三）</w:t>
      </w:r>
      <w:r>
        <w:rPr>
          <w:rFonts w:hint="default" w:ascii="Times New Roman" w:hAnsi="Times New Roman" w:eastAsia="楷体_GB2312" w:cs="Times New Roman"/>
          <w:b/>
          <w:color w:val="auto"/>
          <w:position w:val="0"/>
          <w:sz w:val="32"/>
          <w:szCs w:val="32"/>
          <w:highlight w:val="none"/>
          <w:u w:val="none"/>
          <w:lang w:val="en-US" w:eastAsia="zh-CN"/>
        </w:rPr>
        <w:t>预算安排及分配管理</w:t>
      </w:r>
      <w:r>
        <w:rPr>
          <w:rFonts w:hint="default" w:ascii="Times New Roman" w:hAnsi="Times New Roman"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en-US" w:eastAsia="zh-CN"/>
        </w:rPr>
        <w:t>2024年信创替代专项资金项目</w:t>
      </w:r>
      <w:r>
        <w:rPr>
          <w:rFonts w:hint="default" w:ascii="Times New Roman" w:hAnsi="Times New Roman" w:cs="Times New Roman"/>
          <w:b w:val="0"/>
          <w:bCs/>
          <w:color w:val="auto"/>
          <w:position w:val="0"/>
          <w:sz w:val="32"/>
          <w:szCs w:val="32"/>
          <w:highlight w:val="none"/>
          <w:u w:val="none"/>
          <w:lang w:val="en-US" w:eastAsia="zh-CN"/>
        </w:rPr>
        <w:t>预算30000元，其中财政资金30000元。项目资金全用于国产电脑。</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cs="Times New Roman"/>
          <w:color w:val="auto"/>
          <w:kern w:val="0"/>
          <w:position w:val="0"/>
          <w:sz w:val="32"/>
          <w:szCs w:val="32"/>
          <w:highlight w:val="none"/>
          <w:u w:val="none"/>
          <w:shd w:val="clear" w:color="auto" w:fill="FFFFFF"/>
          <w:lang w:val="zh-CN" w:eastAsia="zh-CN"/>
        </w:rPr>
      </w:pPr>
      <w:r>
        <w:rPr>
          <w:rFonts w:hint="default" w:ascii="Times New Roman" w:hAnsi="Times New Roman"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lang w:eastAsia="zh-CN"/>
        </w:rPr>
      </w:pPr>
      <w:r>
        <w:rPr>
          <w:rFonts w:hint="default" w:ascii="Times New Roman" w:hAnsi="Times New Roman" w:eastAsia="仿宋_GB2312" w:cs="Times New Roman"/>
          <w:position w:val="0"/>
          <w:highlight w:val="none"/>
          <w:lang w:eastAsia="zh-CN"/>
        </w:rPr>
        <w:t>整体绩效目标：维护国家信息安全。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highlight w:val="none"/>
          <w:lang w:eastAsia="zh-CN"/>
        </w:rPr>
      </w:pPr>
      <w:r>
        <w:rPr>
          <w:rFonts w:hint="default" w:ascii="Times New Roman" w:hAnsi="Times New Roman" w:eastAsia="仿宋_GB2312" w:cs="Times New Roman"/>
          <w:position w:val="0"/>
          <w:highlight w:val="none"/>
          <w:lang w:eastAsia="zh-CN"/>
        </w:rPr>
        <w:t>区域绩效目标：为聚贤镇人民政府购买办公设备。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highlight w:val="none"/>
          <w:lang w:val="en-US" w:eastAsia="zh-CN"/>
        </w:rPr>
      </w:pPr>
      <w:r>
        <w:rPr>
          <w:rFonts w:hint="default" w:ascii="Times New Roman" w:hAnsi="Times New Roman" w:eastAsia="仿宋_GB2312" w:cs="Times New Roman"/>
          <w:position w:val="0"/>
          <w:highlight w:val="none"/>
          <w:lang w:eastAsia="zh-CN"/>
        </w:rPr>
        <w:t>具体绩效目标：购买</w:t>
      </w:r>
      <w:r>
        <w:rPr>
          <w:rFonts w:hint="default" w:ascii="Times New Roman" w:hAnsi="Times New Roman" w:eastAsia="仿宋_GB2312" w:cs="Times New Roman"/>
          <w:position w:val="0"/>
          <w:highlight w:val="none"/>
          <w:lang w:val="en-US" w:eastAsia="zh-CN"/>
        </w:rPr>
        <w:t>5台电脑；电脑质量合格；项目保障时间2024年；政府工作情况良好；</w:t>
      </w:r>
      <w:r>
        <w:rPr>
          <w:rFonts w:hint="default" w:ascii="Times New Roman" w:hAnsi="Times New Roman" w:cs="Times New Roman"/>
          <w:position w:val="0"/>
          <w:highlight w:val="none"/>
          <w:lang w:val="en-US" w:eastAsia="zh-CN"/>
        </w:rPr>
        <w:t>工作人员</w:t>
      </w:r>
      <w:r>
        <w:rPr>
          <w:rFonts w:hint="default" w:ascii="Times New Roman" w:hAnsi="Times New Roman" w:eastAsia="仿宋_GB2312" w:cs="Times New Roman"/>
          <w:position w:val="0"/>
          <w:highlight w:val="none"/>
          <w:lang w:val="en-US" w:eastAsia="zh-CN"/>
        </w:rPr>
        <w:t>满意度≥90%。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highlight w:val="none"/>
          <w:lang w:eastAsia="zh-CN"/>
        </w:rPr>
      </w:pPr>
      <w:r>
        <w:rPr>
          <w:rFonts w:hint="default" w:ascii="Times New Roman" w:hAnsi="Times New Roman" w:eastAsia="黑体" w:cs="Times New Roman"/>
          <w:position w:val="0"/>
          <w:highlight w:val="none"/>
        </w:rPr>
        <w:t>二、</w:t>
      </w:r>
      <w:r>
        <w:rPr>
          <w:rFonts w:hint="default" w:ascii="Times New Roman" w:hAnsi="Times New Roman" w:eastAsia="黑体" w:cs="Times New Roman"/>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position w:val="0"/>
          <w:szCs w:val="32"/>
        </w:rPr>
      </w:pPr>
      <w:r>
        <w:rPr>
          <w:rFonts w:hint="default" w:ascii="Times New Roman" w:hAnsi="Times New Roman" w:eastAsia="楷体_GB2312" w:cs="Times New Roman"/>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通过对比项目实际成果与预设绩效目标，验证目标完成情况；总结项目经验，发现项目问题，改进</w:t>
      </w:r>
      <w:r>
        <w:rPr>
          <w:rFonts w:hint="default" w:ascii="Times New Roman" w:hAnsi="Times New Roman" w:cs="Times New Roman"/>
          <w:b w:val="0"/>
          <w:bCs/>
          <w:color w:val="auto"/>
          <w:position w:val="0"/>
          <w:sz w:val="32"/>
          <w:szCs w:val="32"/>
          <w:highlight w:val="none"/>
          <w:u w:val="none"/>
          <w:lang w:val="zh-CN"/>
        </w:rPr>
        <w:t>同类</w:t>
      </w:r>
      <w:r>
        <w:rPr>
          <w:rFonts w:hint="default" w:ascii="Times New Roman" w:hAnsi="Times New Roman" w:eastAsia="仿宋_GB2312" w:cs="Times New Roman"/>
          <w:b w:val="0"/>
          <w:bCs/>
          <w:color w:val="auto"/>
          <w:position w:val="0"/>
          <w:sz w:val="32"/>
          <w:szCs w:val="32"/>
          <w:highlight w:val="none"/>
          <w:u w:val="none"/>
          <w:lang w:val="zh-CN"/>
        </w:rPr>
        <w:t>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Cs w:val="32"/>
          <w:lang w:eastAsia="zh-CN"/>
        </w:rPr>
      </w:pPr>
      <w:r>
        <w:rPr>
          <w:rFonts w:hint="default" w:ascii="Times New Roman" w:hAnsi="Times New Roman" w:eastAsia="楷体_GB2312" w:cs="Times New Roman"/>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预设问题包括资金支出是否规范，</w:t>
      </w:r>
      <w:r>
        <w:rPr>
          <w:rFonts w:hint="default" w:ascii="Times New Roman" w:hAnsi="Times New Roman" w:cs="Times New Roman"/>
          <w:b w:val="0"/>
          <w:bCs/>
          <w:color w:val="auto"/>
          <w:position w:val="0"/>
          <w:sz w:val="32"/>
          <w:szCs w:val="32"/>
          <w:highlight w:val="none"/>
          <w:u w:val="none"/>
          <w:lang w:val="zh-CN"/>
        </w:rPr>
        <w:t>购买电脑台数</w:t>
      </w:r>
      <w:r>
        <w:rPr>
          <w:rFonts w:hint="default" w:ascii="Times New Roman" w:hAnsi="Times New Roman" w:eastAsia="仿宋_GB2312" w:cs="Times New Roman"/>
          <w:b w:val="0"/>
          <w:bCs/>
          <w:color w:val="auto"/>
          <w:position w:val="0"/>
          <w:sz w:val="32"/>
          <w:szCs w:val="32"/>
          <w:highlight w:val="none"/>
          <w:u w:val="none"/>
          <w:lang w:val="zh-CN"/>
        </w:rPr>
        <w:t>是否达标，</w:t>
      </w:r>
      <w:r>
        <w:rPr>
          <w:rFonts w:hint="default" w:ascii="Times New Roman" w:hAnsi="Times New Roman" w:cs="Times New Roman"/>
          <w:b w:val="0"/>
          <w:bCs/>
          <w:color w:val="auto"/>
          <w:position w:val="0"/>
          <w:sz w:val="32"/>
          <w:szCs w:val="32"/>
          <w:highlight w:val="none"/>
          <w:u w:val="none"/>
          <w:lang w:val="zh-CN"/>
        </w:rPr>
        <w:t>电脑质量</w:t>
      </w:r>
      <w:r>
        <w:rPr>
          <w:rFonts w:hint="default" w:ascii="Times New Roman" w:hAnsi="Times New Roman" w:eastAsia="仿宋_GB2312" w:cs="Times New Roman"/>
          <w:b w:val="0"/>
          <w:bCs/>
          <w:color w:val="auto"/>
          <w:position w:val="0"/>
          <w:sz w:val="32"/>
          <w:szCs w:val="32"/>
          <w:highlight w:val="none"/>
          <w:u w:val="none"/>
          <w:lang w:val="zh-CN"/>
        </w:rPr>
        <w:t>是否</w:t>
      </w:r>
      <w:r>
        <w:rPr>
          <w:rFonts w:hint="default" w:ascii="Times New Roman" w:hAnsi="Times New Roman" w:cs="Times New Roman"/>
          <w:b w:val="0"/>
          <w:bCs/>
          <w:color w:val="auto"/>
          <w:position w:val="0"/>
          <w:sz w:val="32"/>
          <w:szCs w:val="32"/>
          <w:highlight w:val="none"/>
          <w:u w:val="none"/>
          <w:lang w:val="zh-CN"/>
        </w:rPr>
        <w:t>合格</w:t>
      </w:r>
      <w:r>
        <w:rPr>
          <w:rFonts w:hint="default" w:ascii="Times New Roman" w:hAnsi="Times New Roman" w:eastAsia="仿宋_GB2312" w:cs="Times New Roman"/>
          <w:b w:val="0"/>
          <w:bCs/>
          <w:color w:val="auto"/>
          <w:position w:val="0"/>
          <w:sz w:val="32"/>
          <w:szCs w:val="32"/>
          <w:highlight w:val="none"/>
          <w:u w:val="none"/>
          <w:lang w:val="zh-CN"/>
        </w:rPr>
        <w:t>，</w:t>
      </w:r>
      <w:r>
        <w:rPr>
          <w:rFonts w:hint="default" w:ascii="Times New Roman" w:hAnsi="Times New Roman" w:cs="Times New Roman"/>
          <w:b w:val="0"/>
          <w:bCs/>
          <w:color w:val="auto"/>
          <w:position w:val="0"/>
          <w:sz w:val="32"/>
          <w:szCs w:val="32"/>
          <w:highlight w:val="none"/>
          <w:u w:val="none"/>
          <w:lang w:val="zh-CN"/>
        </w:rPr>
        <w:t>电脑是否有利于行政运转，</w:t>
      </w:r>
      <w:r>
        <w:rPr>
          <w:rFonts w:hint="default" w:ascii="Times New Roman" w:hAnsi="Times New Roman" w:cs="Times New Roman"/>
          <w:b w:val="0"/>
          <w:bCs/>
          <w:color w:val="auto"/>
          <w:position w:val="0"/>
          <w:sz w:val="32"/>
          <w:szCs w:val="32"/>
          <w:highlight w:val="none"/>
          <w:u w:val="none"/>
          <w:lang w:val="en-US" w:eastAsia="zh-CN"/>
        </w:rPr>
        <w:t>群众</w:t>
      </w:r>
      <w:r>
        <w:rPr>
          <w:rFonts w:hint="default" w:ascii="Times New Roman" w:hAnsi="Times New Roman" w:eastAsia="仿宋_GB2312" w:cs="Times New Roman"/>
          <w:b w:val="0"/>
          <w:bCs/>
          <w:color w:val="auto"/>
          <w:position w:val="0"/>
          <w:sz w:val="32"/>
          <w:szCs w:val="32"/>
          <w:highlight w:val="none"/>
          <w:u w:val="none"/>
          <w:lang w:val="zh-CN"/>
        </w:rPr>
        <w:t>是否满意等；评价重点围绕资金支出使用全过程及其实施效果，依据绩效评价指标体系，对项目预算、管理、实施、结果进行综合性评价和判断。</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lang w:val="zh-CN" w:eastAsia="zh-CN"/>
        </w:rPr>
      </w:pPr>
      <w:r>
        <w:rPr>
          <w:rFonts w:hint="default" w:ascii="Times New Roman" w:hAnsi="Times New Roman" w:eastAsia="楷体_GB2312" w:cs="Times New Roman"/>
          <w:b/>
          <w:color w:val="auto"/>
          <w:position w:val="0"/>
          <w:sz w:val="32"/>
          <w:szCs w:val="32"/>
          <w:highlight w:val="none"/>
          <w:u w:val="none"/>
          <w:lang w:val="zh-CN"/>
        </w:rPr>
        <w:t>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本次项目绩效自评选取</w:t>
      </w:r>
      <w:r>
        <w:rPr>
          <w:rFonts w:hint="default" w:ascii="Times New Roman" w:hAnsi="Times New Roman" w:cs="Times New Roman"/>
          <w:b w:val="0"/>
          <w:bCs/>
          <w:color w:val="auto"/>
          <w:position w:val="0"/>
          <w:sz w:val="32"/>
          <w:szCs w:val="32"/>
          <w:highlight w:val="none"/>
          <w:u w:val="none"/>
          <w:lang w:val="zh-CN"/>
        </w:rPr>
        <w:t>新增电脑的</w:t>
      </w:r>
      <w:r>
        <w:rPr>
          <w:rFonts w:hint="eastAsia" w:cs="Times New Roman"/>
          <w:b w:val="0"/>
          <w:bCs/>
          <w:color w:val="auto"/>
          <w:position w:val="0"/>
          <w:sz w:val="32"/>
          <w:szCs w:val="32"/>
          <w:highlight w:val="none"/>
          <w:u w:val="none"/>
          <w:lang w:val="zh-CN"/>
        </w:rPr>
        <w:t>五间</w:t>
      </w:r>
      <w:r>
        <w:rPr>
          <w:rFonts w:hint="default" w:ascii="Times New Roman" w:hAnsi="Times New Roman" w:cs="Times New Roman"/>
          <w:b w:val="0"/>
          <w:bCs/>
          <w:color w:val="auto"/>
          <w:position w:val="0"/>
          <w:sz w:val="32"/>
          <w:szCs w:val="32"/>
          <w:highlight w:val="none"/>
          <w:u w:val="none"/>
          <w:lang w:val="zh-CN"/>
        </w:rPr>
        <w:t>办公室</w:t>
      </w:r>
      <w:r>
        <w:rPr>
          <w:rFonts w:hint="default" w:ascii="Times New Roman" w:hAnsi="Times New Roman" w:eastAsia="仿宋_GB2312" w:cs="Times New Roman"/>
          <w:b w:val="0"/>
          <w:bCs/>
          <w:color w:val="auto"/>
          <w:position w:val="0"/>
          <w:sz w:val="32"/>
          <w:szCs w:val="32"/>
          <w:highlight w:val="none"/>
          <w:u w:val="none"/>
          <w:lang w:val="zh-CN"/>
        </w:rPr>
        <w:t>作为点位，确保评价能够全面</w:t>
      </w:r>
      <w:r>
        <w:rPr>
          <w:rFonts w:hint="default" w:ascii="Times New Roman" w:hAnsi="Times New Roman" w:cs="Times New Roman"/>
          <w:b w:val="0"/>
          <w:bCs/>
          <w:color w:val="auto"/>
          <w:position w:val="0"/>
          <w:sz w:val="32"/>
          <w:szCs w:val="32"/>
          <w:highlight w:val="none"/>
          <w:u w:val="none"/>
          <w:lang w:val="zh-CN"/>
        </w:rPr>
        <w:t>反映</w:t>
      </w:r>
      <w:r>
        <w:rPr>
          <w:rFonts w:hint="default" w:ascii="Times New Roman" w:hAnsi="Times New Roman" w:eastAsia="仿宋_GB2312" w:cs="Times New Roman"/>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问卷调查法：设计调查问卷，随机抽取村民及过往群众填报问卷，了解群众对政府工作的意见、建议以及群众满意度。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成本效益分析法：通过衡量项目投入与工作效率、工作质量进行对比，进行量化分析。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Cs/>
          <w:position w:val="0"/>
          <w:lang w:eastAsia="zh-CN"/>
        </w:rPr>
      </w:pPr>
      <w:r>
        <w:rPr>
          <w:rFonts w:hint="default" w:ascii="Times New Roman" w:hAnsi="Times New Roman" w:eastAsia="楷体_GB2312" w:cs="Times New Roman"/>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eastAsia="zh-CN"/>
        </w:rPr>
      </w:pPr>
      <w:r>
        <w:rPr>
          <w:rFonts w:hint="default" w:ascii="Times New Roman" w:hAnsi="Times New Roman" w:eastAsia="仿宋_GB2312" w:cs="Times New Roman"/>
          <w:b w:val="0"/>
          <w:bCs w:val="0"/>
          <w:color w:val="auto"/>
          <w:position w:val="0"/>
          <w:sz w:val="32"/>
          <w:szCs w:val="32"/>
          <w:highlight w:val="none"/>
          <w:u w:val="none"/>
        </w:rPr>
        <w:t>本次绩效评价工作成立了政府牵头组建的绩效评价小组（包括财政部门、业务部门、纪委监察部门等多个部门）</w:t>
      </w:r>
      <w:r>
        <w:rPr>
          <w:rFonts w:hint="default" w:ascii="Times New Roman" w:hAnsi="Times New Roman" w:cs="Times New Roman"/>
          <w:b w:val="0"/>
          <w:bCs w:val="0"/>
          <w:color w:val="auto"/>
          <w:position w:val="0"/>
          <w:sz w:val="32"/>
          <w:szCs w:val="32"/>
          <w:highlight w:val="none"/>
          <w:u w:val="none"/>
          <w:lang w:eastAsia="zh-CN"/>
        </w:rPr>
        <w:t>，</w:t>
      </w:r>
      <w:r>
        <w:rPr>
          <w:rFonts w:hint="default" w:ascii="Times New Roman" w:hAnsi="Times New Roman" w:eastAsia="仿宋_GB2312" w:cs="Times New Roman"/>
          <w:b w:val="0"/>
          <w:bCs w:val="0"/>
          <w:color w:val="auto"/>
          <w:position w:val="0"/>
          <w:sz w:val="32"/>
          <w:szCs w:val="32"/>
          <w:highlight w:val="none"/>
          <w:u w:val="none"/>
        </w:rPr>
        <w:t>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r>
        <w:rPr>
          <w:rFonts w:hint="default" w:ascii="Times New Roman" w:hAnsi="Times New Roman" w:cs="Times New Roman"/>
          <w:b w:val="0"/>
          <w:bCs w:val="0"/>
          <w:color w:val="auto"/>
          <w:position w:val="0"/>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cs="Times New Roman"/>
          <w:color w:val="auto"/>
          <w:position w:val="0"/>
          <w:sz w:val="32"/>
          <w:szCs w:val="32"/>
          <w:highlight w:val="none"/>
          <w:u w:val="none"/>
          <w:lang w:val="zh-CN"/>
        </w:rPr>
      </w:pPr>
      <w:r>
        <w:rPr>
          <w:rFonts w:hint="default" w:ascii="Times New Roman" w:hAnsi="Times New Roman" w:eastAsia="黑体" w:cs="Times New Roman"/>
          <w:color w:val="auto"/>
          <w:position w:val="0"/>
          <w:sz w:val="32"/>
          <w:szCs w:val="32"/>
          <w:highlight w:val="none"/>
          <w:u w:val="none"/>
        </w:rPr>
        <w:t>三、</w:t>
      </w:r>
      <w:r>
        <w:rPr>
          <w:rFonts w:hint="default" w:ascii="Times New Roman" w:hAnsi="Times New Roman" w:eastAsia="黑体" w:cs="Times New Roman"/>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szCs w:val="32"/>
          <w:lang w:val="en-US" w:eastAsia="zh-CN"/>
        </w:rPr>
      </w:pPr>
      <w:r>
        <w:rPr>
          <w:rFonts w:hint="default" w:ascii="Times New Roman" w:hAnsi="Times New Roman" w:eastAsia="仿宋_GB2312" w:cs="Times New Roman"/>
          <w:position w:val="0"/>
          <w:szCs w:val="32"/>
          <w:lang w:val="zh-CN" w:eastAsia="zh-CN"/>
        </w:rPr>
        <w:t>根据项目预算绩效评价指标体系“通用指标”“专用指标”“个性指标”涉及二、三级指标进行逐项绩效分析并评分</w:t>
      </w:r>
      <w:r>
        <w:rPr>
          <w:rFonts w:hint="default" w:ascii="Times New Roman" w:hAnsi="Times New Roman" w:cs="Times New Roman"/>
          <w:position w:val="0"/>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楷体_GB2312" w:cs="Times New Roman"/>
          <w:b/>
          <w:color w:val="auto"/>
          <w:position w:val="0"/>
          <w:sz w:val="32"/>
          <w:szCs w:val="32"/>
          <w:highlight w:val="none"/>
          <w:u w:val="none"/>
          <w:lang w:val="zh-CN"/>
        </w:rPr>
        <w:t>（一）</w:t>
      </w:r>
      <w:r>
        <w:rPr>
          <w:rFonts w:hint="default" w:ascii="Times New Roman" w:hAnsi="Times New Roman"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1.项目决策</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Cs w:val="32"/>
          <w:lang w:val="en-US" w:eastAsia="zh-CN"/>
        </w:rPr>
        <w:t>2024年信创替代专项资金项目为初次申报项目，立项经过镇党委会审议通过，决策程序规范；前期通过实地调研、问卷调查等形式，开展了充分的论证，规划合理；2024年信创替代专项资金项目聚焦行政运转领域。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2.项目管理</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Cs w:val="32"/>
          <w:lang w:val="en-US" w:eastAsia="zh-CN"/>
        </w:rPr>
        <w:t>为使项目如期完成，结合聚贤镇实际情况，2024年信创替代专项资金项目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3.项目实施。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Cs w:val="32"/>
          <w:lang w:val="en-US" w:eastAsia="zh-CN"/>
        </w:rPr>
        <w:t>预算执行率100%，未出现截留、挤占、挪用等情况，资金使用规范。该项指标9分，得9分。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4.项目结果</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color w:val="auto"/>
          <w:position w:val="0"/>
          <w:szCs w:val="32"/>
          <w:lang w:val="en-US" w:eastAsia="zh-CN"/>
        </w:rPr>
        <w:t>2024年信创替代专项资金项目</w:t>
      </w:r>
      <w:r>
        <w:rPr>
          <w:rFonts w:hint="default" w:ascii="Times New Roman" w:hAnsi="Times New Roman" w:eastAsia="仿宋_GB2312" w:cs="Times New Roman"/>
          <w:b w:val="0"/>
          <w:bCs/>
          <w:color w:val="auto"/>
          <w:position w:val="0"/>
          <w:sz w:val="32"/>
          <w:szCs w:val="32"/>
          <w:highlight w:val="none"/>
          <w:u w:val="none"/>
          <w:lang w:val="zh-CN"/>
        </w:rPr>
        <w:t>绩效目标完成，均按时完工，达到预期效果。该项指标9分，得9分。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用途合规性：</w:t>
      </w:r>
      <w:r>
        <w:rPr>
          <w:rFonts w:hint="default" w:ascii="Times New Roman" w:hAnsi="Times New Roman" w:eastAsia="仿宋_GB2312" w:cs="Times New Roman"/>
          <w:b w:val="0"/>
          <w:bCs/>
          <w:color w:val="auto"/>
          <w:position w:val="0"/>
          <w:szCs w:val="32"/>
          <w:lang w:val="en-US" w:eastAsia="zh-CN"/>
        </w:rPr>
        <w:t>2024年信创替代专项资金项目实施是为了购买国产电脑，用于办公工作，用途合规。该项指标10分，得10分。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程序合规性：</w:t>
      </w:r>
      <w:r>
        <w:rPr>
          <w:rFonts w:hint="default" w:ascii="Times New Roman" w:hAnsi="Times New Roman" w:eastAsia="仿宋_GB2312" w:cs="Times New Roman"/>
          <w:b w:val="0"/>
          <w:bCs/>
          <w:color w:val="auto"/>
          <w:position w:val="0"/>
          <w:szCs w:val="32"/>
          <w:lang w:val="en-US" w:eastAsia="zh-CN"/>
        </w:rPr>
        <w:t>2024年信创替代专项资金项目实施经历了政府采购流程，进行框架选购，程序合规。该项指标10分，得10分。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标准合规性：</w:t>
      </w:r>
      <w:r>
        <w:rPr>
          <w:rFonts w:hint="default" w:ascii="Times New Roman" w:hAnsi="Times New Roman" w:eastAsia="仿宋_GB2312" w:cs="Times New Roman"/>
          <w:b w:val="0"/>
          <w:bCs/>
          <w:color w:val="auto"/>
          <w:position w:val="0"/>
          <w:szCs w:val="32"/>
          <w:lang w:val="en-US" w:eastAsia="zh-CN"/>
        </w:rPr>
        <w:t>2024年信创替代专项资金项目</w:t>
      </w:r>
      <w:r>
        <w:rPr>
          <w:rFonts w:hint="default" w:ascii="Times New Roman" w:hAnsi="Times New Roman" w:eastAsia="仿宋_GB2312" w:cs="Times New Roman"/>
          <w:b w:val="0"/>
          <w:bCs/>
          <w:color w:val="auto"/>
          <w:position w:val="0"/>
          <w:sz w:val="32"/>
          <w:szCs w:val="32"/>
          <w:highlight w:val="none"/>
          <w:u w:val="none"/>
          <w:lang w:val="zh-CN"/>
        </w:rPr>
        <w:t>符合相关资金管理办法的相关标准和要求，项目实施达到预期效果。</w:t>
      </w:r>
      <w:r>
        <w:rPr>
          <w:rFonts w:hint="default" w:ascii="Times New Roman" w:hAnsi="Times New Roman" w:eastAsia="仿宋_GB2312" w:cs="Times New Roman"/>
          <w:b w:val="0"/>
          <w:bCs/>
          <w:color w:val="auto"/>
          <w:position w:val="0"/>
          <w:szCs w:val="32"/>
          <w:lang w:val="en-US" w:eastAsia="zh-CN"/>
        </w:rPr>
        <w:t>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（三）</w:t>
      </w:r>
      <w:r>
        <w:rPr>
          <w:rFonts w:hint="default" w:ascii="Times New Roman" w:hAnsi="Times New Roman"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default" w:ascii="Times New Roman" w:hAnsi="Times New Roman" w:eastAsia="仿宋_GB2312" w:cs="Times New Roman"/>
          <w:color w:val="auto"/>
          <w:position w:val="0"/>
          <w:sz w:val="32"/>
          <w:szCs w:val="32"/>
          <w:highlight w:val="none"/>
          <w:u w:val="none"/>
          <w:lang w:eastAsia="zh-CN"/>
        </w:rPr>
        <w:t>国产电脑</w:t>
      </w:r>
      <w:r>
        <w:rPr>
          <w:rFonts w:hint="eastAsia" w:ascii="仿宋_GB2312" w:hAnsi="仿宋_GB2312" w:eastAsia="仿宋_GB2312" w:cs="仿宋_GB2312"/>
          <w:color w:val="auto"/>
          <w:position w:val="0"/>
          <w:sz w:val="32"/>
          <w:szCs w:val="32"/>
          <w:highlight w:val="none"/>
          <w:u w:val="none"/>
          <w:lang w:eastAsia="zh-CN"/>
        </w:rPr>
        <w:t>：</w:t>
      </w:r>
      <w:r>
        <w:rPr>
          <w:rFonts w:hint="default" w:ascii="Times New Roman" w:hAnsi="Times New Roman" w:eastAsia="仿宋_GB2312" w:cs="Times New Roman"/>
          <w:color w:val="auto"/>
          <w:position w:val="0"/>
          <w:sz w:val="32"/>
          <w:szCs w:val="32"/>
          <w:lang w:val="en-US" w:eastAsia="zh-CN"/>
        </w:rPr>
        <w:t>2024年信创替代专项资金项目购买的五台电脑均为国产电脑。该项指标16分，得16分。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黑体" w:cs="Times New Roman"/>
          <w:color w:val="auto"/>
          <w:position w:val="0"/>
          <w:sz w:val="32"/>
          <w:szCs w:val="32"/>
          <w:highlight w:val="none"/>
          <w:u w:val="none"/>
          <w:lang w:eastAsia="zh-CN"/>
        </w:rPr>
        <w:t>四</w:t>
      </w:r>
      <w:r>
        <w:rPr>
          <w:rFonts w:hint="default" w:ascii="Times New Roman" w:hAnsi="Times New Roman" w:eastAsia="黑体" w:cs="Times New Roman"/>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color w:val="auto"/>
          <w:position w:val="0"/>
          <w:sz w:val="32"/>
          <w:szCs w:val="32"/>
          <w:highlight w:val="none"/>
          <w:u w:val="none"/>
          <w:lang w:eastAsia="zh-CN"/>
        </w:rPr>
        <w:t>经综合评价</w:t>
      </w:r>
      <w:r>
        <w:rPr>
          <w:rFonts w:hint="eastAsia" w:ascii="仿宋_GB2312" w:hAnsi="仿宋_GB2312" w:eastAsia="仿宋_GB2312" w:cs="仿宋_GB2312"/>
          <w:color w:val="auto"/>
          <w:position w:val="0"/>
          <w:sz w:val="32"/>
          <w:szCs w:val="32"/>
          <w:highlight w:val="none"/>
          <w:u w:val="none"/>
          <w:lang w:eastAsia="zh-CN"/>
        </w:rPr>
        <w:t>，</w:t>
      </w:r>
      <w:r>
        <w:rPr>
          <w:rFonts w:hint="default" w:ascii="Times New Roman" w:hAnsi="Times New Roman" w:eastAsia="仿宋_GB2312" w:cs="Times New Roman"/>
          <w:color w:val="auto"/>
          <w:position w:val="0"/>
          <w:sz w:val="32"/>
          <w:szCs w:val="32"/>
          <w:lang w:val="en-US" w:eastAsia="zh-CN"/>
        </w:rPr>
        <w:t>2024年信创替代专项资金项目</w:t>
      </w:r>
      <w:r>
        <w:rPr>
          <w:rFonts w:hint="default" w:ascii="Times New Roman" w:hAnsi="Times New Roman" w:eastAsia="仿宋_GB2312" w:cs="Times New Roman"/>
          <w:b w:val="0"/>
          <w:bCs/>
          <w:color w:val="auto"/>
          <w:position w:val="0"/>
          <w:sz w:val="32"/>
          <w:szCs w:val="32"/>
          <w:highlight w:val="none"/>
          <w:u w:val="none"/>
          <w:lang w:val="en-US" w:eastAsia="zh-CN"/>
        </w:rPr>
        <w:t>绩效自评总分为100分。项目完成既定绩效目标，预算执行率100%，更换新电脑后，相关工作人员工作效率提升，达到预期社会效益。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default" w:ascii="Times New Roman" w:hAnsi="Times New Roman"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项目资金不足：</w:t>
      </w:r>
      <w:r>
        <w:rPr>
          <w:rFonts w:hint="default" w:ascii="Times New Roman" w:hAnsi="Times New Roman" w:eastAsia="仿宋_GB2312" w:cs="Times New Roman"/>
          <w:b w:val="0"/>
          <w:bCs/>
          <w:color w:val="auto"/>
          <w:position w:val="0"/>
          <w:sz w:val="32"/>
          <w:szCs w:val="32"/>
          <w:highlight w:val="none"/>
          <w:u w:val="none"/>
          <w:lang w:val="en-US" w:eastAsia="zh-CN"/>
        </w:rPr>
        <w:t>仅购买5台国产电脑</w:t>
      </w:r>
      <w:r>
        <w:rPr>
          <w:rFonts w:hint="eastAsia" w:ascii="Times New Roman" w:hAnsi="Times New Roman" w:cs="Times New Roman"/>
          <w:b w:val="0"/>
          <w:bCs/>
          <w:color w:val="auto"/>
          <w:position w:val="0"/>
          <w:sz w:val="32"/>
          <w:szCs w:val="32"/>
          <w:highlight w:val="none"/>
          <w:u w:val="none"/>
          <w:lang w:val="en-US" w:eastAsia="zh-CN"/>
        </w:rPr>
        <w:t>。</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kern w:val="0"/>
          <w:position w:val="0"/>
          <w:sz w:val="32"/>
          <w:szCs w:val="32"/>
          <w:highlight w:val="none"/>
          <w:u w:val="none"/>
          <w:lang w:val="zh-CN" w:eastAsia="zh-CN" w:bidi="ar-SA"/>
        </w:rPr>
      </w:pPr>
      <w:r>
        <w:rPr>
          <w:rFonts w:hint="default" w:ascii="Times New Roman" w:hAnsi="Times New Roman"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zh-CN" w:eastAsia="zh-CN"/>
        </w:rPr>
      </w:pPr>
      <w:r>
        <w:rPr>
          <w:rFonts w:hint="default" w:ascii="Times New Roman" w:hAnsi="Times New Roman" w:cs="Times New Roman"/>
          <w:color w:val="000000"/>
          <w:kern w:val="0"/>
          <w:position w:val="0"/>
          <w:sz w:val="32"/>
          <w:szCs w:val="32"/>
          <w:highlight w:val="none"/>
          <w:shd w:val="clear" w:color="auto" w:fill="FFFFFF"/>
          <w:lang w:val="zh-CN" w:eastAsia="zh-CN"/>
        </w:rPr>
        <w:t>一是加强资金统筹管理，完善多部门联动机制；二是建议增加</w:t>
      </w:r>
      <w:r>
        <w:rPr>
          <w:rFonts w:hint="default" w:ascii="Times New Roman" w:hAnsi="Times New Roman" w:eastAsia="仿宋_GB2312" w:cs="Times New Roman"/>
          <w:color w:val="auto"/>
          <w:position w:val="0"/>
          <w:sz w:val="32"/>
          <w:szCs w:val="32"/>
          <w:lang w:val="en-US" w:eastAsia="zh-CN"/>
        </w:rPr>
        <w:t>信创替代专项资金项目</w:t>
      </w:r>
      <w:r>
        <w:rPr>
          <w:rFonts w:hint="default" w:ascii="Times New Roman" w:hAnsi="Times New Roman" w:cs="Times New Roman"/>
          <w:b w:val="0"/>
          <w:bCs/>
          <w:color w:val="auto"/>
          <w:position w:val="0"/>
          <w:sz w:val="32"/>
          <w:szCs w:val="32"/>
          <w:highlight w:val="none"/>
          <w:u w:val="none"/>
          <w:lang w:val="en-US" w:eastAsia="zh-CN"/>
        </w:rPr>
        <w:t>工作资金投入，保障工作开展。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cs="Times New Roman"/>
          <w:color w:val="000000"/>
          <w:kern w:val="0"/>
          <w:position w:val="0"/>
          <w:szCs w:val="32"/>
          <w:highlight w:val="none"/>
          <w:shd w:val="clear" w:color="auto" w:fill="FFFFFF"/>
          <w:lang w:val="zh-CN" w:eastAsia="zh-CN"/>
        </w:rPr>
      </w:pPr>
      <w:r>
        <w:rPr>
          <w:rFonts w:hint="default" w:ascii="Times New Roman" w:hAnsi="Times New Roman" w:cs="Times New Roman"/>
          <w:color w:val="000000"/>
          <w:kern w:val="0"/>
          <w:position w:val="0"/>
          <w:szCs w:val="32"/>
          <w:highlight w:val="none"/>
          <w:shd w:val="clear" w:color="auto" w:fill="FFFFFF"/>
          <w:lang w:val="en-US" w:eastAsia="zh-CN"/>
        </w:rPr>
        <w:t>附表：专项资金绩效目标完成情况自评表</w:t>
      </w:r>
    </w:p>
    <w:tbl>
      <w:tblPr>
        <w:tblStyle w:val="15"/>
        <w:tblW w:w="5000" w:type="pct"/>
        <w:tblInd w:w="0" w:type="dxa"/>
        <w:shd w:val="clear" w:color="auto" w:fill="auto"/>
        <w:tblLayout w:type="autofit"/>
        <w:tblCellMar>
          <w:top w:w="0" w:type="dxa"/>
          <w:left w:w="0" w:type="dxa"/>
          <w:bottom w:w="0" w:type="dxa"/>
          <w:right w:w="0" w:type="dxa"/>
        </w:tblCellMar>
      </w:tblPr>
      <w:tblGrid>
        <w:gridCol w:w="390"/>
        <w:gridCol w:w="930"/>
        <w:gridCol w:w="1650"/>
        <w:gridCol w:w="1830"/>
        <w:gridCol w:w="390"/>
        <w:gridCol w:w="688"/>
        <w:gridCol w:w="210"/>
        <w:gridCol w:w="660"/>
        <w:gridCol w:w="300"/>
        <w:gridCol w:w="211"/>
        <w:gridCol w:w="1077"/>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51090424T000011812494-2024年信创替代专项资金</w:t>
            </w:r>
          </w:p>
        </w:tc>
      </w:tr>
      <w:tr>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完成2024年信创替代专项资金</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提供2024年信创替代专项资金</w:t>
            </w:r>
          </w:p>
        </w:tc>
      </w:tr>
      <w:tr>
        <w:tblPrEx>
          <w:tblCellMar>
            <w:top w:w="0" w:type="dxa"/>
            <w:left w:w="0" w:type="dxa"/>
            <w:bottom w:w="0" w:type="dxa"/>
            <w:right w:w="0"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保证村（社区）个数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14个</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民生项目总量同比上升</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工作开展情况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28875元</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项目完成既定绩效目标，预算执行率100%，更换新电脑后，相关工作人员工作效率提升，达到预期社会效益。</w:t>
            </w:r>
          </w:p>
        </w:tc>
      </w:tr>
      <w:tr>
        <w:tblPrEx>
          <w:tblCellMar>
            <w:top w:w="0" w:type="dxa"/>
            <w:left w:w="0" w:type="dxa"/>
            <w:bottom w:w="0" w:type="dxa"/>
            <w:right w:w="0"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项目资金不足：仅购买5台国产电脑。</w:t>
            </w:r>
          </w:p>
        </w:tc>
      </w:tr>
      <w:tr>
        <w:tblPrEx>
          <w:tblCellMar>
            <w:top w:w="0" w:type="dxa"/>
            <w:left w:w="0" w:type="dxa"/>
            <w:bottom w:w="0" w:type="dxa"/>
            <w:right w:w="0"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一是加强资金统筹管理，完善多部门联动机制；二是建议增加信创替代专项资金项目工作资金投入，保障工作开展。</w:t>
            </w:r>
          </w:p>
        </w:tc>
      </w:tr>
      <w:tr>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项目负责人：杨文</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财务负责人：陈维维</w:t>
            </w:r>
          </w:p>
        </w:tc>
      </w:tr>
    </w:tbl>
    <w:p>
      <w:pPr>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br w:type="page"/>
      </w:r>
    </w:p>
    <w:p>
      <w:pPr>
        <w:pStyle w:val="22"/>
        <w:keepNext w:val="0"/>
        <w:keepLines w:val="0"/>
        <w:pageBreakBefore w:val="0"/>
        <w:widowControl w:val="0"/>
        <w:kinsoku/>
        <w:wordWrap/>
        <w:overflowPunct/>
        <w:topLinePunct w:val="0"/>
        <w:autoSpaceDE/>
        <w:autoSpaceDN/>
        <w:bidi w:val="0"/>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jc w:val="center"/>
        <w:textAlignment w:val="auto"/>
        <w:rPr>
          <w:rFonts w:hint="eastAsia" w:ascii="仿宋_GB2312" w:hAnsi="仿宋_GB2312" w:eastAsia="仿宋_GB2312" w:cs="仿宋_GB2312"/>
          <w:bCs/>
          <w:color w:val="auto"/>
          <w:kern w:val="2"/>
          <w:position w:val="0"/>
          <w:sz w:val="32"/>
          <w:szCs w:val="32"/>
          <w:highlight w:val="none"/>
          <w:u w:val="none"/>
          <w:lang w:eastAsia="zh-CN"/>
        </w:rPr>
      </w:pPr>
      <w:r>
        <w:rPr>
          <w:rFonts w:hint="eastAsia" w:ascii="仿宋_GB2312" w:hAnsi="仿宋_GB2312" w:eastAsia="仿宋_GB2312" w:cs="仿宋_GB2312"/>
          <w:bCs/>
          <w:color w:val="auto"/>
          <w:kern w:val="2"/>
          <w:position w:val="0"/>
          <w:sz w:val="32"/>
          <w:szCs w:val="32"/>
          <w:highlight w:val="none"/>
          <w:u w:val="none"/>
          <w:lang w:eastAsia="zh-CN"/>
        </w:rPr>
        <w:t>（</w:t>
      </w:r>
      <w:r>
        <w:rPr>
          <w:rFonts w:hint="eastAsia" w:ascii="仿宋_GB2312" w:hAnsi="仿宋_GB2312" w:eastAsia="仿宋_GB2312" w:cs="仿宋_GB2312"/>
          <w:bCs/>
          <w:i w:val="0"/>
          <w:color w:val="000000"/>
          <w:kern w:val="2"/>
          <w:position w:val="0"/>
          <w:sz w:val="32"/>
          <w:szCs w:val="32"/>
          <w:highlight w:val="none"/>
          <w:u w:val="none"/>
          <w:lang w:val="zh-CN" w:eastAsia="zh-CN" w:bidi="ar-SA"/>
        </w:rPr>
        <w:t>宝珠寺村党群服务中心亲民化改造项目</w:t>
      </w:r>
      <w:r>
        <w:rPr>
          <w:rFonts w:hint="eastAsia" w:ascii="仿宋_GB2312" w:hAnsi="仿宋_GB2312" w:eastAsia="仿宋_GB2312" w:cs="仿宋_GB2312"/>
          <w:bCs/>
          <w:color w:val="auto"/>
          <w:kern w:val="2"/>
          <w:position w:val="0"/>
          <w:sz w:val="32"/>
          <w:szCs w:val="32"/>
          <w:highlight w:val="none"/>
          <w:u w:val="none"/>
          <w:lang w:eastAsia="zh-CN"/>
        </w:rPr>
        <w:t>）</w:t>
      </w:r>
    </w:p>
    <w:p>
      <w:pPr>
        <w:pStyle w:val="2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center"/>
        <w:textAlignment w:val="auto"/>
        <w:rPr>
          <w:rFonts w:ascii="宋体" w:hAnsi="宋体"/>
          <w:color w:val="auto"/>
          <w:kern w:val="2"/>
          <w:positio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position w:val="0"/>
          <w:highlight w:val="none"/>
          <w:lang w:val="zh-CN"/>
        </w:rPr>
      </w:pPr>
      <w:r>
        <w:rPr>
          <w:rFonts w:hint="default" w:ascii="Times New Roman" w:hAnsi="Times New Roman" w:eastAsia="黑体" w:cs="Times New Roman"/>
          <w:position w:val="0"/>
          <w:highlight w:val="none"/>
        </w:rPr>
        <w:t>一、</w:t>
      </w:r>
      <w:r>
        <w:rPr>
          <w:rFonts w:hint="default" w:ascii="Times New Roman" w:hAnsi="Times New Roman" w:eastAsia="黑体" w:cs="Times New Roman"/>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随着乡村振兴战略的深入推进，群众对基层治理现代化和服务精细化有了需求，传统党群服务中心空间不足，功能单一，行政功能占地大于服务群众占地，群众办事效率低，未能发挥服务效能。为了切实解决</w:t>
      </w:r>
      <w:r>
        <w:rPr>
          <w:rFonts w:hint="eastAsia" w:cs="Times New Roman"/>
          <w:b w:val="0"/>
          <w:bCs/>
          <w:color w:val="auto"/>
          <w:position w:val="0"/>
          <w:sz w:val="32"/>
          <w:szCs w:val="32"/>
          <w:highlight w:val="none"/>
          <w:u w:val="none"/>
          <w:lang w:val="zh-CN"/>
        </w:rPr>
        <w:t>群众反映的热点难点</w:t>
      </w:r>
      <w:r>
        <w:rPr>
          <w:rFonts w:hint="default" w:ascii="Times New Roman" w:hAnsi="Times New Roman" w:eastAsia="仿宋_GB2312" w:cs="Times New Roman"/>
          <w:b w:val="0"/>
          <w:bCs/>
          <w:color w:val="auto"/>
          <w:position w:val="0"/>
          <w:sz w:val="32"/>
          <w:szCs w:val="32"/>
          <w:highlight w:val="none"/>
          <w:u w:val="none"/>
          <w:lang w:val="zh-CN"/>
        </w:rPr>
        <w:t>问题，增强政府决策的可行性和民主性，提升</w:t>
      </w:r>
      <w:r>
        <w:rPr>
          <w:rFonts w:hint="default" w:ascii="Times New Roman" w:hAnsi="Times New Roman" w:cs="Times New Roman"/>
          <w:b w:val="0"/>
          <w:bCs/>
          <w:color w:val="auto"/>
          <w:position w:val="0"/>
          <w:sz w:val="32"/>
          <w:szCs w:val="32"/>
          <w:highlight w:val="none"/>
          <w:u w:val="none"/>
          <w:lang w:val="zh-CN"/>
        </w:rPr>
        <w:t>党群服务中心办事</w:t>
      </w:r>
      <w:r>
        <w:rPr>
          <w:rFonts w:hint="default" w:ascii="Times New Roman" w:hAnsi="Times New Roman" w:eastAsia="仿宋_GB2312" w:cs="Times New Roman"/>
          <w:b w:val="0"/>
          <w:bCs/>
          <w:color w:val="auto"/>
          <w:position w:val="0"/>
          <w:sz w:val="32"/>
          <w:szCs w:val="32"/>
          <w:highlight w:val="none"/>
          <w:u w:val="none"/>
          <w:lang w:val="zh-CN"/>
        </w:rPr>
        <w:t>能力，我镇建立宝珠寺村党群服务中心亲民化改造项目。项目主要内容是对</w:t>
      </w:r>
      <w:r>
        <w:rPr>
          <w:rFonts w:hint="default" w:ascii="Times New Roman" w:hAnsi="Times New Roman" w:cs="Times New Roman"/>
          <w:b w:val="0"/>
          <w:bCs/>
          <w:color w:val="auto"/>
          <w:position w:val="0"/>
          <w:sz w:val="32"/>
          <w:szCs w:val="32"/>
          <w:highlight w:val="none"/>
          <w:u w:val="none"/>
          <w:lang w:val="zh-CN"/>
        </w:rPr>
        <w:t>宝珠寺</w:t>
      </w:r>
      <w:r>
        <w:rPr>
          <w:rFonts w:hint="default" w:ascii="Times New Roman" w:hAnsi="Times New Roman" w:eastAsia="仿宋_GB2312" w:cs="Times New Roman"/>
          <w:b w:val="0"/>
          <w:bCs/>
          <w:color w:val="auto"/>
          <w:position w:val="0"/>
          <w:sz w:val="32"/>
          <w:szCs w:val="32"/>
          <w:highlight w:val="none"/>
          <w:u w:val="none"/>
          <w:lang w:val="zh-CN"/>
        </w:rPr>
        <w:t>村党群服务中心进行改造。聚贤镇人民政府作为主管部门，主要职能包括统筹规划项目实施，协调各方资源，监督项目资金拨付到位，确保项目顺利完成。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实施目的及支持方向。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left"/>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eastAsia="zh-CN"/>
        </w:rPr>
        <w:t>项目资金严格按照财务会计管理，</w:t>
      </w:r>
      <w:r>
        <w:rPr>
          <w:rFonts w:hint="eastAsia" w:cs="Times New Roman"/>
          <w:b w:val="0"/>
          <w:bCs/>
          <w:color w:val="auto"/>
          <w:position w:val="0"/>
          <w:sz w:val="32"/>
          <w:szCs w:val="32"/>
          <w:highlight w:val="none"/>
          <w:u w:val="none"/>
          <w:lang w:val="zh-CN" w:eastAsia="zh-CN"/>
        </w:rPr>
        <w:t>实行</w:t>
      </w:r>
      <w:r>
        <w:rPr>
          <w:rFonts w:hint="default" w:ascii="Times New Roman" w:hAnsi="Times New Roman" w:eastAsia="仿宋_GB2312" w:cs="Times New Roman"/>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w:t>
      </w:r>
      <w:r>
        <w:rPr>
          <w:rFonts w:hint="default" w:ascii="Times New Roman" w:hAnsi="Times New Roman" w:cs="Times New Roman"/>
          <w:b w:val="0"/>
          <w:bCs/>
          <w:color w:val="auto"/>
          <w:position w:val="0"/>
          <w:sz w:val="32"/>
          <w:szCs w:val="32"/>
          <w:highlight w:val="none"/>
          <w:u w:val="none"/>
          <w:lang w:val="zh-CN" w:eastAsia="zh-CN"/>
        </w:rPr>
        <w:t>是</w:t>
      </w:r>
      <w:r>
        <w:rPr>
          <w:rFonts w:hint="default" w:ascii="Times New Roman" w:hAnsi="Times New Roman" w:eastAsia="仿宋_GB2312" w:cs="Times New Roman"/>
          <w:b w:val="0"/>
          <w:bCs/>
          <w:color w:val="auto"/>
          <w:position w:val="0"/>
          <w:sz w:val="32"/>
          <w:szCs w:val="32"/>
          <w:highlight w:val="none"/>
          <w:u w:val="none"/>
          <w:lang w:val="zh-CN"/>
        </w:rPr>
        <w:t>对</w:t>
      </w:r>
      <w:r>
        <w:rPr>
          <w:rFonts w:hint="default" w:ascii="Times New Roman" w:hAnsi="Times New Roman" w:cs="Times New Roman"/>
          <w:b w:val="0"/>
          <w:bCs/>
          <w:color w:val="auto"/>
          <w:position w:val="0"/>
          <w:sz w:val="32"/>
          <w:szCs w:val="32"/>
          <w:highlight w:val="none"/>
          <w:u w:val="none"/>
          <w:lang w:val="zh-CN"/>
        </w:rPr>
        <w:t>宝珠寺</w:t>
      </w:r>
      <w:r>
        <w:rPr>
          <w:rFonts w:hint="default" w:ascii="Times New Roman" w:hAnsi="Times New Roman" w:eastAsia="仿宋_GB2312" w:cs="Times New Roman"/>
          <w:b w:val="0"/>
          <w:bCs/>
          <w:color w:val="auto"/>
          <w:position w:val="0"/>
          <w:sz w:val="32"/>
          <w:szCs w:val="32"/>
          <w:highlight w:val="none"/>
          <w:u w:val="none"/>
          <w:lang w:val="zh-CN"/>
        </w:rPr>
        <w:t>村党群服务中心进行改造</w:t>
      </w:r>
      <w:r>
        <w:rPr>
          <w:rFonts w:hint="default" w:ascii="Times New Roman" w:hAnsi="Times New Roman" w:eastAsia="仿宋_GB2312" w:cs="Times New Roman"/>
          <w:b w:val="0"/>
          <w:bCs/>
          <w:color w:val="auto"/>
          <w:position w:val="0"/>
          <w:sz w:val="32"/>
          <w:szCs w:val="32"/>
          <w:highlight w:val="none"/>
          <w:u w:val="none"/>
          <w:lang w:val="zh-CN" w:eastAsia="zh-CN"/>
        </w:rPr>
        <w:t>。主要工作任务是对</w:t>
      </w:r>
      <w:r>
        <w:rPr>
          <w:rFonts w:hint="default" w:ascii="Times New Roman" w:hAnsi="Times New Roman" w:cs="Times New Roman"/>
          <w:b w:val="0"/>
          <w:bCs/>
          <w:color w:val="auto"/>
          <w:position w:val="0"/>
          <w:sz w:val="32"/>
          <w:szCs w:val="32"/>
          <w:highlight w:val="none"/>
          <w:u w:val="none"/>
          <w:lang w:val="zh-CN" w:eastAsia="zh-CN"/>
        </w:rPr>
        <w:t>党群服务中心</w:t>
      </w:r>
      <w:r>
        <w:rPr>
          <w:rFonts w:hint="default" w:ascii="Times New Roman" w:hAnsi="Times New Roman" w:eastAsia="仿宋_GB2312" w:cs="Times New Roman"/>
          <w:b w:val="0"/>
          <w:bCs/>
          <w:color w:val="auto"/>
          <w:position w:val="0"/>
          <w:sz w:val="32"/>
          <w:szCs w:val="32"/>
          <w:highlight w:val="none"/>
          <w:u w:val="none"/>
          <w:lang w:val="zh-CN" w:eastAsia="zh-CN"/>
        </w:rPr>
        <w:t>、新时代文明实践站、</w:t>
      </w:r>
      <w:r>
        <w:rPr>
          <w:rFonts w:hint="default" w:ascii="Times New Roman" w:hAnsi="Times New Roman" w:cs="Times New Roman"/>
          <w:b w:val="0"/>
          <w:bCs/>
          <w:color w:val="auto"/>
          <w:position w:val="0"/>
          <w:sz w:val="32"/>
          <w:szCs w:val="32"/>
          <w:highlight w:val="none"/>
          <w:u w:val="none"/>
          <w:lang w:val="zh-CN" w:eastAsia="zh-CN"/>
        </w:rPr>
        <w:t>便民服务中心、村民之家、多功能室、农产品展示厅、室外绿化</w:t>
      </w:r>
      <w:r>
        <w:rPr>
          <w:rFonts w:hint="default" w:ascii="Times New Roman" w:hAnsi="Times New Roman" w:eastAsia="仿宋_GB2312" w:cs="Times New Roman"/>
          <w:b w:val="0"/>
          <w:bCs/>
          <w:color w:val="auto"/>
          <w:position w:val="0"/>
          <w:sz w:val="32"/>
          <w:szCs w:val="32"/>
          <w:highlight w:val="none"/>
          <w:u w:val="none"/>
          <w:lang w:val="zh-CN" w:eastAsia="zh-CN"/>
        </w:rPr>
        <w:t>等进行改造装修。项目支持方向是民生保障领域，重点解决群众问题。</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eastAsia="zh-CN"/>
        </w:rPr>
        <w:t>（三）</w:t>
      </w:r>
      <w:r>
        <w:rPr>
          <w:rFonts w:hint="default" w:ascii="Times New Roman" w:hAnsi="Times New Roman" w:eastAsia="楷体_GB2312" w:cs="Times New Roman"/>
          <w:b/>
          <w:color w:val="auto"/>
          <w:position w:val="0"/>
          <w:sz w:val="32"/>
          <w:szCs w:val="32"/>
          <w:highlight w:val="none"/>
          <w:u w:val="none"/>
          <w:lang w:val="en-US" w:eastAsia="zh-CN"/>
        </w:rPr>
        <w:t>预算安排及分配管理</w:t>
      </w:r>
      <w:r>
        <w:rPr>
          <w:rFonts w:hint="default" w:ascii="Times New Roman" w:hAnsi="Times New Roman"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b w:val="0"/>
          <w:bCs/>
          <w:color w:val="auto"/>
          <w:position w:val="0"/>
          <w:sz w:val="32"/>
          <w:szCs w:val="32"/>
          <w:highlight w:val="none"/>
          <w:u w:val="none"/>
          <w:lang w:val="zh-CN" w:eastAsia="zh-CN"/>
        </w:rPr>
        <w:t>预算总额为</w:t>
      </w:r>
      <w:r>
        <w:rPr>
          <w:rFonts w:hint="default" w:ascii="Times New Roman" w:hAnsi="Times New Roman" w:cs="Times New Roman"/>
          <w:b w:val="0"/>
          <w:bCs/>
          <w:color w:val="auto"/>
          <w:position w:val="0"/>
          <w:sz w:val="32"/>
          <w:szCs w:val="32"/>
          <w:highlight w:val="none"/>
          <w:u w:val="none"/>
          <w:lang w:val="en-US" w:eastAsia="zh-CN"/>
        </w:rPr>
        <w:t>28</w:t>
      </w:r>
      <w:r>
        <w:rPr>
          <w:rFonts w:hint="default" w:ascii="Times New Roman" w:hAnsi="Times New Roman" w:eastAsia="仿宋_GB2312" w:cs="Times New Roman"/>
          <w:b w:val="0"/>
          <w:bCs/>
          <w:color w:val="auto"/>
          <w:position w:val="0"/>
          <w:sz w:val="32"/>
          <w:szCs w:val="32"/>
          <w:highlight w:val="none"/>
          <w:u w:val="none"/>
          <w:lang w:val="zh-CN" w:eastAsia="zh-CN"/>
        </w:rPr>
        <w:t>万元，其中财政资金</w:t>
      </w:r>
      <w:r>
        <w:rPr>
          <w:rFonts w:hint="default" w:ascii="Times New Roman" w:hAnsi="Times New Roman" w:cs="Times New Roman"/>
          <w:b w:val="0"/>
          <w:bCs/>
          <w:color w:val="auto"/>
          <w:position w:val="0"/>
          <w:sz w:val="32"/>
          <w:szCs w:val="32"/>
          <w:highlight w:val="none"/>
          <w:u w:val="none"/>
          <w:lang w:val="en-US" w:eastAsia="zh-CN"/>
        </w:rPr>
        <w:t>28</w:t>
      </w:r>
      <w:r>
        <w:rPr>
          <w:rFonts w:hint="default" w:ascii="Times New Roman" w:hAnsi="Times New Roman" w:eastAsia="仿宋_GB2312" w:cs="Times New Roman"/>
          <w:b w:val="0"/>
          <w:bCs/>
          <w:color w:val="auto"/>
          <w:position w:val="0"/>
          <w:sz w:val="32"/>
          <w:szCs w:val="32"/>
          <w:highlight w:val="none"/>
          <w:u w:val="none"/>
          <w:lang w:val="zh-CN" w:eastAsia="zh-CN"/>
        </w:rPr>
        <w:t>万元。项目资金</w:t>
      </w:r>
      <w:r>
        <w:rPr>
          <w:rFonts w:hint="default" w:ascii="Times New Roman" w:hAnsi="Times New Roman" w:cs="Times New Roman"/>
          <w:b w:val="0"/>
          <w:bCs/>
          <w:color w:val="auto"/>
          <w:position w:val="0"/>
          <w:sz w:val="32"/>
          <w:szCs w:val="32"/>
          <w:highlight w:val="none"/>
          <w:u w:val="none"/>
          <w:lang w:val="en-US" w:eastAsia="zh-CN"/>
        </w:rPr>
        <w:t>28万元都</w:t>
      </w:r>
      <w:r>
        <w:rPr>
          <w:rFonts w:hint="default" w:ascii="Times New Roman" w:hAnsi="Times New Roman" w:eastAsia="仿宋_GB2312" w:cs="Times New Roman"/>
          <w:b w:val="0"/>
          <w:bCs/>
          <w:color w:val="auto"/>
          <w:position w:val="0"/>
          <w:sz w:val="32"/>
          <w:szCs w:val="32"/>
          <w:highlight w:val="none"/>
          <w:u w:val="none"/>
          <w:lang w:val="zh-CN" w:eastAsia="zh-CN"/>
        </w:rPr>
        <w:t>用于</w:t>
      </w:r>
      <w:r>
        <w:rPr>
          <w:rFonts w:hint="default" w:ascii="Times New Roman" w:hAnsi="Times New Roman" w:cs="Times New Roman"/>
          <w:b w:val="0"/>
          <w:bCs/>
          <w:color w:val="auto"/>
          <w:position w:val="0"/>
          <w:sz w:val="32"/>
          <w:szCs w:val="32"/>
          <w:highlight w:val="none"/>
          <w:u w:val="none"/>
          <w:lang w:val="zh-CN"/>
        </w:rPr>
        <w:t>宝珠寺</w:t>
      </w:r>
      <w:r>
        <w:rPr>
          <w:rFonts w:hint="default" w:ascii="Times New Roman" w:hAnsi="Times New Roman" w:eastAsia="仿宋_GB2312" w:cs="Times New Roman"/>
          <w:b w:val="0"/>
          <w:bCs/>
          <w:color w:val="auto"/>
          <w:position w:val="0"/>
          <w:sz w:val="32"/>
          <w:szCs w:val="32"/>
          <w:highlight w:val="none"/>
          <w:u w:val="none"/>
          <w:lang w:val="zh-CN"/>
        </w:rPr>
        <w:t>村党群服务中心改造</w:t>
      </w:r>
      <w:r>
        <w:rPr>
          <w:rFonts w:hint="default" w:ascii="Times New Roman" w:hAnsi="Times New Roman" w:eastAsia="仿宋_GB2312" w:cs="Times New Roman"/>
          <w:b w:val="0"/>
          <w:bCs/>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cs="Times New Roman"/>
          <w:color w:val="auto"/>
          <w:kern w:val="0"/>
          <w:position w:val="0"/>
          <w:sz w:val="32"/>
          <w:szCs w:val="32"/>
          <w:highlight w:val="none"/>
          <w:u w:val="none"/>
          <w:shd w:val="clear" w:color="auto" w:fill="FFFFFF"/>
          <w:lang w:val="zh-CN" w:eastAsia="zh-CN"/>
        </w:rPr>
      </w:pPr>
      <w:r>
        <w:rPr>
          <w:rFonts w:hint="default" w:ascii="Times New Roman" w:hAnsi="Times New Roman"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lang w:val="en-US" w:eastAsia="zh-CN"/>
        </w:rPr>
      </w:pPr>
      <w:r>
        <w:rPr>
          <w:rFonts w:hint="default" w:ascii="Times New Roman" w:hAnsi="Times New Roman" w:eastAsia="仿宋_GB2312" w:cs="Times New Roman"/>
          <w:position w:val="0"/>
          <w:highlight w:val="none"/>
          <w:lang w:eastAsia="zh-CN"/>
        </w:rPr>
        <w:t>整体绩效目标：</w:t>
      </w: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position w:val="0"/>
          <w:highlight w:val="none"/>
          <w:lang w:val="en-US" w:eastAsia="zh-CN"/>
        </w:rPr>
        <w:t>顺利实施，党群服务中心</w:t>
      </w:r>
      <w:r>
        <w:rPr>
          <w:rFonts w:hint="default" w:ascii="Times New Roman" w:hAnsi="Times New Roman" w:cs="Times New Roman"/>
          <w:position w:val="0"/>
          <w:highlight w:val="none"/>
          <w:lang w:val="en-US" w:eastAsia="zh-CN"/>
        </w:rPr>
        <w:t>改造升级后</w:t>
      </w:r>
      <w:r>
        <w:rPr>
          <w:rFonts w:hint="default" w:ascii="Times New Roman" w:hAnsi="Times New Roman" w:eastAsia="仿宋_GB2312" w:cs="Times New Roman"/>
          <w:position w:val="0"/>
          <w:highlight w:val="none"/>
          <w:lang w:val="en-US" w:eastAsia="zh-CN"/>
        </w:rPr>
        <w:t>能够符合群众需求，解决群众问题。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lang w:eastAsia="zh-CN"/>
        </w:rPr>
      </w:pPr>
      <w:r>
        <w:rPr>
          <w:rFonts w:hint="default" w:ascii="Times New Roman" w:hAnsi="Times New Roman" w:eastAsia="仿宋_GB2312" w:cs="Times New Roman"/>
          <w:position w:val="0"/>
          <w:highlight w:val="none"/>
          <w:lang w:eastAsia="zh-CN"/>
        </w:rPr>
        <w:t>区域绩效目标：标准化建设党群服务中心，实现服务集成、群体全面覆盖，治理延伸的功能。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highlight w:val="none"/>
        </w:rPr>
      </w:pPr>
      <w:r>
        <w:rPr>
          <w:rFonts w:hint="default" w:ascii="Times New Roman" w:hAnsi="Times New Roman" w:eastAsia="仿宋_GB2312" w:cs="Times New Roman"/>
          <w:position w:val="0"/>
          <w:highlight w:val="none"/>
          <w:lang w:eastAsia="zh-CN"/>
        </w:rPr>
        <w:t>具体绩效目标：保障</w:t>
      </w:r>
      <w:r>
        <w:rPr>
          <w:rFonts w:hint="default" w:ascii="Times New Roman" w:hAnsi="Times New Roman" w:cs="Times New Roman"/>
          <w:position w:val="0"/>
          <w:highlight w:val="none"/>
          <w:lang w:eastAsia="zh-CN"/>
        </w:rPr>
        <w:t>人数≥</w:t>
      </w:r>
      <w:r>
        <w:rPr>
          <w:rFonts w:hint="default" w:ascii="Times New Roman" w:hAnsi="Times New Roman" w:cs="Times New Roman"/>
          <w:position w:val="0"/>
          <w:highlight w:val="none"/>
          <w:lang w:val="en-US" w:eastAsia="zh-CN"/>
        </w:rPr>
        <w:t>500人</w:t>
      </w:r>
      <w:r>
        <w:rPr>
          <w:rFonts w:hint="default" w:ascii="Times New Roman" w:hAnsi="Times New Roman" w:eastAsia="仿宋_GB2312" w:cs="Times New Roman"/>
          <w:position w:val="0"/>
          <w:highlight w:val="none"/>
          <w:lang w:val="en-US" w:eastAsia="zh-CN"/>
        </w:rPr>
        <w:t>；项目建设质量合格；项目开展时间2024年；</w:t>
      </w:r>
      <w:r>
        <w:rPr>
          <w:rFonts w:hint="default" w:ascii="Times New Roman" w:hAnsi="Times New Roman" w:eastAsia="仿宋_GB2312" w:cs="Times New Roman"/>
          <w:position w:val="0"/>
          <w:sz w:val="32"/>
          <w:szCs w:val="32"/>
        </w:rPr>
        <w:t>提升服务温度，办事环境不断优化</w:t>
      </w:r>
      <w:r>
        <w:rPr>
          <w:rFonts w:hint="default" w:ascii="Times New Roman" w:hAnsi="Times New Roman" w:eastAsia="仿宋_GB2312" w:cs="Times New Roman"/>
          <w:position w:val="0"/>
          <w:highlight w:val="none"/>
          <w:lang w:val="en-US" w:eastAsia="zh-CN"/>
        </w:rPr>
        <w:t>；群众满意度≥90%。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highlight w:val="none"/>
          <w:lang w:eastAsia="zh-CN"/>
        </w:rPr>
      </w:pPr>
      <w:r>
        <w:rPr>
          <w:rFonts w:hint="default" w:ascii="Times New Roman" w:hAnsi="Times New Roman" w:eastAsia="黑体" w:cs="Times New Roman"/>
          <w:position w:val="0"/>
          <w:highlight w:val="none"/>
        </w:rPr>
        <w:t>二、</w:t>
      </w:r>
      <w:r>
        <w:rPr>
          <w:rFonts w:hint="default" w:ascii="Times New Roman" w:hAnsi="Times New Roman" w:eastAsia="黑体" w:cs="Times New Roman"/>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position w:val="0"/>
          <w:szCs w:val="32"/>
        </w:rPr>
      </w:pPr>
      <w:r>
        <w:rPr>
          <w:rFonts w:hint="default" w:ascii="Times New Roman" w:hAnsi="Times New Roman" w:eastAsia="楷体_GB2312" w:cs="Times New Roman"/>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通过对比项目实际成果与预设绩效目标，验证目标完成情况；总结项目经验，发现项目问题，改进同类项目方向，有利于优化资源配置效率，提升过程管控能力。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预设问题包括资金支出是否规范；</w:t>
      </w:r>
      <w:r>
        <w:rPr>
          <w:rFonts w:hint="default" w:ascii="Times New Roman" w:hAnsi="Times New Roman" w:cs="Times New Roman"/>
          <w:b w:val="0"/>
          <w:bCs/>
          <w:color w:val="auto"/>
          <w:position w:val="0"/>
          <w:sz w:val="32"/>
          <w:szCs w:val="32"/>
          <w:highlight w:val="none"/>
          <w:u w:val="none"/>
          <w:lang w:val="zh-CN"/>
        </w:rPr>
        <w:t>党群服务中心改造升级</w:t>
      </w:r>
      <w:r>
        <w:rPr>
          <w:rFonts w:hint="default" w:ascii="Times New Roman" w:hAnsi="Times New Roman" w:eastAsia="仿宋_GB2312" w:cs="Times New Roman"/>
          <w:b w:val="0"/>
          <w:bCs/>
          <w:color w:val="auto"/>
          <w:position w:val="0"/>
          <w:sz w:val="32"/>
          <w:szCs w:val="32"/>
          <w:highlight w:val="none"/>
          <w:u w:val="none"/>
          <w:lang w:val="zh-CN"/>
        </w:rPr>
        <w:t>是否</w:t>
      </w:r>
      <w:r>
        <w:rPr>
          <w:rFonts w:hint="default" w:ascii="Times New Roman" w:hAnsi="Times New Roman" w:cs="Times New Roman"/>
          <w:b w:val="0"/>
          <w:bCs/>
          <w:color w:val="auto"/>
          <w:position w:val="0"/>
          <w:sz w:val="32"/>
          <w:szCs w:val="32"/>
          <w:highlight w:val="none"/>
          <w:u w:val="none"/>
          <w:lang w:val="zh-CN"/>
        </w:rPr>
        <w:t>合格</w:t>
      </w:r>
      <w:r>
        <w:rPr>
          <w:rFonts w:hint="default" w:ascii="Times New Roman" w:hAnsi="Times New Roman" w:eastAsia="仿宋_GB2312" w:cs="Times New Roman"/>
          <w:b w:val="0"/>
          <w:bCs/>
          <w:color w:val="auto"/>
          <w:position w:val="0"/>
          <w:sz w:val="32"/>
          <w:szCs w:val="32"/>
          <w:highlight w:val="none"/>
          <w:u w:val="none"/>
          <w:lang w:val="zh-CN"/>
        </w:rPr>
        <w:t>；</w:t>
      </w:r>
      <w:r>
        <w:rPr>
          <w:rFonts w:hint="default" w:ascii="Times New Roman" w:hAnsi="Times New Roman" w:eastAsia="仿宋_GB2312" w:cs="Times New Roman"/>
          <w:position w:val="0"/>
          <w:sz w:val="32"/>
          <w:szCs w:val="32"/>
        </w:rPr>
        <w:t>提升服务温度，办事环境</w:t>
      </w:r>
      <w:r>
        <w:rPr>
          <w:rFonts w:hint="default" w:ascii="Times New Roman" w:hAnsi="Times New Roman" w:cs="Times New Roman"/>
          <w:b w:val="0"/>
          <w:bCs/>
          <w:color w:val="auto"/>
          <w:position w:val="0"/>
          <w:sz w:val="32"/>
          <w:szCs w:val="32"/>
          <w:highlight w:val="none"/>
          <w:u w:val="none"/>
          <w:lang w:val="zh-CN"/>
        </w:rPr>
        <w:t>是否</w:t>
      </w:r>
      <w:r>
        <w:rPr>
          <w:rFonts w:hint="default" w:ascii="Times New Roman" w:hAnsi="Times New Roman" w:eastAsia="仿宋_GB2312" w:cs="Times New Roman"/>
          <w:position w:val="0"/>
          <w:sz w:val="32"/>
          <w:szCs w:val="32"/>
        </w:rPr>
        <w:t>不断优化</w:t>
      </w:r>
      <w:r>
        <w:rPr>
          <w:rFonts w:hint="default" w:ascii="Times New Roman" w:hAnsi="Times New Roman" w:cs="Times New Roman"/>
          <w:b w:val="0"/>
          <w:bCs/>
          <w:color w:val="auto"/>
          <w:position w:val="0"/>
          <w:sz w:val="32"/>
          <w:szCs w:val="32"/>
          <w:highlight w:val="none"/>
          <w:u w:val="none"/>
          <w:lang w:val="zh-CN"/>
        </w:rPr>
        <w:t>；</w:t>
      </w:r>
      <w:r>
        <w:rPr>
          <w:rFonts w:hint="default" w:ascii="Times New Roman" w:hAnsi="Times New Roman" w:eastAsia="仿宋_GB2312" w:cs="Times New Roman"/>
          <w:b w:val="0"/>
          <w:bCs/>
          <w:color w:val="auto"/>
          <w:position w:val="0"/>
          <w:sz w:val="32"/>
          <w:szCs w:val="32"/>
          <w:highlight w:val="none"/>
          <w:u w:val="none"/>
          <w:lang w:val="zh-CN"/>
        </w:rPr>
        <w:t>群众是否满意等。评价重点围绕资金支出使用全过程及其实施效果，依据绩效评价指标体系，对项目预算、管理、实施、结果进行综合性评价和判断。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本次项目绩效自评选取</w:t>
      </w:r>
      <w:r>
        <w:rPr>
          <w:rFonts w:hint="default" w:ascii="Times New Roman" w:hAnsi="Times New Roman" w:cs="Times New Roman"/>
          <w:b w:val="0"/>
          <w:bCs/>
          <w:color w:val="auto"/>
          <w:position w:val="0"/>
          <w:sz w:val="32"/>
          <w:szCs w:val="32"/>
          <w:highlight w:val="none"/>
          <w:u w:val="none"/>
          <w:lang w:val="zh-CN"/>
        </w:rPr>
        <w:t>宝珠寺村党群服务中心</w:t>
      </w:r>
      <w:r>
        <w:rPr>
          <w:rFonts w:hint="default" w:ascii="Times New Roman" w:hAnsi="Times New Roman" w:eastAsia="仿宋_GB2312" w:cs="Times New Roman"/>
          <w:b w:val="0"/>
          <w:bCs/>
          <w:color w:val="auto"/>
          <w:position w:val="0"/>
          <w:sz w:val="32"/>
          <w:szCs w:val="32"/>
          <w:highlight w:val="none"/>
          <w:u w:val="none"/>
          <w:lang w:val="zh-CN"/>
        </w:rPr>
        <w:t>作为抽样点位，确保评价能够全面</w:t>
      </w:r>
      <w:r>
        <w:rPr>
          <w:rFonts w:hint="default" w:ascii="Times New Roman" w:hAnsi="Times New Roman" w:cs="Times New Roman"/>
          <w:b w:val="0"/>
          <w:bCs/>
          <w:color w:val="auto"/>
          <w:position w:val="0"/>
          <w:sz w:val="32"/>
          <w:szCs w:val="32"/>
          <w:highlight w:val="none"/>
          <w:u w:val="none"/>
          <w:lang w:val="zh-CN"/>
        </w:rPr>
        <w:t>反映</w:t>
      </w:r>
      <w:r>
        <w:rPr>
          <w:rFonts w:hint="default" w:ascii="Times New Roman" w:hAnsi="Times New Roman" w:eastAsia="仿宋_GB2312" w:cs="Times New Roman"/>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position w:val="0"/>
          <w:szCs w:val="32"/>
          <w:lang w:eastAsia="zh-CN"/>
        </w:rPr>
      </w:pPr>
      <w:r>
        <w:rPr>
          <w:rFonts w:hint="default" w:ascii="Times New Roman" w:hAnsi="Times New Roman" w:eastAsia="楷体_GB2312" w:cs="Times New Roman"/>
          <w:b/>
          <w:color w:val="auto"/>
          <w:position w:val="0"/>
          <w:sz w:val="32"/>
          <w:szCs w:val="32"/>
          <w:highlight w:val="none"/>
          <w:u w:val="none"/>
          <w:lang w:val="zh-CN"/>
        </w:rPr>
        <w:t>（四）评价方法</w:t>
      </w:r>
      <w:r>
        <w:rPr>
          <w:rFonts w:hint="default" w:ascii="Times New Roman" w:hAnsi="Times New Roman" w:cs="Times New Roman"/>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问卷调查法：设计调查问卷，随机抽取村民及过往群众填报问卷，了解群众对项目实施的意见、建议以及群众满意度。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实地调查法：通过去党群服务中心现场了解党群服务中心改造程度以及工作情况。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Cs/>
          <w:position w:val="0"/>
          <w:lang w:eastAsia="zh-CN"/>
        </w:rPr>
      </w:pPr>
      <w:r>
        <w:rPr>
          <w:rFonts w:hint="default" w:ascii="Times New Roman" w:hAnsi="Times New Roman" w:eastAsia="楷体_GB2312" w:cs="Times New Roman"/>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仿宋_GB2312" w:cs="Times New Roman"/>
          <w:color w:val="auto"/>
          <w:position w:val="0"/>
          <w:sz w:val="32"/>
          <w:szCs w:val="32"/>
          <w:highlight w:val="none"/>
          <w:u w:val="none"/>
        </w:rPr>
        <w:t>本次绩效评价工作成立了政府牵头组建的绩效评价小组（包括财政部门、业务部门、纪委监察部门等多个部门），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position w:val="0"/>
          <w:szCs w:val="32"/>
          <w:lang w:val="en-US" w:eastAsia="zh-CN"/>
        </w:rPr>
      </w:pPr>
      <w:r>
        <w:rPr>
          <w:rFonts w:hint="default" w:ascii="Times New Roman" w:hAnsi="Times New Roman" w:eastAsia="黑体" w:cs="Times New Roman"/>
          <w:color w:val="auto"/>
          <w:position w:val="0"/>
          <w:sz w:val="32"/>
          <w:szCs w:val="32"/>
          <w:highlight w:val="none"/>
          <w:u w:val="none"/>
        </w:rPr>
        <w:t>三、</w:t>
      </w:r>
      <w:r>
        <w:rPr>
          <w:rFonts w:hint="default" w:ascii="Times New Roman" w:hAnsi="Times New Roman" w:eastAsia="黑体" w:cs="Times New Roman"/>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楷体_GB2312" w:cs="Times New Roman"/>
          <w:b/>
          <w:color w:val="auto"/>
          <w:position w:val="0"/>
          <w:sz w:val="32"/>
          <w:szCs w:val="32"/>
          <w:highlight w:val="none"/>
          <w:u w:val="none"/>
          <w:lang w:val="zh-CN"/>
        </w:rPr>
        <w:t>（一）</w:t>
      </w:r>
      <w:r>
        <w:rPr>
          <w:rFonts w:hint="default" w:ascii="Times New Roman" w:hAnsi="Times New Roman"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1.项目决策</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color w:val="auto"/>
          <w:position w:val="0"/>
          <w:szCs w:val="32"/>
          <w:lang w:val="en-US" w:eastAsia="zh-CN"/>
        </w:rPr>
        <w:t>为初次申报项目，立项经过镇党委会审议通过，决策程序规范；前期通过实地调研、问卷调查等形式，开展了充分的论证，规划合理；</w:t>
      </w: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color w:val="auto"/>
          <w:position w:val="0"/>
          <w:szCs w:val="32"/>
          <w:lang w:val="en-US" w:eastAsia="zh-CN"/>
        </w:rPr>
        <w:t>聚焦民生保障领域，符合群众需求。该项指标18分、得18分。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2.项目管理</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为使项目如期完成，结合聚贤镇实际情况，</w:t>
      </w: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b w:val="0"/>
          <w:bCs w:val="0"/>
          <w:color w:val="auto"/>
          <w:position w:val="0"/>
          <w:sz w:val="32"/>
          <w:szCs w:val="32"/>
          <w:highlight w:val="none"/>
          <w:u w:val="none"/>
          <w:lang w:val="en-US" w:eastAsia="zh-CN"/>
        </w:rPr>
        <w:t>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3.项目实施。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预算执行率100%，未出现截留、挤占、挪用等情况，资金使用规范。该项指标9分，得9分。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4.项目结果。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b w:val="0"/>
          <w:bCs w:val="0"/>
          <w:color w:val="auto"/>
          <w:position w:val="0"/>
          <w:sz w:val="32"/>
          <w:szCs w:val="32"/>
          <w:highlight w:val="none"/>
          <w:u w:val="none"/>
          <w:lang w:val="en-US" w:eastAsia="zh-CN"/>
        </w:rPr>
        <w:t>绩效目标完成，均按时完工，达到预期效果。该项指标9分，得9分。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color w:val="auto"/>
          <w:position w:val="0"/>
          <w:sz w:val="32"/>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cs="Times New Roman"/>
          <w:b w:val="0"/>
          <w:bCs w:val="0"/>
          <w:color w:val="auto"/>
          <w:position w:val="0"/>
          <w:sz w:val="32"/>
          <w:szCs w:val="32"/>
          <w:highlight w:val="none"/>
          <w:u w:val="none"/>
          <w:lang w:val="en-US" w:eastAsia="zh-CN"/>
        </w:rPr>
        <w:t>属于民生保障类项目，具体分析如下：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区域均衡性：宝珠寺村党群服务中心亲民化改造项目</w:t>
      </w:r>
      <w:r>
        <w:rPr>
          <w:rFonts w:hint="default" w:ascii="Times New Roman" w:hAnsi="Times New Roman" w:cs="Times New Roman"/>
          <w:position w:val="0"/>
          <w:highlight w:val="none"/>
          <w:lang w:val="en-US" w:eastAsia="zh-CN"/>
        </w:rPr>
        <w:t>的实施，宝珠寺村党群服务中心进行改造，党群</w:t>
      </w:r>
      <w:r>
        <w:rPr>
          <w:rFonts w:hint="eastAsia" w:cs="Times New Roman"/>
          <w:position w:val="0"/>
          <w:highlight w:val="none"/>
          <w:lang w:val="en-US" w:eastAsia="zh-CN"/>
        </w:rPr>
        <w:t>服务中心</w:t>
      </w:r>
      <w:r>
        <w:rPr>
          <w:rFonts w:hint="default" w:ascii="Times New Roman" w:hAnsi="Times New Roman" w:cs="Times New Roman"/>
          <w:position w:val="0"/>
          <w:highlight w:val="none"/>
          <w:lang w:val="en-US" w:eastAsia="zh-CN"/>
        </w:rPr>
        <w:t>面向的服务对象是所有群众，这使</w:t>
      </w:r>
      <w:r>
        <w:rPr>
          <w:rFonts w:hint="default" w:ascii="Times New Roman" w:hAnsi="Times New Roman" w:cs="Times New Roman"/>
          <w:b w:val="0"/>
          <w:bCs/>
          <w:color w:val="auto"/>
          <w:position w:val="0"/>
          <w:sz w:val="32"/>
          <w:szCs w:val="32"/>
          <w:highlight w:val="none"/>
          <w:u w:val="none"/>
          <w:lang w:val="en-US" w:eastAsia="zh-CN"/>
        </w:rPr>
        <w:t>区域间差距缩小。</w:t>
      </w:r>
      <w:r>
        <w:rPr>
          <w:rFonts w:hint="default" w:ascii="Times New Roman" w:hAnsi="Times New Roman" w:eastAsia="仿宋_GB2312" w:cs="Times New Roman"/>
          <w:b w:val="0"/>
          <w:bCs/>
          <w:color w:val="auto"/>
          <w:position w:val="0"/>
          <w:sz w:val="32"/>
          <w:szCs w:val="32"/>
          <w:highlight w:val="none"/>
          <w:u w:val="none"/>
          <w:lang w:val="en-US" w:eastAsia="zh-CN"/>
        </w:rPr>
        <w:t>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对象精准性：宝珠寺村党群服务中心亲民化改造项目</w:t>
      </w:r>
      <w:r>
        <w:rPr>
          <w:rFonts w:hint="default" w:ascii="Times New Roman" w:hAnsi="Times New Roman" w:cs="Times New Roman"/>
          <w:b w:val="0"/>
          <w:bCs/>
          <w:color w:val="auto"/>
          <w:position w:val="0"/>
          <w:sz w:val="32"/>
          <w:szCs w:val="32"/>
          <w:highlight w:val="none"/>
          <w:u w:val="none"/>
          <w:lang w:val="zh-CN" w:eastAsia="zh-CN"/>
        </w:rPr>
        <w:t>实施保障宝珠寺村党群服务中心改造，实施对象精准，</w:t>
      </w:r>
      <w:r>
        <w:rPr>
          <w:rFonts w:hint="default" w:ascii="Times New Roman" w:hAnsi="Times New Roman" w:eastAsia="仿宋_GB2312" w:cs="Times New Roman"/>
          <w:b w:val="0"/>
          <w:bCs/>
          <w:color w:val="auto"/>
          <w:position w:val="0"/>
          <w:sz w:val="32"/>
          <w:szCs w:val="32"/>
          <w:highlight w:val="none"/>
          <w:u w:val="none"/>
          <w:lang w:val="en-US" w:eastAsia="zh-CN"/>
        </w:rPr>
        <w:t>符合群众实际需求。该项指标10分，得</w:t>
      </w:r>
      <w:r>
        <w:rPr>
          <w:rFonts w:hint="default" w:ascii="Times New Roman" w:hAnsi="Times New Roman" w:cs="Times New Roman"/>
          <w:b w:val="0"/>
          <w:bCs/>
          <w:color w:val="auto"/>
          <w:position w:val="0"/>
          <w:sz w:val="32"/>
          <w:szCs w:val="32"/>
          <w:highlight w:val="none"/>
          <w:u w:val="none"/>
          <w:lang w:val="en-US" w:eastAsia="zh-CN"/>
        </w:rPr>
        <w:t>10</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标准合理性：</w:t>
      </w:r>
      <w:r>
        <w:rPr>
          <w:rFonts w:hint="default" w:ascii="Times New Roman" w:hAnsi="Times New Roman" w:cs="Times New Roman"/>
          <w:b w:val="0"/>
          <w:bCs/>
          <w:color w:val="auto"/>
          <w:position w:val="0"/>
          <w:sz w:val="32"/>
          <w:szCs w:val="32"/>
          <w:highlight w:val="none"/>
          <w:u w:val="none"/>
          <w:lang w:val="zh-CN"/>
        </w:rPr>
        <w:t>项目符合聚贤镇党群服务中心改造升级</w:t>
      </w:r>
      <w:r>
        <w:rPr>
          <w:rFonts w:hint="default" w:ascii="Times New Roman" w:hAnsi="Times New Roman" w:eastAsia="仿宋_GB2312" w:cs="Times New Roman"/>
          <w:b w:val="0"/>
          <w:bCs/>
          <w:color w:val="auto"/>
          <w:position w:val="0"/>
          <w:sz w:val="32"/>
          <w:szCs w:val="32"/>
          <w:highlight w:val="none"/>
          <w:u w:val="none"/>
          <w:lang w:val="zh-CN"/>
        </w:rPr>
        <w:t>相关标准和要求，项目实施达到预期效果</w:t>
      </w:r>
      <w:r>
        <w:rPr>
          <w:rFonts w:hint="default" w:ascii="Times New Roman" w:hAnsi="Times New Roman" w:cs="Times New Roman"/>
          <w:b w:val="0"/>
          <w:bCs/>
          <w:color w:val="auto"/>
          <w:position w:val="0"/>
          <w:sz w:val="32"/>
          <w:szCs w:val="32"/>
          <w:highlight w:val="none"/>
          <w:u w:val="none"/>
          <w:lang w:val="zh-CN"/>
        </w:rPr>
        <w:t>，党群服务中心工作良好</w:t>
      </w:r>
      <w:r>
        <w:rPr>
          <w:rFonts w:hint="default" w:ascii="Times New Roman" w:hAnsi="Times New Roman" w:eastAsia="仿宋_GB2312" w:cs="Times New Roman"/>
          <w:b w:val="0"/>
          <w:bCs/>
          <w:color w:val="auto"/>
          <w:position w:val="0"/>
          <w:sz w:val="32"/>
          <w:szCs w:val="32"/>
          <w:highlight w:val="none"/>
          <w:u w:val="none"/>
          <w:lang w:val="zh-CN"/>
        </w:rPr>
        <w:t>。该项指标</w:t>
      </w:r>
      <w:r>
        <w:rPr>
          <w:rFonts w:hint="default" w:ascii="Times New Roman" w:hAnsi="Times New Roman" w:eastAsia="仿宋_GB2312" w:cs="Times New Roman"/>
          <w:b w:val="0"/>
          <w:bCs/>
          <w:color w:val="auto"/>
          <w:position w:val="0"/>
          <w:sz w:val="32"/>
          <w:szCs w:val="32"/>
          <w:highlight w:val="none"/>
          <w:u w:val="none"/>
          <w:lang w:val="en-US" w:eastAsia="zh-CN"/>
        </w:rPr>
        <w:t>5分，得5分。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群众满意度：通过问卷调查，群众对项目满意度达到</w:t>
      </w:r>
      <w:r>
        <w:rPr>
          <w:rFonts w:hint="default" w:ascii="Times New Roman" w:hAnsi="Times New Roman" w:eastAsia="仿宋_GB2312" w:cs="Times New Roman"/>
          <w:b w:val="0"/>
          <w:bCs/>
          <w:color w:val="auto"/>
          <w:position w:val="0"/>
          <w:sz w:val="32"/>
          <w:szCs w:val="32"/>
          <w:highlight w:val="none"/>
          <w:u w:val="none"/>
          <w:lang w:val="en-US" w:eastAsia="zh-CN"/>
        </w:rPr>
        <w:t>9</w:t>
      </w:r>
      <w:r>
        <w:rPr>
          <w:rFonts w:hint="default" w:ascii="Times New Roman" w:hAnsi="Times New Roman" w:cs="Times New Roman"/>
          <w:b w:val="0"/>
          <w:bCs/>
          <w:color w:val="auto"/>
          <w:position w:val="0"/>
          <w:sz w:val="32"/>
          <w:szCs w:val="32"/>
          <w:highlight w:val="none"/>
          <w:u w:val="none"/>
          <w:lang w:val="en-US" w:eastAsia="zh-CN"/>
        </w:rPr>
        <w:t>8</w:t>
      </w:r>
      <w:r>
        <w:rPr>
          <w:rFonts w:hint="default" w:ascii="Times New Roman" w:hAnsi="Times New Roman" w:eastAsia="仿宋_GB2312" w:cs="Times New Roman"/>
          <w:b w:val="0"/>
          <w:bCs/>
          <w:color w:val="auto"/>
          <w:position w:val="0"/>
          <w:sz w:val="32"/>
          <w:szCs w:val="32"/>
          <w:highlight w:val="none"/>
          <w:u w:val="none"/>
          <w:lang w:val="en-US" w:eastAsia="zh-CN"/>
        </w:rPr>
        <w:t>%。该项指标5分，得</w:t>
      </w:r>
      <w:r>
        <w:rPr>
          <w:rFonts w:hint="default" w:ascii="Times New Roman" w:hAnsi="Times New Roman" w:cs="Times New Roman"/>
          <w:b w:val="0"/>
          <w:bCs/>
          <w:color w:val="auto"/>
          <w:position w:val="0"/>
          <w:sz w:val="32"/>
          <w:szCs w:val="32"/>
          <w:highlight w:val="none"/>
          <w:u w:val="none"/>
          <w:lang w:val="en-US" w:eastAsia="zh-CN"/>
        </w:rPr>
        <w:t>4.9</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（三）</w:t>
      </w:r>
      <w:r>
        <w:rPr>
          <w:rFonts w:hint="default" w:ascii="Times New Roman" w:hAnsi="Times New Roman"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政治引领：党群服务中心改造升级后，整合党务、政务、生活服务于一体，可以提供党务政策咨询、办理党内业务、传播党建知识、提供便民政务服务。该项指标</w:t>
      </w:r>
      <w:r>
        <w:rPr>
          <w:rFonts w:hint="default" w:ascii="Times New Roman" w:hAnsi="Times New Roman" w:eastAsia="仿宋_GB2312" w:cs="Times New Roman"/>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default" w:ascii="Times New Roman" w:hAnsi="Times New Roman" w:eastAsia="仿宋_GB2312" w:cs="Times New Roman"/>
          <w:color w:val="auto"/>
          <w:position w:val="0"/>
          <w:sz w:val="32"/>
          <w:szCs w:val="32"/>
          <w:highlight w:val="none"/>
          <w:u w:val="none"/>
          <w:lang w:eastAsia="zh-CN"/>
        </w:rPr>
        <w:t>民生服务覆盖面：党群服务中心改造升级后，提供的服务面对的不仅仅是某一个村社区的居民，而是面向全年龄段的群众。该项指标</w:t>
      </w:r>
      <w:r>
        <w:rPr>
          <w:rFonts w:hint="default" w:ascii="Times New Roman" w:hAnsi="Times New Roman" w:eastAsia="仿宋_GB2312" w:cs="Times New Roman"/>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黑体" w:cs="Times New Roman"/>
          <w:color w:val="auto"/>
          <w:position w:val="0"/>
          <w:sz w:val="32"/>
          <w:szCs w:val="32"/>
          <w:highlight w:val="none"/>
          <w:u w:val="none"/>
          <w:lang w:eastAsia="zh-CN"/>
        </w:rPr>
        <w:t>四</w:t>
      </w:r>
      <w:r>
        <w:rPr>
          <w:rFonts w:hint="default" w:ascii="Times New Roman" w:hAnsi="Times New Roman" w:eastAsia="黑体" w:cs="Times New Roman"/>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color w:val="auto"/>
          <w:position w:val="0"/>
          <w:sz w:val="32"/>
          <w:szCs w:val="32"/>
          <w:highlight w:val="none"/>
          <w:u w:val="none"/>
          <w:lang w:eastAsia="zh-CN"/>
        </w:rPr>
        <w:t>经综合评价</w:t>
      </w:r>
      <w:r>
        <w:rPr>
          <w:rFonts w:hint="eastAsia" w:ascii="仿宋_GB2312" w:hAnsi="仿宋_GB2312" w:eastAsia="仿宋_GB2312" w:cs="仿宋_GB2312"/>
          <w:color w:val="auto"/>
          <w:position w:val="0"/>
          <w:sz w:val="32"/>
          <w:szCs w:val="32"/>
          <w:highlight w:val="none"/>
          <w:u w:val="none"/>
          <w:lang w:eastAsia="zh-CN"/>
        </w:rPr>
        <w:t>，</w:t>
      </w: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b w:val="0"/>
          <w:bCs/>
          <w:color w:val="auto"/>
          <w:position w:val="0"/>
          <w:sz w:val="32"/>
          <w:szCs w:val="32"/>
          <w:highlight w:val="none"/>
          <w:u w:val="none"/>
          <w:lang w:val="en-US" w:eastAsia="zh-CN"/>
        </w:rPr>
        <w:t>绩效自评总分为99.9分。项目完成既定绩效目标，预算执行率100%，党群服务中心工作情况良好，强化了党组织凝聚力，</w:t>
      </w:r>
      <w:r>
        <w:rPr>
          <w:rFonts w:hint="default" w:ascii="Times New Roman" w:hAnsi="Times New Roman" w:eastAsia="仿宋_GB2312" w:cs="Times New Roman"/>
          <w:color w:val="auto"/>
          <w:position w:val="0"/>
          <w:sz w:val="32"/>
          <w:szCs w:val="32"/>
          <w:highlight w:val="none"/>
          <w:u w:val="none"/>
          <w:lang w:eastAsia="zh-CN"/>
        </w:rPr>
        <w:t>民生保障工作良好</w:t>
      </w:r>
      <w:r>
        <w:rPr>
          <w:rFonts w:hint="default" w:ascii="Times New Roman" w:hAnsi="Times New Roman" w:eastAsia="仿宋_GB2312" w:cs="Times New Roman"/>
          <w:b w:val="0"/>
          <w:bCs/>
          <w:color w:val="auto"/>
          <w:position w:val="0"/>
          <w:sz w:val="32"/>
          <w:szCs w:val="32"/>
          <w:highlight w:val="none"/>
          <w:u w:val="none"/>
          <w:lang w:val="en-US" w:eastAsia="zh-CN"/>
        </w:rPr>
        <w:t>，达到预期经济效益和社会效益。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default" w:ascii="Times New Roman" w:hAnsi="Times New Roman"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项目资金不足，</w:t>
      </w: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eastAsia="仿宋_GB2312" w:cs="Times New Roman"/>
          <w:b w:val="0"/>
          <w:bCs/>
          <w:color w:val="auto"/>
          <w:position w:val="0"/>
          <w:sz w:val="32"/>
          <w:szCs w:val="32"/>
          <w:highlight w:val="none"/>
          <w:u w:val="none"/>
          <w:lang w:val="en-US" w:eastAsia="zh-CN"/>
        </w:rPr>
        <w:t>仅选取一个党群服务中心进行提档升级，其余党群服务中心暂未得到保障。</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cs="Times New Roman"/>
          <w:b w:val="0"/>
          <w:bCs w:val="0"/>
          <w:kern w:val="2"/>
          <w:position w:val="0"/>
          <w:sz w:val="32"/>
          <w:szCs w:val="32"/>
          <w:highlight w:val="none"/>
          <w:lang w:val="en-US" w:eastAsia="zh-CN" w:bidi="ar-SA"/>
        </w:rPr>
      </w:pPr>
      <w:r>
        <w:rPr>
          <w:rFonts w:hint="default" w:ascii="Times New Roman" w:hAnsi="Times New Roman" w:eastAsia="仿宋_GB2312" w:cs="Times New Roman"/>
          <w:b w:val="0"/>
          <w:bCs/>
          <w:color w:val="auto"/>
          <w:position w:val="0"/>
          <w:sz w:val="32"/>
          <w:szCs w:val="32"/>
          <w:highlight w:val="none"/>
          <w:u w:val="none"/>
          <w:lang w:val="en-US" w:eastAsia="zh-CN"/>
        </w:rPr>
        <w:t>党群服务中心工作人员专业度不足，部分政策宣讲不到位。</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kern w:val="0"/>
          <w:position w:val="0"/>
          <w:sz w:val="32"/>
          <w:szCs w:val="32"/>
          <w:highlight w:val="none"/>
          <w:u w:val="none"/>
          <w:lang w:val="zh-CN" w:eastAsia="zh-CN" w:bidi="ar-SA"/>
        </w:rPr>
      </w:pPr>
      <w:r>
        <w:rPr>
          <w:rFonts w:hint="default" w:ascii="Times New Roman" w:hAnsi="Times New Roman"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zh-CN" w:eastAsia="zh-CN"/>
        </w:rPr>
      </w:pPr>
      <w:r>
        <w:rPr>
          <w:rFonts w:hint="eastAsia" w:cs="Times New Roman"/>
          <w:color w:val="000000"/>
          <w:kern w:val="0"/>
          <w:position w:val="0"/>
          <w:sz w:val="32"/>
          <w:szCs w:val="32"/>
          <w:highlight w:val="none"/>
          <w:shd w:val="clear" w:color="auto" w:fill="FFFFFF"/>
          <w:lang w:val="zh-CN" w:eastAsia="zh-CN"/>
        </w:rPr>
        <w:t>一</w:t>
      </w:r>
      <w:r>
        <w:rPr>
          <w:rFonts w:hint="default" w:ascii="Times New Roman" w:hAnsi="Times New Roman" w:cs="Times New Roman"/>
          <w:color w:val="000000"/>
          <w:kern w:val="0"/>
          <w:position w:val="0"/>
          <w:sz w:val="32"/>
          <w:szCs w:val="32"/>
          <w:highlight w:val="none"/>
          <w:shd w:val="clear" w:color="auto" w:fill="FFFFFF"/>
          <w:lang w:val="zh-CN" w:eastAsia="zh-CN"/>
        </w:rPr>
        <w:t>是加强资金统筹管理，完善多部门联动机制；二是建议增加</w:t>
      </w:r>
      <w:r>
        <w:rPr>
          <w:rFonts w:hint="default" w:ascii="Times New Roman" w:hAnsi="Times New Roman" w:eastAsia="仿宋_GB2312" w:cs="Times New Roman"/>
          <w:b w:val="0"/>
          <w:bCs/>
          <w:color w:val="auto"/>
          <w:position w:val="0"/>
          <w:sz w:val="32"/>
          <w:szCs w:val="32"/>
          <w:highlight w:val="none"/>
          <w:u w:val="none"/>
          <w:lang w:val="zh-CN"/>
        </w:rPr>
        <w:t>宝珠寺村党群服务中心亲民化改造项目</w:t>
      </w:r>
      <w:r>
        <w:rPr>
          <w:rFonts w:hint="default" w:ascii="Times New Roman" w:hAnsi="Times New Roman" w:cs="Times New Roman"/>
          <w:b w:val="0"/>
          <w:bCs/>
          <w:color w:val="auto"/>
          <w:position w:val="0"/>
          <w:sz w:val="32"/>
          <w:szCs w:val="32"/>
          <w:highlight w:val="none"/>
          <w:u w:val="none"/>
          <w:lang w:val="en-US" w:eastAsia="zh-CN"/>
        </w:rPr>
        <w:t>工作资金投入，保障工作开展；三是不定期召开培训会，提高工作人员的素养和能力。</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黑体" w:hAnsi="黑体" w:eastAsia="黑体" w:cs="黑体"/>
          <w:position w:val="0"/>
          <w:sz w:val="24"/>
          <w:szCs w:val="24"/>
          <w:highlight w:val="none"/>
          <w:lang w:val="en-US" w:eastAsia="zh-CN"/>
        </w:rPr>
      </w:pPr>
      <w:r>
        <w:rPr>
          <w:rFonts w:hint="default" w:ascii="Times New Roman" w:hAnsi="Times New Roman" w:cs="Times New Roman"/>
          <w:color w:val="000000"/>
          <w:kern w:val="0"/>
          <w:position w:val="0"/>
          <w:szCs w:val="32"/>
          <w:highlight w:val="none"/>
          <w:shd w:val="clear" w:color="auto" w:fill="FFFFFF"/>
          <w:lang w:val="en-US" w:eastAsia="zh-CN"/>
        </w:rPr>
        <w:t>附表：专项资金绩效目标完成情况自评表</w:t>
      </w:r>
    </w:p>
    <w:tbl>
      <w:tblPr>
        <w:tblStyle w:val="15"/>
        <w:tblW w:w="5000" w:type="pct"/>
        <w:tblInd w:w="0" w:type="dxa"/>
        <w:shd w:val="clear" w:color="auto" w:fill="auto"/>
        <w:tblLayout w:type="autofit"/>
        <w:tblCellMar>
          <w:top w:w="0" w:type="dxa"/>
          <w:left w:w="0" w:type="dxa"/>
          <w:bottom w:w="0" w:type="dxa"/>
          <w:right w:w="0" w:type="dxa"/>
        </w:tblCellMar>
      </w:tblPr>
      <w:tblGrid>
        <w:gridCol w:w="390"/>
        <w:gridCol w:w="930"/>
        <w:gridCol w:w="1110"/>
        <w:gridCol w:w="2730"/>
        <w:gridCol w:w="390"/>
        <w:gridCol w:w="390"/>
        <w:gridCol w:w="390"/>
        <w:gridCol w:w="660"/>
        <w:gridCol w:w="300"/>
        <w:gridCol w:w="300"/>
        <w:gridCol w:w="746"/>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06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51090423T000009758774-宝珠寺村党群服务中心亲民化改造</w:t>
            </w:r>
          </w:p>
        </w:tc>
      </w:tr>
      <w:tr>
        <w:tblPrEx>
          <w:tblCellMar>
            <w:top w:w="0" w:type="dxa"/>
            <w:left w:w="0" w:type="dxa"/>
            <w:bottom w:w="0" w:type="dxa"/>
            <w:right w:w="0" w:type="dxa"/>
          </w:tblCellMar>
        </w:tblPrEx>
        <w:trPr>
          <w:trHeight w:val="512" w:hRule="atLeast"/>
        </w:trPr>
        <w:tc>
          <w:tcPr>
            <w:tcW w:w="93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50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遂宁市安居区聚贤镇人民政府部门</w:t>
            </w:r>
          </w:p>
        </w:tc>
        <w:tc>
          <w:tcPr>
            <w:tcW w:w="37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18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6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250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15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2507"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宝珠寺村约300平方米的党群服务中心亲民化改造，建设亲民化便民服务站、新时代文明实践站、儿童之家、老年日间照料中心、卫生服务站等，配备亲民化办公桌椅、电脑、空调、书籍等设施设备。改造党群服务中心室外生态停车场200平方米、村民休闲平台200平方米，绿化周围环境。</w:t>
            </w:r>
          </w:p>
        </w:tc>
        <w:tc>
          <w:tcPr>
            <w:tcW w:w="15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406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改造宝珠寺村党群服务中心</w:t>
            </w:r>
          </w:p>
        </w:tc>
      </w:tr>
      <w:tr>
        <w:tblPrEx>
          <w:tblCellMar>
            <w:top w:w="0" w:type="dxa"/>
            <w:left w:w="0" w:type="dxa"/>
            <w:bottom w:w="0" w:type="dxa"/>
            <w:right w:w="0" w:type="dxa"/>
          </w:tblCellMar>
        </w:tblPrEx>
        <w:trPr>
          <w:trHeight w:val="361"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9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91"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28.00</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07"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61"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39"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9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92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6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9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6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保障提升各社人数</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1729个</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党群服务中心总量提升</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资金保障时效</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提升服务温度，办事环境不断优化</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9"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民生工程</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3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color w:val="000000"/>
                <w:sz w:val="18"/>
                <w:szCs w:val="18"/>
                <w:u w:val="none"/>
              </w:rPr>
            </w:pPr>
            <w:r>
              <w:rPr>
                <w:rFonts w:hint="eastAsia" w:ascii="宋体" w:hAnsi="宋体" w:eastAsia="宋体" w:cs="宋体"/>
                <w:i w:val="0"/>
                <w:iCs/>
                <w:color w:val="000000"/>
                <w:kern w:val="0"/>
                <w:sz w:val="18"/>
                <w:szCs w:val="18"/>
                <w:u w:val="none"/>
                <w:lang w:val="en-US" w:eastAsia="zh-CN" w:bidi="ar"/>
              </w:rPr>
              <w:t>28万元</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286" w:hRule="atLeast"/>
        </w:trPr>
        <w:tc>
          <w:tcPr>
            <w:tcW w:w="3818"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6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项目完成既定绩效目标，预算执行率100%，党群服务中心工作情况良好，强化了党组织凝聚力，民生保障工作良好，达到预期经济效益和社会效益。</w:t>
            </w:r>
          </w:p>
        </w:tc>
      </w:tr>
      <w:tr>
        <w:tblPrEx>
          <w:tblCellMar>
            <w:top w:w="0" w:type="dxa"/>
            <w:left w:w="0" w:type="dxa"/>
            <w:bottom w:w="0" w:type="dxa"/>
            <w:right w:w="0" w:type="dxa"/>
          </w:tblCellMar>
        </w:tblPrEx>
        <w:trPr>
          <w:trHeight w:val="572"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6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项目资金不足，宝珠寺村党群服务中心亲民化改造项目仅选取一个党群服务中心进行提档升级，其余党群服务中心暂未得到保障。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党群服务中心工作人员专业度不足，部分政策宣讲不到位。</w:t>
            </w:r>
          </w:p>
        </w:tc>
      </w:tr>
      <w:tr>
        <w:tblPrEx>
          <w:tblCellMar>
            <w:top w:w="0" w:type="dxa"/>
            <w:left w:w="0" w:type="dxa"/>
            <w:bottom w:w="0" w:type="dxa"/>
            <w:right w:w="0" w:type="dxa"/>
          </w:tblCellMar>
        </w:tblPrEx>
        <w:trPr>
          <w:trHeight w:val="633"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6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一是加强资金统筹管理，完善多部门联动机制；二是建议增加宝珠寺村党群服务中心亲民化改造项目工作资金投入，保障工作开展；三是不定期召开培训会，提高工作人员的素养和能力。</w:t>
            </w:r>
          </w:p>
        </w:tc>
      </w:tr>
      <w:tr>
        <w:tblPrEx>
          <w:tblCellMar>
            <w:top w:w="0" w:type="dxa"/>
            <w:left w:w="0" w:type="dxa"/>
            <w:bottom w:w="0" w:type="dxa"/>
            <w:right w:w="0" w:type="dxa"/>
          </w:tblCellMar>
        </w:tblPrEx>
        <w:trPr>
          <w:trHeight w:val="286" w:hRule="atLeast"/>
        </w:trPr>
        <w:tc>
          <w:tcPr>
            <w:tcW w:w="26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项目负责人：周勤</w:t>
            </w:r>
          </w:p>
        </w:tc>
        <w:tc>
          <w:tcPr>
            <w:tcW w:w="230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财务负责人：陈维维</w:t>
            </w:r>
          </w:p>
        </w:tc>
      </w:tr>
    </w:tbl>
    <w:p>
      <w:r>
        <w:br w:type="page"/>
      </w:r>
    </w:p>
    <w:p>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position w:val="0"/>
          <w:sz w:val="32"/>
          <w:szCs w:val="32"/>
          <w:highlight w:val="none"/>
        </w:rPr>
      </w:pPr>
      <w:r>
        <w:rPr>
          <w:rFonts w:hint="eastAsia" w:ascii="仿宋_GB2312" w:hAnsi="仿宋_GB2312" w:eastAsia="仿宋_GB2312" w:cs="仿宋_GB2312"/>
          <w:bCs/>
          <w:color w:val="auto"/>
          <w:kern w:val="2"/>
          <w:position w:val="0"/>
          <w:sz w:val="32"/>
          <w:szCs w:val="32"/>
          <w:highlight w:val="none"/>
          <w:u w:val="none"/>
          <w:lang w:val="zh-CN" w:eastAsia="zh-CN"/>
        </w:rPr>
        <w:t>（</w:t>
      </w:r>
      <w:r>
        <w:rPr>
          <w:rFonts w:hint="eastAsia" w:ascii="仿宋_GB2312" w:hAnsi="仿宋_GB2312" w:eastAsia="仿宋_GB2312" w:cs="仿宋_GB2312"/>
          <w:b w:val="0"/>
          <w:bCs/>
          <w:color w:val="000000"/>
          <w:kern w:val="2"/>
          <w:position w:val="0"/>
          <w:sz w:val="32"/>
          <w:szCs w:val="32"/>
          <w:highlight w:val="none"/>
          <w:u w:val="none"/>
          <w:lang w:val="zh-CN"/>
        </w:rPr>
        <w:t>城乡基层治理能力建设专项资金项目）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position w:val="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黑体" w:hAnsi="宋体" w:eastAsia="黑体"/>
          <w:position w:val="0"/>
          <w:highlight w:val="none"/>
          <w:lang w:val="zh-CN"/>
        </w:rPr>
      </w:pPr>
      <w:r>
        <w:rPr>
          <w:rFonts w:hint="eastAsia" w:ascii="黑体" w:hAnsi="宋体" w:eastAsia="黑体"/>
          <w:position w:val="0"/>
          <w:highlight w:val="none"/>
        </w:rPr>
        <w:t>一、</w:t>
      </w:r>
      <w:r>
        <w:rPr>
          <w:rFonts w:hint="eastAsia" w:ascii="黑体" w:hAnsi="宋体" w:eastAsia="黑体"/>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position w:val="0"/>
          <w:sz w:val="32"/>
          <w:szCs w:val="32"/>
          <w:highlight w:val="none"/>
          <w:u w:val="none"/>
          <w:shd w:val="clear" w:color="auto" w:fill="FFFFFF"/>
          <w:lang w:val="zh-CN"/>
        </w:rPr>
      </w:pPr>
      <w:r>
        <w:rPr>
          <w:rFonts w:hint="eastAsia" w:ascii="楷体_GB2312" w:hAnsi="宋体" w:eastAsia="楷体_GB2312"/>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随着乡村振兴战略的深入推进，群众对基层治理现代化和服务精细化有了需求，</w:t>
      </w:r>
      <w:r>
        <w:rPr>
          <w:rFonts w:hint="eastAsia" w:ascii="仿宋_GB2312" w:hAnsi="仿宋_GB2312" w:cs="仿宋_GB2312"/>
          <w:b w:val="0"/>
          <w:bCs/>
          <w:color w:val="auto"/>
          <w:position w:val="0"/>
          <w:sz w:val="32"/>
          <w:szCs w:val="32"/>
          <w:highlight w:val="none"/>
          <w:u w:val="none"/>
          <w:lang w:val="zh-CN"/>
        </w:rPr>
        <w:t>文兴社区</w:t>
      </w:r>
      <w:r>
        <w:rPr>
          <w:rFonts w:hint="eastAsia" w:ascii="仿宋_GB2312" w:hAnsi="仿宋_GB2312" w:eastAsia="仿宋_GB2312" w:cs="仿宋_GB2312"/>
          <w:b w:val="0"/>
          <w:bCs/>
          <w:color w:val="auto"/>
          <w:position w:val="0"/>
          <w:sz w:val="32"/>
          <w:szCs w:val="32"/>
          <w:highlight w:val="none"/>
          <w:u w:val="none"/>
          <w:lang w:val="zh-CN"/>
        </w:rPr>
        <w:t>党群服务中心空间不足</w:t>
      </w:r>
      <w:r>
        <w:rPr>
          <w:rFonts w:hint="eastAsia" w:ascii="仿宋_GB2312" w:hAnsi="仿宋_GB2312" w:cs="仿宋_GB2312"/>
          <w:b w:val="0"/>
          <w:bCs/>
          <w:color w:val="auto"/>
          <w:position w:val="0"/>
          <w:sz w:val="32"/>
          <w:szCs w:val="32"/>
          <w:highlight w:val="none"/>
          <w:u w:val="none"/>
          <w:lang w:val="zh-CN"/>
        </w:rPr>
        <w:t>、大柏林党群服务中心是租赁的房屋且空间不足</w:t>
      </w:r>
      <w:r>
        <w:rPr>
          <w:rFonts w:hint="eastAsia" w:ascii="仿宋_GB2312" w:hAnsi="仿宋_GB2312" w:eastAsia="仿宋_GB2312" w:cs="仿宋_GB2312"/>
          <w:b w:val="0"/>
          <w:bCs/>
          <w:color w:val="auto"/>
          <w:position w:val="0"/>
          <w:sz w:val="32"/>
          <w:szCs w:val="32"/>
          <w:highlight w:val="none"/>
          <w:u w:val="none"/>
          <w:lang w:val="zh-CN"/>
        </w:rPr>
        <w:t>，功能单一，行政功能占地大于服务群众占地，群众办事效率低，未能发挥服务效能。为了切实解决</w:t>
      </w:r>
      <w:r>
        <w:rPr>
          <w:rFonts w:hint="eastAsia" w:ascii="仿宋_GB2312" w:hAnsi="仿宋_GB2312" w:cs="仿宋_GB2312"/>
          <w:b w:val="0"/>
          <w:bCs/>
          <w:color w:val="auto"/>
          <w:position w:val="0"/>
          <w:sz w:val="32"/>
          <w:szCs w:val="32"/>
          <w:highlight w:val="none"/>
          <w:u w:val="none"/>
          <w:lang w:val="zh-CN"/>
        </w:rPr>
        <w:t>群众反映的热点难点</w:t>
      </w:r>
      <w:r>
        <w:rPr>
          <w:rFonts w:hint="eastAsia" w:ascii="仿宋_GB2312" w:hAnsi="仿宋_GB2312" w:eastAsia="仿宋_GB2312" w:cs="仿宋_GB2312"/>
          <w:b w:val="0"/>
          <w:bCs/>
          <w:color w:val="auto"/>
          <w:position w:val="0"/>
          <w:sz w:val="32"/>
          <w:szCs w:val="32"/>
          <w:highlight w:val="none"/>
          <w:u w:val="none"/>
          <w:lang w:val="zh-CN"/>
        </w:rPr>
        <w:t>问题，增强政府决策的可行性和民主性，提升城乡基层治理能力，我镇建立城乡基层治理能力建设专项资金项目。项目主要内容是对大柏林村党群服务中心和文兴社区党群服务中心进行改造升级。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ascii="楷体_GB2312" w:hAnsi="宋体" w:eastAsia="楷体_GB2312"/>
          <w:b/>
          <w:color w:val="auto"/>
          <w:position w:val="0"/>
          <w:sz w:val="32"/>
          <w:szCs w:val="32"/>
          <w:highlight w:val="none"/>
          <w:u w:val="none"/>
          <w:lang w:val="zh-CN"/>
        </w:rPr>
      </w:pPr>
      <w:r>
        <w:rPr>
          <w:rFonts w:hint="eastAsia" w:ascii="楷体_GB2312" w:hAnsi="宋体" w:eastAsia="楷体_GB2312"/>
          <w:b/>
          <w:color w:val="auto"/>
          <w:position w:val="0"/>
          <w:sz w:val="32"/>
          <w:szCs w:val="32"/>
          <w:highlight w:val="none"/>
          <w:u w:val="none"/>
          <w:lang w:val="zh-CN"/>
        </w:rPr>
        <w:t>（</w:t>
      </w:r>
      <w:r>
        <w:rPr>
          <w:rFonts w:hint="eastAsia" w:ascii="楷体_GB2312" w:hAnsi="宋体" w:eastAsia="楷体_GB2312" w:cs="Times New Roman"/>
          <w:b/>
          <w:color w:val="auto"/>
          <w:position w:val="0"/>
          <w:sz w:val="32"/>
          <w:szCs w:val="32"/>
          <w:highlight w:val="none"/>
          <w:u w:val="none"/>
          <w:lang w:val="zh-CN"/>
        </w:rPr>
        <w:t>二）</w:t>
      </w:r>
      <w:r>
        <w:rPr>
          <w:rFonts w:hint="default" w:ascii="楷体_GB2312" w:hAnsi="宋体" w:eastAsia="楷体_GB2312" w:cs="Times New Roman"/>
          <w:b/>
          <w:color w:val="auto"/>
          <w:position w:val="0"/>
          <w:sz w:val="32"/>
          <w:szCs w:val="32"/>
          <w:highlight w:val="none"/>
          <w:u w:val="none"/>
          <w:lang w:val="en-US" w:eastAsia="zh-CN"/>
        </w:rPr>
        <w:t>实施目的及支持方向</w:t>
      </w:r>
      <w:r>
        <w:rPr>
          <w:rFonts w:hint="eastAsia" w:ascii="楷体_GB2312" w:hAnsi="宋体" w:eastAsia="楷体_GB2312" w:cs="Times New Roman"/>
          <w:b/>
          <w:color w:val="auto"/>
          <w:positio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left"/>
        <w:textAlignment w:val="auto"/>
        <w:rPr>
          <w:rFonts w:hint="eastAsia" w:ascii="楷体_GB2312" w:hAnsi="宋体" w:eastAsia="楷体_GB2312" w:cs="Times New Roman"/>
          <w:b/>
          <w:color w:val="auto"/>
          <w:position w:val="0"/>
          <w:sz w:val="32"/>
          <w:szCs w:val="32"/>
          <w:highlight w:val="none"/>
          <w:u w:val="none"/>
          <w:lang w:val="zh-CN" w:eastAsia="zh-CN"/>
        </w:rPr>
      </w:pPr>
      <w:r>
        <w:rPr>
          <w:rFonts w:hint="eastAsia" w:ascii="仿宋_GB2312" w:hAnsi="仿宋_GB2312" w:eastAsia="仿宋_GB2312" w:cs="仿宋_GB2312"/>
          <w:b w:val="0"/>
          <w:bCs/>
          <w:color w:val="auto"/>
          <w:position w:val="0"/>
          <w:sz w:val="32"/>
          <w:szCs w:val="32"/>
          <w:highlight w:val="none"/>
          <w:u w:val="none"/>
          <w:lang w:val="zh-CN" w:eastAsia="zh-CN"/>
        </w:rPr>
        <w:t>项目资金严格按照财务会计管理，</w:t>
      </w:r>
      <w:r>
        <w:rPr>
          <w:rFonts w:hint="eastAsia" w:ascii="仿宋_GB2312" w:hAnsi="仿宋_GB2312" w:cs="仿宋_GB2312"/>
          <w:b w:val="0"/>
          <w:bCs/>
          <w:color w:val="auto"/>
          <w:position w:val="0"/>
          <w:sz w:val="32"/>
          <w:szCs w:val="32"/>
          <w:highlight w:val="none"/>
          <w:u w:val="none"/>
          <w:lang w:val="zh-CN" w:eastAsia="zh-CN"/>
        </w:rPr>
        <w:t>实行</w:t>
      </w:r>
      <w:r>
        <w:rPr>
          <w:rFonts w:hint="eastAsia" w:ascii="仿宋_GB2312" w:hAnsi="仿宋_GB2312" w:eastAsia="仿宋_GB2312" w:cs="仿宋_GB2312"/>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w:t>
      </w:r>
      <w:r>
        <w:rPr>
          <w:rFonts w:hint="eastAsia" w:ascii="仿宋_GB2312" w:hAnsi="仿宋_GB2312" w:cs="仿宋_GB2312"/>
          <w:b w:val="0"/>
          <w:bCs/>
          <w:color w:val="auto"/>
          <w:position w:val="0"/>
          <w:sz w:val="32"/>
          <w:szCs w:val="32"/>
          <w:highlight w:val="none"/>
          <w:u w:val="none"/>
          <w:lang w:val="zh-CN" w:eastAsia="zh-CN"/>
        </w:rPr>
        <w:t>是</w:t>
      </w:r>
      <w:r>
        <w:rPr>
          <w:rFonts w:hint="eastAsia" w:ascii="仿宋_GB2312" w:hAnsi="仿宋_GB2312" w:eastAsia="仿宋_GB2312" w:cs="仿宋_GB2312"/>
          <w:b w:val="0"/>
          <w:bCs/>
          <w:color w:val="auto"/>
          <w:position w:val="0"/>
          <w:sz w:val="32"/>
          <w:szCs w:val="32"/>
          <w:highlight w:val="none"/>
          <w:u w:val="none"/>
          <w:lang w:val="zh-CN"/>
        </w:rPr>
        <w:t>大柏林村党群服务中心和文兴社区党群服务中心进行改造升级</w:t>
      </w:r>
      <w:r>
        <w:rPr>
          <w:rFonts w:hint="eastAsia" w:ascii="仿宋_GB2312" w:hAnsi="仿宋_GB2312" w:eastAsia="仿宋_GB2312" w:cs="仿宋_GB2312"/>
          <w:b w:val="0"/>
          <w:bCs/>
          <w:color w:val="auto"/>
          <w:position w:val="0"/>
          <w:sz w:val="32"/>
          <w:szCs w:val="32"/>
          <w:highlight w:val="none"/>
          <w:u w:val="none"/>
          <w:lang w:val="zh-CN" w:eastAsia="zh-CN"/>
        </w:rPr>
        <w:t>。主要工作任务是对</w:t>
      </w:r>
      <w:r>
        <w:rPr>
          <w:rFonts w:hint="eastAsia" w:ascii="仿宋_GB2312" w:hAnsi="仿宋_GB2312" w:cs="仿宋_GB2312"/>
          <w:b w:val="0"/>
          <w:bCs/>
          <w:color w:val="auto"/>
          <w:position w:val="0"/>
          <w:sz w:val="32"/>
          <w:szCs w:val="32"/>
          <w:highlight w:val="none"/>
          <w:u w:val="none"/>
          <w:lang w:val="zh-CN" w:eastAsia="zh-CN"/>
        </w:rPr>
        <w:t>党群服务中心</w:t>
      </w:r>
      <w:r>
        <w:rPr>
          <w:rFonts w:hint="eastAsia" w:ascii="仿宋_GB2312" w:hAnsi="仿宋_GB2312" w:eastAsia="仿宋_GB2312" w:cs="仿宋_GB2312"/>
          <w:b w:val="0"/>
          <w:bCs/>
          <w:color w:val="auto"/>
          <w:position w:val="0"/>
          <w:sz w:val="32"/>
          <w:szCs w:val="32"/>
          <w:highlight w:val="none"/>
          <w:u w:val="none"/>
          <w:lang w:val="zh-CN" w:eastAsia="zh-CN"/>
        </w:rPr>
        <w:t>、新时代文明实践站、退伍军人服务站、人大之家、妇女儿童之家、聚贤镇社区戒毒社区康复工作站、日间照料中心、警务室等进行改造装修。项目支持方向是民生保障领域，重点解决群众问题。</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eastAsia" w:ascii="仿宋_GB2312" w:hAnsi="仿宋_GB2312" w:cs="仿宋_GB2312"/>
          <w:color w:val="auto"/>
          <w:kern w:val="0"/>
          <w:position w:val="0"/>
          <w:sz w:val="32"/>
          <w:szCs w:val="32"/>
          <w:highlight w:val="none"/>
          <w:u w:val="none"/>
          <w:shd w:val="clear" w:color="auto" w:fill="FFFFFF"/>
          <w:lang w:val="zh-CN"/>
        </w:rPr>
      </w:pPr>
      <w:r>
        <w:rPr>
          <w:rFonts w:hint="eastAsia" w:ascii="楷体_GB2312" w:hAnsi="宋体" w:eastAsia="楷体_GB2312" w:cs="Times New Roman"/>
          <w:b/>
          <w:color w:val="auto"/>
          <w:position w:val="0"/>
          <w:sz w:val="32"/>
          <w:szCs w:val="32"/>
          <w:highlight w:val="none"/>
          <w:u w:val="none"/>
          <w:lang w:val="zh-CN" w:eastAsia="zh-CN"/>
        </w:rPr>
        <w:t>（三）</w:t>
      </w:r>
      <w:r>
        <w:rPr>
          <w:rFonts w:hint="default" w:ascii="楷体_GB2312" w:hAnsi="宋体" w:eastAsia="楷体_GB2312" w:cs="Times New Roman"/>
          <w:b/>
          <w:color w:val="auto"/>
          <w:position w:val="0"/>
          <w:sz w:val="32"/>
          <w:szCs w:val="32"/>
          <w:highlight w:val="none"/>
          <w:u w:val="none"/>
          <w:lang w:val="en-US" w:eastAsia="zh-CN"/>
        </w:rPr>
        <w:t>预算安排及分配管理</w:t>
      </w:r>
      <w:r>
        <w:rPr>
          <w:rFonts w:hint="eastAsia" w:ascii="楷体_GB2312" w:hAnsi="宋体"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宋体" w:eastAsia="楷体_GB2312" w:cs="Times New Roman"/>
          <w:b/>
          <w:color w:val="auto"/>
          <w:position w:val="0"/>
          <w:sz w:val="32"/>
          <w:szCs w:val="32"/>
          <w:highlight w:val="none"/>
          <w:u w:val="none"/>
          <w:lang w:val="zh-CN" w:eastAsia="zh-CN"/>
        </w:rPr>
      </w:pPr>
      <w:r>
        <w:rPr>
          <w:rFonts w:hint="eastAsia" w:ascii="仿宋_GB2312" w:hAnsi="仿宋_GB2312" w:eastAsia="仿宋_GB2312" w:cs="仿宋_GB2312"/>
          <w:b w:val="0"/>
          <w:bCs/>
          <w:color w:val="auto"/>
          <w:position w:val="0"/>
          <w:sz w:val="32"/>
          <w:szCs w:val="32"/>
          <w:highlight w:val="none"/>
          <w:u w:val="none"/>
          <w:lang w:val="zh-CN"/>
        </w:rPr>
        <w:t>城乡基层治理能力建设专项资金项目</w:t>
      </w:r>
      <w:r>
        <w:rPr>
          <w:rFonts w:hint="eastAsia" w:ascii="仿宋_GB2312" w:hAnsi="仿宋_GB2312" w:eastAsia="仿宋_GB2312" w:cs="仿宋_GB2312"/>
          <w:b w:val="0"/>
          <w:bCs/>
          <w:color w:val="auto"/>
          <w:position w:val="0"/>
          <w:sz w:val="32"/>
          <w:szCs w:val="32"/>
          <w:highlight w:val="none"/>
          <w:u w:val="none"/>
          <w:lang w:val="zh-CN" w:eastAsia="zh-CN"/>
        </w:rPr>
        <w:t>预算总额为</w:t>
      </w:r>
      <w:r>
        <w:rPr>
          <w:rFonts w:hint="eastAsia" w:ascii="仿宋_GB2312" w:hAnsi="仿宋_GB2312" w:eastAsia="仿宋_GB2312" w:cs="仿宋_GB2312"/>
          <w:b w:val="0"/>
          <w:bCs/>
          <w:color w:val="auto"/>
          <w:position w:val="0"/>
          <w:sz w:val="32"/>
          <w:szCs w:val="32"/>
          <w:highlight w:val="none"/>
          <w:u w:val="none"/>
          <w:lang w:val="en-US" w:eastAsia="zh-CN"/>
        </w:rPr>
        <w:t>1</w:t>
      </w:r>
      <w:r>
        <w:rPr>
          <w:rFonts w:hint="eastAsia" w:ascii="仿宋_GB2312" w:hAnsi="仿宋_GB2312" w:cs="仿宋_GB2312"/>
          <w:b w:val="0"/>
          <w:bCs/>
          <w:color w:val="auto"/>
          <w:position w:val="0"/>
          <w:sz w:val="32"/>
          <w:szCs w:val="32"/>
          <w:highlight w:val="none"/>
          <w:u w:val="none"/>
          <w:lang w:val="en-US" w:eastAsia="zh-CN"/>
        </w:rPr>
        <w:t>2</w:t>
      </w:r>
      <w:r>
        <w:rPr>
          <w:rFonts w:hint="eastAsia" w:ascii="仿宋_GB2312" w:hAnsi="仿宋_GB2312" w:eastAsia="仿宋_GB2312" w:cs="仿宋_GB2312"/>
          <w:b w:val="0"/>
          <w:bCs/>
          <w:color w:val="auto"/>
          <w:position w:val="0"/>
          <w:sz w:val="32"/>
          <w:szCs w:val="32"/>
          <w:highlight w:val="none"/>
          <w:u w:val="none"/>
          <w:lang w:val="zh-CN" w:eastAsia="zh-CN"/>
        </w:rPr>
        <w:t>万元，其中财政资金</w:t>
      </w:r>
      <w:r>
        <w:rPr>
          <w:rFonts w:hint="eastAsia" w:ascii="仿宋_GB2312" w:hAnsi="仿宋_GB2312" w:eastAsia="仿宋_GB2312" w:cs="仿宋_GB2312"/>
          <w:b w:val="0"/>
          <w:bCs/>
          <w:color w:val="auto"/>
          <w:position w:val="0"/>
          <w:sz w:val="32"/>
          <w:szCs w:val="32"/>
          <w:highlight w:val="none"/>
          <w:u w:val="none"/>
          <w:lang w:val="en-US" w:eastAsia="zh-CN"/>
        </w:rPr>
        <w:t>1</w:t>
      </w:r>
      <w:r>
        <w:rPr>
          <w:rFonts w:hint="eastAsia" w:ascii="仿宋_GB2312" w:hAnsi="仿宋_GB2312" w:cs="仿宋_GB2312"/>
          <w:b w:val="0"/>
          <w:bCs/>
          <w:color w:val="auto"/>
          <w:position w:val="0"/>
          <w:sz w:val="32"/>
          <w:szCs w:val="32"/>
          <w:highlight w:val="none"/>
          <w:u w:val="none"/>
          <w:lang w:val="en-US" w:eastAsia="zh-CN"/>
        </w:rPr>
        <w:t>2</w:t>
      </w:r>
      <w:r>
        <w:rPr>
          <w:rFonts w:hint="eastAsia" w:ascii="仿宋_GB2312" w:hAnsi="仿宋_GB2312" w:eastAsia="仿宋_GB2312" w:cs="仿宋_GB2312"/>
          <w:b w:val="0"/>
          <w:bCs/>
          <w:color w:val="auto"/>
          <w:position w:val="0"/>
          <w:sz w:val="32"/>
          <w:szCs w:val="32"/>
          <w:highlight w:val="none"/>
          <w:u w:val="none"/>
          <w:lang w:val="zh-CN" w:eastAsia="zh-CN"/>
        </w:rPr>
        <w:t>万元。项目资金</w:t>
      </w:r>
      <w:r>
        <w:rPr>
          <w:rFonts w:hint="eastAsia" w:ascii="仿宋_GB2312" w:hAnsi="仿宋_GB2312" w:cs="仿宋_GB2312"/>
          <w:b w:val="0"/>
          <w:bCs/>
          <w:color w:val="auto"/>
          <w:position w:val="0"/>
          <w:sz w:val="32"/>
          <w:szCs w:val="32"/>
          <w:highlight w:val="none"/>
          <w:u w:val="none"/>
          <w:lang w:val="en-US" w:eastAsia="zh-CN"/>
        </w:rPr>
        <w:t>6万</w:t>
      </w:r>
      <w:r>
        <w:rPr>
          <w:rFonts w:hint="eastAsia" w:ascii="仿宋_GB2312" w:hAnsi="仿宋_GB2312" w:eastAsia="仿宋_GB2312" w:cs="仿宋_GB2312"/>
          <w:b w:val="0"/>
          <w:bCs/>
          <w:color w:val="auto"/>
          <w:position w:val="0"/>
          <w:sz w:val="32"/>
          <w:szCs w:val="32"/>
          <w:highlight w:val="none"/>
          <w:u w:val="none"/>
          <w:lang w:val="zh-CN" w:eastAsia="zh-CN"/>
        </w:rPr>
        <w:t>用于</w:t>
      </w:r>
      <w:r>
        <w:rPr>
          <w:rFonts w:hint="eastAsia" w:ascii="仿宋_GB2312" w:hAnsi="仿宋_GB2312" w:eastAsia="仿宋_GB2312" w:cs="仿宋_GB2312"/>
          <w:b w:val="0"/>
          <w:bCs/>
          <w:color w:val="auto"/>
          <w:position w:val="0"/>
          <w:sz w:val="32"/>
          <w:szCs w:val="32"/>
          <w:highlight w:val="none"/>
          <w:u w:val="none"/>
          <w:lang w:val="en-US" w:eastAsia="zh-CN"/>
        </w:rPr>
        <w:t>文兴社区党群服务中心</w:t>
      </w:r>
      <w:r>
        <w:rPr>
          <w:rFonts w:hint="eastAsia" w:ascii="仿宋_GB2312" w:hAnsi="仿宋_GB2312" w:cs="仿宋_GB2312"/>
          <w:b w:val="0"/>
          <w:bCs/>
          <w:color w:val="auto"/>
          <w:position w:val="0"/>
          <w:sz w:val="32"/>
          <w:szCs w:val="32"/>
          <w:highlight w:val="none"/>
          <w:u w:val="none"/>
          <w:lang w:val="en-US" w:eastAsia="zh-CN"/>
        </w:rPr>
        <w:t>改造</w:t>
      </w:r>
      <w:r>
        <w:rPr>
          <w:rFonts w:hint="eastAsia" w:ascii="仿宋_GB2312" w:hAnsi="仿宋_GB2312" w:eastAsia="仿宋_GB2312" w:cs="仿宋_GB2312"/>
          <w:b w:val="0"/>
          <w:bCs/>
          <w:color w:val="auto"/>
          <w:position w:val="0"/>
          <w:sz w:val="32"/>
          <w:szCs w:val="32"/>
          <w:highlight w:val="none"/>
          <w:u w:val="none"/>
          <w:lang w:val="en-US" w:eastAsia="zh-CN"/>
        </w:rPr>
        <w:t>升级</w:t>
      </w:r>
      <w:r>
        <w:rPr>
          <w:rFonts w:hint="eastAsia" w:ascii="仿宋_GB2312" w:hAnsi="仿宋_GB2312" w:cs="仿宋_GB2312"/>
          <w:b w:val="0"/>
          <w:bCs/>
          <w:color w:val="auto"/>
          <w:position w:val="0"/>
          <w:sz w:val="32"/>
          <w:szCs w:val="32"/>
          <w:highlight w:val="none"/>
          <w:u w:val="none"/>
          <w:lang w:val="en-US" w:eastAsia="zh-CN"/>
        </w:rPr>
        <w:t>，6万用于大柏林村党群服务中心改造升级</w:t>
      </w:r>
      <w:r>
        <w:rPr>
          <w:rFonts w:hint="eastAsia" w:ascii="仿宋_GB2312" w:hAnsi="仿宋_GB2312" w:eastAsia="仿宋_GB2312" w:cs="仿宋_GB2312"/>
          <w:b w:val="0"/>
          <w:bCs/>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仿宋_GB2312" w:hAnsi="仿宋_GB2312" w:cs="仿宋_GB2312"/>
          <w:color w:val="auto"/>
          <w:kern w:val="0"/>
          <w:position w:val="0"/>
          <w:sz w:val="32"/>
          <w:szCs w:val="32"/>
          <w:highlight w:val="none"/>
          <w:u w:val="none"/>
          <w:shd w:val="clear" w:color="auto" w:fill="FFFFFF"/>
          <w:lang w:val="zh-CN" w:eastAsia="zh-CN"/>
        </w:rPr>
      </w:pPr>
      <w:r>
        <w:rPr>
          <w:rFonts w:hint="eastAsia" w:ascii="楷体_GB2312" w:hAnsi="宋体"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position w:val="0"/>
          <w:lang w:val="en-US" w:eastAsia="zh-CN"/>
        </w:rPr>
      </w:pPr>
      <w:r>
        <w:rPr>
          <w:rFonts w:hint="eastAsia" w:ascii="仿宋_GB2312" w:hAnsi="仿宋_GB2312" w:eastAsia="仿宋_GB2312" w:cs="仿宋_GB2312"/>
          <w:position w:val="0"/>
          <w:highlight w:val="none"/>
          <w:lang w:eastAsia="zh-CN"/>
        </w:rPr>
        <w:t>整体绩效目标：</w:t>
      </w:r>
      <w:r>
        <w:rPr>
          <w:rFonts w:hint="eastAsia" w:ascii="仿宋_GB2312" w:hAnsi="仿宋_GB2312" w:eastAsia="仿宋_GB2312" w:cs="仿宋_GB2312"/>
          <w:position w:val="0"/>
          <w:highlight w:val="none"/>
          <w:lang w:val="en-US" w:eastAsia="zh-CN"/>
        </w:rPr>
        <w:t>城乡基层治理能力建设专项资金项目顺利实施，党群服务中心</w:t>
      </w:r>
      <w:r>
        <w:rPr>
          <w:rFonts w:hint="eastAsia" w:ascii="仿宋_GB2312" w:hAnsi="仿宋_GB2312" w:cs="仿宋_GB2312"/>
          <w:position w:val="0"/>
          <w:highlight w:val="none"/>
          <w:lang w:val="en-US" w:eastAsia="zh-CN"/>
        </w:rPr>
        <w:t>改造升级后</w:t>
      </w:r>
      <w:r>
        <w:rPr>
          <w:rFonts w:hint="eastAsia" w:ascii="仿宋_GB2312" w:hAnsi="仿宋_GB2312" w:eastAsia="仿宋_GB2312" w:cs="仿宋_GB2312"/>
          <w:position w:val="0"/>
          <w:highlight w:val="none"/>
          <w:lang w:val="en-US" w:eastAsia="zh-CN"/>
        </w:rPr>
        <w:t>能够符合群众需求，解决群众问题。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position w:val="0"/>
          <w:lang w:eastAsia="zh-CN"/>
        </w:rPr>
      </w:pPr>
      <w:r>
        <w:rPr>
          <w:rFonts w:hint="eastAsia" w:ascii="仿宋_GB2312" w:hAnsi="仿宋_GB2312" w:eastAsia="仿宋_GB2312" w:cs="仿宋_GB2312"/>
          <w:position w:val="0"/>
          <w:highlight w:val="none"/>
          <w:lang w:eastAsia="zh-CN"/>
        </w:rPr>
        <w:t>区域绩效目标：标准化建设党群服务中心，实现服务集成、群体全面覆盖，治理延伸的功能。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宋体" w:eastAsia="黑体"/>
          <w:position w:val="0"/>
          <w:highlight w:val="none"/>
        </w:rPr>
      </w:pPr>
      <w:r>
        <w:rPr>
          <w:rFonts w:hint="eastAsia" w:ascii="仿宋_GB2312" w:hAnsi="仿宋_GB2312" w:eastAsia="仿宋_GB2312" w:cs="仿宋_GB2312"/>
          <w:position w:val="0"/>
          <w:highlight w:val="none"/>
          <w:lang w:eastAsia="zh-CN"/>
        </w:rPr>
        <w:t>具体绩效目标：保障项目实施</w:t>
      </w:r>
      <w:r>
        <w:rPr>
          <w:rFonts w:hint="eastAsia" w:ascii="仿宋_GB2312" w:hAnsi="仿宋_GB2312" w:eastAsia="仿宋_GB2312" w:cs="仿宋_GB2312"/>
          <w:position w:val="0"/>
          <w:highlight w:val="none"/>
          <w:lang w:val="en-US" w:eastAsia="zh-CN"/>
        </w:rPr>
        <w:t>=</w:t>
      </w:r>
      <w:r>
        <w:rPr>
          <w:rFonts w:hint="eastAsia" w:ascii="仿宋_GB2312" w:hAnsi="仿宋_GB2312" w:cs="仿宋_GB2312"/>
          <w:position w:val="0"/>
          <w:highlight w:val="none"/>
          <w:lang w:val="en-US" w:eastAsia="zh-CN"/>
        </w:rPr>
        <w:t>2</w:t>
      </w:r>
      <w:r>
        <w:rPr>
          <w:rFonts w:hint="eastAsia" w:ascii="仿宋_GB2312" w:hAnsi="仿宋_GB2312" w:eastAsia="仿宋_GB2312" w:cs="仿宋_GB2312"/>
          <w:position w:val="0"/>
          <w:highlight w:val="none"/>
          <w:lang w:val="en-US" w:eastAsia="zh-CN"/>
        </w:rPr>
        <w:t>个；项目建设质量合格；项目开展时间2024年；党群服务中心工作良好；群众满意度≥90%。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宋体" w:eastAsia="黑体"/>
          <w:position w:val="0"/>
          <w:highlight w:val="none"/>
          <w:lang w:eastAsia="zh-CN"/>
        </w:rPr>
      </w:pPr>
      <w:r>
        <w:rPr>
          <w:rFonts w:hint="eastAsia" w:ascii="黑体" w:hAnsi="宋体" w:eastAsia="黑体"/>
          <w:position w:val="0"/>
          <w:highlight w:val="none"/>
        </w:rPr>
        <w:t>二、</w:t>
      </w:r>
      <w:r>
        <w:rPr>
          <w:rFonts w:hint="eastAsia" w:ascii="黑体" w:hAnsi="宋体" w:eastAsia="黑体"/>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eastAsia="仿宋_GB2312" w:cs="Times New Roman"/>
          <w:position w:val="0"/>
          <w:szCs w:val="32"/>
        </w:rPr>
      </w:pPr>
      <w:r>
        <w:rPr>
          <w:rFonts w:hint="eastAsia" w:ascii="楷体_GB2312" w:hAnsi="宋体" w:eastAsia="楷体_GB2312"/>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通过对比项目实际成果与预设绩效目标，验证目标完成情况；总结项目经验，发现项目问题，改进同类项目方向，有利于优化资源配置效率，提升过程管控能力。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楷体_GB2312" w:hAnsi="宋体" w:eastAsia="楷体_GB2312"/>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预设问题包括资金支出是否规范；</w:t>
      </w:r>
      <w:r>
        <w:rPr>
          <w:rFonts w:hint="eastAsia" w:ascii="仿宋_GB2312" w:hAnsi="仿宋_GB2312" w:cs="仿宋_GB2312"/>
          <w:b w:val="0"/>
          <w:bCs/>
          <w:color w:val="auto"/>
          <w:position w:val="0"/>
          <w:sz w:val="32"/>
          <w:szCs w:val="32"/>
          <w:highlight w:val="none"/>
          <w:u w:val="none"/>
          <w:lang w:val="zh-CN"/>
        </w:rPr>
        <w:t>党群服务中心改造升级</w:t>
      </w:r>
      <w:r>
        <w:rPr>
          <w:rFonts w:hint="eastAsia" w:ascii="仿宋_GB2312" w:hAnsi="仿宋_GB2312" w:eastAsia="仿宋_GB2312" w:cs="仿宋_GB2312"/>
          <w:b w:val="0"/>
          <w:bCs/>
          <w:color w:val="auto"/>
          <w:position w:val="0"/>
          <w:sz w:val="32"/>
          <w:szCs w:val="32"/>
          <w:highlight w:val="none"/>
          <w:u w:val="none"/>
          <w:lang w:val="zh-CN"/>
        </w:rPr>
        <w:t>是否</w:t>
      </w:r>
      <w:r>
        <w:rPr>
          <w:rFonts w:hint="eastAsia" w:ascii="仿宋_GB2312" w:hAnsi="仿宋_GB2312" w:cs="仿宋_GB2312"/>
          <w:b w:val="0"/>
          <w:bCs/>
          <w:color w:val="auto"/>
          <w:position w:val="0"/>
          <w:sz w:val="32"/>
          <w:szCs w:val="32"/>
          <w:highlight w:val="none"/>
          <w:u w:val="none"/>
          <w:lang w:val="zh-CN"/>
        </w:rPr>
        <w:t>合格</w:t>
      </w:r>
      <w:r>
        <w:rPr>
          <w:rFonts w:hint="eastAsia" w:ascii="仿宋_GB2312" w:hAnsi="仿宋_GB2312" w:eastAsia="仿宋_GB2312" w:cs="仿宋_GB2312"/>
          <w:b w:val="0"/>
          <w:bCs/>
          <w:color w:val="auto"/>
          <w:position w:val="0"/>
          <w:sz w:val="32"/>
          <w:szCs w:val="32"/>
          <w:highlight w:val="none"/>
          <w:u w:val="none"/>
          <w:lang w:val="zh-CN"/>
        </w:rPr>
        <w:t>；</w:t>
      </w:r>
      <w:r>
        <w:rPr>
          <w:rFonts w:hint="eastAsia" w:ascii="仿宋_GB2312" w:hAnsi="仿宋_GB2312" w:cs="仿宋_GB2312"/>
          <w:b w:val="0"/>
          <w:bCs/>
          <w:color w:val="auto"/>
          <w:position w:val="0"/>
          <w:sz w:val="32"/>
          <w:szCs w:val="32"/>
          <w:highlight w:val="none"/>
          <w:u w:val="none"/>
          <w:lang w:val="zh-CN"/>
        </w:rPr>
        <w:t>党群服务中心工作是否良好；</w:t>
      </w:r>
      <w:r>
        <w:rPr>
          <w:rFonts w:hint="eastAsia" w:ascii="仿宋_GB2312" w:hAnsi="仿宋_GB2312" w:eastAsia="仿宋_GB2312" w:cs="仿宋_GB2312"/>
          <w:b w:val="0"/>
          <w:bCs/>
          <w:color w:val="auto"/>
          <w:position w:val="0"/>
          <w:sz w:val="32"/>
          <w:szCs w:val="32"/>
          <w:highlight w:val="none"/>
          <w:u w:val="none"/>
          <w:lang w:val="zh-CN"/>
        </w:rPr>
        <w:t>群众是否满意等。</w:t>
      </w:r>
      <w:r>
        <w:rPr>
          <w:rFonts w:hint="default" w:ascii="Times New Roman" w:hAnsi="Times New Roman" w:eastAsia="仿宋_GB2312" w:cs="Times New Roman"/>
          <w:b w:val="0"/>
          <w:bCs/>
          <w:color w:val="auto"/>
          <w:position w:val="0"/>
          <w:sz w:val="32"/>
          <w:szCs w:val="32"/>
          <w:highlight w:val="none"/>
          <w:u w:val="none"/>
          <w:lang w:val="zh-CN"/>
        </w:rPr>
        <w:t>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position w:val="0"/>
          <w:szCs w:val="32"/>
          <w:lang w:val="zh-CN" w:eastAsia="zh-CN"/>
        </w:rPr>
      </w:pPr>
      <w:r>
        <w:rPr>
          <w:rFonts w:hint="eastAsia" w:ascii="楷体_GB2312" w:hAnsi="宋体" w:eastAsia="楷体_GB2312"/>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本次项目绩效自评选取文兴社区党群服务中心</w:t>
      </w:r>
      <w:r>
        <w:rPr>
          <w:rFonts w:hint="eastAsia" w:ascii="仿宋_GB2312" w:hAnsi="仿宋_GB2312" w:cs="仿宋_GB2312"/>
          <w:b w:val="0"/>
          <w:bCs/>
          <w:color w:val="auto"/>
          <w:position w:val="0"/>
          <w:sz w:val="32"/>
          <w:szCs w:val="32"/>
          <w:highlight w:val="none"/>
          <w:u w:val="none"/>
          <w:lang w:val="zh-CN"/>
        </w:rPr>
        <w:t>和大柏林村党群服务中心</w:t>
      </w:r>
      <w:r>
        <w:rPr>
          <w:rFonts w:hint="eastAsia" w:ascii="仿宋_GB2312" w:hAnsi="仿宋_GB2312" w:eastAsia="仿宋_GB2312" w:cs="仿宋_GB2312"/>
          <w:b w:val="0"/>
          <w:bCs/>
          <w:color w:val="auto"/>
          <w:position w:val="0"/>
          <w:sz w:val="32"/>
          <w:szCs w:val="32"/>
          <w:highlight w:val="none"/>
          <w:u w:val="none"/>
          <w:lang w:val="zh-CN"/>
        </w:rPr>
        <w:t>作为抽样点位，确保评价能够全面</w:t>
      </w:r>
      <w:r>
        <w:rPr>
          <w:rFonts w:hint="eastAsia" w:ascii="仿宋_GB2312" w:hAnsi="仿宋_GB2312" w:cs="仿宋_GB2312"/>
          <w:b w:val="0"/>
          <w:bCs/>
          <w:color w:val="auto"/>
          <w:position w:val="0"/>
          <w:sz w:val="32"/>
          <w:szCs w:val="32"/>
          <w:highlight w:val="none"/>
          <w:u w:val="none"/>
          <w:lang w:val="zh-CN"/>
        </w:rPr>
        <w:t>反映</w:t>
      </w:r>
      <w:r>
        <w:rPr>
          <w:rFonts w:hint="eastAsia" w:ascii="仿宋_GB2312" w:hAnsi="仿宋_GB2312" w:eastAsia="仿宋_GB2312" w:cs="仿宋_GB2312"/>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eastAsia="仿宋_GB2312" w:cs="Times New Roman"/>
          <w:position w:val="0"/>
          <w:szCs w:val="32"/>
          <w:lang w:eastAsia="zh-CN"/>
        </w:rPr>
      </w:pPr>
      <w:r>
        <w:rPr>
          <w:rFonts w:hint="eastAsia" w:ascii="楷体_GB2312" w:hAnsi="宋体" w:eastAsia="楷体_GB2312"/>
          <w:b/>
          <w:color w:val="auto"/>
          <w:position w:val="0"/>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问卷调查法：设计调查问卷，随机抽取村民及过往群众填报问卷，了解群众对项目实施的意见、建议以及群众满意度。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实地调查法：通过去</w:t>
      </w:r>
      <w:r>
        <w:rPr>
          <w:rFonts w:hint="eastAsia" w:ascii="仿宋_GB2312" w:hAnsi="仿宋_GB2312" w:cs="仿宋_GB2312"/>
          <w:b w:val="0"/>
          <w:bCs/>
          <w:color w:val="auto"/>
          <w:position w:val="0"/>
          <w:sz w:val="32"/>
          <w:szCs w:val="32"/>
          <w:highlight w:val="none"/>
          <w:u w:val="none"/>
          <w:lang w:val="zh-CN"/>
        </w:rPr>
        <w:t>两个</w:t>
      </w:r>
      <w:r>
        <w:rPr>
          <w:rFonts w:hint="eastAsia" w:ascii="仿宋_GB2312" w:hAnsi="仿宋_GB2312" w:eastAsia="仿宋_GB2312" w:cs="仿宋_GB2312"/>
          <w:b w:val="0"/>
          <w:bCs/>
          <w:color w:val="auto"/>
          <w:position w:val="0"/>
          <w:sz w:val="32"/>
          <w:szCs w:val="32"/>
          <w:highlight w:val="none"/>
          <w:u w:val="none"/>
          <w:lang w:val="zh-CN"/>
        </w:rPr>
        <w:t>党群服务中心现场了解党群服务中心改造升级程度以及工作情况。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eastAsia="仿宋_GB2312" w:cs="Times New Roman"/>
          <w:bCs/>
          <w:position w:val="0"/>
          <w:lang w:eastAsia="zh-CN"/>
        </w:rPr>
      </w:pPr>
      <w:r>
        <w:rPr>
          <w:rFonts w:hint="eastAsia" w:ascii="楷体_GB2312" w:hAnsi="宋体" w:eastAsia="楷体_GB2312"/>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宋体" w:eastAsia="黑体"/>
          <w:color w:val="auto"/>
          <w:position w:val="0"/>
          <w:sz w:val="32"/>
          <w:szCs w:val="32"/>
          <w:highlight w:val="none"/>
          <w:u w:val="none"/>
        </w:rPr>
      </w:pPr>
      <w:r>
        <w:rPr>
          <w:rFonts w:hint="eastAsia" w:ascii="仿宋_GB2312" w:hAnsi="仿宋_GB2312" w:eastAsia="仿宋_GB2312" w:cs="仿宋_GB2312"/>
          <w:color w:val="auto"/>
          <w:position w:val="0"/>
          <w:sz w:val="32"/>
          <w:szCs w:val="32"/>
          <w:highlight w:val="none"/>
          <w:u w:val="none"/>
        </w:rPr>
        <w:t>本次绩效评价工作成立了政府牵头组建的绩效评价小组（包括财政部门、业务部门、纪委监察部门等多个部门），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eastAsia="仿宋_GB2312" w:cs="Times New Roman"/>
          <w:position w:val="0"/>
          <w:szCs w:val="32"/>
          <w:lang w:val="en-US" w:eastAsia="zh-CN"/>
        </w:rPr>
      </w:pPr>
      <w:r>
        <w:rPr>
          <w:rFonts w:hint="eastAsia" w:ascii="黑体" w:hAnsi="宋体" w:eastAsia="黑体"/>
          <w:color w:val="auto"/>
          <w:position w:val="0"/>
          <w:sz w:val="32"/>
          <w:szCs w:val="32"/>
          <w:highlight w:val="none"/>
          <w:u w:val="none"/>
        </w:rPr>
        <w:t>三、</w:t>
      </w:r>
      <w:r>
        <w:rPr>
          <w:rFonts w:hint="eastAsia" w:ascii="黑体" w:hAnsi="宋体" w:eastAsia="黑体"/>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宋体" w:eastAsia="楷体_GB2312" w:cs="Times New Roman"/>
          <w:b/>
          <w:color w:val="auto"/>
          <w:position w:val="0"/>
          <w:sz w:val="32"/>
          <w:szCs w:val="32"/>
          <w:highlight w:val="none"/>
          <w:u w:val="none"/>
          <w:lang w:val="en-US" w:eastAsia="zh-CN"/>
        </w:rPr>
      </w:pPr>
      <w:r>
        <w:rPr>
          <w:rFonts w:hint="eastAsia" w:ascii="楷体_GB2312" w:hAnsi="宋体" w:eastAsia="楷体_GB2312" w:cs="Times New Roman"/>
          <w:b/>
          <w:color w:val="auto"/>
          <w:position w:val="0"/>
          <w:sz w:val="32"/>
          <w:szCs w:val="32"/>
          <w:highlight w:val="none"/>
          <w:u w:val="none"/>
          <w:lang w:val="zh-CN"/>
        </w:rPr>
        <w:t>（一）</w:t>
      </w:r>
      <w:r>
        <w:rPr>
          <w:rFonts w:hint="eastAsia" w:ascii="楷体_GB2312" w:hAnsi="宋体"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1.项目决策</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zh-CN"/>
        </w:rPr>
        <w:t>城乡基层治理能力建设专项资金项目</w:t>
      </w:r>
      <w:r>
        <w:rPr>
          <w:rFonts w:hint="default" w:ascii="Times New Roman" w:hAnsi="Times New Roman" w:eastAsia="仿宋_GB2312" w:cs="Times New Roman"/>
          <w:color w:val="auto"/>
          <w:position w:val="0"/>
          <w:szCs w:val="32"/>
          <w:lang w:val="en-US" w:eastAsia="zh-CN"/>
        </w:rPr>
        <w:t>为初次申报项目，立项经过镇党委会审议通过，决策程序规范；前期通过实地调研、问卷调查等形式，开展了充分的论证，规划合理；</w:t>
      </w:r>
      <w:r>
        <w:rPr>
          <w:rFonts w:hint="default" w:ascii="Times New Roman" w:hAnsi="Times New Roman" w:eastAsia="仿宋_GB2312" w:cs="Times New Roman"/>
          <w:b w:val="0"/>
          <w:bCs/>
          <w:color w:val="auto"/>
          <w:position w:val="0"/>
          <w:sz w:val="32"/>
          <w:szCs w:val="32"/>
          <w:highlight w:val="none"/>
          <w:u w:val="none"/>
          <w:lang w:val="zh-CN"/>
        </w:rPr>
        <w:t>城乡基层治理能力建设专项资金项目</w:t>
      </w:r>
      <w:r>
        <w:rPr>
          <w:rFonts w:hint="default" w:ascii="Times New Roman" w:hAnsi="Times New Roman" w:eastAsia="仿宋_GB2312" w:cs="Times New Roman"/>
          <w:color w:val="auto"/>
          <w:position w:val="0"/>
          <w:szCs w:val="32"/>
          <w:lang w:val="en-US" w:eastAsia="zh-CN"/>
        </w:rPr>
        <w:t>聚焦民生保障领域，符合群众需求。该项指标18分、得17分。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2.项目管理</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为使项目如期完成，结合聚贤镇实际情况，</w:t>
      </w:r>
      <w:r>
        <w:rPr>
          <w:rFonts w:hint="default" w:ascii="Times New Roman" w:hAnsi="Times New Roman" w:eastAsia="仿宋_GB2312" w:cs="Times New Roman"/>
          <w:b w:val="0"/>
          <w:bCs/>
          <w:color w:val="auto"/>
          <w:position w:val="0"/>
          <w:sz w:val="32"/>
          <w:szCs w:val="32"/>
          <w:highlight w:val="none"/>
          <w:u w:val="none"/>
          <w:lang w:val="zh-CN"/>
        </w:rPr>
        <w:t>城乡基层治理能力建设专项资金项目</w:t>
      </w:r>
      <w:r>
        <w:rPr>
          <w:rFonts w:hint="default" w:ascii="Times New Roman" w:hAnsi="Times New Roman" w:eastAsia="仿宋_GB2312" w:cs="Times New Roman"/>
          <w:b w:val="0"/>
          <w:bCs w:val="0"/>
          <w:color w:val="auto"/>
          <w:position w:val="0"/>
          <w:sz w:val="32"/>
          <w:szCs w:val="32"/>
          <w:highlight w:val="none"/>
          <w:u w:val="none"/>
          <w:lang w:val="en-US" w:eastAsia="zh-CN"/>
        </w:rPr>
        <w:t>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3.项目实施。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预算执行率100%，未出现截留、挤占、挪用等情况，资金使用规范。该项指标9分，得9分。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仿宋_GB2312" w:cs="Times New Roman"/>
          <w:position w:val="0"/>
          <w:lang w:eastAsia="zh-CN"/>
        </w:rPr>
      </w:pPr>
      <w:r>
        <w:rPr>
          <w:rFonts w:hint="eastAsia" w:cs="Times New Roman"/>
          <w:color w:val="auto"/>
          <w:position w:val="0"/>
          <w:szCs w:val="32"/>
          <w:lang w:val="en-US" w:eastAsia="zh-CN"/>
        </w:rPr>
        <w:t>4.</w:t>
      </w:r>
      <w:r>
        <w:rPr>
          <w:rFonts w:hint="default" w:ascii="Times New Roman" w:hAnsi="Times New Roman" w:eastAsia="仿宋_GB2312" w:cs="Times New Roman"/>
          <w:color w:val="auto"/>
          <w:position w:val="0"/>
          <w:szCs w:val="32"/>
          <w:lang w:val="en-US" w:eastAsia="zh-CN"/>
        </w:rPr>
        <w:t>项目结果。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城乡基层治理能力建设专项资金项目</w:t>
      </w:r>
      <w:r>
        <w:rPr>
          <w:rFonts w:hint="default" w:ascii="Times New Roman" w:hAnsi="Times New Roman" w:eastAsia="仿宋_GB2312" w:cs="Times New Roman"/>
          <w:b w:val="0"/>
          <w:bCs w:val="0"/>
          <w:color w:val="auto"/>
          <w:position w:val="0"/>
          <w:sz w:val="32"/>
          <w:szCs w:val="32"/>
          <w:highlight w:val="none"/>
          <w:u w:val="none"/>
          <w:lang w:val="en-US" w:eastAsia="zh-CN"/>
        </w:rPr>
        <w:t>绩效目标完成，均按时完工，达到预期效果。该项指标9分，得9分。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color w:val="auto"/>
          <w:position w:val="0"/>
          <w:szCs w:val="32"/>
          <w:lang w:val="en-US" w:eastAsia="zh-CN"/>
        </w:rPr>
      </w:pPr>
      <w:r>
        <w:rPr>
          <w:rFonts w:hint="eastAsia" w:ascii="楷体_GB2312" w:hAnsi="宋体" w:eastAsia="楷体_GB2312" w:cs="Times New Roman"/>
          <w:b/>
          <w:color w:val="auto"/>
          <w:position w:val="0"/>
          <w:sz w:val="32"/>
          <w:szCs w:val="32"/>
          <w:highlight w:val="none"/>
          <w:u w:val="none"/>
          <w:lang w:val="zh-CN"/>
        </w:rPr>
        <w:t>（二）</w:t>
      </w:r>
      <w:r>
        <w:rPr>
          <w:rFonts w:hint="eastAsia" w:ascii="楷体_GB2312" w:hAnsi="宋体"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color w:val="auto"/>
          <w:position w:val="0"/>
          <w:sz w:val="32"/>
          <w:szCs w:val="32"/>
          <w:lang w:val="en-US" w:eastAsia="zh-CN"/>
        </w:rPr>
      </w:pPr>
      <w:r>
        <w:rPr>
          <w:rFonts w:hint="eastAsia" w:ascii="仿宋_GB2312" w:hAnsi="仿宋_GB2312" w:eastAsia="仿宋_GB2312" w:cs="仿宋_GB2312"/>
          <w:b w:val="0"/>
          <w:bCs/>
          <w:color w:val="auto"/>
          <w:position w:val="0"/>
          <w:sz w:val="32"/>
          <w:szCs w:val="32"/>
          <w:highlight w:val="none"/>
          <w:u w:val="none"/>
          <w:lang w:val="zh-CN"/>
        </w:rPr>
        <w:t>城乡基层治理能力建设专项资金项目</w:t>
      </w:r>
      <w:r>
        <w:rPr>
          <w:rFonts w:hint="default" w:ascii="Times New Roman" w:hAnsi="Times New Roman" w:cs="Times New Roman"/>
          <w:b w:val="0"/>
          <w:bCs w:val="0"/>
          <w:color w:val="auto"/>
          <w:position w:val="0"/>
          <w:sz w:val="32"/>
          <w:szCs w:val="32"/>
          <w:highlight w:val="none"/>
          <w:u w:val="none"/>
          <w:lang w:val="en-US" w:eastAsia="zh-CN"/>
        </w:rPr>
        <w:t>属于民生保障类项目，具体分析如下：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区域均衡性：</w:t>
      </w:r>
      <w:r>
        <w:rPr>
          <w:rFonts w:hint="eastAsia" w:ascii="仿宋_GB2312" w:hAnsi="仿宋_GB2312" w:eastAsia="仿宋_GB2312" w:cs="仿宋_GB2312"/>
          <w:b w:val="0"/>
          <w:bCs/>
          <w:color w:val="auto"/>
          <w:position w:val="0"/>
          <w:sz w:val="32"/>
          <w:szCs w:val="32"/>
          <w:highlight w:val="none"/>
          <w:u w:val="none"/>
          <w:lang w:val="zh-CN"/>
        </w:rPr>
        <w:t>城乡基层治理能力建设专项资金项目</w:t>
      </w:r>
      <w:r>
        <w:rPr>
          <w:rFonts w:hint="eastAsia" w:ascii="仿宋_GB2312" w:hAnsi="仿宋_GB2312" w:cs="仿宋_GB2312"/>
          <w:position w:val="0"/>
          <w:highlight w:val="none"/>
          <w:lang w:val="en-US" w:eastAsia="zh-CN"/>
        </w:rPr>
        <w:t>的实施，大柏林村党群服务中心和文兴社区党群服务中心进行了提档升级，且两个党群服务中心是面向的服务对象是所有群众，这使</w:t>
      </w:r>
      <w:r>
        <w:rPr>
          <w:rFonts w:hint="eastAsia" w:cs="Times New Roman"/>
          <w:b w:val="0"/>
          <w:bCs/>
          <w:color w:val="auto"/>
          <w:position w:val="0"/>
          <w:sz w:val="32"/>
          <w:szCs w:val="32"/>
          <w:highlight w:val="none"/>
          <w:u w:val="none"/>
          <w:lang w:val="en-US" w:eastAsia="zh-CN"/>
        </w:rPr>
        <w:t>区域间差距缩小。</w:t>
      </w:r>
      <w:r>
        <w:rPr>
          <w:rFonts w:hint="default" w:ascii="Times New Roman" w:hAnsi="Times New Roman" w:eastAsia="仿宋_GB2312" w:cs="Times New Roman"/>
          <w:b w:val="0"/>
          <w:bCs/>
          <w:color w:val="auto"/>
          <w:position w:val="0"/>
          <w:sz w:val="32"/>
          <w:szCs w:val="32"/>
          <w:highlight w:val="none"/>
          <w:u w:val="none"/>
          <w:lang w:val="en-US" w:eastAsia="zh-CN"/>
        </w:rPr>
        <w:t>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对象精准性：</w:t>
      </w:r>
      <w:r>
        <w:rPr>
          <w:rFonts w:hint="eastAsia" w:ascii="仿宋_GB2312" w:hAnsi="仿宋_GB2312" w:eastAsia="仿宋_GB2312" w:cs="仿宋_GB2312"/>
          <w:b w:val="0"/>
          <w:bCs/>
          <w:color w:val="auto"/>
          <w:position w:val="0"/>
          <w:sz w:val="32"/>
          <w:szCs w:val="32"/>
          <w:highlight w:val="none"/>
          <w:u w:val="none"/>
          <w:lang w:val="zh-CN"/>
        </w:rPr>
        <w:t>城乡基层治理能力建设专项资金项目</w:t>
      </w:r>
      <w:r>
        <w:rPr>
          <w:rFonts w:hint="eastAsia" w:ascii="仿宋_GB2312" w:hAnsi="仿宋_GB2312" w:cs="仿宋_GB2312"/>
          <w:b w:val="0"/>
          <w:bCs/>
          <w:color w:val="auto"/>
          <w:position w:val="0"/>
          <w:sz w:val="32"/>
          <w:szCs w:val="32"/>
          <w:highlight w:val="none"/>
          <w:u w:val="none"/>
          <w:lang w:val="zh-CN" w:eastAsia="zh-CN"/>
        </w:rPr>
        <w:t>实施保障大柏林村党群服务中心和文兴社区党群服务中心提档升级，实施对象精准，</w:t>
      </w:r>
      <w:r>
        <w:rPr>
          <w:rFonts w:hint="default" w:ascii="Times New Roman" w:hAnsi="Times New Roman" w:eastAsia="仿宋_GB2312" w:cs="Times New Roman"/>
          <w:b w:val="0"/>
          <w:bCs/>
          <w:color w:val="auto"/>
          <w:position w:val="0"/>
          <w:sz w:val="32"/>
          <w:szCs w:val="32"/>
          <w:highlight w:val="none"/>
          <w:u w:val="none"/>
          <w:lang w:val="en-US" w:eastAsia="zh-CN"/>
        </w:rPr>
        <w:t>符合群众实际需求。该项指标10分，得</w:t>
      </w:r>
      <w:r>
        <w:rPr>
          <w:rFonts w:hint="eastAsia" w:cs="Times New Roman"/>
          <w:b w:val="0"/>
          <w:bCs/>
          <w:color w:val="auto"/>
          <w:position w:val="0"/>
          <w:sz w:val="32"/>
          <w:szCs w:val="32"/>
          <w:highlight w:val="none"/>
          <w:u w:val="none"/>
          <w:lang w:val="en-US" w:eastAsia="zh-CN"/>
        </w:rPr>
        <w:t>10</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标准合理性：</w:t>
      </w:r>
      <w:r>
        <w:rPr>
          <w:rFonts w:hint="eastAsia" w:cs="Times New Roman"/>
          <w:b w:val="0"/>
          <w:bCs/>
          <w:color w:val="auto"/>
          <w:position w:val="0"/>
          <w:sz w:val="32"/>
          <w:szCs w:val="32"/>
          <w:highlight w:val="none"/>
          <w:u w:val="none"/>
          <w:lang w:val="zh-CN"/>
        </w:rPr>
        <w:t>项目符合聚贤镇党群服务中心改造升级</w:t>
      </w:r>
      <w:r>
        <w:rPr>
          <w:rFonts w:hint="default" w:ascii="Times New Roman" w:hAnsi="Times New Roman" w:eastAsia="仿宋_GB2312" w:cs="Times New Roman"/>
          <w:b w:val="0"/>
          <w:bCs/>
          <w:color w:val="auto"/>
          <w:position w:val="0"/>
          <w:sz w:val="32"/>
          <w:szCs w:val="32"/>
          <w:highlight w:val="none"/>
          <w:u w:val="none"/>
          <w:lang w:val="zh-CN"/>
        </w:rPr>
        <w:t>相关标准和要求，项目实施达到预期效果</w:t>
      </w:r>
      <w:r>
        <w:rPr>
          <w:rFonts w:hint="eastAsia" w:cs="Times New Roman"/>
          <w:b w:val="0"/>
          <w:bCs/>
          <w:color w:val="auto"/>
          <w:position w:val="0"/>
          <w:sz w:val="32"/>
          <w:szCs w:val="32"/>
          <w:highlight w:val="none"/>
          <w:u w:val="none"/>
          <w:lang w:val="zh-CN"/>
        </w:rPr>
        <w:t>，党群服务中心工作良好</w:t>
      </w:r>
      <w:r>
        <w:rPr>
          <w:rFonts w:hint="default" w:ascii="Times New Roman" w:hAnsi="Times New Roman" w:eastAsia="仿宋_GB2312" w:cs="Times New Roman"/>
          <w:b w:val="0"/>
          <w:bCs/>
          <w:color w:val="auto"/>
          <w:position w:val="0"/>
          <w:sz w:val="32"/>
          <w:szCs w:val="32"/>
          <w:highlight w:val="none"/>
          <w:u w:val="none"/>
          <w:lang w:val="zh-CN"/>
        </w:rPr>
        <w:t>。该项指标</w:t>
      </w:r>
      <w:r>
        <w:rPr>
          <w:rFonts w:hint="default" w:ascii="Times New Roman" w:hAnsi="Times New Roman" w:eastAsia="仿宋_GB2312" w:cs="Times New Roman"/>
          <w:b w:val="0"/>
          <w:bCs/>
          <w:color w:val="auto"/>
          <w:position w:val="0"/>
          <w:sz w:val="32"/>
          <w:szCs w:val="32"/>
          <w:highlight w:val="none"/>
          <w:u w:val="none"/>
          <w:lang w:val="en-US" w:eastAsia="zh-CN"/>
        </w:rPr>
        <w:t>5分，得5分。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群众满意度：通过问卷调查，群众对项目满意度达到</w:t>
      </w:r>
      <w:r>
        <w:rPr>
          <w:rFonts w:hint="default" w:ascii="Times New Roman" w:hAnsi="Times New Roman" w:eastAsia="仿宋_GB2312" w:cs="Times New Roman"/>
          <w:b w:val="0"/>
          <w:bCs/>
          <w:color w:val="auto"/>
          <w:position w:val="0"/>
          <w:sz w:val="32"/>
          <w:szCs w:val="32"/>
          <w:highlight w:val="none"/>
          <w:u w:val="none"/>
          <w:lang w:val="en-US" w:eastAsia="zh-CN"/>
        </w:rPr>
        <w:t>9</w:t>
      </w:r>
      <w:r>
        <w:rPr>
          <w:rFonts w:hint="eastAsia" w:cs="Times New Roman"/>
          <w:b w:val="0"/>
          <w:bCs/>
          <w:color w:val="auto"/>
          <w:position w:val="0"/>
          <w:sz w:val="32"/>
          <w:szCs w:val="32"/>
          <w:highlight w:val="none"/>
          <w:u w:val="none"/>
          <w:lang w:val="en-US" w:eastAsia="zh-CN"/>
        </w:rPr>
        <w:t>8</w:t>
      </w:r>
      <w:r>
        <w:rPr>
          <w:rFonts w:hint="default" w:ascii="Times New Roman" w:hAnsi="Times New Roman" w:eastAsia="仿宋_GB2312" w:cs="Times New Roman"/>
          <w:b w:val="0"/>
          <w:bCs/>
          <w:color w:val="auto"/>
          <w:position w:val="0"/>
          <w:sz w:val="32"/>
          <w:szCs w:val="32"/>
          <w:highlight w:val="none"/>
          <w:u w:val="none"/>
          <w:lang w:val="en-US" w:eastAsia="zh-CN"/>
        </w:rPr>
        <w:t>%。该项指标5分，得</w:t>
      </w:r>
      <w:r>
        <w:rPr>
          <w:rFonts w:hint="eastAsia" w:cs="Times New Roman"/>
          <w:b w:val="0"/>
          <w:bCs/>
          <w:color w:val="auto"/>
          <w:position w:val="0"/>
          <w:sz w:val="32"/>
          <w:szCs w:val="32"/>
          <w:highlight w:val="none"/>
          <w:u w:val="none"/>
          <w:lang w:val="en-US" w:eastAsia="zh-CN"/>
        </w:rPr>
        <w:t>4.9</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color w:val="auto"/>
          <w:position w:val="0"/>
          <w:szCs w:val="32"/>
          <w:lang w:val="en-US" w:eastAsia="zh-CN"/>
        </w:rPr>
      </w:pPr>
      <w:r>
        <w:rPr>
          <w:rFonts w:hint="eastAsia" w:ascii="楷体_GB2312" w:hAnsi="宋体" w:eastAsia="楷体_GB2312" w:cs="Times New Roman"/>
          <w:b/>
          <w:color w:val="auto"/>
          <w:position w:val="0"/>
          <w:sz w:val="32"/>
          <w:szCs w:val="32"/>
          <w:highlight w:val="none"/>
          <w:u w:val="none"/>
          <w:lang w:val="zh-CN"/>
        </w:rPr>
        <w:t>（三）</w:t>
      </w:r>
      <w:r>
        <w:rPr>
          <w:rFonts w:hint="eastAsia" w:ascii="楷体_GB2312" w:hAnsi="宋体"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仿宋_GB2312" w:hAnsi="仿宋_GB2312" w:eastAsia="仿宋_GB2312" w:cs="仿宋_GB2312"/>
          <w:color w:val="auto"/>
          <w:position w:val="0"/>
          <w:sz w:val="32"/>
          <w:szCs w:val="32"/>
          <w:highlight w:val="none"/>
          <w:u w:val="none"/>
          <w:lang w:val="en-US" w:eastAsia="zh-CN"/>
        </w:rPr>
      </w:pPr>
      <w:r>
        <w:rPr>
          <w:rFonts w:hint="eastAsia" w:ascii="仿宋_GB2312" w:hAnsi="仿宋_GB2312" w:eastAsia="仿宋_GB2312" w:cs="仿宋_GB2312"/>
          <w:color w:val="auto"/>
          <w:position w:val="0"/>
          <w:sz w:val="32"/>
          <w:szCs w:val="32"/>
          <w:highlight w:val="none"/>
          <w:u w:val="none"/>
          <w:lang w:eastAsia="zh-CN"/>
        </w:rPr>
        <w:t>政治引领：党群服务中心改造升级后，整合党务、政务、生活服务于一体，可以提供党务政策咨询、办理党内业务、传播党建知识、提供便民政务服务。该项指标</w:t>
      </w:r>
      <w:r>
        <w:rPr>
          <w:rFonts w:hint="eastAsia" w:ascii="仿宋_GB2312" w:hAnsi="仿宋_GB2312" w:eastAsia="仿宋_GB2312" w:cs="仿宋_GB2312"/>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olor w:val="auto"/>
          <w:position w:val="0"/>
          <w:sz w:val="32"/>
          <w:szCs w:val="32"/>
          <w:highlight w:val="none"/>
          <w:u w:val="none"/>
          <w:lang w:eastAsia="zh-CN"/>
        </w:rPr>
      </w:pPr>
      <w:r>
        <w:rPr>
          <w:rFonts w:hint="eastAsia" w:ascii="仿宋_GB2312" w:hAnsi="仿宋_GB2312" w:eastAsia="仿宋_GB2312" w:cs="仿宋_GB2312"/>
          <w:color w:val="auto"/>
          <w:position w:val="0"/>
          <w:sz w:val="32"/>
          <w:szCs w:val="32"/>
          <w:highlight w:val="none"/>
          <w:u w:val="none"/>
          <w:lang w:eastAsia="zh-CN"/>
        </w:rPr>
        <w:t>民生服务覆盖面：党群服务中心改造升级后，提供的服务面对的不仅仅是某一个村社区的居民，而是面向全年龄段的群众。该项指标</w:t>
      </w:r>
      <w:r>
        <w:rPr>
          <w:rFonts w:hint="eastAsia" w:ascii="仿宋_GB2312" w:hAnsi="仿宋_GB2312" w:eastAsia="仿宋_GB2312" w:cs="仿宋_GB2312"/>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olor w:val="auto"/>
          <w:position w:val="0"/>
          <w:sz w:val="32"/>
          <w:szCs w:val="32"/>
          <w:highlight w:val="none"/>
          <w:u w:val="none"/>
        </w:rPr>
      </w:pPr>
      <w:r>
        <w:rPr>
          <w:rFonts w:hint="eastAsia" w:ascii="黑体" w:hAnsi="宋体" w:eastAsia="黑体"/>
          <w:color w:val="auto"/>
          <w:position w:val="0"/>
          <w:sz w:val="32"/>
          <w:szCs w:val="32"/>
          <w:highlight w:val="none"/>
          <w:u w:val="none"/>
          <w:lang w:eastAsia="zh-CN"/>
        </w:rPr>
        <w:t>四</w:t>
      </w:r>
      <w:r>
        <w:rPr>
          <w:rFonts w:hint="eastAsia" w:ascii="黑体" w:hAnsi="宋体" w:eastAsia="黑体"/>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default" w:ascii="Times New Roman" w:hAnsi="Times New Roman" w:eastAsia="仿宋_GB2312" w:cs="Times New Roman"/>
          <w:color w:val="auto"/>
          <w:position w:val="0"/>
          <w:sz w:val="32"/>
          <w:szCs w:val="32"/>
          <w:highlight w:val="none"/>
          <w:u w:val="none"/>
          <w:lang w:eastAsia="zh-CN"/>
        </w:rPr>
        <w:t>经综合评价</w:t>
      </w:r>
      <w:r>
        <w:rPr>
          <w:rFonts w:hint="eastAsia" w:ascii="仿宋_GB2312" w:hAnsi="仿宋_GB2312" w:eastAsia="仿宋_GB2312" w:cs="仿宋_GB2312"/>
          <w:color w:val="auto"/>
          <w:position w:val="0"/>
          <w:sz w:val="32"/>
          <w:szCs w:val="32"/>
          <w:highlight w:val="none"/>
          <w:u w:val="none"/>
          <w:lang w:eastAsia="zh-CN"/>
        </w:rPr>
        <w:t>，</w:t>
      </w:r>
      <w:r>
        <w:rPr>
          <w:rFonts w:hint="eastAsia" w:ascii="仿宋_GB2312" w:hAnsi="仿宋_GB2312" w:eastAsia="仿宋_GB2312" w:cs="仿宋_GB2312"/>
          <w:b w:val="0"/>
          <w:bCs/>
          <w:color w:val="auto"/>
          <w:position w:val="0"/>
          <w:sz w:val="32"/>
          <w:szCs w:val="32"/>
          <w:highlight w:val="none"/>
          <w:u w:val="none"/>
          <w:lang w:val="zh-CN"/>
        </w:rPr>
        <w:t>城乡基层治理能力建设专项资金项目</w:t>
      </w:r>
      <w:r>
        <w:rPr>
          <w:rFonts w:hint="default" w:ascii="Times New Roman" w:hAnsi="Times New Roman" w:eastAsia="仿宋_GB2312" w:cs="Times New Roman"/>
          <w:b w:val="0"/>
          <w:bCs/>
          <w:color w:val="auto"/>
          <w:position w:val="0"/>
          <w:sz w:val="32"/>
          <w:szCs w:val="32"/>
          <w:highlight w:val="none"/>
          <w:u w:val="none"/>
          <w:lang w:val="en-US" w:eastAsia="zh-CN"/>
        </w:rPr>
        <w:t>绩效自评总分为9</w:t>
      </w:r>
      <w:r>
        <w:rPr>
          <w:rFonts w:hint="eastAsia" w:ascii="Times New Roman" w:eastAsia="仿宋_GB2312" w:cs="Times New Roman"/>
          <w:b w:val="0"/>
          <w:bCs/>
          <w:color w:val="auto"/>
          <w:position w:val="0"/>
          <w:sz w:val="32"/>
          <w:szCs w:val="32"/>
          <w:highlight w:val="none"/>
          <w:u w:val="none"/>
          <w:lang w:val="en-US" w:eastAsia="zh-CN"/>
        </w:rPr>
        <w:t>8.9</w:t>
      </w:r>
      <w:r>
        <w:rPr>
          <w:rFonts w:hint="default" w:ascii="Times New Roman" w:hAnsi="Times New Roman" w:eastAsia="仿宋_GB2312" w:cs="Times New Roman"/>
          <w:b w:val="0"/>
          <w:bCs/>
          <w:color w:val="auto"/>
          <w:position w:val="0"/>
          <w:sz w:val="32"/>
          <w:szCs w:val="32"/>
          <w:highlight w:val="none"/>
          <w:u w:val="none"/>
          <w:lang w:val="en-US" w:eastAsia="zh-CN"/>
        </w:rPr>
        <w:t>分。项目完成既定绩效目标，预算执行率100%，</w:t>
      </w:r>
      <w:r>
        <w:rPr>
          <w:rFonts w:hint="eastAsia" w:ascii="Times New Roman" w:eastAsia="仿宋_GB2312" w:cs="Times New Roman"/>
          <w:b w:val="0"/>
          <w:bCs/>
          <w:color w:val="auto"/>
          <w:position w:val="0"/>
          <w:sz w:val="32"/>
          <w:szCs w:val="32"/>
          <w:highlight w:val="none"/>
          <w:u w:val="none"/>
          <w:lang w:val="en-US" w:eastAsia="zh-CN"/>
        </w:rPr>
        <w:t>党群服务中心工作情况良好</w:t>
      </w:r>
      <w:r>
        <w:rPr>
          <w:rFonts w:hint="default" w:ascii="Times New Roman" w:hAnsi="Times New Roman" w:eastAsia="仿宋_GB2312" w:cs="Times New Roman"/>
          <w:b w:val="0"/>
          <w:bCs/>
          <w:color w:val="auto"/>
          <w:position w:val="0"/>
          <w:sz w:val="32"/>
          <w:szCs w:val="32"/>
          <w:highlight w:val="none"/>
          <w:u w:val="none"/>
          <w:lang w:val="en-US" w:eastAsia="zh-CN"/>
        </w:rPr>
        <w:t>，</w:t>
      </w:r>
      <w:r>
        <w:rPr>
          <w:rFonts w:hint="eastAsia" w:ascii="Times New Roman" w:eastAsia="仿宋_GB2312" w:cs="Times New Roman"/>
          <w:b w:val="0"/>
          <w:bCs/>
          <w:color w:val="auto"/>
          <w:position w:val="0"/>
          <w:sz w:val="32"/>
          <w:szCs w:val="32"/>
          <w:highlight w:val="none"/>
          <w:u w:val="none"/>
          <w:lang w:val="en-US" w:eastAsia="zh-CN"/>
        </w:rPr>
        <w:t>强化了党组织凝聚力，</w:t>
      </w:r>
      <w:r>
        <w:rPr>
          <w:rFonts w:hint="eastAsia" w:ascii="仿宋_GB2312" w:hAnsi="仿宋_GB2312" w:eastAsia="仿宋_GB2312" w:cs="仿宋_GB2312"/>
          <w:color w:val="auto"/>
          <w:position w:val="0"/>
          <w:sz w:val="32"/>
          <w:szCs w:val="32"/>
          <w:highlight w:val="none"/>
          <w:u w:val="none"/>
          <w:lang w:eastAsia="zh-CN"/>
        </w:rPr>
        <w:t>民生保障工作良好</w:t>
      </w:r>
      <w:r>
        <w:rPr>
          <w:rFonts w:hint="default" w:ascii="Times New Roman" w:hAnsi="Times New Roman" w:eastAsia="仿宋_GB2312" w:cs="Times New Roman"/>
          <w:b w:val="0"/>
          <w:bCs/>
          <w:color w:val="auto"/>
          <w:position w:val="0"/>
          <w:sz w:val="32"/>
          <w:szCs w:val="32"/>
          <w:highlight w:val="none"/>
          <w:u w:val="none"/>
          <w:lang w:val="en-US" w:eastAsia="zh-CN"/>
        </w:rPr>
        <w:t>，达到预期经济效益和社会效益。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eastAsia" w:ascii="黑体" w:hAnsi="宋体"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项目资金不足</w:t>
      </w:r>
      <w:r>
        <w:rPr>
          <w:rFonts w:hint="eastAsia" w:ascii="Times New Roman" w:eastAsia="仿宋_GB2312" w:cs="Times New Roman"/>
          <w:b w:val="0"/>
          <w:bCs w:val="0"/>
          <w:kern w:val="0"/>
          <w:position w:val="0"/>
          <w:sz w:val="32"/>
          <w:szCs w:val="32"/>
          <w:highlight w:val="none"/>
          <w:lang w:val="en-US" w:eastAsia="zh-CN" w:bidi="ar-SA"/>
        </w:rPr>
        <w:t>，</w:t>
      </w:r>
      <w:r>
        <w:rPr>
          <w:rFonts w:hint="eastAsia" w:ascii="仿宋_GB2312" w:hAnsi="仿宋_GB2312" w:eastAsia="仿宋_GB2312" w:cs="仿宋_GB2312"/>
          <w:b w:val="0"/>
          <w:bCs/>
          <w:color w:val="auto"/>
          <w:position w:val="0"/>
          <w:sz w:val="32"/>
          <w:szCs w:val="32"/>
          <w:highlight w:val="none"/>
          <w:u w:val="none"/>
          <w:lang w:val="zh-CN"/>
        </w:rPr>
        <w:t>城乡基层治理能力建设专项资金项目</w:t>
      </w:r>
      <w:r>
        <w:rPr>
          <w:rFonts w:hint="eastAsia" w:ascii="Times New Roman" w:eastAsia="仿宋_GB2312" w:cs="Times New Roman"/>
          <w:b w:val="0"/>
          <w:bCs/>
          <w:color w:val="auto"/>
          <w:position w:val="0"/>
          <w:sz w:val="32"/>
          <w:szCs w:val="32"/>
          <w:highlight w:val="none"/>
          <w:u w:val="none"/>
          <w:lang w:val="en-US" w:eastAsia="zh-CN"/>
        </w:rPr>
        <w:t>仅选取两个党群服务中心进行提档升级，其余党群服务中心暂未得到保障。</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Times New Roman" w:eastAsia="仿宋_GB2312" w:cs="Times New Roman"/>
          <w:b w:val="0"/>
          <w:bCs/>
          <w:color w:val="auto"/>
          <w:position w:val="0"/>
          <w:sz w:val="32"/>
          <w:szCs w:val="32"/>
          <w:highlight w:val="none"/>
          <w:u w:val="none"/>
          <w:lang w:val="en-US" w:eastAsia="zh-CN"/>
        </w:rPr>
        <w:t>党群服务中心工作人员专业度不足，部分政策宣讲不到位。</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s="Times New Roman"/>
          <w:color w:val="auto"/>
          <w:kern w:val="0"/>
          <w:position w:val="0"/>
          <w:sz w:val="32"/>
          <w:szCs w:val="32"/>
          <w:highlight w:val="none"/>
          <w:u w:val="none"/>
          <w:lang w:val="zh-CN" w:eastAsia="zh-CN" w:bidi="ar-SA"/>
        </w:rPr>
      </w:pPr>
      <w:r>
        <w:rPr>
          <w:rFonts w:hint="eastAsia" w:ascii="黑体" w:hAnsi="宋体"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cs="Times New Roman"/>
          <w:color w:val="000000"/>
          <w:kern w:val="0"/>
          <w:position w:val="0"/>
          <w:szCs w:val="32"/>
          <w:highlight w:val="none"/>
          <w:shd w:val="clear" w:color="auto" w:fill="FFFFFF"/>
          <w:lang w:val="zh-CN" w:eastAsia="zh-CN"/>
        </w:rPr>
      </w:pPr>
      <w:r>
        <w:rPr>
          <w:rFonts w:hint="eastAsia" w:cs="Times New Roman"/>
          <w:color w:val="000000"/>
          <w:kern w:val="0"/>
          <w:position w:val="0"/>
          <w:sz w:val="32"/>
          <w:szCs w:val="32"/>
          <w:highlight w:val="none"/>
          <w:shd w:val="clear" w:color="auto" w:fill="FFFFFF"/>
          <w:lang w:val="zh-CN" w:eastAsia="zh-CN"/>
        </w:rPr>
        <w:t>一</w:t>
      </w:r>
      <w:r>
        <w:rPr>
          <w:rFonts w:hint="default" w:ascii="Times New Roman" w:hAnsi="Times New Roman" w:cs="Times New Roman"/>
          <w:color w:val="000000"/>
          <w:kern w:val="0"/>
          <w:position w:val="0"/>
          <w:sz w:val="32"/>
          <w:szCs w:val="32"/>
          <w:highlight w:val="none"/>
          <w:shd w:val="clear" w:color="auto" w:fill="FFFFFF"/>
          <w:lang w:val="zh-CN" w:eastAsia="zh-CN"/>
        </w:rPr>
        <w:t>是加强资金统筹管理，完善多部门联动机制；二是建议增加</w:t>
      </w:r>
      <w:r>
        <w:rPr>
          <w:rFonts w:hint="eastAsia" w:ascii="仿宋_GB2312" w:hAnsi="仿宋_GB2312" w:eastAsia="仿宋_GB2312" w:cs="仿宋_GB2312"/>
          <w:b w:val="0"/>
          <w:bCs/>
          <w:color w:val="auto"/>
          <w:position w:val="0"/>
          <w:sz w:val="32"/>
          <w:szCs w:val="32"/>
          <w:highlight w:val="none"/>
          <w:u w:val="none"/>
          <w:lang w:val="zh-CN"/>
        </w:rPr>
        <w:t>城乡基层治理能力建设专项资金项目</w:t>
      </w:r>
      <w:r>
        <w:rPr>
          <w:rFonts w:hint="default" w:ascii="Times New Roman" w:hAnsi="Times New Roman" w:cs="Times New Roman"/>
          <w:b w:val="0"/>
          <w:bCs/>
          <w:color w:val="auto"/>
          <w:position w:val="0"/>
          <w:sz w:val="32"/>
          <w:szCs w:val="32"/>
          <w:highlight w:val="none"/>
          <w:u w:val="none"/>
          <w:lang w:val="en-US" w:eastAsia="zh-CN"/>
        </w:rPr>
        <w:t>工作资金投入，保障工作开展</w:t>
      </w:r>
      <w:r>
        <w:rPr>
          <w:rFonts w:hint="eastAsia" w:cs="Times New Roman"/>
          <w:b w:val="0"/>
          <w:bCs/>
          <w:color w:val="auto"/>
          <w:position w:val="0"/>
          <w:sz w:val="32"/>
          <w:szCs w:val="32"/>
          <w:highlight w:val="none"/>
          <w:u w:val="none"/>
          <w:lang w:val="en-US" w:eastAsia="zh-CN"/>
        </w:rPr>
        <w:t>；三是不定期召开培训会，提高工作人员的素养和能力。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en-US" w:eastAsia="zh-CN"/>
        </w:rPr>
      </w:pPr>
      <w:r>
        <w:rPr>
          <w:rFonts w:hint="default" w:ascii="Times New Roman" w:hAnsi="Times New Roman" w:cs="Times New Roman"/>
          <w:color w:val="000000"/>
          <w:kern w:val="0"/>
          <w:position w:val="0"/>
          <w:szCs w:val="32"/>
          <w:highlight w:val="none"/>
          <w:shd w:val="clear" w:color="auto" w:fill="FFFFFF"/>
          <w:lang w:val="en-US" w:eastAsia="zh-CN"/>
        </w:rPr>
        <w:t>附表：专项资金绩效目标完成情况自评表</w:t>
      </w:r>
    </w:p>
    <w:p>
      <w:pPr>
        <w:keepNext w:val="0"/>
        <w:keepLines w:val="0"/>
        <w:pageBreakBefore w:val="0"/>
        <w:kinsoku/>
        <w:wordWrap/>
        <w:overflowPunct/>
        <w:topLinePunct w:val="0"/>
        <w:autoSpaceDE/>
        <w:autoSpaceDN/>
        <w:bidi w:val="0"/>
        <w:adjustRightInd/>
        <w:snapToGrid/>
        <w:spacing w:line="600" w:lineRule="exact"/>
        <w:ind w:right="0" w:rightChars="0"/>
        <w:textAlignment w:val="auto"/>
        <w:outlineLvl w:val="9"/>
      </w:pPr>
      <w:r>
        <w:br w:type="page"/>
      </w:r>
    </w:p>
    <w:p/>
    <w:tbl>
      <w:tblPr>
        <w:tblStyle w:val="15"/>
        <w:tblW w:w="5000" w:type="pct"/>
        <w:tblInd w:w="0" w:type="dxa"/>
        <w:shd w:val="clear" w:color="auto" w:fill="auto"/>
        <w:tblLayout w:type="autofit"/>
        <w:tblCellMar>
          <w:top w:w="0" w:type="dxa"/>
          <w:left w:w="0" w:type="dxa"/>
          <w:bottom w:w="0" w:type="dxa"/>
          <w:right w:w="0" w:type="dxa"/>
        </w:tblCellMar>
      </w:tblPr>
      <w:tblGrid>
        <w:gridCol w:w="390"/>
        <w:gridCol w:w="930"/>
        <w:gridCol w:w="1650"/>
        <w:gridCol w:w="1470"/>
        <w:gridCol w:w="390"/>
        <w:gridCol w:w="767"/>
        <w:gridCol w:w="210"/>
        <w:gridCol w:w="660"/>
        <w:gridCol w:w="300"/>
        <w:gridCol w:w="300"/>
        <w:gridCol w:w="1269"/>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51090424T000011898955-城乡基层治理能力建设专项资金</w:t>
            </w:r>
          </w:p>
        </w:tc>
      </w:tr>
      <w:tr>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24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保障城乡基层治理能力建设专项资金项目</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保障城乡基层治理能力建设专项资金</w:t>
            </w:r>
          </w:p>
        </w:tc>
      </w:tr>
      <w:tr>
        <w:tblPrEx>
          <w:tblCellMar>
            <w:top w:w="0" w:type="dxa"/>
            <w:left w:w="0" w:type="dxa"/>
            <w:bottom w:w="0" w:type="dxa"/>
            <w:right w:w="0"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保障阵地改造项目</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2个</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项目开展情况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12万元</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286" w:hRule="atLeast"/>
        </w:trPr>
        <w:tc>
          <w:tcPr>
            <w:tcW w:w="375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项目完成既定绩效目标，预算执行率100%，党群服务中心工作情况良好，强化了党组织凝聚力，民生保障工作良好，达到预期经济效益和社会效益。</w:t>
            </w:r>
          </w:p>
        </w:tc>
      </w:tr>
      <w:tr>
        <w:tblPrEx>
          <w:tblCellMar>
            <w:top w:w="0" w:type="dxa"/>
            <w:left w:w="0" w:type="dxa"/>
            <w:bottom w:w="0" w:type="dxa"/>
            <w:right w:w="0"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结合自评情况，分析存在的问题及原因。（200字以内）项目资金不足，城乡基层治理能力建设专项资金项目仅选取两个党群服务中心进行提档升级，其余党群服务中心暂未得到保障。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党群服务中心工作人员专业度不足，部分政策宣讲不到位。</w:t>
            </w:r>
          </w:p>
        </w:tc>
      </w:tr>
      <w:tr>
        <w:tblPrEx>
          <w:tblCellMar>
            <w:top w:w="0" w:type="dxa"/>
            <w:left w:w="0" w:type="dxa"/>
            <w:bottom w:w="0" w:type="dxa"/>
            <w:right w:w="0"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一是加强资金统筹管理，完善多部门联动机制；二是建议增加城乡基层治理能力建设专项资金项目工作资金投入，保障工作开展；三是不定期召开培训会，提高工作人员的素养和能力。</w:t>
            </w:r>
          </w:p>
        </w:tc>
      </w:tr>
      <w:tr>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项目负责人：周勤</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财务负责人：陈维维</w:t>
            </w:r>
          </w:p>
        </w:tc>
      </w:tr>
    </w:tbl>
    <w:p>
      <w:pPr>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br w:type="page"/>
      </w:r>
    </w:p>
    <w:p>
      <w:pPr>
        <w:pStyle w:val="22"/>
        <w:keepNext w:val="0"/>
        <w:keepLines w:val="0"/>
        <w:pageBreakBefore w:val="0"/>
        <w:widowControl w:val="0"/>
        <w:kinsoku/>
        <w:wordWrap/>
        <w:overflowPunct/>
        <w:topLinePunct w:val="0"/>
        <w:autoSpaceDE/>
        <w:autoSpaceDN/>
        <w:bidi w:val="0"/>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ascii="宋体" w:hAnsi="宋体"/>
          <w:color w:val="auto"/>
          <w:kern w:val="2"/>
          <w:position w:val="0"/>
          <w:sz w:val="32"/>
          <w:szCs w:val="32"/>
          <w:highlight w:val="none"/>
        </w:rPr>
      </w:pPr>
      <w:r>
        <w:rPr>
          <w:rFonts w:hint="eastAsia" w:ascii="仿宋_GB2312" w:hAnsi="仿宋_GB2312" w:eastAsia="仿宋_GB2312" w:cs="仿宋_GB2312"/>
          <w:bCs/>
          <w:color w:val="auto"/>
          <w:kern w:val="2"/>
          <w:position w:val="0"/>
          <w:sz w:val="32"/>
          <w:szCs w:val="32"/>
          <w:highlight w:val="none"/>
          <w:u w:val="none"/>
          <w:lang w:val="en-US" w:eastAsia="zh-CN"/>
        </w:rPr>
        <w:t>（</w:t>
      </w:r>
      <w:r>
        <w:rPr>
          <w:rFonts w:hint="eastAsia" w:ascii="仿宋_GB2312" w:hAnsi="仿宋_GB2312" w:eastAsia="仿宋_GB2312" w:cs="仿宋_GB2312"/>
          <w:bCs/>
          <w:i w:val="0"/>
          <w:color w:val="000000"/>
          <w:kern w:val="2"/>
          <w:position w:val="0"/>
          <w:sz w:val="32"/>
          <w:szCs w:val="32"/>
          <w:highlight w:val="none"/>
          <w:u w:val="none"/>
          <w:lang w:val="en-US" w:eastAsia="zh-CN" w:bidi="ar-SA"/>
        </w:rPr>
        <w:t>公共图书馆、美术馆、文化馆（站）免费开放资金项目</w:t>
      </w:r>
      <w:r>
        <w:rPr>
          <w:rFonts w:hint="eastAsia" w:ascii="仿宋_GB2312" w:hAnsi="仿宋_GB2312" w:eastAsia="仿宋_GB2312" w:cs="仿宋_GB2312"/>
          <w:bCs/>
          <w:color w:val="auto"/>
          <w:kern w:val="2"/>
          <w:positio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eastAsia" w:ascii="黑体" w:hAnsi="宋体" w:eastAsia="黑体"/>
          <w:position w:val="0"/>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黑体" w:hAnsi="宋体" w:eastAsia="黑体"/>
          <w:position w:val="0"/>
          <w:highlight w:val="none"/>
          <w:lang w:val="zh-CN"/>
        </w:rPr>
      </w:pPr>
      <w:r>
        <w:rPr>
          <w:rFonts w:hint="eastAsia" w:ascii="黑体" w:hAnsi="宋体" w:eastAsia="黑体"/>
          <w:position w:val="0"/>
          <w:highlight w:val="none"/>
        </w:rPr>
        <w:t>一、</w:t>
      </w:r>
      <w:r>
        <w:rPr>
          <w:rFonts w:hint="eastAsia" w:ascii="黑体" w:hAnsi="宋体" w:eastAsia="黑体"/>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position w:val="0"/>
          <w:sz w:val="32"/>
          <w:szCs w:val="32"/>
          <w:highlight w:val="none"/>
          <w:u w:val="none"/>
          <w:shd w:val="clear" w:color="auto" w:fill="FFFFFF"/>
          <w:lang w:val="zh-CN"/>
        </w:rPr>
      </w:pPr>
      <w:r>
        <w:rPr>
          <w:rFonts w:hint="eastAsia" w:ascii="楷体_GB2312" w:hAnsi="宋体" w:eastAsia="楷体_GB2312"/>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楷体_GB2312" w:hAnsi="宋体" w:eastAsia="楷体_GB2312"/>
          <w:b/>
          <w:color w:val="auto"/>
          <w:position w:val="0"/>
          <w:sz w:val="32"/>
          <w:szCs w:val="32"/>
          <w:highlight w:val="none"/>
          <w:u w:val="none"/>
          <w:lang w:val="en-US" w:eastAsia="zh-CN"/>
        </w:rPr>
      </w:pPr>
      <w:r>
        <w:rPr>
          <w:rFonts w:hint="eastAsia" w:ascii="仿宋_GB2312" w:hAnsi="仿宋_GB2312" w:eastAsia="仿宋_GB2312" w:cs="仿宋_GB2312"/>
          <w:b w:val="0"/>
          <w:bCs/>
          <w:color w:val="auto"/>
          <w:position w:val="0"/>
          <w:sz w:val="32"/>
          <w:szCs w:val="32"/>
          <w:highlight w:val="none"/>
          <w:u w:val="none"/>
          <w:lang w:val="en-US" w:eastAsia="zh-CN"/>
        </w:rPr>
        <w:t>2002年党的十六大首次将“公共服务”列为政府四大职能之一，明确公共文化服务是政府责任的核心构成；2005年“十一五”规划提出“形成覆盖全社会的公共文化服务体系”目标；2007年中央政治局专题研究公共文化服务体系建设，推动政策落地；2010年政府工作报告首次要求推进“文化馆（站）免费开放”；2011年，文化部、财政部联合印发《关于推进全国美术馆、公共图书馆、文化馆（站）免费开放工作的意见》明确了设施场地零门槛开放、数字服务等基本项目无偿提供。</w:t>
      </w:r>
      <w:r>
        <w:rPr>
          <w:rFonts w:hint="eastAsia" w:ascii="仿宋_GB2312" w:hAnsi="仿宋_GB2312" w:eastAsia="仿宋_GB2312" w:cs="仿宋_GB2312"/>
          <w:b w:val="0"/>
          <w:bCs/>
          <w:color w:val="auto"/>
          <w:position w:val="0"/>
          <w:sz w:val="32"/>
          <w:szCs w:val="32"/>
          <w:highlight w:val="none"/>
          <w:u w:val="none"/>
          <w:lang w:val="zh-CN"/>
        </w:rPr>
        <w:t>项目主要内容是用于保障</w:t>
      </w:r>
      <w:r>
        <w:rPr>
          <w:rFonts w:hint="eastAsia" w:ascii="仿宋_GB2312" w:hAnsi="仿宋_GB2312" w:cs="仿宋_GB2312"/>
          <w:b w:val="0"/>
          <w:bCs/>
          <w:color w:val="auto"/>
          <w:position w:val="0"/>
          <w:sz w:val="32"/>
          <w:szCs w:val="32"/>
          <w:highlight w:val="none"/>
          <w:u w:val="none"/>
          <w:lang w:val="zh-CN"/>
        </w:rPr>
        <w:t>聚贤镇文化馆免费开放</w:t>
      </w:r>
      <w:r>
        <w:rPr>
          <w:rFonts w:hint="eastAsia" w:ascii="仿宋_GB2312" w:hAnsi="仿宋_GB2312" w:eastAsia="仿宋_GB2312" w:cs="仿宋_GB2312"/>
          <w:b w:val="0"/>
          <w:bCs/>
          <w:color w:val="auto"/>
          <w:position w:val="0"/>
          <w:sz w:val="32"/>
          <w:szCs w:val="32"/>
          <w:highlight w:val="none"/>
          <w:u w:val="none"/>
          <w:lang w:val="zh-CN"/>
        </w:rPr>
        <w:t>。</w:t>
      </w:r>
      <w:r>
        <w:rPr>
          <w:rFonts w:hint="eastAsia" w:ascii="仿宋_GB2312" w:hAnsi="仿宋_GB2312" w:eastAsia="仿宋_GB2312" w:cs="仿宋_GB2312"/>
          <w:b w:val="0"/>
          <w:bCs/>
          <w:color w:val="auto"/>
          <w:position w:val="0"/>
          <w:sz w:val="32"/>
          <w:szCs w:val="32"/>
          <w:highlight w:val="none"/>
          <w:u w:val="none"/>
          <w:lang w:val="en-US" w:eastAsia="zh-CN"/>
        </w:rPr>
        <w:t>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ascii="楷体_GB2312" w:hAnsi="宋体" w:eastAsia="楷体_GB2312"/>
          <w:b/>
          <w:color w:val="auto"/>
          <w:position w:val="0"/>
          <w:sz w:val="32"/>
          <w:szCs w:val="32"/>
          <w:highlight w:val="none"/>
          <w:u w:val="none"/>
          <w:lang w:val="zh-CN"/>
        </w:rPr>
      </w:pPr>
      <w:r>
        <w:rPr>
          <w:rFonts w:hint="eastAsia" w:ascii="楷体_GB2312" w:hAnsi="宋体" w:eastAsia="楷体_GB2312"/>
          <w:b/>
          <w:color w:val="auto"/>
          <w:position w:val="0"/>
          <w:sz w:val="32"/>
          <w:szCs w:val="32"/>
          <w:highlight w:val="none"/>
          <w:u w:val="none"/>
          <w:lang w:val="zh-CN"/>
        </w:rPr>
        <w:t>（</w:t>
      </w:r>
      <w:r>
        <w:rPr>
          <w:rFonts w:hint="eastAsia" w:ascii="楷体_GB2312" w:hAnsi="宋体" w:eastAsia="楷体_GB2312" w:cs="Times New Roman"/>
          <w:b/>
          <w:color w:val="auto"/>
          <w:position w:val="0"/>
          <w:sz w:val="32"/>
          <w:szCs w:val="32"/>
          <w:highlight w:val="none"/>
          <w:u w:val="none"/>
          <w:lang w:val="zh-CN"/>
        </w:rPr>
        <w:t>二）</w:t>
      </w:r>
      <w:r>
        <w:rPr>
          <w:rFonts w:hint="default" w:ascii="楷体_GB2312" w:hAnsi="宋体" w:eastAsia="楷体_GB2312" w:cs="Times New Roman"/>
          <w:b/>
          <w:color w:val="auto"/>
          <w:position w:val="0"/>
          <w:sz w:val="32"/>
          <w:szCs w:val="32"/>
          <w:highlight w:val="none"/>
          <w:u w:val="none"/>
          <w:lang w:val="en-US" w:eastAsia="zh-CN"/>
        </w:rPr>
        <w:t>实施目的及支持方向</w:t>
      </w:r>
      <w:r>
        <w:rPr>
          <w:rFonts w:hint="eastAsia" w:ascii="楷体_GB2312" w:hAnsi="宋体" w:eastAsia="楷体_GB2312" w:cs="Times New Roman"/>
          <w:b/>
          <w:color w:val="auto"/>
          <w:positio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left"/>
        <w:textAlignment w:val="auto"/>
        <w:rPr>
          <w:rFonts w:hint="eastAsia" w:ascii="楷体_GB2312" w:hAnsi="宋体" w:eastAsia="楷体_GB2312" w:cs="Times New Roman"/>
          <w:b/>
          <w:color w:val="auto"/>
          <w:position w:val="0"/>
          <w:sz w:val="32"/>
          <w:szCs w:val="32"/>
          <w:highlight w:val="none"/>
          <w:u w:val="none"/>
          <w:lang w:val="zh-CN" w:eastAsia="zh-CN"/>
        </w:rPr>
      </w:pPr>
      <w:r>
        <w:rPr>
          <w:rFonts w:hint="eastAsia" w:ascii="仿宋_GB2312" w:hAnsi="仿宋_GB2312" w:eastAsia="仿宋_GB2312" w:cs="仿宋_GB2312"/>
          <w:b w:val="0"/>
          <w:bCs/>
          <w:color w:val="auto"/>
          <w:position w:val="0"/>
          <w:sz w:val="32"/>
          <w:szCs w:val="32"/>
          <w:highlight w:val="none"/>
          <w:u w:val="none"/>
          <w:lang w:val="zh-CN" w:eastAsia="zh-CN"/>
        </w:rPr>
        <w:t>项目资金严格按照财务会计管理，</w:t>
      </w:r>
      <w:r>
        <w:rPr>
          <w:rFonts w:hint="eastAsia" w:ascii="仿宋_GB2312" w:hAnsi="仿宋_GB2312" w:cs="仿宋_GB2312"/>
          <w:b w:val="0"/>
          <w:bCs/>
          <w:color w:val="auto"/>
          <w:position w:val="0"/>
          <w:sz w:val="32"/>
          <w:szCs w:val="32"/>
          <w:highlight w:val="none"/>
          <w:u w:val="none"/>
          <w:lang w:val="zh-CN" w:eastAsia="zh-CN"/>
        </w:rPr>
        <w:t>实行</w:t>
      </w:r>
      <w:r>
        <w:rPr>
          <w:rFonts w:hint="eastAsia" w:ascii="仿宋_GB2312" w:hAnsi="仿宋_GB2312" w:eastAsia="仿宋_GB2312" w:cs="仿宋_GB2312"/>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报账制，保证专款专用，按有关程序要求保证，并接受纪委和财政部门检查监督，符合资金管理办法等相关规定。项目实施目的是</w:t>
      </w:r>
      <w:r>
        <w:rPr>
          <w:rFonts w:hint="eastAsia" w:ascii="仿宋_GB2312" w:hAnsi="仿宋_GB2312" w:eastAsia="仿宋_GB2312" w:cs="仿宋_GB2312"/>
          <w:b w:val="0"/>
          <w:bCs/>
          <w:color w:val="auto"/>
          <w:position w:val="0"/>
          <w:sz w:val="32"/>
          <w:szCs w:val="32"/>
          <w:highlight w:val="none"/>
          <w:u w:val="none"/>
          <w:lang w:val="zh-CN"/>
        </w:rPr>
        <w:t>保障</w:t>
      </w:r>
      <w:r>
        <w:rPr>
          <w:rFonts w:hint="eastAsia" w:ascii="仿宋_GB2312" w:hAnsi="仿宋_GB2312" w:cs="仿宋_GB2312"/>
          <w:b w:val="0"/>
          <w:bCs/>
          <w:color w:val="auto"/>
          <w:position w:val="0"/>
          <w:sz w:val="32"/>
          <w:szCs w:val="32"/>
          <w:highlight w:val="none"/>
          <w:u w:val="none"/>
          <w:lang w:val="zh-CN"/>
        </w:rPr>
        <w:t>聚贤镇文化馆免费开放</w:t>
      </w:r>
      <w:r>
        <w:rPr>
          <w:rFonts w:hint="eastAsia" w:ascii="仿宋_GB2312" w:hAnsi="仿宋_GB2312" w:eastAsia="仿宋_GB2312" w:cs="仿宋_GB2312"/>
          <w:b w:val="0"/>
          <w:bCs/>
          <w:color w:val="auto"/>
          <w:position w:val="0"/>
          <w:sz w:val="32"/>
          <w:szCs w:val="32"/>
          <w:highlight w:val="none"/>
          <w:u w:val="none"/>
          <w:lang w:val="zh-CN" w:eastAsia="zh-CN"/>
        </w:rPr>
        <w:t>。主要工作任务是</w:t>
      </w:r>
      <w:r>
        <w:rPr>
          <w:rFonts w:hint="eastAsia" w:ascii="仿宋_GB2312" w:hAnsi="仿宋_GB2312" w:cs="仿宋_GB2312"/>
          <w:b w:val="0"/>
          <w:bCs/>
          <w:color w:val="auto"/>
          <w:position w:val="0"/>
          <w:sz w:val="32"/>
          <w:szCs w:val="32"/>
          <w:highlight w:val="none"/>
          <w:u w:val="none"/>
          <w:lang w:val="zh-CN"/>
        </w:rPr>
        <w:t>文化馆免费开放、文化馆购置书籍、保持文化馆场地清洁等任务</w:t>
      </w:r>
      <w:r>
        <w:rPr>
          <w:rFonts w:hint="eastAsia" w:ascii="仿宋_GB2312" w:hAnsi="仿宋_GB2312" w:eastAsia="仿宋_GB2312" w:cs="仿宋_GB2312"/>
          <w:b w:val="0"/>
          <w:bCs/>
          <w:color w:val="auto"/>
          <w:position w:val="0"/>
          <w:sz w:val="32"/>
          <w:szCs w:val="32"/>
          <w:highlight w:val="none"/>
          <w:u w:val="none"/>
          <w:lang w:val="zh-CN" w:eastAsia="zh-CN"/>
        </w:rPr>
        <w:t>。项目支持方向是民生保障领域。</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eastAsia" w:ascii="仿宋_GB2312" w:hAnsi="仿宋_GB2312" w:cs="仿宋_GB2312"/>
          <w:color w:val="auto"/>
          <w:kern w:val="0"/>
          <w:position w:val="0"/>
          <w:sz w:val="32"/>
          <w:szCs w:val="32"/>
          <w:highlight w:val="none"/>
          <w:u w:val="none"/>
          <w:shd w:val="clear" w:color="auto" w:fill="FFFFFF"/>
          <w:lang w:val="zh-CN"/>
        </w:rPr>
      </w:pPr>
      <w:r>
        <w:rPr>
          <w:rFonts w:hint="eastAsia" w:ascii="楷体_GB2312" w:hAnsi="宋体" w:eastAsia="楷体_GB2312" w:cs="Times New Roman"/>
          <w:b/>
          <w:color w:val="auto"/>
          <w:position w:val="0"/>
          <w:sz w:val="32"/>
          <w:szCs w:val="32"/>
          <w:highlight w:val="none"/>
          <w:u w:val="none"/>
          <w:lang w:val="zh-CN" w:eastAsia="zh-CN"/>
        </w:rPr>
        <w:t>（三）</w:t>
      </w:r>
      <w:r>
        <w:rPr>
          <w:rFonts w:hint="default" w:ascii="楷体_GB2312" w:hAnsi="宋体" w:eastAsia="楷体_GB2312" w:cs="Times New Roman"/>
          <w:b/>
          <w:color w:val="auto"/>
          <w:position w:val="0"/>
          <w:sz w:val="32"/>
          <w:szCs w:val="32"/>
          <w:highlight w:val="none"/>
          <w:u w:val="none"/>
          <w:lang w:val="en-US" w:eastAsia="zh-CN"/>
        </w:rPr>
        <w:t>预算安排及分配管理</w:t>
      </w:r>
      <w:r>
        <w:rPr>
          <w:rFonts w:hint="eastAsia" w:ascii="楷体_GB2312" w:hAnsi="宋体"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宋体" w:eastAsia="楷体_GB2312" w:cs="Times New Roman"/>
          <w:b/>
          <w:color w:val="auto"/>
          <w:position w:val="0"/>
          <w:sz w:val="32"/>
          <w:szCs w:val="32"/>
          <w:highlight w:val="none"/>
          <w:u w:val="none"/>
          <w:lang w:val="zh-CN" w:eastAsia="zh-CN"/>
        </w:rPr>
      </w:pPr>
      <w:r>
        <w:rPr>
          <w:rFonts w:hint="eastAsia" w:ascii="仿宋_GB2312" w:hAnsi="仿宋_GB2312" w:cs="仿宋_GB2312"/>
          <w:b w:val="0"/>
          <w:bCs/>
          <w:color w:val="auto"/>
          <w:position w:val="0"/>
          <w:sz w:val="32"/>
          <w:szCs w:val="32"/>
          <w:highlight w:val="none"/>
          <w:u w:val="none"/>
          <w:lang w:val="en-US" w:eastAsia="zh-CN"/>
        </w:rPr>
        <w:t>公共图书馆、美术馆、文化馆（站）免费开放资金</w:t>
      </w:r>
      <w:r>
        <w:rPr>
          <w:rFonts w:hint="eastAsia" w:ascii="仿宋_GB2312" w:hAnsi="仿宋_GB2312" w:eastAsia="仿宋_GB2312" w:cs="仿宋_GB2312"/>
          <w:b w:val="0"/>
          <w:bCs/>
          <w:color w:val="auto"/>
          <w:position w:val="0"/>
          <w:sz w:val="32"/>
          <w:szCs w:val="32"/>
          <w:highlight w:val="none"/>
          <w:u w:val="none"/>
          <w:lang w:val="en-US" w:eastAsia="zh-CN"/>
        </w:rPr>
        <w:t>项目</w:t>
      </w:r>
      <w:r>
        <w:rPr>
          <w:rFonts w:hint="eastAsia" w:ascii="仿宋_GB2312" w:hAnsi="仿宋_GB2312" w:eastAsia="仿宋_GB2312" w:cs="仿宋_GB2312"/>
          <w:b w:val="0"/>
          <w:bCs/>
          <w:color w:val="auto"/>
          <w:position w:val="0"/>
          <w:sz w:val="32"/>
          <w:szCs w:val="32"/>
          <w:highlight w:val="none"/>
          <w:u w:val="none"/>
          <w:lang w:val="zh-CN" w:eastAsia="zh-CN"/>
        </w:rPr>
        <w:t>预算总额为</w:t>
      </w:r>
      <w:r>
        <w:rPr>
          <w:rFonts w:hint="default" w:ascii="Times New Roman" w:hAnsi="Times New Roman" w:cs="Times New Roman"/>
          <w:b w:val="0"/>
          <w:bCs/>
          <w:color w:val="auto"/>
          <w:position w:val="0"/>
          <w:sz w:val="32"/>
          <w:szCs w:val="32"/>
          <w:highlight w:val="none"/>
          <w:u w:val="none"/>
          <w:lang w:val="en-US" w:eastAsia="zh-CN"/>
        </w:rPr>
        <w:t>5</w:t>
      </w:r>
      <w:r>
        <w:rPr>
          <w:rFonts w:hint="eastAsia" w:ascii="仿宋_GB2312" w:hAnsi="仿宋_GB2312" w:eastAsia="仿宋_GB2312" w:cs="仿宋_GB2312"/>
          <w:b w:val="0"/>
          <w:bCs/>
          <w:color w:val="auto"/>
          <w:position w:val="0"/>
          <w:sz w:val="32"/>
          <w:szCs w:val="32"/>
          <w:highlight w:val="none"/>
          <w:u w:val="none"/>
          <w:lang w:val="zh-CN" w:eastAsia="zh-CN"/>
        </w:rPr>
        <w:t>万元，其中财政资金</w:t>
      </w:r>
      <w:r>
        <w:rPr>
          <w:rFonts w:hint="default" w:ascii="Times New Roman" w:hAnsi="Times New Roman" w:cs="Times New Roman"/>
          <w:b w:val="0"/>
          <w:bCs/>
          <w:color w:val="auto"/>
          <w:position w:val="0"/>
          <w:sz w:val="32"/>
          <w:szCs w:val="32"/>
          <w:highlight w:val="none"/>
          <w:u w:val="none"/>
          <w:lang w:val="en-US" w:eastAsia="zh-CN"/>
        </w:rPr>
        <w:t>5</w:t>
      </w:r>
      <w:r>
        <w:rPr>
          <w:rFonts w:hint="eastAsia" w:ascii="仿宋_GB2312" w:hAnsi="仿宋_GB2312" w:eastAsia="仿宋_GB2312" w:cs="仿宋_GB2312"/>
          <w:b w:val="0"/>
          <w:bCs/>
          <w:color w:val="auto"/>
          <w:position w:val="0"/>
          <w:sz w:val="32"/>
          <w:szCs w:val="32"/>
          <w:highlight w:val="none"/>
          <w:u w:val="none"/>
          <w:lang w:val="zh-CN" w:eastAsia="zh-CN"/>
        </w:rPr>
        <w:t>万元。项目资金全用于</w:t>
      </w:r>
      <w:r>
        <w:rPr>
          <w:rFonts w:hint="eastAsia" w:ascii="仿宋_GB2312" w:hAnsi="仿宋_GB2312" w:cs="仿宋_GB2312"/>
          <w:b w:val="0"/>
          <w:bCs/>
          <w:color w:val="auto"/>
          <w:position w:val="0"/>
          <w:sz w:val="32"/>
          <w:szCs w:val="32"/>
          <w:highlight w:val="none"/>
          <w:u w:val="none"/>
          <w:lang w:val="en-US" w:eastAsia="zh-CN"/>
        </w:rPr>
        <w:t>保障聚贤镇文化站免费开放</w:t>
      </w:r>
      <w:r>
        <w:rPr>
          <w:rFonts w:hint="eastAsia" w:ascii="仿宋_GB2312" w:hAnsi="仿宋_GB2312" w:eastAsia="仿宋_GB2312" w:cs="仿宋_GB2312"/>
          <w:b w:val="0"/>
          <w:bCs/>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仿宋_GB2312" w:hAnsi="仿宋_GB2312" w:cs="仿宋_GB2312"/>
          <w:color w:val="auto"/>
          <w:kern w:val="0"/>
          <w:position w:val="0"/>
          <w:sz w:val="32"/>
          <w:szCs w:val="32"/>
          <w:highlight w:val="none"/>
          <w:u w:val="none"/>
          <w:shd w:val="clear" w:color="auto" w:fill="FFFFFF"/>
          <w:lang w:val="zh-CN" w:eastAsia="zh-CN"/>
        </w:rPr>
      </w:pPr>
      <w:r>
        <w:rPr>
          <w:rFonts w:hint="eastAsia" w:ascii="楷体_GB2312" w:hAnsi="宋体"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position w:val="0"/>
          <w:highlight w:val="none"/>
          <w:lang w:eastAsia="zh-CN"/>
        </w:rPr>
      </w:pPr>
      <w:r>
        <w:rPr>
          <w:rFonts w:hint="eastAsia" w:ascii="仿宋_GB2312" w:hAnsi="仿宋_GB2312" w:eastAsia="仿宋_GB2312" w:cs="仿宋_GB2312"/>
          <w:position w:val="0"/>
          <w:highlight w:val="none"/>
          <w:lang w:eastAsia="zh-CN"/>
        </w:rPr>
        <w:t>整体绩效目标：</w:t>
      </w:r>
      <w:r>
        <w:rPr>
          <w:rFonts w:hint="eastAsia" w:ascii="仿宋_GB2312" w:hAnsi="仿宋_GB2312" w:cs="仿宋_GB2312"/>
          <w:position w:val="0"/>
          <w:highlight w:val="none"/>
          <w:lang w:eastAsia="zh-CN"/>
        </w:rPr>
        <w:t>通过免费开放消除文化服务经济门槛，保障公民基本文化权益，缩小城乡文化差距</w:t>
      </w:r>
      <w:r>
        <w:rPr>
          <w:rFonts w:hint="eastAsia" w:ascii="仿宋_GB2312" w:hAnsi="仿宋_GB2312" w:eastAsia="仿宋_GB2312" w:cs="仿宋_GB2312"/>
          <w:position w:val="0"/>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position w:val="0"/>
          <w:highlight w:val="none"/>
          <w:lang w:val="en-US" w:eastAsia="zh-CN"/>
        </w:rPr>
      </w:pPr>
      <w:r>
        <w:rPr>
          <w:rFonts w:hint="eastAsia" w:ascii="仿宋_GB2312" w:hAnsi="仿宋_GB2312" w:eastAsia="仿宋_GB2312" w:cs="仿宋_GB2312"/>
          <w:position w:val="0"/>
          <w:highlight w:val="none"/>
          <w:lang w:eastAsia="zh-CN"/>
        </w:rPr>
        <w:t>区域绩效目标：</w:t>
      </w:r>
      <w:r>
        <w:rPr>
          <w:rFonts w:hint="eastAsia" w:ascii="仿宋_GB2312" w:hAnsi="仿宋_GB2312" w:cs="仿宋_GB2312"/>
          <w:b w:val="0"/>
          <w:bCs/>
          <w:color w:val="auto"/>
          <w:position w:val="0"/>
          <w:sz w:val="32"/>
          <w:szCs w:val="32"/>
          <w:highlight w:val="none"/>
          <w:u w:val="none"/>
          <w:lang w:val="zh-CN"/>
        </w:rPr>
        <w:t>保障聚贤镇文化站免费开放。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宋体" w:eastAsia="黑体"/>
          <w:position w:val="0"/>
          <w:highlight w:val="none"/>
        </w:rPr>
      </w:pPr>
      <w:r>
        <w:rPr>
          <w:rFonts w:hint="eastAsia" w:ascii="仿宋_GB2312" w:hAnsi="仿宋_GB2312" w:eastAsia="仿宋_GB2312" w:cs="仿宋_GB2312"/>
          <w:position w:val="0"/>
          <w:highlight w:val="none"/>
          <w:lang w:eastAsia="zh-CN"/>
        </w:rPr>
        <w:t>具体绩效目标：</w:t>
      </w:r>
      <w:r>
        <w:rPr>
          <w:rFonts w:hint="eastAsia" w:ascii="仿宋_GB2312" w:hAnsi="仿宋_GB2312" w:cs="仿宋_GB2312"/>
          <w:position w:val="0"/>
          <w:highlight w:val="none"/>
          <w:lang w:eastAsia="zh-CN"/>
        </w:rPr>
        <w:t>文化站免费开放</w:t>
      </w:r>
      <w:r>
        <w:rPr>
          <w:rFonts w:hint="eastAsia" w:ascii="仿宋_GB2312" w:hAnsi="仿宋_GB2312" w:eastAsia="仿宋_GB2312" w:cs="仿宋_GB2312"/>
          <w:position w:val="0"/>
          <w:highlight w:val="none"/>
          <w:lang w:val="en-US" w:eastAsia="zh-CN"/>
        </w:rPr>
        <w:t>=</w:t>
      </w:r>
      <w:r>
        <w:rPr>
          <w:rFonts w:hint="eastAsia" w:ascii="仿宋_GB2312" w:hAnsi="仿宋_GB2312" w:cs="仿宋_GB2312"/>
          <w:position w:val="0"/>
          <w:highlight w:val="none"/>
          <w:lang w:val="en-US" w:eastAsia="zh-CN"/>
        </w:rPr>
        <w:t>12月</w:t>
      </w:r>
      <w:r>
        <w:rPr>
          <w:rFonts w:hint="eastAsia" w:ascii="仿宋_GB2312" w:hAnsi="仿宋_GB2312" w:eastAsia="仿宋_GB2312" w:cs="仿宋_GB2312"/>
          <w:position w:val="0"/>
          <w:highlight w:val="none"/>
          <w:lang w:val="en-US" w:eastAsia="zh-CN"/>
        </w:rPr>
        <w:t>；</w:t>
      </w:r>
      <w:r>
        <w:rPr>
          <w:rFonts w:hint="eastAsia" w:ascii="仿宋_GB2312" w:hAnsi="仿宋_GB2312" w:cs="仿宋_GB2312"/>
          <w:position w:val="0"/>
          <w:highlight w:val="none"/>
          <w:lang w:val="en-US" w:eastAsia="zh-CN"/>
        </w:rPr>
        <w:t>文化站设施设备质量合格</w:t>
      </w:r>
      <w:r>
        <w:rPr>
          <w:rFonts w:hint="eastAsia" w:ascii="仿宋_GB2312" w:hAnsi="仿宋_GB2312" w:eastAsia="仿宋_GB2312" w:cs="仿宋_GB2312"/>
          <w:position w:val="0"/>
          <w:highlight w:val="none"/>
          <w:lang w:val="en-US" w:eastAsia="zh-CN"/>
        </w:rPr>
        <w:t>；工作开展时间2024年；</w:t>
      </w:r>
      <w:r>
        <w:rPr>
          <w:rFonts w:hint="eastAsia" w:ascii="仿宋_GB2312" w:hAnsi="仿宋_GB2312" w:cs="仿宋_GB2312"/>
          <w:position w:val="0"/>
          <w:highlight w:val="none"/>
          <w:lang w:val="en-US" w:eastAsia="zh-CN"/>
        </w:rPr>
        <w:t>文化站工作</w:t>
      </w:r>
      <w:r>
        <w:rPr>
          <w:rFonts w:hint="eastAsia" w:ascii="仿宋_GB2312" w:hAnsi="仿宋_GB2312" w:eastAsia="仿宋_GB2312" w:cs="仿宋_GB2312"/>
          <w:position w:val="0"/>
          <w:highlight w:val="none"/>
          <w:lang w:val="en-US" w:eastAsia="zh-CN"/>
        </w:rPr>
        <w:t>情况良好；</w:t>
      </w:r>
      <w:r>
        <w:rPr>
          <w:rFonts w:hint="eastAsia" w:ascii="仿宋_GB2312" w:hAnsi="仿宋_GB2312" w:cs="仿宋_GB2312"/>
          <w:position w:val="0"/>
          <w:highlight w:val="none"/>
          <w:lang w:val="en-US" w:eastAsia="zh-CN"/>
        </w:rPr>
        <w:t>群众</w:t>
      </w:r>
      <w:r>
        <w:rPr>
          <w:rFonts w:hint="eastAsia" w:ascii="仿宋_GB2312" w:hAnsi="仿宋_GB2312" w:eastAsia="仿宋_GB2312" w:cs="仿宋_GB2312"/>
          <w:position w:val="0"/>
          <w:highlight w:val="none"/>
          <w:lang w:val="en-US" w:eastAsia="zh-CN"/>
        </w:rPr>
        <w:t>满意度≥90%。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宋体" w:eastAsia="黑体"/>
          <w:position w:val="0"/>
          <w:highlight w:val="none"/>
          <w:lang w:eastAsia="zh-CN"/>
        </w:rPr>
      </w:pPr>
      <w:r>
        <w:rPr>
          <w:rFonts w:hint="eastAsia" w:ascii="黑体" w:hAnsi="宋体" w:eastAsia="黑体"/>
          <w:position w:val="0"/>
          <w:highlight w:val="none"/>
        </w:rPr>
        <w:t>二、</w:t>
      </w:r>
      <w:r>
        <w:rPr>
          <w:rFonts w:hint="eastAsia" w:ascii="黑体" w:hAnsi="宋体" w:eastAsia="黑体"/>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eastAsia="仿宋_GB2312" w:cs="Times New Roman"/>
          <w:position w:val="0"/>
          <w:szCs w:val="32"/>
        </w:rPr>
      </w:pPr>
      <w:r>
        <w:rPr>
          <w:rFonts w:hint="eastAsia" w:ascii="楷体_GB2312" w:hAnsi="宋体" w:eastAsia="楷体_GB2312"/>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通过对比项目实际成果与预设绩效目标，验证目标完成情况；总结项目经验，发现项目问题，改进同类项目方向，有利于优化资源配置效率，提升过程管控能力。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position w:val="0"/>
          <w:szCs w:val="32"/>
          <w:lang w:eastAsia="zh-CN"/>
        </w:rPr>
      </w:pPr>
      <w:r>
        <w:rPr>
          <w:rFonts w:hint="eastAsia" w:ascii="楷体_GB2312" w:hAnsi="宋体" w:eastAsia="楷体_GB2312"/>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预设问题包括资金支出是否规范；</w:t>
      </w:r>
      <w:r>
        <w:rPr>
          <w:rFonts w:hint="eastAsia" w:ascii="仿宋_GB2312" w:hAnsi="仿宋_GB2312" w:cs="仿宋_GB2312"/>
          <w:b w:val="0"/>
          <w:bCs/>
          <w:position w:val="0"/>
          <w:highlight w:val="none"/>
          <w:lang w:val="en-US" w:eastAsia="zh-CN"/>
        </w:rPr>
        <w:t>文化站工作</w:t>
      </w:r>
      <w:r>
        <w:rPr>
          <w:rFonts w:hint="eastAsia" w:ascii="仿宋_GB2312" w:hAnsi="仿宋_GB2312" w:eastAsia="仿宋_GB2312" w:cs="仿宋_GB2312"/>
          <w:b w:val="0"/>
          <w:bCs/>
          <w:position w:val="0"/>
          <w:highlight w:val="none"/>
          <w:lang w:val="en-US" w:eastAsia="zh-CN"/>
        </w:rPr>
        <w:t>情况</w:t>
      </w:r>
      <w:r>
        <w:rPr>
          <w:rFonts w:hint="eastAsia" w:ascii="仿宋_GB2312" w:hAnsi="仿宋_GB2312" w:eastAsia="仿宋_GB2312" w:cs="仿宋_GB2312"/>
          <w:b w:val="0"/>
          <w:bCs/>
          <w:color w:val="auto"/>
          <w:position w:val="0"/>
          <w:sz w:val="32"/>
          <w:szCs w:val="32"/>
          <w:highlight w:val="none"/>
          <w:u w:val="none"/>
          <w:lang w:val="zh-CN"/>
        </w:rPr>
        <w:t>是否良好；</w:t>
      </w:r>
      <w:r>
        <w:rPr>
          <w:rFonts w:hint="eastAsia" w:ascii="仿宋_GB2312" w:hAnsi="仿宋_GB2312" w:cs="仿宋_GB2312"/>
          <w:b w:val="0"/>
          <w:bCs/>
          <w:color w:val="auto"/>
          <w:position w:val="0"/>
          <w:sz w:val="32"/>
          <w:szCs w:val="32"/>
          <w:highlight w:val="none"/>
          <w:u w:val="none"/>
          <w:lang w:val="zh-CN"/>
        </w:rPr>
        <w:t>文化站</w:t>
      </w:r>
      <w:r>
        <w:rPr>
          <w:rFonts w:hint="eastAsia" w:ascii="仿宋_GB2312" w:hAnsi="仿宋_GB2312" w:eastAsia="仿宋_GB2312" w:cs="仿宋_GB2312"/>
          <w:b w:val="0"/>
          <w:bCs/>
          <w:color w:val="auto"/>
          <w:position w:val="0"/>
          <w:sz w:val="32"/>
          <w:szCs w:val="32"/>
          <w:highlight w:val="none"/>
          <w:u w:val="none"/>
          <w:lang w:val="zh-CN"/>
        </w:rPr>
        <w:t>是否</w:t>
      </w:r>
      <w:r>
        <w:rPr>
          <w:rFonts w:hint="eastAsia" w:ascii="仿宋_GB2312" w:hAnsi="仿宋_GB2312" w:cs="仿宋_GB2312"/>
          <w:b w:val="0"/>
          <w:bCs/>
          <w:color w:val="auto"/>
          <w:position w:val="0"/>
          <w:sz w:val="32"/>
          <w:szCs w:val="32"/>
          <w:highlight w:val="none"/>
          <w:u w:val="none"/>
          <w:lang w:val="zh-CN"/>
        </w:rPr>
        <w:t>免费开放</w:t>
      </w:r>
      <w:r>
        <w:rPr>
          <w:rFonts w:hint="eastAsia" w:ascii="仿宋_GB2312" w:hAnsi="仿宋_GB2312" w:eastAsia="仿宋_GB2312" w:cs="仿宋_GB2312"/>
          <w:b w:val="0"/>
          <w:bCs/>
          <w:color w:val="auto"/>
          <w:position w:val="0"/>
          <w:sz w:val="32"/>
          <w:szCs w:val="32"/>
          <w:highlight w:val="none"/>
          <w:u w:val="none"/>
          <w:lang w:val="zh-CN"/>
        </w:rPr>
        <w:t>；群众是否满意等。评价重点围绕资金支出使用全过程及其实施效果，依据绩效评价指标体系，对项目预算、管理、实施、结果进行综合性评价和判断。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position w:val="0"/>
          <w:szCs w:val="32"/>
          <w:lang w:val="zh-CN" w:eastAsia="zh-CN"/>
        </w:rPr>
      </w:pPr>
      <w:r>
        <w:rPr>
          <w:rFonts w:hint="eastAsia" w:ascii="楷体_GB2312" w:hAnsi="宋体" w:eastAsia="楷体_GB2312"/>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本次项目绩效自评选取</w:t>
      </w:r>
      <w:r>
        <w:rPr>
          <w:rFonts w:hint="eastAsia" w:ascii="仿宋_GB2312" w:hAnsi="仿宋_GB2312" w:cs="仿宋_GB2312"/>
          <w:b w:val="0"/>
          <w:bCs/>
          <w:color w:val="auto"/>
          <w:position w:val="0"/>
          <w:sz w:val="32"/>
          <w:szCs w:val="32"/>
          <w:highlight w:val="none"/>
          <w:u w:val="none"/>
          <w:lang w:val="zh-CN"/>
        </w:rPr>
        <w:t>聚贤镇文化站</w:t>
      </w:r>
      <w:r>
        <w:rPr>
          <w:rFonts w:hint="eastAsia" w:ascii="仿宋_GB2312" w:hAnsi="仿宋_GB2312" w:eastAsia="仿宋_GB2312" w:cs="仿宋_GB2312"/>
          <w:b w:val="0"/>
          <w:bCs/>
          <w:color w:val="auto"/>
          <w:position w:val="0"/>
          <w:sz w:val="32"/>
          <w:szCs w:val="32"/>
          <w:highlight w:val="none"/>
          <w:u w:val="none"/>
          <w:lang w:val="zh-CN"/>
        </w:rPr>
        <w:t>作为抽样点位，确保评价能够全面</w:t>
      </w:r>
      <w:r>
        <w:rPr>
          <w:rFonts w:hint="eastAsia" w:ascii="仿宋_GB2312" w:hAnsi="仿宋_GB2312" w:cs="仿宋_GB2312"/>
          <w:b w:val="0"/>
          <w:bCs/>
          <w:color w:val="auto"/>
          <w:position w:val="0"/>
          <w:sz w:val="32"/>
          <w:szCs w:val="32"/>
          <w:highlight w:val="none"/>
          <w:u w:val="none"/>
          <w:lang w:val="zh-CN"/>
        </w:rPr>
        <w:t>反映</w:t>
      </w:r>
      <w:r>
        <w:rPr>
          <w:rFonts w:hint="eastAsia" w:ascii="仿宋_GB2312" w:hAnsi="仿宋_GB2312" w:eastAsia="仿宋_GB2312" w:cs="仿宋_GB2312"/>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eastAsia="仿宋_GB2312" w:cs="Times New Roman"/>
          <w:position w:val="0"/>
          <w:szCs w:val="32"/>
          <w:lang w:eastAsia="zh-CN"/>
        </w:rPr>
      </w:pPr>
      <w:r>
        <w:rPr>
          <w:rFonts w:hint="eastAsia" w:ascii="楷体_GB2312" w:hAnsi="宋体" w:eastAsia="楷体_GB2312"/>
          <w:b/>
          <w:color w:val="auto"/>
          <w:position w:val="0"/>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问卷调查法：设计调查问卷，随机抽取村民及过往群众填报问卷，了解群众对项目实施的意见、建议以及群众满意度。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实地调查法：通过</w:t>
      </w:r>
      <w:r>
        <w:rPr>
          <w:rFonts w:hint="eastAsia" w:ascii="仿宋_GB2312" w:hAnsi="仿宋_GB2312" w:cs="仿宋_GB2312"/>
          <w:b w:val="0"/>
          <w:bCs/>
          <w:color w:val="auto"/>
          <w:position w:val="0"/>
          <w:sz w:val="32"/>
          <w:szCs w:val="32"/>
          <w:highlight w:val="none"/>
          <w:u w:val="none"/>
          <w:lang w:val="zh-CN"/>
        </w:rPr>
        <w:t>聚贤镇文化站</w:t>
      </w:r>
      <w:r>
        <w:rPr>
          <w:rFonts w:hint="eastAsia" w:ascii="仿宋_GB2312" w:hAnsi="仿宋_GB2312" w:eastAsia="仿宋_GB2312" w:cs="仿宋_GB2312"/>
          <w:b w:val="0"/>
          <w:bCs/>
          <w:color w:val="auto"/>
          <w:position w:val="0"/>
          <w:sz w:val="32"/>
          <w:szCs w:val="32"/>
          <w:highlight w:val="none"/>
          <w:u w:val="none"/>
          <w:lang w:val="zh-CN"/>
        </w:rPr>
        <w:t>现场了解</w:t>
      </w:r>
      <w:r>
        <w:rPr>
          <w:rFonts w:hint="eastAsia" w:ascii="仿宋_GB2312" w:hAnsi="仿宋_GB2312" w:cs="仿宋_GB2312"/>
          <w:b w:val="0"/>
          <w:bCs/>
          <w:color w:val="auto"/>
          <w:position w:val="0"/>
          <w:sz w:val="32"/>
          <w:szCs w:val="32"/>
          <w:highlight w:val="none"/>
          <w:u w:val="none"/>
          <w:lang w:val="zh-CN"/>
        </w:rPr>
        <w:t>文化站免费开放</w:t>
      </w:r>
      <w:r>
        <w:rPr>
          <w:rFonts w:hint="eastAsia" w:ascii="仿宋_GB2312" w:hAnsi="仿宋_GB2312" w:eastAsia="仿宋_GB2312" w:cs="仿宋_GB2312"/>
          <w:b w:val="0"/>
          <w:bCs/>
          <w:color w:val="auto"/>
          <w:position w:val="0"/>
          <w:sz w:val="32"/>
          <w:szCs w:val="32"/>
          <w:highlight w:val="none"/>
          <w:u w:val="none"/>
          <w:lang w:val="zh-CN"/>
        </w:rPr>
        <w:t>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eastAsia="仿宋_GB2312" w:cs="Times New Roman"/>
          <w:bCs/>
          <w:position w:val="0"/>
          <w:lang w:eastAsia="zh-CN"/>
        </w:rPr>
      </w:pPr>
      <w:r>
        <w:rPr>
          <w:rFonts w:hint="eastAsia" w:ascii="楷体_GB2312" w:hAnsi="宋体" w:eastAsia="楷体_GB2312"/>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宋体" w:eastAsia="黑体"/>
          <w:color w:val="auto"/>
          <w:position w:val="0"/>
          <w:sz w:val="32"/>
          <w:szCs w:val="32"/>
          <w:highlight w:val="none"/>
          <w:u w:val="none"/>
        </w:rPr>
      </w:pPr>
      <w:r>
        <w:rPr>
          <w:rFonts w:hint="eastAsia" w:ascii="仿宋_GB2312" w:hAnsi="仿宋_GB2312" w:eastAsia="仿宋_GB2312" w:cs="仿宋_GB2312"/>
          <w:color w:val="auto"/>
          <w:position w:val="0"/>
          <w:sz w:val="32"/>
          <w:szCs w:val="32"/>
          <w:highlight w:val="none"/>
          <w:u w:val="none"/>
        </w:rPr>
        <w:t>本次绩效评价工作成立了政府牵头组建的绩效评价小组（包括财政部门、业务部门、纪委监察部门等多个部门），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color w:val="auto"/>
          <w:position w:val="0"/>
          <w:sz w:val="32"/>
          <w:szCs w:val="32"/>
          <w:highlight w:val="none"/>
          <w:u w:val="none"/>
          <w:lang w:val="zh-CN"/>
        </w:rPr>
      </w:pPr>
      <w:r>
        <w:rPr>
          <w:rFonts w:hint="eastAsia" w:ascii="黑体" w:hAnsi="宋体" w:eastAsia="黑体"/>
          <w:color w:val="auto"/>
          <w:position w:val="0"/>
          <w:sz w:val="32"/>
          <w:szCs w:val="32"/>
          <w:highlight w:val="none"/>
          <w:u w:val="none"/>
        </w:rPr>
        <w:t>三、</w:t>
      </w:r>
      <w:r>
        <w:rPr>
          <w:rFonts w:hint="eastAsia" w:ascii="黑体" w:hAnsi="宋体" w:eastAsia="黑体"/>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宋体" w:eastAsia="楷体_GB2312" w:cs="Times New Roman"/>
          <w:b/>
          <w:color w:val="auto"/>
          <w:position w:val="0"/>
          <w:sz w:val="32"/>
          <w:szCs w:val="32"/>
          <w:highlight w:val="none"/>
          <w:u w:val="none"/>
          <w:lang w:val="en-US" w:eastAsia="zh-CN"/>
        </w:rPr>
      </w:pPr>
      <w:r>
        <w:rPr>
          <w:rFonts w:hint="eastAsia" w:ascii="楷体_GB2312" w:hAnsi="宋体" w:eastAsia="楷体_GB2312" w:cs="Times New Roman"/>
          <w:b/>
          <w:color w:val="auto"/>
          <w:position w:val="0"/>
          <w:sz w:val="32"/>
          <w:szCs w:val="32"/>
          <w:highlight w:val="none"/>
          <w:u w:val="none"/>
          <w:lang w:val="zh-CN"/>
        </w:rPr>
        <w:t>（一）</w:t>
      </w:r>
      <w:r>
        <w:rPr>
          <w:rFonts w:hint="eastAsia" w:ascii="楷体_GB2312" w:hAnsi="宋体"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1.项目决策</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公共图书馆、美术馆、文化馆（站）免费开放资金项目</w:t>
      </w:r>
      <w:r>
        <w:rPr>
          <w:rFonts w:hint="default" w:ascii="Times New Roman" w:hAnsi="Times New Roman" w:eastAsia="仿宋_GB2312" w:cs="Times New Roman"/>
          <w:color w:val="auto"/>
          <w:position w:val="0"/>
          <w:szCs w:val="32"/>
          <w:lang w:val="en-US" w:eastAsia="zh-CN"/>
        </w:rPr>
        <w:t>为延续性项目，立项经过镇党委会审议通过，决策程序规范；前期通过实地调研、问卷调查等形式，开展了充分的论证，规划合理；</w:t>
      </w:r>
      <w:r>
        <w:rPr>
          <w:rFonts w:hint="default" w:ascii="Times New Roman" w:hAnsi="Times New Roman" w:eastAsia="仿宋_GB2312" w:cs="Times New Roman"/>
          <w:b w:val="0"/>
          <w:bCs/>
          <w:color w:val="auto"/>
          <w:position w:val="0"/>
          <w:sz w:val="32"/>
          <w:szCs w:val="32"/>
          <w:highlight w:val="none"/>
          <w:u w:val="none"/>
          <w:lang w:val="en-US" w:eastAsia="zh-CN"/>
        </w:rPr>
        <w:t>公共图书馆、美术馆、文化馆（站）免费开放资金项目</w:t>
      </w:r>
      <w:r>
        <w:rPr>
          <w:rFonts w:hint="default" w:ascii="Times New Roman" w:hAnsi="Times New Roman" w:eastAsia="仿宋_GB2312" w:cs="Times New Roman"/>
          <w:color w:val="auto"/>
          <w:position w:val="0"/>
          <w:szCs w:val="32"/>
          <w:lang w:val="en-US" w:eastAsia="zh-CN"/>
        </w:rPr>
        <w:t>聚焦民生保障领域，符合群众需求。该项指标18分、得18分。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2.项目管理</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为使项目如期完成，结合聚贤镇实际情况，</w:t>
      </w:r>
      <w:r>
        <w:rPr>
          <w:rFonts w:hint="default" w:ascii="Times New Roman" w:hAnsi="Times New Roman" w:eastAsia="仿宋_GB2312" w:cs="Times New Roman"/>
          <w:b w:val="0"/>
          <w:bCs/>
          <w:color w:val="auto"/>
          <w:position w:val="0"/>
          <w:sz w:val="32"/>
          <w:szCs w:val="32"/>
          <w:highlight w:val="none"/>
          <w:u w:val="none"/>
          <w:lang w:val="en-US" w:eastAsia="zh-CN"/>
        </w:rPr>
        <w:t>公共图书馆、美术馆、文化馆（站）免费开放资金项目</w:t>
      </w:r>
      <w:r>
        <w:rPr>
          <w:rFonts w:hint="default" w:ascii="Times New Roman" w:hAnsi="Times New Roman" w:eastAsia="仿宋_GB2312" w:cs="Times New Roman"/>
          <w:b w:val="0"/>
          <w:bCs w:val="0"/>
          <w:color w:val="auto"/>
          <w:position w:val="0"/>
          <w:sz w:val="32"/>
          <w:szCs w:val="32"/>
          <w:highlight w:val="none"/>
          <w:u w:val="none"/>
          <w:lang w:val="en-US" w:eastAsia="zh-CN"/>
        </w:rPr>
        <w:t>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3.项目实施。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预算执行率100%，未出现截留、挤占、挪用等情况，资金使用规范。该项指标9分，得9分。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4.项目结果。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en-US" w:eastAsia="zh-CN"/>
        </w:rPr>
        <w:t>公共图书馆、美术馆、文化馆（站）免费开放资金项目</w:t>
      </w:r>
      <w:r>
        <w:rPr>
          <w:rFonts w:hint="default" w:ascii="Times New Roman" w:hAnsi="Times New Roman" w:eastAsia="仿宋_GB2312" w:cs="Times New Roman"/>
          <w:b w:val="0"/>
          <w:bCs w:val="0"/>
          <w:color w:val="auto"/>
          <w:position w:val="0"/>
          <w:sz w:val="32"/>
          <w:szCs w:val="32"/>
          <w:highlight w:val="none"/>
          <w:u w:val="none"/>
          <w:lang w:val="en-US" w:eastAsia="zh-CN"/>
        </w:rPr>
        <w:t>绩效目标完成，文化站免费开放工作良好，达到预期效果。该项指标9分，得9分。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楷体_GB2312" w:eastAsia="楷体_GB2312" w:cs="楷体_GB2312"/>
          <w:color w:val="auto"/>
          <w:position w:val="0"/>
          <w:szCs w:val="32"/>
          <w:lang w:val="zh-CN" w:eastAsia="zh-CN"/>
        </w:rPr>
      </w:pPr>
      <w:r>
        <w:rPr>
          <w:rFonts w:hint="eastAsia" w:ascii="楷体_GB2312" w:hAnsi="宋体" w:eastAsia="楷体_GB2312" w:cs="Times New Roman"/>
          <w:b/>
          <w:color w:val="auto"/>
          <w:position w:val="0"/>
          <w:sz w:val="32"/>
          <w:szCs w:val="32"/>
          <w:highlight w:val="none"/>
          <w:u w:val="none"/>
          <w:lang w:val="zh-CN"/>
        </w:rPr>
        <w:t>（二）</w:t>
      </w:r>
      <w:r>
        <w:rPr>
          <w:rFonts w:hint="eastAsia" w:ascii="楷体_GB2312" w:hAnsi="宋体"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color w:val="auto"/>
          <w:position w:val="0"/>
          <w:sz w:val="32"/>
          <w:szCs w:val="32"/>
          <w:lang w:val="en-US" w:eastAsia="zh-CN"/>
        </w:rPr>
      </w:pPr>
      <w:r>
        <w:rPr>
          <w:rFonts w:hint="eastAsia" w:ascii="仿宋_GB2312" w:hAnsi="仿宋_GB2312" w:cs="仿宋_GB2312"/>
          <w:b w:val="0"/>
          <w:bCs/>
          <w:color w:val="auto"/>
          <w:position w:val="0"/>
          <w:sz w:val="32"/>
          <w:szCs w:val="32"/>
          <w:highlight w:val="none"/>
          <w:u w:val="none"/>
          <w:lang w:val="en-US" w:eastAsia="zh-CN"/>
        </w:rPr>
        <w:t>公共图书馆、美术馆、文化馆（站）免费开放资金</w:t>
      </w:r>
      <w:r>
        <w:rPr>
          <w:rFonts w:hint="eastAsia" w:ascii="仿宋_GB2312" w:hAnsi="仿宋_GB2312" w:eastAsia="仿宋_GB2312" w:cs="仿宋_GB2312"/>
          <w:b w:val="0"/>
          <w:bCs/>
          <w:color w:val="auto"/>
          <w:position w:val="0"/>
          <w:sz w:val="32"/>
          <w:szCs w:val="32"/>
          <w:highlight w:val="none"/>
          <w:u w:val="none"/>
          <w:lang w:val="en-US" w:eastAsia="zh-CN"/>
        </w:rPr>
        <w:t>项目</w:t>
      </w:r>
      <w:r>
        <w:rPr>
          <w:rFonts w:hint="default" w:ascii="Times New Roman" w:hAnsi="Times New Roman" w:cs="Times New Roman"/>
          <w:b w:val="0"/>
          <w:bCs w:val="0"/>
          <w:color w:val="auto"/>
          <w:position w:val="0"/>
          <w:sz w:val="32"/>
          <w:szCs w:val="32"/>
          <w:highlight w:val="none"/>
          <w:u w:val="none"/>
          <w:lang w:val="en-US" w:eastAsia="zh-CN"/>
        </w:rPr>
        <w:t>属于民生保障类项目，具体分析如下：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区域均衡性：</w:t>
      </w:r>
      <w:r>
        <w:rPr>
          <w:rFonts w:hint="eastAsia" w:ascii="仿宋_GB2312" w:hAnsi="仿宋_GB2312" w:cs="仿宋_GB2312"/>
          <w:b w:val="0"/>
          <w:bCs/>
          <w:color w:val="auto"/>
          <w:position w:val="0"/>
          <w:sz w:val="32"/>
          <w:szCs w:val="32"/>
          <w:highlight w:val="none"/>
          <w:u w:val="none"/>
          <w:lang w:val="en-US" w:eastAsia="zh-CN"/>
        </w:rPr>
        <w:t>公共图书馆、美术馆、文化馆（站）免费开放资金</w:t>
      </w:r>
      <w:r>
        <w:rPr>
          <w:rFonts w:hint="eastAsia" w:ascii="仿宋_GB2312" w:hAnsi="仿宋_GB2312" w:eastAsia="仿宋_GB2312" w:cs="仿宋_GB2312"/>
          <w:b w:val="0"/>
          <w:bCs/>
          <w:color w:val="auto"/>
          <w:position w:val="0"/>
          <w:sz w:val="32"/>
          <w:szCs w:val="32"/>
          <w:highlight w:val="none"/>
          <w:u w:val="none"/>
          <w:lang w:val="en-US" w:eastAsia="zh-CN"/>
        </w:rPr>
        <w:t>项目</w:t>
      </w:r>
      <w:r>
        <w:rPr>
          <w:rFonts w:hint="eastAsia" w:ascii="仿宋_GB2312" w:hAnsi="仿宋_GB2312" w:cs="仿宋_GB2312"/>
          <w:position w:val="0"/>
          <w:highlight w:val="none"/>
          <w:lang w:val="en-US" w:eastAsia="zh-CN"/>
        </w:rPr>
        <w:t>的实施，面向的服务对象包括但不止聚贤镇群众，保障公民基本文化权益，这使</w:t>
      </w:r>
      <w:r>
        <w:rPr>
          <w:rFonts w:hint="eastAsia" w:cs="Times New Roman"/>
          <w:b w:val="0"/>
          <w:bCs/>
          <w:color w:val="auto"/>
          <w:position w:val="0"/>
          <w:sz w:val="32"/>
          <w:szCs w:val="32"/>
          <w:highlight w:val="none"/>
          <w:u w:val="none"/>
          <w:lang w:val="en-US" w:eastAsia="zh-CN"/>
        </w:rPr>
        <w:t>区域间差距缩小。</w:t>
      </w:r>
      <w:r>
        <w:rPr>
          <w:rFonts w:hint="default" w:ascii="Times New Roman" w:hAnsi="Times New Roman" w:eastAsia="仿宋_GB2312" w:cs="Times New Roman"/>
          <w:b w:val="0"/>
          <w:bCs/>
          <w:color w:val="auto"/>
          <w:position w:val="0"/>
          <w:sz w:val="32"/>
          <w:szCs w:val="32"/>
          <w:highlight w:val="none"/>
          <w:u w:val="none"/>
          <w:lang w:val="en-US" w:eastAsia="zh-CN"/>
        </w:rPr>
        <w:t>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对象精准性：</w:t>
      </w:r>
      <w:r>
        <w:rPr>
          <w:rFonts w:hint="eastAsia" w:ascii="仿宋_GB2312" w:hAnsi="仿宋_GB2312" w:cs="仿宋_GB2312"/>
          <w:b w:val="0"/>
          <w:bCs/>
          <w:color w:val="auto"/>
          <w:position w:val="0"/>
          <w:sz w:val="32"/>
          <w:szCs w:val="32"/>
          <w:highlight w:val="none"/>
          <w:u w:val="none"/>
          <w:lang w:val="en-US" w:eastAsia="zh-CN"/>
        </w:rPr>
        <w:t>公共图书馆、美术馆、文化馆（站）免费开放资金</w:t>
      </w:r>
      <w:r>
        <w:rPr>
          <w:rFonts w:hint="eastAsia" w:ascii="仿宋_GB2312" w:hAnsi="仿宋_GB2312" w:eastAsia="仿宋_GB2312" w:cs="仿宋_GB2312"/>
          <w:b w:val="0"/>
          <w:bCs/>
          <w:color w:val="auto"/>
          <w:position w:val="0"/>
          <w:sz w:val="32"/>
          <w:szCs w:val="32"/>
          <w:highlight w:val="none"/>
          <w:u w:val="none"/>
          <w:lang w:val="en-US" w:eastAsia="zh-CN"/>
        </w:rPr>
        <w:t>项目</w:t>
      </w:r>
      <w:r>
        <w:rPr>
          <w:rFonts w:hint="eastAsia" w:ascii="仿宋_GB2312" w:hAnsi="仿宋_GB2312" w:cs="仿宋_GB2312"/>
          <w:position w:val="0"/>
          <w:highlight w:val="none"/>
          <w:lang w:val="en-US" w:eastAsia="zh-CN"/>
        </w:rPr>
        <w:t>的实施，面向的服务对象包括但不止聚贤镇群众</w:t>
      </w:r>
      <w:r>
        <w:rPr>
          <w:rFonts w:hint="eastAsia" w:ascii="仿宋_GB2312" w:hAnsi="仿宋_GB2312" w:cs="仿宋_GB2312"/>
          <w:b w:val="0"/>
          <w:bCs/>
          <w:color w:val="auto"/>
          <w:position w:val="0"/>
          <w:sz w:val="32"/>
          <w:szCs w:val="32"/>
          <w:highlight w:val="none"/>
          <w:u w:val="none"/>
          <w:lang w:val="zh-CN" w:eastAsia="zh-CN"/>
        </w:rPr>
        <w:t>，保障对象明确</w:t>
      </w:r>
      <w:r>
        <w:rPr>
          <w:rFonts w:hint="default" w:ascii="Times New Roman" w:hAnsi="Times New Roman" w:eastAsia="仿宋_GB2312" w:cs="Times New Roman"/>
          <w:b w:val="0"/>
          <w:bCs/>
          <w:color w:val="auto"/>
          <w:position w:val="0"/>
          <w:sz w:val="32"/>
          <w:szCs w:val="32"/>
          <w:highlight w:val="none"/>
          <w:u w:val="none"/>
          <w:lang w:val="en-US" w:eastAsia="zh-CN"/>
        </w:rPr>
        <w:t>。该项指标10分，得</w:t>
      </w:r>
      <w:r>
        <w:rPr>
          <w:rFonts w:hint="eastAsia" w:cs="Times New Roman"/>
          <w:b w:val="0"/>
          <w:bCs/>
          <w:color w:val="auto"/>
          <w:position w:val="0"/>
          <w:sz w:val="32"/>
          <w:szCs w:val="32"/>
          <w:highlight w:val="none"/>
          <w:u w:val="none"/>
          <w:lang w:val="en-US" w:eastAsia="zh-CN"/>
        </w:rPr>
        <w:t>10</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标准合理性：</w:t>
      </w:r>
      <w:r>
        <w:rPr>
          <w:rFonts w:hint="eastAsia" w:cs="Times New Roman"/>
          <w:b w:val="0"/>
          <w:bCs/>
          <w:color w:val="auto"/>
          <w:position w:val="0"/>
          <w:sz w:val="32"/>
          <w:szCs w:val="32"/>
          <w:highlight w:val="none"/>
          <w:u w:val="none"/>
          <w:lang w:val="zh-CN"/>
        </w:rPr>
        <w:t>项目符合文化站免费开放资金管理办法</w:t>
      </w:r>
      <w:r>
        <w:rPr>
          <w:rFonts w:hint="default" w:ascii="Times New Roman" w:hAnsi="Times New Roman" w:eastAsia="仿宋_GB2312" w:cs="Times New Roman"/>
          <w:b w:val="0"/>
          <w:bCs/>
          <w:color w:val="auto"/>
          <w:position w:val="0"/>
          <w:sz w:val="32"/>
          <w:szCs w:val="32"/>
          <w:highlight w:val="none"/>
          <w:u w:val="none"/>
          <w:lang w:val="zh-CN"/>
        </w:rPr>
        <w:t>相关标准和要求，项目实施达到预期效果</w:t>
      </w:r>
      <w:r>
        <w:rPr>
          <w:rFonts w:hint="eastAsia" w:cs="Times New Roman"/>
          <w:b w:val="0"/>
          <w:bCs/>
          <w:color w:val="auto"/>
          <w:position w:val="0"/>
          <w:sz w:val="32"/>
          <w:szCs w:val="32"/>
          <w:highlight w:val="none"/>
          <w:u w:val="none"/>
          <w:lang w:val="zh-CN"/>
        </w:rPr>
        <w:t>，文化站免费开放工作良好</w:t>
      </w:r>
      <w:r>
        <w:rPr>
          <w:rFonts w:hint="default" w:ascii="Times New Roman" w:hAnsi="Times New Roman" w:eastAsia="仿宋_GB2312" w:cs="Times New Roman"/>
          <w:b w:val="0"/>
          <w:bCs/>
          <w:color w:val="auto"/>
          <w:position w:val="0"/>
          <w:sz w:val="32"/>
          <w:szCs w:val="32"/>
          <w:highlight w:val="none"/>
          <w:u w:val="none"/>
          <w:lang w:val="zh-CN"/>
        </w:rPr>
        <w:t>。该项指标</w:t>
      </w:r>
      <w:r>
        <w:rPr>
          <w:rFonts w:hint="default" w:ascii="Times New Roman" w:hAnsi="Times New Roman" w:eastAsia="仿宋_GB2312" w:cs="Times New Roman"/>
          <w:b w:val="0"/>
          <w:bCs/>
          <w:color w:val="auto"/>
          <w:position w:val="0"/>
          <w:sz w:val="32"/>
          <w:szCs w:val="32"/>
          <w:highlight w:val="none"/>
          <w:u w:val="none"/>
          <w:lang w:val="en-US" w:eastAsia="zh-CN"/>
        </w:rPr>
        <w:t>5分，得5分。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zh-CN"/>
        </w:rPr>
        <w:t>群众满意度：通过问卷调查，群众对项目满意度达到</w:t>
      </w:r>
      <w:r>
        <w:rPr>
          <w:rFonts w:hint="eastAsia" w:cs="Times New Roman"/>
          <w:b w:val="0"/>
          <w:bCs/>
          <w:color w:val="auto"/>
          <w:position w:val="0"/>
          <w:sz w:val="32"/>
          <w:szCs w:val="32"/>
          <w:highlight w:val="none"/>
          <w:u w:val="none"/>
          <w:lang w:val="en-US" w:eastAsia="zh-CN"/>
        </w:rPr>
        <w:t>100</w:t>
      </w:r>
      <w:r>
        <w:rPr>
          <w:rFonts w:hint="default" w:ascii="Times New Roman" w:hAnsi="Times New Roman" w:eastAsia="仿宋_GB2312" w:cs="Times New Roman"/>
          <w:b w:val="0"/>
          <w:bCs/>
          <w:color w:val="auto"/>
          <w:position w:val="0"/>
          <w:sz w:val="32"/>
          <w:szCs w:val="32"/>
          <w:highlight w:val="none"/>
          <w:u w:val="none"/>
          <w:lang w:val="en-US" w:eastAsia="zh-CN"/>
        </w:rPr>
        <w:t>%。该项指标5分，得</w:t>
      </w:r>
      <w:r>
        <w:rPr>
          <w:rFonts w:hint="eastAsia" w:cs="Times New Roman"/>
          <w:b w:val="0"/>
          <w:bCs/>
          <w:color w:val="auto"/>
          <w:position w:val="0"/>
          <w:sz w:val="32"/>
          <w:szCs w:val="32"/>
          <w:highlight w:val="none"/>
          <w:u w:val="none"/>
          <w:lang w:val="en-US" w:eastAsia="zh-CN"/>
        </w:rPr>
        <w:t>5</w:t>
      </w:r>
      <w:r>
        <w:rPr>
          <w:rFonts w:hint="default" w:ascii="Times New Roman" w:hAnsi="Times New Roman" w:eastAsia="仿宋_GB2312" w:cs="Times New Roman"/>
          <w:b w:val="0"/>
          <w:bCs/>
          <w:color w:val="auto"/>
          <w:position w:val="0"/>
          <w:sz w:val="32"/>
          <w:szCs w:val="32"/>
          <w:highlight w:val="none"/>
          <w:u w:val="none"/>
          <w:lang w:val="en-US" w:eastAsia="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color w:val="auto"/>
          <w:position w:val="0"/>
          <w:szCs w:val="32"/>
          <w:lang w:val="en-US" w:eastAsia="zh-CN"/>
        </w:rPr>
      </w:pPr>
      <w:r>
        <w:rPr>
          <w:rFonts w:hint="eastAsia" w:ascii="楷体_GB2312" w:hAnsi="宋体" w:eastAsia="楷体_GB2312" w:cs="Times New Roman"/>
          <w:b/>
          <w:color w:val="auto"/>
          <w:position w:val="0"/>
          <w:sz w:val="32"/>
          <w:szCs w:val="32"/>
          <w:highlight w:val="none"/>
          <w:u w:val="none"/>
          <w:lang w:val="zh-CN"/>
        </w:rPr>
        <w:t>（三）</w:t>
      </w:r>
      <w:r>
        <w:rPr>
          <w:rFonts w:hint="eastAsia" w:ascii="楷体_GB2312" w:hAnsi="宋体"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仿宋_GB2312" w:hAnsi="仿宋_GB2312" w:eastAsia="仿宋_GB2312" w:cs="仿宋_GB2312"/>
          <w:color w:val="auto"/>
          <w:position w:val="0"/>
          <w:sz w:val="32"/>
          <w:szCs w:val="32"/>
          <w:highlight w:val="none"/>
          <w:u w:val="none"/>
          <w:lang w:eastAsia="zh-CN"/>
        </w:rPr>
      </w:pPr>
      <w:r>
        <w:rPr>
          <w:rFonts w:hint="eastAsia" w:ascii="仿宋_GB2312" w:hAnsi="仿宋_GB2312" w:eastAsia="仿宋_GB2312" w:cs="仿宋_GB2312"/>
          <w:color w:val="auto"/>
          <w:position w:val="0"/>
          <w:sz w:val="32"/>
          <w:szCs w:val="32"/>
          <w:highlight w:val="none"/>
          <w:u w:val="none"/>
          <w:lang w:eastAsia="zh-CN"/>
        </w:rPr>
        <w:t>免费开放天数：聚贤镇文化站全年开放达到</w:t>
      </w:r>
      <w:r>
        <w:rPr>
          <w:rFonts w:hint="eastAsia" w:ascii="仿宋_GB2312" w:hAnsi="仿宋_GB2312" w:eastAsia="仿宋_GB2312" w:cs="仿宋_GB2312"/>
          <w:color w:val="auto"/>
          <w:position w:val="0"/>
          <w:sz w:val="32"/>
          <w:szCs w:val="32"/>
          <w:highlight w:val="none"/>
          <w:u w:val="none"/>
          <w:lang w:val="en-US" w:eastAsia="zh-CN"/>
        </w:rPr>
        <w:t>280天，达到预期目标。该项指标16分，得16分。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olor w:val="auto"/>
          <w:position w:val="0"/>
          <w:sz w:val="32"/>
          <w:szCs w:val="32"/>
          <w:highlight w:val="none"/>
          <w:u w:val="none"/>
        </w:rPr>
      </w:pPr>
      <w:r>
        <w:rPr>
          <w:rFonts w:hint="eastAsia" w:ascii="黑体" w:hAnsi="宋体" w:eastAsia="黑体"/>
          <w:color w:val="auto"/>
          <w:position w:val="0"/>
          <w:sz w:val="32"/>
          <w:szCs w:val="32"/>
          <w:highlight w:val="none"/>
          <w:u w:val="none"/>
          <w:lang w:eastAsia="zh-CN"/>
        </w:rPr>
        <w:t>四</w:t>
      </w:r>
      <w:r>
        <w:rPr>
          <w:rFonts w:hint="eastAsia" w:ascii="黑体" w:hAnsi="宋体" w:eastAsia="黑体"/>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经综合评价，</w:t>
      </w:r>
      <w:r>
        <w:rPr>
          <w:rFonts w:hint="eastAsia" w:ascii="仿宋_GB2312" w:hAnsi="仿宋_GB2312" w:eastAsia="仿宋_GB2312" w:cs="仿宋_GB2312"/>
          <w:b w:val="0"/>
          <w:bCs/>
          <w:color w:val="auto"/>
          <w:position w:val="0"/>
          <w:sz w:val="32"/>
          <w:szCs w:val="32"/>
          <w:highlight w:val="none"/>
          <w:u w:val="none"/>
          <w:lang w:val="en-US" w:eastAsia="zh-CN"/>
        </w:rPr>
        <w:t>公共图书馆、美术馆、文化馆（站）免费开放资金项目</w:t>
      </w:r>
      <w:r>
        <w:rPr>
          <w:rFonts w:hint="eastAsia" w:ascii="仿宋_GB2312" w:hAnsi="仿宋_GB2312" w:eastAsia="仿宋_GB2312" w:cs="仿宋_GB2312"/>
          <w:b w:val="0"/>
          <w:bCs w:val="0"/>
          <w:kern w:val="0"/>
          <w:position w:val="0"/>
          <w:sz w:val="32"/>
          <w:szCs w:val="32"/>
          <w:highlight w:val="none"/>
          <w:lang w:val="en-US" w:eastAsia="zh-CN" w:bidi="ar-SA"/>
        </w:rPr>
        <w:t>绩效自评总分为100分。项目完成既定绩效目标，预算执行率100%，文化站免费开放工作情况良好，达到预期社会效益。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eastAsia" w:ascii="黑体" w:hAnsi="宋体"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仿宋_GB2312" w:hAnsi="仿宋_GB2312" w:eastAsia="仿宋_GB2312" w:cs="仿宋_GB2312"/>
          <w:color w:val="auto"/>
          <w:kern w:val="0"/>
          <w:position w:val="0"/>
          <w:sz w:val="32"/>
          <w:szCs w:val="32"/>
          <w:highlight w:val="none"/>
          <w:u w:val="none"/>
          <w:lang w:val="en-US" w:eastAsia="zh-CN" w:bidi="ar-SA"/>
        </w:rPr>
      </w:pPr>
      <w:r>
        <w:rPr>
          <w:rFonts w:hint="eastAsia" w:ascii="仿宋_GB2312" w:hAnsi="仿宋_GB2312" w:eastAsia="仿宋_GB2312" w:cs="仿宋_GB2312"/>
          <w:color w:val="auto"/>
          <w:kern w:val="0"/>
          <w:position w:val="0"/>
          <w:sz w:val="32"/>
          <w:szCs w:val="32"/>
          <w:highlight w:val="none"/>
          <w:u w:val="none"/>
          <w:lang w:val="zh-CN" w:eastAsia="zh-CN" w:bidi="ar-SA"/>
        </w:rPr>
        <w:t>一是资金不足，随着农村发展，村民对公共文化服务的需求日益提高，现有经费难以满足村民需要；二是资金使用效率有待提高，在经费使用过程中，部分文化活动规划不够合理，导致资金使用效率不高。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s="Times New Roman"/>
          <w:color w:val="auto"/>
          <w:kern w:val="0"/>
          <w:position w:val="0"/>
          <w:sz w:val="32"/>
          <w:szCs w:val="32"/>
          <w:highlight w:val="none"/>
          <w:u w:val="none"/>
          <w:lang w:val="zh-CN" w:eastAsia="zh-CN" w:bidi="ar-SA"/>
        </w:rPr>
      </w:pPr>
      <w:r>
        <w:rPr>
          <w:rFonts w:hint="eastAsia" w:ascii="黑体" w:hAnsi="宋体"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cs="Times New Roman"/>
          <w:color w:val="000000"/>
          <w:kern w:val="0"/>
          <w:position w:val="0"/>
          <w:szCs w:val="32"/>
          <w:highlight w:val="none"/>
          <w:shd w:val="clear" w:color="auto" w:fill="FFFFFF"/>
          <w:lang w:val="zh-CN" w:eastAsia="zh-CN"/>
        </w:rPr>
      </w:pPr>
      <w:r>
        <w:rPr>
          <w:rFonts w:hint="eastAsia" w:cs="Times New Roman"/>
          <w:color w:val="000000"/>
          <w:kern w:val="0"/>
          <w:position w:val="0"/>
          <w:sz w:val="32"/>
          <w:szCs w:val="32"/>
          <w:highlight w:val="none"/>
          <w:shd w:val="clear" w:color="auto" w:fill="FFFFFF"/>
          <w:lang w:val="zh-CN" w:eastAsia="zh-CN"/>
        </w:rPr>
        <w:t>一</w:t>
      </w:r>
      <w:r>
        <w:rPr>
          <w:rFonts w:hint="default" w:ascii="Times New Roman" w:hAnsi="Times New Roman" w:cs="Times New Roman"/>
          <w:color w:val="000000"/>
          <w:kern w:val="0"/>
          <w:position w:val="0"/>
          <w:sz w:val="32"/>
          <w:szCs w:val="32"/>
          <w:highlight w:val="none"/>
          <w:shd w:val="clear" w:color="auto" w:fill="FFFFFF"/>
          <w:lang w:val="zh-CN" w:eastAsia="zh-CN"/>
        </w:rPr>
        <w:t>是建议增加</w:t>
      </w:r>
      <w:r>
        <w:rPr>
          <w:rFonts w:hint="eastAsia" w:ascii="仿宋_GB2312" w:hAnsi="仿宋_GB2312" w:cs="仿宋_GB2312"/>
          <w:b w:val="0"/>
          <w:bCs/>
          <w:color w:val="auto"/>
          <w:position w:val="0"/>
          <w:sz w:val="32"/>
          <w:szCs w:val="32"/>
          <w:highlight w:val="none"/>
          <w:u w:val="none"/>
          <w:lang w:val="en-US" w:eastAsia="zh-CN"/>
        </w:rPr>
        <w:t>公共图书馆、美术馆、文化馆（站）免费开放资金</w:t>
      </w:r>
      <w:r>
        <w:rPr>
          <w:rFonts w:hint="eastAsia" w:ascii="仿宋_GB2312" w:hAnsi="仿宋_GB2312" w:eastAsia="仿宋_GB2312" w:cs="仿宋_GB2312"/>
          <w:b w:val="0"/>
          <w:bCs/>
          <w:color w:val="auto"/>
          <w:position w:val="0"/>
          <w:sz w:val="32"/>
          <w:szCs w:val="32"/>
          <w:highlight w:val="none"/>
          <w:u w:val="none"/>
          <w:lang w:val="en-US" w:eastAsia="zh-CN"/>
        </w:rPr>
        <w:t>项目</w:t>
      </w:r>
      <w:r>
        <w:rPr>
          <w:rFonts w:hint="default" w:ascii="Times New Roman" w:hAnsi="Times New Roman" w:cs="Times New Roman"/>
          <w:b w:val="0"/>
          <w:bCs/>
          <w:color w:val="auto"/>
          <w:position w:val="0"/>
          <w:sz w:val="32"/>
          <w:szCs w:val="32"/>
          <w:highlight w:val="none"/>
          <w:u w:val="none"/>
          <w:lang w:val="en-US" w:eastAsia="zh-CN"/>
        </w:rPr>
        <w:t>工作资金投入，保障工作开展</w:t>
      </w:r>
      <w:r>
        <w:rPr>
          <w:rFonts w:hint="eastAsia" w:cs="Times New Roman"/>
          <w:b w:val="0"/>
          <w:bCs/>
          <w:color w:val="auto"/>
          <w:position w:val="0"/>
          <w:sz w:val="32"/>
          <w:szCs w:val="32"/>
          <w:highlight w:val="none"/>
          <w:u w:val="none"/>
          <w:lang w:val="en-US" w:eastAsia="zh-CN"/>
        </w:rPr>
        <w:t>；二是提高资金使用效率，加强文化活动的策划与组织，科学合理地安排经费使用。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黑体" w:hAnsi="黑体" w:eastAsia="黑体" w:cs="黑体"/>
          <w:position w:val="0"/>
          <w:sz w:val="24"/>
          <w:szCs w:val="24"/>
          <w:highlight w:val="none"/>
          <w:lang w:val="en-US" w:eastAsia="zh-CN"/>
        </w:rPr>
      </w:pPr>
      <w:r>
        <w:rPr>
          <w:rFonts w:hint="eastAsia" w:ascii="Times New Roman" w:hAnsi="Times New Roman" w:cs="Times New Roman"/>
          <w:color w:val="000000"/>
          <w:kern w:val="0"/>
          <w:position w:val="0"/>
          <w:szCs w:val="32"/>
          <w:highlight w:val="none"/>
          <w:shd w:val="clear" w:color="auto" w:fill="FFFFFF"/>
          <w:lang w:val="en-US" w:eastAsia="zh-CN"/>
        </w:rPr>
        <w:t>附表：专项</w:t>
      </w:r>
      <w:r>
        <w:rPr>
          <w:rFonts w:hint="eastAsia" w:cs="Times New Roman"/>
          <w:color w:val="000000"/>
          <w:kern w:val="0"/>
          <w:position w:val="0"/>
          <w:szCs w:val="32"/>
          <w:highlight w:val="none"/>
          <w:shd w:val="clear" w:color="auto" w:fill="FFFFFF"/>
          <w:lang w:val="en-US" w:eastAsia="zh-CN"/>
        </w:rPr>
        <w:t>资金</w:t>
      </w:r>
      <w:r>
        <w:rPr>
          <w:rFonts w:hint="eastAsia" w:ascii="Times New Roman" w:hAnsi="Times New Roman" w:cs="Times New Roman"/>
          <w:color w:val="000000"/>
          <w:kern w:val="0"/>
          <w:position w:val="0"/>
          <w:szCs w:val="32"/>
          <w:highlight w:val="none"/>
          <w:shd w:val="clear" w:color="auto" w:fill="FFFFFF"/>
          <w:lang w:val="en-US" w:eastAsia="zh-CN"/>
        </w:rPr>
        <w:t>绩效目标完成情况自评表</w:t>
      </w:r>
    </w:p>
    <w:tbl>
      <w:tblPr>
        <w:tblStyle w:val="15"/>
        <w:tblW w:w="5000" w:type="pct"/>
        <w:tblInd w:w="0" w:type="dxa"/>
        <w:shd w:val="clear" w:color="auto" w:fill="auto"/>
        <w:tblLayout w:type="autofit"/>
        <w:tblCellMar>
          <w:top w:w="0" w:type="dxa"/>
          <w:left w:w="0" w:type="dxa"/>
          <w:bottom w:w="0" w:type="dxa"/>
          <w:right w:w="0" w:type="dxa"/>
        </w:tblCellMar>
      </w:tblPr>
      <w:tblGrid>
        <w:gridCol w:w="390"/>
        <w:gridCol w:w="930"/>
        <w:gridCol w:w="1650"/>
        <w:gridCol w:w="2010"/>
        <w:gridCol w:w="390"/>
        <w:gridCol w:w="480"/>
        <w:gridCol w:w="210"/>
        <w:gridCol w:w="660"/>
        <w:gridCol w:w="300"/>
        <w:gridCol w:w="301"/>
        <w:gridCol w:w="1015"/>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51090425T000012407034-公共图书馆、美术馆、文化馆（站）免费开放资金</w:t>
            </w:r>
          </w:p>
        </w:tc>
      </w:tr>
      <w:tr>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遂宁市安居区聚贤镇人民政府部门</w:t>
            </w:r>
          </w:p>
        </w:tc>
        <w:tc>
          <w:tcPr>
            <w:tcW w:w="386"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239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大力做好文化馆（站）、图书馆免费开放民生工程，开展文化培训、展览、演出等活动，满足群众文化生活需要</w:t>
            </w:r>
          </w:p>
        </w:tc>
        <w:tc>
          <w:tcPr>
            <w:tcW w:w="163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大力做好文化馆（站）、图书馆免费开放民生工程，开展文化培训、展览、演出等活动，满足群众文化生活需要</w:t>
            </w:r>
          </w:p>
        </w:tc>
      </w:tr>
      <w:tr>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文化站免费开放月数</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12月</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文化站、图书馆设施设备</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合格</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免费开发工作</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color w:val="000000"/>
                <w:sz w:val="18"/>
                <w:szCs w:val="18"/>
                <w:u w:val="none"/>
              </w:rPr>
            </w:pPr>
            <w:r>
              <w:rPr>
                <w:rFonts w:hint="eastAsia" w:ascii="宋体" w:hAnsi="宋体" w:eastAsia="宋体" w:cs="宋体"/>
                <w:i w:val="0"/>
                <w:iCs/>
                <w:color w:val="000000"/>
                <w:kern w:val="0"/>
                <w:sz w:val="18"/>
                <w:szCs w:val="18"/>
                <w:u w:val="none"/>
                <w:lang w:val="en-US" w:eastAsia="zh-CN" w:bidi="ar"/>
              </w:rPr>
              <w:t>50000元</w:t>
            </w:r>
          </w:p>
        </w:tc>
        <w:tc>
          <w:tcPr>
            <w:tcW w:w="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color w:val="000000"/>
                <w:sz w:val="18"/>
                <w:szCs w:val="18"/>
                <w:u w:val="none"/>
              </w:rPr>
            </w:pPr>
          </w:p>
        </w:tc>
      </w:tr>
      <w:tr>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项目完成既定绩效目标，预算执行率100%，文化站免费开放工作情况良好，达到预期社会效益。</w:t>
            </w:r>
          </w:p>
        </w:tc>
      </w:tr>
      <w:tr>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一是资金不足，随着农村发展，村民对公共文化服务的需求日益提高，现有经费难以满足村民需要；二是资金使用效率有待提高，在经费使用过程中，部分文化活动规划不够合理，导致资金使用效率不高。</w:t>
            </w:r>
          </w:p>
        </w:tc>
      </w:tr>
      <w:tr>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color w:val="000000"/>
                <w:sz w:val="18"/>
                <w:szCs w:val="18"/>
                <w:u w:val="none"/>
              </w:rPr>
            </w:pPr>
            <w:r>
              <w:rPr>
                <w:rFonts w:hint="eastAsia" w:ascii="宋体" w:hAnsi="宋体" w:eastAsia="宋体" w:cs="宋体"/>
                <w:i w:val="0"/>
                <w:iCs/>
                <w:color w:val="000000"/>
                <w:kern w:val="0"/>
                <w:sz w:val="18"/>
                <w:szCs w:val="18"/>
                <w:u w:val="none"/>
                <w:lang w:val="en-US" w:eastAsia="zh-CN" w:bidi="ar"/>
              </w:rPr>
              <w:t>一是建议增加公共图书馆、美术馆、文化馆（站）免费开放资金项目工作资金投入，保障工作开展；二是提高资金使用效率，加强文化活动的策划与组织，科学合理地安排经费使用。</w:t>
            </w:r>
          </w:p>
        </w:tc>
      </w:tr>
      <w:tr>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项目负责人：杨文</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财务负责人：陈维维</w:t>
            </w:r>
          </w:p>
        </w:tc>
      </w:tr>
    </w:tbl>
    <w:p>
      <w:pPr>
        <w:rPr>
          <w:rFonts w:hint="eastAsia" w:ascii="方正小标宋简体" w:hAnsi="方正小标宋简体" w:eastAsia="方正小标宋简体" w:cs="方正小标宋简体"/>
          <w:color w:val="auto"/>
          <w:kern w:val="2"/>
          <w:position w:val="0"/>
          <w:sz w:val="44"/>
          <w:szCs w:val="44"/>
          <w:highlight w:val="none"/>
          <w:lang w:val="en-US" w:eastAsia="zh-CN"/>
        </w:rPr>
      </w:pPr>
      <w:r>
        <w:br w:type="page"/>
      </w:r>
    </w:p>
    <w:p>
      <w:pPr>
        <w:pStyle w:val="22"/>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仿宋_GB2312" w:hAnsi="仿宋_GB2312" w:eastAsia="仿宋_GB2312" w:cs="仿宋_GB2312"/>
          <w:bCs/>
          <w:color w:val="auto"/>
          <w:kern w:val="2"/>
          <w:position w:val="0"/>
          <w:sz w:val="32"/>
          <w:szCs w:val="32"/>
          <w:highlight w:val="none"/>
          <w:u w:val="none"/>
          <w:lang w:val="en-US" w:eastAsia="zh-CN"/>
        </w:rPr>
      </w:pPr>
      <w:r>
        <w:rPr>
          <w:rFonts w:hint="eastAsia" w:ascii="仿宋_GB2312" w:hAnsi="仿宋_GB2312" w:eastAsia="仿宋_GB2312" w:cs="仿宋_GB2312"/>
          <w:bCs/>
          <w:color w:val="auto"/>
          <w:kern w:val="2"/>
          <w:position w:val="0"/>
          <w:sz w:val="32"/>
          <w:szCs w:val="32"/>
          <w:highlight w:val="none"/>
          <w:u w:val="none"/>
          <w:lang w:val="en-US" w:eastAsia="zh-CN"/>
        </w:rPr>
        <w:t>（</w:t>
      </w:r>
      <w:r>
        <w:rPr>
          <w:rFonts w:hint="eastAsia" w:ascii="仿宋_GB2312" w:hAnsi="仿宋_GB2312" w:eastAsia="仿宋_GB2312" w:cs="仿宋_GB2312"/>
          <w:bCs/>
          <w:i w:val="0"/>
          <w:color w:val="000000"/>
          <w:kern w:val="2"/>
          <w:position w:val="0"/>
          <w:sz w:val="32"/>
          <w:szCs w:val="32"/>
          <w:highlight w:val="none"/>
          <w:u w:val="none"/>
          <w:lang w:val="en-US" w:eastAsia="zh-CN" w:bidi="ar-SA"/>
        </w:rPr>
        <w:t>计划生育后遗症项目</w:t>
      </w:r>
      <w:r>
        <w:rPr>
          <w:rFonts w:hint="eastAsia" w:ascii="仿宋_GB2312" w:hAnsi="仿宋_GB2312" w:eastAsia="仿宋_GB2312" w:cs="仿宋_GB2312"/>
          <w:bCs/>
          <w:color w:val="auto"/>
          <w:kern w:val="2"/>
          <w:position w:val="0"/>
          <w:sz w:val="32"/>
          <w:szCs w:val="32"/>
          <w:highlight w:val="none"/>
          <w:u w:val="none"/>
          <w:lang w:val="en-US" w:eastAsia="zh-CN"/>
        </w:rPr>
        <w:t>）</w:t>
      </w:r>
    </w:p>
    <w:p>
      <w:pPr>
        <w:pStyle w:val="2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positio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黑体" w:hAnsi="宋体" w:eastAsia="黑体"/>
          <w:position w:val="0"/>
          <w:highlight w:val="none"/>
          <w:lang w:val="zh-CN"/>
        </w:rPr>
      </w:pPr>
      <w:r>
        <w:rPr>
          <w:rFonts w:hint="eastAsia" w:ascii="黑体" w:hAnsi="宋体" w:eastAsia="黑体"/>
          <w:position w:val="0"/>
          <w:highlight w:val="none"/>
        </w:rPr>
        <w:t>一、</w:t>
      </w:r>
      <w:r>
        <w:rPr>
          <w:rFonts w:hint="eastAsia" w:ascii="黑体" w:hAnsi="宋体" w:eastAsia="黑体"/>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position w:val="0"/>
          <w:sz w:val="32"/>
          <w:szCs w:val="32"/>
          <w:highlight w:val="none"/>
          <w:u w:val="none"/>
          <w:shd w:val="clear" w:color="auto" w:fill="FFFFFF"/>
          <w:lang w:val="zh-CN"/>
        </w:rPr>
      </w:pPr>
      <w:r>
        <w:rPr>
          <w:rFonts w:hint="eastAsia" w:ascii="楷体_GB2312" w:hAnsi="宋体" w:eastAsia="楷体_GB2312"/>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仿宋_GB2312" w:eastAsia="仿宋_GB2312" w:cs="仿宋_GB2312"/>
          <w:b w:val="0"/>
          <w:bCs/>
          <w:color w:val="auto"/>
          <w:position w:val="0"/>
          <w:sz w:val="32"/>
          <w:szCs w:val="32"/>
          <w:highlight w:val="none"/>
          <w:u w:val="none"/>
          <w:lang w:val="en-US" w:eastAsia="zh-CN"/>
        </w:rPr>
      </w:pPr>
      <w:r>
        <w:rPr>
          <w:rFonts w:hint="eastAsia" w:ascii="仿宋_GB2312" w:hAnsi="仿宋_GB2312" w:eastAsia="仿宋_GB2312" w:cs="仿宋_GB2312"/>
          <w:b w:val="0"/>
          <w:bCs/>
          <w:color w:val="auto"/>
          <w:position w:val="0"/>
          <w:sz w:val="32"/>
          <w:szCs w:val="32"/>
          <w:highlight w:val="none"/>
          <w:u w:val="none"/>
          <w:lang w:val="en-US" w:eastAsia="zh-CN"/>
        </w:rPr>
        <w:t>20世纪60-70年代执行计划生育绝育手术后，部分对象存现慢性盆腔疼痛、月经不调、性功能障碍等问题，还有部分基层计生人员操作不当或抢救延误导致后遗症加重，早期缺乏系统性的医疗认定与赔偿机制，国家2011年后才将三级以上手术并发症纳入特别扶助制度，但是20世纪60-70年代手术对象长期被排除在制度保障外，需要地方专项补助填补空白。项目主要内容是为计划生育后遗症患者</w:t>
      </w:r>
      <w:r>
        <w:rPr>
          <w:rFonts w:hint="eastAsia" w:ascii="仿宋_GB2312" w:hAnsi="仿宋_GB2312" w:cs="仿宋_GB2312"/>
          <w:b w:val="0"/>
          <w:bCs/>
          <w:color w:val="auto"/>
          <w:position w:val="0"/>
          <w:sz w:val="32"/>
          <w:szCs w:val="32"/>
          <w:highlight w:val="none"/>
          <w:u w:val="none"/>
          <w:lang w:val="en-US" w:eastAsia="zh-CN"/>
        </w:rPr>
        <w:t>提供</w:t>
      </w:r>
      <w:r>
        <w:rPr>
          <w:rFonts w:hint="eastAsia" w:ascii="仿宋_GB2312" w:hAnsi="仿宋_GB2312" w:eastAsia="仿宋_GB2312" w:cs="仿宋_GB2312"/>
          <w:b w:val="0"/>
          <w:bCs/>
          <w:color w:val="auto"/>
          <w:position w:val="0"/>
          <w:sz w:val="32"/>
          <w:szCs w:val="32"/>
          <w:highlight w:val="none"/>
          <w:u w:val="none"/>
          <w:lang w:val="en-US" w:eastAsia="zh-CN"/>
        </w:rPr>
        <w:t>扶助。聚贤镇人民政府作为主管部门，主要职能包括统筹规划项目实施，协调各方资源，监督项目资金拨付到位，确保项目顺利完成。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ascii="楷体_GB2312" w:hAnsi="宋体" w:eastAsia="楷体_GB2312"/>
          <w:b/>
          <w:color w:val="auto"/>
          <w:position w:val="0"/>
          <w:sz w:val="32"/>
          <w:szCs w:val="32"/>
          <w:highlight w:val="none"/>
          <w:u w:val="none"/>
          <w:lang w:val="zh-CN"/>
        </w:rPr>
      </w:pPr>
      <w:r>
        <w:rPr>
          <w:rFonts w:hint="eastAsia" w:ascii="楷体_GB2312" w:hAnsi="宋体" w:eastAsia="楷体_GB2312"/>
          <w:b/>
          <w:color w:val="auto"/>
          <w:position w:val="0"/>
          <w:sz w:val="32"/>
          <w:szCs w:val="32"/>
          <w:highlight w:val="none"/>
          <w:u w:val="none"/>
          <w:lang w:val="zh-CN"/>
        </w:rPr>
        <w:t>（</w:t>
      </w:r>
      <w:r>
        <w:rPr>
          <w:rFonts w:hint="eastAsia" w:ascii="楷体_GB2312" w:hAnsi="宋体" w:eastAsia="楷体_GB2312" w:cs="Times New Roman"/>
          <w:b/>
          <w:color w:val="auto"/>
          <w:position w:val="0"/>
          <w:sz w:val="32"/>
          <w:szCs w:val="32"/>
          <w:highlight w:val="none"/>
          <w:u w:val="none"/>
          <w:lang w:val="zh-CN"/>
        </w:rPr>
        <w:t>二）</w:t>
      </w:r>
      <w:r>
        <w:rPr>
          <w:rFonts w:hint="default" w:ascii="楷体_GB2312" w:hAnsi="宋体" w:eastAsia="楷体_GB2312" w:cs="Times New Roman"/>
          <w:b/>
          <w:color w:val="auto"/>
          <w:position w:val="0"/>
          <w:sz w:val="32"/>
          <w:szCs w:val="32"/>
          <w:highlight w:val="none"/>
          <w:u w:val="none"/>
          <w:lang w:val="en-US" w:eastAsia="zh-CN"/>
        </w:rPr>
        <w:t>实施目的及支持方向</w:t>
      </w:r>
      <w:r>
        <w:rPr>
          <w:rFonts w:hint="eastAsia" w:ascii="楷体_GB2312" w:hAnsi="宋体" w:eastAsia="楷体_GB2312" w:cs="Times New Roman"/>
          <w:b/>
          <w:color w:val="auto"/>
          <w:positio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宋体"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eastAsia="zh-CN"/>
        </w:rPr>
        <w:t>项目资金严格按照财务会计管理，</w:t>
      </w:r>
      <w:r>
        <w:rPr>
          <w:rFonts w:hint="eastAsia" w:cs="Times New Roman"/>
          <w:b w:val="0"/>
          <w:bCs/>
          <w:color w:val="auto"/>
          <w:position w:val="0"/>
          <w:sz w:val="32"/>
          <w:szCs w:val="32"/>
          <w:highlight w:val="none"/>
          <w:u w:val="none"/>
          <w:lang w:val="zh-CN" w:eastAsia="zh-CN"/>
        </w:rPr>
        <w:t>实行</w:t>
      </w:r>
      <w:r>
        <w:rPr>
          <w:rFonts w:hint="default" w:ascii="Times New Roman" w:hAnsi="Times New Roman" w:eastAsia="仿宋_GB2312" w:cs="Times New Roman"/>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w:t>
      </w:r>
      <w:r>
        <w:rPr>
          <w:rFonts w:hint="eastAsia" w:cs="Times New Roman"/>
          <w:b w:val="0"/>
          <w:bCs/>
          <w:color w:val="auto"/>
          <w:position w:val="0"/>
          <w:sz w:val="32"/>
          <w:szCs w:val="32"/>
          <w:highlight w:val="none"/>
          <w:u w:val="none"/>
          <w:lang w:val="zh-CN" w:eastAsia="zh-CN"/>
        </w:rPr>
        <w:t>保障计划生育后遗症患者的合法权益，完善计划生育利益导向机制</w:t>
      </w:r>
      <w:r>
        <w:rPr>
          <w:rFonts w:hint="default" w:ascii="Times New Roman" w:hAnsi="Times New Roman" w:eastAsia="仿宋_GB2312" w:cs="Times New Roman"/>
          <w:b w:val="0"/>
          <w:bCs/>
          <w:color w:val="auto"/>
          <w:position w:val="0"/>
          <w:sz w:val="32"/>
          <w:szCs w:val="32"/>
          <w:highlight w:val="none"/>
          <w:u w:val="none"/>
          <w:lang w:val="zh-CN" w:eastAsia="zh-CN"/>
        </w:rPr>
        <w:t>。主要工作任务是</w:t>
      </w:r>
      <w:r>
        <w:rPr>
          <w:rFonts w:hint="eastAsia" w:cs="Times New Roman"/>
          <w:b w:val="0"/>
          <w:bCs/>
          <w:color w:val="auto"/>
          <w:position w:val="0"/>
          <w:sz w:val="32"/>
          <w:szCs w:val="32"/>
          <w:highlight w:val="none"/>
          <w:u w:val="none"/>
          <w:lang w:val="en-US" w:eastAsia="zh-CN"/>
        </w:rPr>
        <w:t>将计划生育后遗症患者纳入保障体系，通过综合保障改善其生存、生活质量</w:t>
      </w:r>
      <w:r>
        <w:rPr>
          <w:rFonts w:hint="default" w:ascii="Times New Roman" w:hAnsi="Times New Roman" w:cs="Times New Roman"/>
          <w:b w:val="0"/>
          <w:bCs/>
          <w:color w:val="auto"/>
          <w:position w:val="0"/>
          <w:sz w:val="32"/>
          <w:szCs w:val="32"/>
          <w:highlight w:val="none"/>
          <w:u w:val="none"/>
          <w:lang w:val="en-US" w:eastAsia="zh-CN"/>
        </w:rPr>
        <w:t>。项目支持方向是</w:t>
      </w:r>
      <w:r>
        <w:rPr>
          <w:rFonts w:hint="eastAsia" w:cs="Times New Roman"/>
          <w:b w:val="0"/>
          <w:bCs/>
          <w:color w:val="auto"/>
          <w:position w:val="0"/>
          <w:sz w:val="32"/>
          <w:szCs w:val="32"/>
          <w:highlight w:val="none"/>
          <w:u w:val="none"/>
          <w:lang w:val="en-US" w:eastAsia="zh-CN"/>
        </w:rPr>
        <w:t>民生保障</w:t>
      </w:r>
      <w:r>
        <w:rPr>
          <w:rFonts w:hint="default" w:ascii="Times New Roman" w:hAnsi="Times New Roman" w:cs="Times New Roman"/>
          <w:b w:val="0"/>
          <w:bCs/>
          <w:color w:val="auto"/>
          <w:position w:val="0"/>
          <w:sz w:val="32"/>
          <w:szCs w:val="32"/>
          <w:highlight w:val="none"/>
          <w:u w:val="none"/>
          <w:lang w:val="en-US" w:eastAsia="zh-CN"/>
        </w:rPr>
        <w:t>领域</w:t>
      </w:r>
      <w:r>
        <w:rPr>
          <w:rFonts w:hint="eastAsia" w:cs="Times New Roman"/>
          <w:b w:val="0"/>
          <w:bCs/>
          <w:color w:val="auto"/>
          <w:position w:val="0"/>
          <w:sz w:val="32"/>
          <w:szCs w:val="32"/>
          <w:highlight w:val="none"/>
          <w:u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eastAsia" w:ascii="仿宋_GB2312" w:hAnsi="仿宋_GB2312" w:cs="仿宋_GB2312"/>
          <w:color w:val="auto"/>
          <w:kern w:val="0"/>
          <w:position w:val="0"/>
          <w:sz w:val="32"/>
          <w:szCs w:val="32"/>
          <w:highlight w:val="none"/>
          <w:u w:val="none"/>
          <w:shd w:val="clear" w:color="auto" w:fill="FFFFFF"/>
          <w:lang w:val="zh-CN"/>
        </w:rPr>
      </w:pPr>
      <w:r>
        <w:rPr>
          <w:rFonts w:hint="eastAsia" w:ascii="楷体_GB2312" w:hAnsi="宋体" w:eastAsia="楷体_GB2312" w:cs="Times New Roman"/>
          <w:b/>
          <w:color w:val="auto"/>
          <w:position w:val="0"/>
          <w:sz w:val="32"/>
          <w:szCs w:val="32"/>
          <w:highlight w:val="none"/>
          <w:u w:val="none"/>
          <w:lang w:val="zh-CN" w:eastAsia="zh-CN"/>
        </w:rPr>
        <w:t>（三）</w:t>
      </w:r>
      <w:r>
        <w:rPr>
          <w:rFonts w:hint="default" w:ascii="楷体_GB2312" w:hAnsi="宋体" w:eastAsia="楷体_GB2312" w:cs="Times New Roman"/>
          <w:b/>
          <w:color w:val="auto"/>
          <w:position w:val="0"/>
          <w:sz w:val="32"/>
          <w:szCs w:val="32"/>
          <w:highlight w:val="none"/>
          <w:u w:val="none"/>
          <w:lang w:val="en-US" w:eastAsia="zh-CN"/>
        </w:rPr>
        <w:t>预算安排及分配管理</w:t>
      </w:r>
      <w:r>
        <w:rPr>
          <w:rFonts w:hint="eastAsia" w:ascii="楷体_GB2312" w:hAnsi="宋体"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楷体_GB2312" w:hAnsi="宋体" w:eastAsia="楷体_GB2312" w:cs="Times New Roman"/>
          <w:b/>
          <w:color w:val="auto"/>
          <w:position w:val="0"/>
          <w:sz w:val="32"/>
          <w:szCs w:val="32"/>
          <w:highlight w:val="none"/>
          <w:u w:val="none"/>
          <w:lang w:val="zh-CN" w:eastAsia="zh-CN"/>
        </w:rPr>
      </w:pPr>
      <w:r>
        <w:rPr>
          <w:rFonts w:hint="eastAsia" w:cs="Times New Roman"/>
          <w:b w:val="0"/>
          <w:bCs/>
          <w:color w:val="auto"/>
          <w:position w:val="0"/>
          <w:sz w:val="32"/>
          <w:szCs w:val="32"/>
          <w:highlight w:val="none"/>
          <w:u w:val="none"/>
          <w:lang w:val="zh-CN" w:eastAsia="zh-CN"/>
        </w:rPr>
        <w:t>计划生育后遗症</w:t>
      </w:r>
      <w:r>
        <w:rPr>
          <w:rFonts w:hint="eastAsia" w:ascii="仿宋_GB2312" w:hAnsi="仿宋_GB2312" w:eastAsia="仿宋_GB2312" w:cs="仿宋_GB2312"/>
          <w:b w:val="0"/>
          <w:bCs/>
          <w:color w:val="auto"/>
          <w:position w:val="0"/>
          <w:sz w:val="32"/>
          <w:szCs w:val="32"/>
          <w:highlight w:val="none"/>
          <w:u w:val="none"/>
          <w:lang w:val="en-US" w:eastAsia="zh-CN"/>
        </w:rPr>
        <w:t>项目</w:t>
      </w:r>
      <w:r>
        <w:rPr>
          <w:rFonts w:hint="eastAsia" w:ascii="仿宋_GB2312" w:hAnsi="仿宋_GB2312" w:cs="仿宋_GB2312"/>
          <w:b w:val="0"/>
          <w:bCs/>
          <w:color w:val="auto"/>
          <w:position w:val="0"/>
          <w:sz w:val="32"/>
          <w:szCs w:val="32"/>
          <w:highlight w:val="none"/>
          <w:u w:val="none"/>
          <w:lang w:val="en-US" w:eastAsia="zh-CN"/>
        </w:rPr>
        <w:t>预算10000元</w:t>
      </w:r>
      <w:r>
        <w:rPr>
          <w:rFonts w:hint="default" w:ascii="Times New Roman" w:hAnsi="Times New Roman" w:cs="Times New Roman"/>
          <w:b w:val="0"/>
          <w:bCs/>
          <w:color w:val="auto"/>
          <w:position w:val="0"/>
          <w:sz w:val="32"/>
          <w:szCs w:val="32"/>
          <w:highlight w:val="none"/>
          <w:u w:val="none"/>
          <w:lang w:val="en-US" w:eastAsia="zh-CN"/>
        </w:rPr>
        <w:t>，其中财政资金</w:t>
      </w:r>
      <w:r>
        <w:rPr>
          <w:rFonts w:hint="eastAsia" w:cs="Times New Roman"/>
          <w:b w:val="0"/>
          <w:bCs/>
          <w:color w:val="auto"/>
          <w:position w:val="0"/>
          <w:sz w:val="32"/>
          <w:szCs w:val="32"/>
          <w:highlight w:val="none"/>
          <w:u w:val="none"/>
          <w:lang w:val="en-US" w:eastAsia="zh-CN"/>
        </w:rPr>
        <w:t>10000</w:t>
      </w:r>
      <w:r>
        <w:rPr>
          <w:rFonts w:hint="default" w:ascii="Times New Roman" w:hAnsi="Times New Roman" w:cs="Times New Roman"/>
          <w:b w:val="0"/>
          <w:bCs/>
          <w:color w:val="auto"/>
          <w:position w:val="0"/>
          <w:sz w:val="32"/>
          <w:szCs w:val="32"/>
          <w:highlight w:val="none"/>
          <w:u w:val="none"/>
          <w:lang w:val="en-US" w:eastAsia="zh-CN"/>
        </w:rPr>
        <w:t>元。项目资金用于</w:t>
      </w:r>
      <w:r>
        <w:rPr>
          <w:rFonts w:hint="eastAsia" w:cs="Times New Roman"/>
          <w:b w:val="0"/>
          <w:bCs/>
          <w:color w:val="auto"/>
          <w:position w:val="0"/>
          <w:sz w:val="32"/>
          <w:szCs w:val="32"/>
          <w:highlight w:val="none"/>
          <w:u w:val="none"/>
          <w:lang w:val="en-US" w:eastAsia="zh-CN"/>
        </w:rPr>
        <w:t>为计划生育后遗症患者提供保障以及相关办公用品费</w:t>
      </w:r>
      <w:r>
        <w:rPr>
          <w:rFonts w:hint="eastAsia" w:ascii="仿宋_GB2312" w:hAnsi="仿宋_GB2312" w:cs="仿宋_GB2312"/>
          <w:b w:val="0"/>
          <w:bCs/>
          <w:color w:val="auto"/>
          <w:positio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仿宋_GB2312" w:hAnsi="仿宋_GB2312" w:cs="仿宋_GB2312"/>
          <w:color w:val="auto"/>
          <w:kern w:val="0"/>
          <w:position w:val="0"/>
          <w:sz w:val="32"/>
          <w:szCs w:val="32"/>
          <w:highlight w:val="none"/>
          <w:u w:val="none"/>
          <w:shd w:val="clear" w:color="auto" w:fill="FFFFFF"/>
          <w:lang w:val="zh-CN" w:eastAsia="zh-CN"/>
        </w:rPr>
      </w:pPr>
      <w:r>
        <w:rPr>
          <w:rFonts w:hint="eastAsia" w:ascii="楷体_GB2312" w:hAnsi="宋体"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position w:val="0"/>
          <w:lang w:eastAsia="zh-CN"/>
        </w:rPr>
      </w:pPr>
      <w:r>
        <w:rPr>
          <w:rFonts w:hint="eastAsia" w:ascii="仿宋_GB2312" w:hAnsi="仿宋_GB2312" w:eastAsia="仿宋_GB2312" w:cs="仿宋_GB2312"/>
          <w:position w:val="0"/>
          <w:highlight w:val="none"/>
          <w:lang w:eastAsia="zh-CN"/>
        </w:rPr>
        <w:t>整体绩效目标：修复历史政策实施中个体的权益丢失，通过制度化补偿实现社会公平，并强化现行生育政策的公信力。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position w:val="0"/>
          <w:highlight w:val="none"/>
          <w:lang w:eastAsia="zh-CN"/>
        </w:rPr>
      </w:pPr>
      <w:r>
        <w:rPr>
          <w:rFonts w:hint="eastAsia" w:ascii="仿宋_GB2312" w:hAnsi="仿宋_GB2312" w:eastAsia="仿宋_GB2312" w:cs="仿宋_GB2312"/>
          <w:position w:val="0"/>
          <w:highlight w:val="none"/>
          <w:lang w:eastAsia="zh-CN"/>
        </w:rPr>
        <w:t>区域绩效目标：保障聚贤镇辖区内计划生育后遗症患者。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position w:val="0"/>
          <w:highlight w:val="none"/>
          <w:lang w:val="en-US" w:eastAsia="zh-CN"/>
        </w:rPr>
      </w:pPr>
      <w:r>
        <w:rPr>
          <w:rFonts w:hint="eastAsia" w:ascii="仿宋_GB2312" w:hAnsi="仿宋_GB2312" w:eastAsia="仿宋_GB2312" w:cs="仿宋_GB2312"/>
          <w:position w:val="0"/>
          <w:highlight w:val="none"/>
          <w:lang w:eastAsia="zh-CN"/>
        </w:rPr>
        <w:t>具体绩效目标：解决计划生育后遗症病人问题合格；项目开展时间</w:t>
      </w:r>
      <w:r>
        <w:rPr>
          <w:rFonts w:hint="eastAsia" w:ascii="仿宋_GB2312" w:hAnsi="仿宋_GB2312" w:eastAsia="仿宋_GB2312" w:cs="仿宋_GB2312"/>
          <w:position w:val="0"/>
          <w:highlight w:val="none"/>
          <w:lang w:val="en-US" w:eastAsia="zh-CN"/>
        </w:rPr>
        <w:t>=2024年；</w:t>
      </w:r>
      <w:r>
        <w:rPr>
          <w:rFonts w:hint="eastAsia" w:ascii="仿宋_GB2312" w:hAnsi="仿宋_GB2312" w:eastAsia="仿宋_GB2312" w:cs="仿宋_GB2312"/>
          <w:position w:val="0"/>
          <w:highlight w:val="none"/>
          <w:lang w:eastAsia="zh-CN"/>
        </w:rPr>
        <w:t>开展计划生育后遗症病人问题工作良好；</w:t>
      </w:r>
      <w:r>
        <w:rPr>
          <w:rFonts w:hint="eastAsia" w:ascii="仿宋_GB2312" w:hAnsi="仿宋_GB2312" w:eastAsia="仿宋_GB2312" w:cs="仿宋_GB2312"/>
          <w:position w:val="0"/>
          <w:highlight w:val="none"/>
          <w:lang w:val="en-US" w:eastAsia="zh-CN"/>
        </w:rPr>
        <w:t>计划生育后遗症患者是否满意解决。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宋体" w:eastAsia="黑体"/>
          <w:position w:val="0"/>
          <w:highlight w:val="none"/>
          <w:lang w:eastAsia="zh-CN"/>
        </w:rPr>
      </w:pPr>
      <w:r>
        <w:rPr>
          <w:rFonts w:hint="eastAsia" w:ascii="黑体" w:hAnsi="宋体" w:eastAsia="黑体"/>
          <w:position w:val="0"/>
          <w:highlight w:val="none"/>
        </w:rPr>
        <w:t>二、</w:t>
      </w:r>
      <w:r>
        <w:rPr>
          <w:rFonts w:hint="eastAsia" w:ascii="黑体" w:hAnsi="宋体" w:eastAsia="黑体"/>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eastAsia="仿宋_GB2312" w:cs="Times New Roman"/>
          <w:position w:val="0"/>
          <w:szCs w:val="32"/>
        </w:rPr>
      </w:pPr>
      <w:r>
        <w:rPr>
          <w:rFonts w:hint="eastAsia" w:ascii="楷体_GB2312" w:hAnsi="宋体" w:eastAsia="楷体_GB2312"/>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通过对比项目实际成果与预设绩效目标，验证目标完成情况；总结项目经验，发现项目问题，改进同类项目方向，有利于优化资源配置效率，提升过程管控能力。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position w:val="0"/>
          <w:szCs w:val="32"/>
          <w:lang w:eastAsia="zh-CN"/>
        </w:rPr>
      </w:pPr>
      <w:r>
        <w:rPr>
          <w:rFonts w:hint="eastAsia" w:ascii="楷体_GB2312" w:hAnsi="宋体" w:eastAsia="楷体_GB2312"/>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预设问题包括资金支出是否规范，</w:t>
      </w:r>
      <w:r>
        <w:rPr>
          <w:rFonts w:hint="eastAsia" w:ascii="仿宋_GB2312" w:hAnsi="仿宋_GB2312" w:cs="仿宋_GB2312"/>
          <w:b w:val="0"/>
          <w:bCs/>
          <w:color w:val="auto"/>
          <w:position w:val="0"/>
          <w:sz w:val="32"/>
          <w:szCs w:val="32"/>
          <w:highlight w:val="none"/>
          <w:u w:val="none"/>
          <w:lang w:val="zh-CN"/>
        </w:rPr>
        <w:t>是否保障计划生育后遗症患者</w:t>
      </w:r>
      <w:r>
        <w:rPr>
          <w:rFonts w:hint="eastAsia" w:ascii="仿宋_GB2312" w:hAnsi="仿宋_GB2312" w:eastAsia="仿宋_GB2312" w:cs="仿宋_GB2312"/>
          <w:b w:val="0"/>
          <w:bCs/>
          <w:color w:val="auto"/>
          <w:position w:val="0"/>
          <w:sz w:val="32"/>
          <w:szCs w:val="32"/>
          <w:highlight w:val="none"/>
          <w:u w:val="none"/>
          <w:lang w:val="zh-CN"/>
        </w:rPr>
        <w:t>，保障力度是否足够，</w:t>
      </w:r>
      <w:r>
        <w:rPr>
          <w:rFonts w:hint="eastAsia" w:ascii="仿宋_GB2312" w:hAnsi="仿宋_GB2312" w:cs="仿宋_GB2312"/>
          <w:b w:val="0"/>
          <w:bCs/>
          <w:color w:val="auto"/>
          <w:position w:val="0"/>
          <w:sz w:val="32"/>
          <w:szCs w:val="32"/>
          <w:highlight w:val="none"/>
          <w:u w:val="none"/>
          <w:lang w:val="zh-CN"/>
        </w:rPr>
        <w:t>资格审核</w:t>
      </w:r>
      <w:r>
        <w:rPr>
          <w:rFonts w:hint="eastAsia" w:ascii="仿宋_GB2312" w:hAnsi="仿宋_GB2312" w:eastAsia="仿宋_GB2312" w:cs="仿宋_GB2312"/>
          <w:b w:val="0"/>
          <w:bCs/>
          <w:color w:val="auto"/>
          <w:position w:val="0"/>
          <w:sz w:val="32"/>
          <w:szCs w:val="32"/>
          <w:highlight w:val="none"/>
          <w:u w:val="none"/>
          <w:lang w:val="zh-CN"/>
        </w:rPr>
        <w:t>是否</w:t>
      </w:r>
      <w:r>
        <w:rPr>
          <w:rFonts w:hint="eastAsia" w:ascii="仿宋_GB2312" w:hAnsi="仿宋_GB2312" w:cs="仿宋_GB2312"/>
          <w:b w:val="0"/>
          <w:bCs/>
          <w:color w:val="auto"/>
          <w:position w:val="0"/>
          <w:sz w:val="32"/>
          <w:szCs w:val="32"/>
          <w:highlight w:val="none"/>
          <w:u w:val="none"/>
          <w:lang w:val="zh-CN"/>
        </w:rPr>
        <w:t>精准，</w:t>
      </w:r>
      <w:r>
        <w:rPr>
          <w:rFonts w:hint="eastAsia" w:ascii="仿宋_GB2312" w:hAnsi="仿宋_GB2312" w:cs="仿宋_GB2312"/>
          <w:b w:val="0"/>
          <w:bCs/>
          <w:color w:val="auto"/>
          <w:position w:val="0"/>
          <w:sz w:val="32"/>
          <w:szCs w:val="32"/>
          <w:highlight w:val="none"/>
          <w:u w:val="none"/>
          <w:lang w:val="en-US" w:eastAsia="zh-CN"/>
        </w:rPr>
        <w:t>群众</w:t>
      </w:r>
      <w:r>
        <w:rPr>
          <w:rFonts w:hint="eastAsia" w:ascii="仿宋_GB2312" w:hAnsi="仿宋_GB2312" w:eastAsia="仿宋_GB2312" w:cs="仿宋_GB2312"/>
          <w:b w:val="0"/>
          <w:bCs/>
          <w:color w:val="auto"/>
          <w:position w:val="0"/>
          <w:sz w:val="32"/>
          <w:szCs w:val="32"/>
          <w:highlight w:val="none"/>
          <w:u w:val="none"/>
          <w:lang w:val="zh-CN"/>
        </w:rPr>
        <w:t>是否满意等；评价重点围绕资金支出使用全过程及其实施效果，依据绩效评价指标体系，对项目预算、管理、实施、结果进行综合性评价和判断。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position w:val="0"/>
          <w:szCs w:val="32"/>
          <w:lang w:val="zh-CN" w:eastAsia="zh-CN"/>
        </w:rPr>
      </w:pPr>
      <w:r>
        <w:rPr>
          <w:rFonts w:hint="eastAsia" w:ascii="楷体_GB2312" w:hAnsi="宋体" w:eastAsia="楷体_GB2312"/>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随机抽取五个村，查看村内计划生育后遗症患者情况，确保评价能够全面</w:t>
      </w:r>
      <w:r>
        <w:rPr>
          <w:rFonts w:hint="eastAsia" w:ascii="仿宋_GB2312" w:hAnsi="仿宋_GB2312" w:cs="仿宋_GB2312"/>
          <w:b w:val="0"/>
          <w:bCs/>
          <w:color w:val="auto"/>
          <w:position w:val="0"/>
          <w:sz w:val="32"/>
          <w:szCs w:val="32"/>
          <w:highlight w:val="none"/>
          <w:u w:val="none"/>
          <w:lang w:val="zh-CN"/>
        </w:rPr>
        <w:t>反映</w:t>
      </w:r>
      <w:r>
        <w:rPr>
          <w:rFonts w:hint="eastAsia" w:ascii="仿宋_GB2312" w:hAnsi="仿宋_GB2312" w:eastAsia="仿宋_GB2312" w:cs="仿宋_GB2312"/>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eastAsia="仿宋_GB2312" w:cs="Times New Roman"/>
          <w:position w:val="0"/>
          <w:szCs w:val="32"/>
          <w:lang w:eastAsia="zh-CN"/>
        </w:rPr>
      </w:pPr>
      <w:r>
        <w:rPr>
          <w:rFonts w:hint="eastAsia" w:ascii="楷体_GB2312" w:hAnsi="宋体" w:eastAsia="楷体_GB2312"/>
          <w:b/>
          <w:color w:val="auto"/>
          <w:position w:val="0"/>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en-US" w:eastAsia="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楷体_GB2312" w:hAnsi="宋体" w:eastAsia="楷体_GB2312"/>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en-US" w:eastAsia="zh-CN"/>
        </w:rPr>
        <w:t>问卷调查法：设计调查问卷，随机抽取村民及过往群众填报问卷，了解群众对项目实施的意见、建议以及群众满意度。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eastAsia="仿宋_GB2312" w:cs="Times New Roman"/>
          <w:bCs/>
          <w:position w:val="0"/>
          <w:lang w:eastAsia="zh-CN"/>
        </w:rPr>
      </w:pPr>
      <w:r>
        <w:rPr>
          <w:rFonts w:hint="eastAsia" w:ascii="楷体_GB2312" w:hAnsi="宋体" w:eastAsia="楷体_GB2312"/>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宋体" w:eastAsia="黑体"/>
          <w:color w:val="auto"/>
          <w:position w:val="0"/>
          <w:sz w:val="32"/>
          <w:szCs w:val="32"/>
          <w:highlight w:val="none"/>
          <w:u w:val="none"/>
        </w:rPr>
      </w:pPr>
      <w:r>
        <w:rPr>
          <w:rFonts w:hint="eastAsia" w:ascii="仿宋_GB2312" w:hAnsi="仿宋_GB2312" w:eastAsia="仿宋_GB2312" w:cs="仿宋_GB2312"/>
          <w:b w:val="0"/>
          <w:bCs w:val="0"/>
          <w:color w:val="auto"/>
          <w:position w:val="0"/>
          <w:sz w:val="32"/>
          <w:szCs w:val="32"/>
          <w:highlight w:val="none"/>
          <w:u w:val="none"/>
        </w:rPr>
        <w:t>本次绩效评价工作成立了政府牵头组建的绩效评价小组（包括财政部门、业务部门、纪委监察部门等多个部门）</w:t>
      </w:r>
      <w:r>
        <w:rPr>
          <w:rFonts w:hint="eastAsia" w:ascii="仿宋_GB2312" w:hAnsi="仿宋_GB2312" w:cs="仿宋_GB2312"/>
          <w:b w:val="0"/>
          <w:bCs w:val="0"/>
          <w:color w:val="auto"/>
          <w:position w:val="0"/>
          <w:sz w:val="32"/>
          <w:szCs w:val="32"/>
          <w:highlight w:val="none"/>
          <w:u w:val="none"/>
          <w:lang w:eastAsia="zh-CN"/>
        </w:rPr>
        <w:t>，</w:t>
      </w:r>
      <w:r>
        <w:rPr>
          <w:rFonts w:hint="eastAsia" w:ascii="仿宋_GB2312" w:hAnsi="仿宋_GB2312" w:eastAsia="仿宋_GB2312" w:cs="仿宋_GB2312"/>
          <w:b w:val="0"/>
          <w:bCs w:val="0"/>
          <w:color w:val="auto"/>
          <w:position w:val="0"/>
          <w:sz w:val="32"/>
          <w:szCs w:val="32"/>
          <w:highlight w:val="none"/>
          <w:u w:val="none"/>
        </w:rPr>
        <w:t>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color w:val="auto"/>
          <w:position w:val="0"/>
          <w:sz w:val="32"/>
          <w:szCs w:val="32"/>
          <w:highlight w:val="none"/>
          <w:u w:val="none"/>
          <w:lang w:val="zh-CN"/>
        </w:rPr>
      </w:pPr>
      <w:r>
        <w:rPr>
          <w:rFonts w:hint="eastAsia" w:ascii="黑体" w:hAnsi="宋体" w:eastAsia="黑体"/>
          <w:color w:val="auto"/>
          <w:position w:val="0"/>
          <w:sz w:val="32"/>
          <w:szCs w:val="32"/>
          <w:highlight w:val="none"/>
          <w:u w:val="none"/>
        </w:rPr>
        <w:t>三、</w:t>
      </w:r>
      <w:r>
        <w:rPr>
          <w:rFonts w:hint="eastAsia" w:ascii="黑体" w:hAnsi="宋体" w:eastAsia="黑体"/>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宋体" w:eastAsia="楷体_GB2312" w:cs="Times New Roman"/>
          <w:b/>
          <w:color w:val="auto"/>
          <w:position w:val="0"/>
          <w:sz w:val="32"/>
          <w:szCs w:val="32"/>
          <w:highlight w:val="none"/>
          <w:u w:val="none"/>
          <w:lang w:val="en-US" w:eastAsia="zh-CN"/>
        </w:rPr>
      </w:pPr>
      <w:r>
        <w:rPr>
          <w:rFonts w:hint="eastAsia" w:ascii="楷体_GB2312" w:hAnsi="宋体" w:eastAsia="楷体_GB2312" w:cs="Times New Roman"/>
          <w:b/>
          <w:color w:val="auto"/>
          <w:position w:val="0"/>
          <w:sz w:val="32"/>
          <w:szCs w:val="32"/>
          <w:highlight w:val="none"/>
          <w:u w:val="none"/>
          <w:lang w:val="zh-CN"/>
        </w:rPr>
        <w:t>（一）</w:t>
      </w:r>
      <w:r>
        <w:rPr>
          <w:rFonts w:hint="eastAsia" w:ascii="楷体_GB2312" w:hAnsi="宋体"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1.项目决策</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zh-CN" w:eastAsia="zh-CN"/>
        </w:rPr>
        <w:t>计划生育后遗症</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eastAsia="仿宋_GB2312" w:cs="Times New Roman"/>
          <w:b w:val="0"/>
          <w:bCs w:val="0"/>
          <w:color w:val="auto"/>
          <w:position w:val="0"/>
          <w:sz w:val="32"/>
          <w:szCs w:val="32"/>
          <w:highlight w:val="none"/>
          <w:u w:val="none"/>
          <w:lang w:val="en-US" w:eastAsia="zh-CN"/>
        </w:rPr>
        <w:t>为初次申报项目，立项经过镇党委会审议通过，决策程序规范；前期通过实地调研、问卷调查等形式，开展了充分的论证，规划合理；</w:t>
      </w:r>
      <w:r>
        <w:rPr>
          <w:rFonts w:hint="default" w:ascii="Times New Roman" w:hAnsi="Times New Roman" w:eastAsia="仿宋_GB2312" w:cs="Times New Roman"/>
          <w:b w:val="0"/>
          <w:bCs/>
          <w:color w:val="auto"/>
          <w:position w:val="0"/>
          <w:sz w:val="32"/>
          <w:szCs w:val="32"/>
          <w:highlight w:val="none"/>
          <w:u w:val="none"/>
          <w:lang w:val="en-US" w:eastAsia="zh-CN"/>
        </w:rPr>
        <w:t>计划生育后遗症项目聚焦民生保障领域。该项指标18分、</w:t>
      </w:r>
      <w:r>
        <w:rPr>
          <w:rFonts w:hint="default" w:ascii="Times New Roman" w:hAnsi="Times New Roman" w:eastAsia="仿宋_GB2312" w:cs="Times New Roman"/>
          <w:b w:val="0"/>
          <w:bCs w:val="0"/>
          <w:color w:val="auto"/>
          <w:position w:val="0"/>
          <w:sz w:val="32"/>
          <w:szCs w:val="32"/>
          <w:highlight w:val="none"/>
          <w:u w:val="none"/>
          <w:lang w:val="en-US" w:eastAsia="zh-CN"/>
        </w:rPr>
        <w:t>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2.项目管理</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Cs w:val="32"/>
          <w:lang w:val="en-US" w:eastAsia="zh-CN"/>
        </w:rPr>
        <w:t>为使项目如期完成，结合聚贤镇实际情况，</w:t>
      </w:r>
      <w:r>
        <w:rPr>
          <w:rFonts w:hint="default" w:ascii="Times New Roman" w:hAnsi="Times New Roman" w:eastAsia="仿宋_GB2312" w:cs="Times New Roman"/>
          <w:b w:val="0"/>
          <w:bCs/>
          <w:color w:val="auto"/>
          <w:position w:val="0"/>
          <w:sz w:val="32"/>
          <w:szCs w:val="32"/>
          <w:highlight w:val="none"/>
          <w:u w:val="none"/>
          <w:lang w:val="zh-CN" w:eastAsia="zh-CN"/>
        </w:rPr>
        <w:t>计划生育后遗症</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eastAsia="仿宋_GB2312" w:cs="Times New Roman"/>
          <w:color w:val="auto"/>
          <w:position w:val="0"/>
          <w:szCs w:val="32"/>
          <w:lang w:val="en-US" w:eastAsia="zh-CN"/>
        </w:rPr>
        <w:t>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3.项目实施。</w:t>
      </w:r>
    </w:p>
    <w:p>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Cs w:val="32"/>
          <w:lang w:val="en-US" w:eastAsia="zh-CN"/>
        </w:rPr>
        <w:t>预算执行率100%，未出现截留、挤占、挪用等情况，资金使用规范。该项指标9分，得9分。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4.项目结果。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eastAsia="zh-CN"/>
        </w:rPr>
        <w:t>计划生育后遗症</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eastAsia="仿宋_GB2312" w:cs="Times New Roman"/>
          <w:b w:val="0"/>
          <w:bCs w:val="0"/>
          <w:color w:val="auto"/>
          <w:position w:val="0"/>
          <w:sz w:val="32"/>
          <w:szCs w:val="32"/>
          <w:highlight w:val="none"/>
          <w:u w:val="none"/>
          <w:lang w:val="en-US" w:eastAsia="zh-CN"/>
        </w:rPr>
        <w:t>绩效目标完成，均按时完工，达到预期效果。该项指标9分，得9分。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楷体_GB2312" w:hAnsi="楷体_GB2312" w:eastAsia="楷体_GB2312" w:cs="楷体_GB2312"/>
          <w:color w:val="auto"/>
          <w:position w:val="0"/>
          <w:szCs w:val="32"/>
          <w:lang w:val="zh-CN" w:eastAsia="zh-CN"/>
        </w:rPr>
      </w:pPr>
      <w:r>
        <w:rPr>
          <w:rFonts w:hint="eastAsia" w:ascii="楷体_GB2312" w:hAnsi="宋体" w:eastAsia="楷体_GB2312" w:cs="Times New Roman"/>
          <w:b/>
          <w:color w:val="auto"/>
          <w:position w:val="0"/>
          <w:sz w:val="32"/>
          <w:szCs w:val="32"/>
          <w:highlight w:val="none"/>
          <w:u w:val="none"/>
          <w:lang w:val="zh-CN"/>
        </w:rPr>
        <w:t>（二）</w:t>
      </w:r>
      <w:r>
        <w:rPr>
          <w:rFonts w:hint="eastAsia" w:ascii="楷体_GB2312" w:hAnsi="宋体"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position w:val="0"/>
          <w:lang w:val="en-US" w:eastAsia="zh-CN"/>
        </w:rPr>
      </w:pPr>
      <w:r>
        <w:rPr>
          <w:rFonts w:hint="eastAsia" w:ascii="仿宋_GB2312" w:hAnsi="仿宋_GB2312" w:eastAsia="仿宋_GB2312" w:cs="仿宋_GB2312"/>
          <w:b w:val="0"/>
          <w:bCs/>
          <w:color w:val="auto"/>
          <w:position w:val="0"/>
          <w:sz w:val="32"/>
          <w:szCs w:val="32"/>
          <w:highlight w:val="none"/>
          <w:u w:val="none"/>
          <w:lang w:val="zh-CN"/>
        </w:rPr>
        <w:t>区域均衡性：本项目面向对象是全镇所有计划生育后遗症患者，并不只是为某一些计划生育后遗症患者设立，区域间差距缩小。该项指标</w:t>
      </w:r>
      <w:r>
        <w:rPr>
          <w:rFonts w:hint="eastAsia" w:ascii="仿宋_GB2312" w:hAnsi="仿宋_GB2312" w:eastAsia="仿宋_GB2312" w:cs="仿宋_GB2312"/>
          <w:b w:val="0"/>
          <w:bCs/>
          <w:color w:val="auto"/>
          <w:position w:val="0"/>
          <w:sz w:val="32"/>
          <w:szCs w:val="32"/>
          <w:highlight w:val="none"/>
          <w:u w:val="none"/>
          <w:lang w:val="en-US" w:eastAsia="zh-CN"/>
        </w:rPr>
        <w:t>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en-US" w:eastAsia="zh-CN"/>
        </w:rPr>
      </w:pPr>
      <w:r>
        <w:rPr>
          <w:rFonts w:hint="eastAsia" w:ascii="仿宋_GB2312" w:hAnsi="仿宋_GB2312" w:eastAsia="仿宋_GB2312" w:cs="仿宋_GB2312"/>
          <w:b w:val="0"/>
          <w:bCs/>
          <w:color w:val="auto"/>
          <w:position w:val="0"/>
          <w:sz w:val="32"/>
          <w:szCs w:val="32"/>
          <w:highlight w:val="none"/>
          <w:u w:val="none"/>
          <w:lang w:val="zh-CN"/>
        </w:rPr>
        <w:t>对象精准性：本项目面对对象是计划生育后遗症患者，对象精准。该项指标</w:t>
      </w:r>
      <w:r>
        <w:rPr>
          <w:rFonts w:hint="eastAsia" w:ascii="仿宋_GB2312" w:hAnsi="仿宋_GB2312" w:eastAsia="仿宋_GB2312" w:cs="仿宋_GB2312"/>
          <w:b w:val="0"/>
          <w:bCs/>
          <w:color w:val="auto"/>
          <w:position w:val="0"/>
          <w:sz w:val="32"/>
          <w:szCs w:val="32"/>
          <w:highlight w:val="none"/>
          <w:u w:val="none"/>
          <w:lang w:val="en-US" w:eastAsia="zh-CN"/>
        </w:rPr>
        <w:t>10分、得8分。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标准合理性：计划生育后遗症项目符合相关资金管理办法的相关标准和要求，项目实施达到预期效果，社会稳定。该项指标5分，得</w:t>
      </w:r>
      <w:r>
        <w:rPr>
          <w:rFonts w:hint="eastAsia" w:ascii="仿宋_GB2312" w:hAnsi="仿宋_GB2312" w:eastAsia="仿宋_GB2312" w:cs="仿宋_GB2312"/>
          <w:b w:val="0"/>
          <w:bCs/>
          <w:color w:val="auto"/>
          <w:position w:val="0"/>
          <w:sz w:val="32"/>
          <w:szCs w:val="32"/>
          <w:highlight w:val="none"/>
          <w:u w:val="none"/>
          <w:lang w:val="en-US" w:eastAsia="zh-CN"/>
        </w:rPr>
        <w:t>4</w:t>
      </w:r>
      <w:r>
        <w:rPr>
          <w:rFonts w:hint="eastAsia" w:ascii="仿宋_GB2312" w:hAnsi="仿宋_GB2312" w:eastAsia="仿宋_GB2312" w:cs="仿宋_GB2312"/>
          <w:b w:val="0"/>
          <w:bCs/>
          <w:color w:val="auto"/>
          <w:position w:val="0"/>
          <w:sz w:val="32"/>
          <w:szCs w:val="32"/>
          <w:highlight w:val="none"/>
          <w:u w:val="none"/>
          <w:lang w:val="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position w:val="0"/>
          <w:sz w:val="32"/>
          <w:szCs w:val="32"/>
          <w:highlight w:val="none"/>
          <w:u w:val="none"/>
          <w:lang w:val="zh-CN"/>
        </w:rPr>
      </w:pPr>
      <w:r>
        <w:rPr>
          <w:rFonts w:hint="eastAsia" w:ascii="仿宋_GB2312" w:hAnsi="仿宋_GB2312" w:eastAsia="仿宋_GB2312" w:cs="仿宋_GB2312"/>
          <w:b w:val="0"/>
          <w:bCs/>
          <w:color w:val="auto"/>
          <w:position w:val="0"/>
          <w:sz w:val="32"/>
          <w:szCs w:val="32"/>
          <w:highlight w:val="none"/>
          <w:u w:val="none"/>
          <w:lang w:val="zh-CN"/>
        </w:rPr>
        <w:t>群众满意度：通过问卷调查，群众对项目满意度达到</w:t>
      </w:r>
      <w:r>
        <w:rPr>
          <w:rFonts w:hint="eastAsia" w:ascii="仿宋_GB2312" w:hAnsi="仿宋_GB2312" w:eastAsia="仿宋_GB2312" w:cs="仿宋_GB2312"/>
          <w:b w:val="0"/>
          <w:bCs/>
          <w:color w:val="auto"/>
          <w:position w:val="0"/>
          <w:sz w:val="32"/>
          <w:szCs w:val="32"/>
          <w:highlight w:val="none"/>
          <w:u w:val="none"/>
          <w:lang w:val="en-US" w:eastAsia="zh-CN"/>
        </w:rPr>
        <w:t>96</w:t>
      </w:r>
      <w:r>
        <w:rPr>
          <w:rFonts w:hint="eastAsia" w:ascii="仿宋_GB2312" w:hAnsi="仿宋_GB2312" w:eastAsia="仿宋_GB2312" w:cs="仿宋_GB2312"/>
          <w:b w:val="0"/>
          <w:bCs/>
          <w:color w:val="auto"/>
          <w:position w:val="0"/>
          <w:sz w:val="32"/>
          <w:szCs w:val="32"/>
          <w:highlight w:val="none"/>
          <w:u w:val="none"/>
          <w:lang w:val="zh-CN"/>
        </w:rPr>
        <w:t>%。该项指标5分，得</w:t>
      </w:r>
      <w:r>
        <w:rPr>
          <w:rFonts w:hint="eastAsia" w:ascii="仿宋_GB2312" w:hAnsi="仿宋_GB2312" w:eastAsia="仿宋_GB2312" w:cs="仿宋_GB2312"/>
          <w:b w:val="0"/>
          <w:bCs/>
          <w:color w:val="auto"/>
          <w:position w:val="0"/>
          <w:sz w:val="32"/>
          <w:szCs w:val="32"/>
          <w:highlight w:val="none"/>
          <w:u w:val="none"/>
          <w:lang w:val="en-US" w:eastAsia="zh-CN"/>
        </w:rPr>
        <w:t>4.8</w:t>
      </w:r>
      <w:r>
        <w:rPr>
          <w:rFonts w:hint="eastAsia" w:ascii="仿宋_GB2312" w:hAnsi="仿宋_GB2312" w:eastAsia="仿宋_GB2312" w:cs="仿宋_GB2312"/>
          <w:b w:val="0"/>
          <w:bCs/>
          <w:color w:val="auto"/>
          <w:position w:val="0"/>
          <w:sz w:val="32"/>
          <w:szCs w:val="32"/>
          <w:highlight w:val="none"/>
          <w:u w:val="none"/>
          <w:lang w:val="zh-CN"/>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cs="Times New Roman"/>
          <w:color w:val="auto"/>
          <w:position w:val="0"/>
          <w:szCs w:val="32"/>
          <w:lang w:val="en-US" w:eastAsia="zh-CN"/>
        </w:rPr>
      </w:pPr>
      <w:r>
        <w:rPr>
          <w:rFonts w:hint="eastAsia" w:ascii="楷体_GB2312" w:hAnsi="宋体" w:eastAsia="楷体_GB2312" w:cs="Times New Roman"/>
          <w:b/>
          <w:color w:val="auto"/>
          <w:position w:val="0"/>
          <w:sz w:val="32"/>
          <w:szCs w:val="32"/>
          <w:highlight w:val="none"/>
          <w:u w:val="none"/>
          <w:lang w:val="zh-CN"/>
        </w:rPr>
        <w:t>（三）</w:t>
      </w:r>
      <w:r>
        <w:rPr>
          <w:rFonts w:hint="eastAsia" w:ascii="楷体_GB2312" w:hAnsi="宋体"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仿宋_GB2312" w:hAnsi="仿宋_GB2312" w:eastAsia="仿宋_GB2312" w:cs="仿宋_GB2312"/>
          <w:color w:val="auto"/>
          <w:position w:val="0"/>
          <w:sz w:val="32"/>
          <w:szCs w:val="32"/>
          <w:highlight w:val="none"/>
          <w:u w:val="none"/>
          <w:lang w:val="en-US" w:eastAsia="zh-CN"/>
        </w:rPr>
      </w:pPr>
      <w:r>
        <w:rPr>
          <w:rFonts w:hint="eastAsia" w:ascii="仿宋_GB2312" w:hAnsi="仿宋_GB2312" w:eastAsia="仿宋_GB2312" w:cs="仿宋_GB2312"/>
          <w:color w:val="auto"/>
          <w:position w:val="0"/>
          <w:sz w:val="32"/>
          <w:szCs w:val="32"/>
          <w:highlight w:val="none"/>
          <w:u w:val="none"/>
          <w:lang w:eastAsia="zh-CN"/>
        </w:rPr>
        <w:t>家庭负担缓解：通过计划生育后遗症项目，为计划生育后遗症患者提供一定的补助，有效缓解后遗症家庭经济压力。该项指标</w:t>
      </w:r>
      <w:r>
        <w:rPr>
          <w:rFonts w:hint="eastAsia" w:ascii="仿宋_GB2312" w:hAnsi="仿宋_GB2312" w:eastAsia="仿宋_GB2312" w:cs="仿宋_GB2312"/>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仿宋_GB2312" w:hAnsi="仿宋_GB2312" w:eastAsia="仿宋_GB2312" w:cs="仿宋_GB2312"/>
          <w:color w:val="auto"/>
          <w:position w:val="0"/>
          <w:sz w:val="32"/>
          <w:szCs w:val="32"/>
          <w:highlight w:val="none"/>
          <w:u w:val="none"/>
          <w:lang w:val="en-US" w:eastAsia="zh-CN"/>
        </w:rPr>
      </w:pPr>
      <w:r>
        <w:rPr>
          <w:rFonts w:hint="eastAsia" w:ascii="仿宋_GB2312" w:hAnsi="仿宋_GB2312" w:eastAsia="仿宋_GB2312" w:cs="仿宋_GB2312"/>
          <w:color w:val="auto"/>
          <w:position w:val="0"/>
          <w:sz w:val="32"/>
          <w:szCs w:val="32"/>
          <w:highlight w:val="none"/>
          <w:u w:val="none"/>
          <w:lang w:val="en-US" w:eastAsia="zh-CN"/>
        </w:rPr>
        <w:t>政策公信力：通过计划生育后遗症项目的实施。计划生育后遗症患者权益得到保障，群众满意度达到96%，政策实施得到群众认可。该项指标8分、得8分。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olor w:val="auto"/>
          <w:position w:val="0"/>
          <w:sz w:val="32"/>
          <w:szCs w:val="32"/>
          <w:highlight w:val="none"/>
          <w:u w:val="none"/>
        </w:rPr>
      </w:pPr>
      <w:r>
        <w:rPr>
          <w:rFonts w:hint="eastAsia" w:ascii="黑体" w:hAnsi="宋体" w:eastAsia="黑体"/>
          <w:color w:val="auto"/>
          <w:position w:val="0"/>
          <w:sz w:val="32"/>
          <w:szCs w:val="32"/>
          <w:highlight w:val="none"/>
          <w:u w:val="none"/>
          <w:lang w:eastAsia="zh-CN"/>
        </w:rPr>
        <w:t>四</w:t>
      </w:r>
      <w:r>
        <w:rPr>
          <w:rFonts w:hint="eastAsia" w:ascii="黑体" w:hAnsi="宋体" w:eastAsia="黑体"/>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经综合评价</w:t>
      </w:r>
      <w:r>
        <w:rPr>
          <w:rFonts w:hint="eastAsia" w:ascii="Times New Roman" w:eastAsia="仿宋_GB2312" w:cs="Times New Roman"/>
          <w:color w:val="auto"/>
          <w:position w:val="0"/>
          <w:sz w:val="32"/>
          <w:szCs w:val="32"/>
          <w:highlight w:val="none"/>
          <w:u w:val="none"/>
          <w:lang w:eastAsia="zh-CN"/>
        </w:rPr>
        <w:t>，</w:t>
      </w:r>
      <w:r>
        <w:rPr>
          <w:rFonts w:hint="eastAsia" w:ascii="仿宋_GB2312" w:hAnsi="仿宋_GB2312" w:eastAsia="仿宋_GB2312" w:cs="仿宋_GB2312"/>
          <w:b w:val="0"/>
          <w:bCs/>
          <w:color w:val="auto"/>
          <w:position w:val="0"/>
          <w:sz w:val="32"/>
          <w:szCs w:val="32"/>
          <w:highlight w:val="none"/>
          <w:u w:val="none"/>
          <w:lang w:val="en-US" w:eastAsia="zh-CN"/>
        </w:rPr>
        <w:t>计划生育后遗症项目</w:t>
      </w:r>
      <w:r>
        <w:rPr>
          <w:rFonts w:hint="default" w:ascii="Times New Roman" w:hAnsi="Times New Roman" w:eastAsia="仿宋_GB2312" w:cs="Times New Roman"/>
          <w:b w:val="0"/>
          <w:bCs/>
          <w:color w:val="auto"/>
          <w:position w:val="0"/>
          <w:sz w:val="32"/>
          <w:szCs w:val="32"/>
          <w:highlight w:val="none"/>
          <w:u w:val="none"/>
          <w:lang w:val="en-US" w:eastAsia="zh-CN"/>
        </w:rPr>
        <w:t>绩效自评总分为</w:t>
      </w:r>
      <w:r>
        <w:rPr>
          <w:rFonts w:hint="eastAsia" w:ascii="Times New Roman" w:eastAsia="仿宋_GB2312" w:cs="Times New Roman"/>
          <w:b w:val="0"/>
          <w:bCs/>
          <w:color w:val="auto"/>
          <w:position w:val="0"/>
          <w:sz w:val="32"/>
          <w:szCs w:val="32"/>
          <w:highlight w:val="none"/>
          <w:u w:val="none"/>
          <w:lang w:val="en-US" w:eastAsia="zh-CN"/>
        </w:rPr>
        <w:t>96.6</w:t>
      </w:r>
      <w:r>
        <w:rPr>
          <w:rFonts w:hint="default" w:ascii="Times New Roman" w:hAnsi="Times New Roman" w:eastAsia="仿宋_GB2312" w:cs="Times New Roman"/>
          <w:b w:val="0"/>
          <w:bCs/>
          <w:color w:val="auto"/>
          <w:position w:val="0"/>
          <w:sz w:val="32"/>
          <w:szCs w:val="32"/>
          <w:highlight w:val="none"/>
          <w:u w:val="none"/>
          <w:lang w:val="en-US" w:eastAsia="zh-CN"/>
        </w:rPr>
        <w:t>分。项目完成既定绩效目标，预算执行率100%，</w:t>
      </w:r>
      <w:r>
        <w:rPr>
          <w:rFonts w:hint="eastAsia" w:ascii="Times New Roman" w:eastAsia="仿宋_GB2312" w:cs="Times New Roman"/>
          <w:b w:val="0"/>
          <w:bCs/>
          <w:color w:val="auto"/>
          <w:position w:val="0"/>
          <w:sz w:val="32"/>
          <w:szCs w:val="32"/>
          <w:highlight w:val="none"/>
          <w:u w:val="none"/>
          <w:lang w:val="en-US" w:eastAsia="zh-CN"/>
        </w:rPr>
        <w:t>保障了计划生育后遗症患者权益</w:t>
      </w:r>
      <w:r>
        <w:rPr>
          <w:rFonts w:hint="default" w:ascii="Times New Roman" w:hAnsi="Times New Roman" w:eastAsia="仿宋_GB2312" w:cs="Times New Roman"/>
          <w:b w:val="0"/>
          <w:bCs/>
          <w:color w:val="auto"/>
          <w:position w:val="0"/>
          <w:sz w:val="32"/>
          <w:szCs w:val="32"/>
          <w:highlight w:val="none"/>
          <w:u w:val="none"/>
          <w:lang w:val="en-US" w:eastAsia="zh-CN"/>
        </w:rPr>
        <w:t>，达到预期社会效益。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eastAsia" w:ascii="黑体" w:hAnsi="宋体"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仿宋_GB2312" w:hAnsi="仿宋_GB2312" w:eastAsia="仿宋_GB2312" w:cs="仿宋_GB2312"/>
          <w:b w:val="0"/>
          <w:bCs/>
          <w:color w:val="auto"/>
          <w:position w:val="0"/>
          <w:sz w:val="32"/>
          <w:szCs w:val="32"/>
          <w:highlight w:val="none"/>
          <w:u w:val="none"/>
          <w:lang w:val="en-US" w:eastAsia="zh-CN"/>
        </w:rPr>
      </w:pPr>
      <w:r>
        <w:rPr>
          <w:rFonts w:hint="default" w:ascii="Times New Roman" w:hAnsi="Times New Roman" w:eastAsia="仿宋_GB2312" w:cs="Times New Roman"/>
          <w:b w:val="0"/>
          <w:bCs w:val="0"/>
          <w:kern w:val="0"/>
          <w:position w:val="0"/>
          <w:sz w:val="32"/>
          <w:szCs w:val="32"/>
          <w:highlight w:val="none"/>
          <w:lang w:val="en-US" w:eastAsia="zh-CN" w:bidi="ar-SA"/>
        </w:rPr>
        <w:t>项目资金不足：</w:t>
      </w:r>
      <w:r>
        <w:rPr>
          <w:rFonts w:hint="eastAsia" w:ascii="仿宋_GB2312" w:hAnsi="仿宋_GB2312" w:eastAsia="仿宋_GB2312" w:cs="仿宋_GB2312"/>
          <w:b w:val="0"/>
          <w:bCs/>
          <w:color w:val="auto"/>
          <w:position w:val="0"/>
          <w:sz w:val="32"/>
          <w:szCs w:val="32"/>
          <w:highlight w:val="none"/>
          <w:u w:val="none"/>
          <w:lang w:val="en-US" w:eastAsia="zh-CN"/>
        </w:rPr>
        <w:t>不能完全满足计划生育后遗症项目资金需要。</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eastAsia" w:ascii="黑体" w:hAnsi="宋体" w:eastAsia="黑体" w:cs="Times New Roman"/>
          <w:color w:val="auto"/>
          <w:kern w:val="0"/>
          <w:position w:val="0"/>
          <w:sz w:val="32"/>
          <w:szCs w:val="32"/>
          <w:highlight w:val="none"/>
          <w:u w:val="none"/>
          <w:lang w:val="zh-CN" w:eastAsia="zh-CN" w:bidi="ar-SA"/>
        </w:rPr>
      </w:pPr>
      <w:r>
        <w:rPr>
          <w:rFonts w:hint="eastAsia" w:ascii="黑体" w:hAnsi="宋体"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cs="Times New Roman"/>
          <w:color w:val="000000"/>
          <w:kern w:val="0"/>
          <w:position w:val="0"/>
          <w:szCs w:val="32"/>
          <w:highlight w:val="none"/>
          <w:shd w:val="clear" w:color="auto" w:fill="FFFFFF"/>
          <w:lang w:val="zh-CN" w:eastAsia="zh-CN"/>
        </w:rPr>
      </w:pPr>
      <w:r>
        <w:rPr>
          <w:rFonts w:hint="default" w:ascii="Times New Roman" w:hAnsi="Times New Roman" w:cs="Times New Roman"/>
          <w:color w:val="000000"/>
          <w:kern w:val="0"/>
          <w:position w:val="0"/>
          <w:sz w:val="32"/>
          <w:szCs w:val="32"/>
          <w:highlight w:val="none"/>
          <w:shd w:val="clear" w:color="auto" w:fill="FFFFFF"/>
          <w:lang w:val="zh-CN" w:eastAsia="zh-CN"/>
        </w:rPr>
        <w:t>一是加强资金统筹管理，完善多部门联动机制；二是建议增加</w:t>
      </w:r>
      <w:r>
        <w:rPr>
          <w:rFonts w:hint="eastAsia" w:ascii="仿宋_GB2312" w:hAnsi="仿宋_GB2312" w:cs="仿宋_GB2312"/>
          <w:b w:val="0"/>
          <w:bCs/>
          <w:color w:val="auto"/>
          <w:position w:val="0"/>
          <w:sz w:val="32"/>
          <w:szCs w:val="32"/>
          <w:highlight w:val="none"/>
          <w:u w:val="none"/>
          <w:lang w:val="en-US" w:eastAsia="zh-CN"/>
        </w:rPr>
        <w:t>计划生育后遗症</w:t>
      </w:r>
      <w:r>
        <w:rPr>
          <w:rFonts w:hint="eastAsia" w:ascii="仿宋_GB2312" w:hAnsi="仿宋_GB2312" w:eastAsia="仿宋_GB2312" w:cs="仿宋_GB2312"/>
          <w:b w:val="0"/>
          <w:bCs/>
          <w:color w:val="auto"/>
          <w:position w:val="0"/>
          <w:sz w:val="32"/>
          <w:szCs w:val="32"/>
          <w:highlight w:val="none"/>
          <w:u w:val="none"/>
          <w:lang w:val="en-US" w:eastAsia="zh-CN"/>
        </w:rPr>
        <w:t>项目</w:t>
      </w:r>
      <w:r>
        <w:rPr>
          <w:rFonts w:hint="default" w:ascii="Times New Roman" w:hAnsi="Times New Roman" w:cs="Times New Roman"/>
          <w:b w:val="0"/>
          <w:bCs/>
          <w:color w:val="auto"/>
          <w:position w:val="0"/>
          <w:sz w:val="32"/>
          <w:szCs w:val="32"/>
          <w:highlight w:val="none"/>
          <w:u w:val="none"/>
          <w:lang w:val="en-US" w:eastAsia="zh-CN"/>
        </w:rPr>
        <w:t>工作资金投入，保障工作开展。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Times New Roman" w:hAnsi="Times New Roman" w:cs="Times New Roman"/>
          <w:color w:val="000000"/>
          <w:kern w:val="0"/>
          <w:position w:val="0"/>
          <w:szCs w:val="32"/>
          <w:highlight w:val="none"/>
          <w:shd w:val="clear" w:color="auto" w:fill="FFFFFF"/>
          <w:lang w:val="zh-CN" w:eastAsia="zh-CN"/>
        </w:rPr>
      </w:pPr>
      <w:r>
        <w:rPr>
          <w:rFonts w:hint="eastAsia" w:ascii="Times New Roman" w:hAnsi="Times New Roman" w:cs="Times New Roman"/>
          <w:color w:val="000000"/>
          <w:kern w:val="0"/>
          <w:position w:val="0"/>
          <w:szCs w:val="32"/>
          <w:highlight w:val="none"/>
          <w:shd w:val="clear" w:color="auto" w:fill="FFFFFF"/>
          <w:lang w:val="en-US" w:eastAsia="zh-CN"/>
        </w:rPr>
        <w:t>附表：专项</w:t>
      </w:r>
      <w:r>
        <w:rPr>
          <w:rFonts w:hint="eastAsia" w:cs="Times New Roman"/>
          <w:color w:val="000000"/>
          <w:kern w:val="0"/>
          <w:position w:val="0"/>
          <w:szCs w:val="32"/>
          <w:highlight w:val="none"/>
          <w:shd w:val="clear" w:color="auto" w:fill="FFFFFF"/>
          <w:lang w:val="en-US" w:eastAsia="zh-CN"/>
        </w:rPr>
        <w:t>资金</w:t>
      </w:r>
      <w:r>
        <w:rPr>
          <w:rFonts w:hint="eastAsia" w:ascii="Times New Roman" w:hAnsi="Times New Roman" w:cs="Times New Roman"/>
          <w:color w:val="000000"/>
          <w:kern w:val="0"/>
          <w:position w:val="0"/>
          <w:szCs w:val="32"/>
          <w:highlight w:val="none"/>
          <w:shd w:val="clear" w:color="auto" w:fill="FFFFFF"/>
          <w:lang w:val="en-US" w:eastAsia="zh-CN"/>
        </w:rPr>
        <w:t>绩效目标完成情况自评表</w:t>
      </w:r>
    </w:p>
    <w:tbl>
      <w:tblPr>
        <w:tblStyle w:val="15"/>
        <w:tblW w:w="5000" w:type="pct"/>
        <w:tblInd w:w="0" w:type="dxa"/>
        <w:shd w:val="clear" w:color="auto" w:fill="auto"/>
        <w:tblLayout w:type="autofit"/>
        <w:tblCellMar>
          <w:top w:w="0" w:type="dxa"/>
          <w:left w:w="0" w:type="dxa"/>
          <w:bottom w:w="0" w:type="dxa"/>
          <w:right w:w="0" w:type="dxa"/>
        </w:tblCellMar>
      </w:tblPr>
      <w:tblGrid>
        <w:gridCol w:w="390"/>
        <w:gridCol w:w="930"/>
        <w:gridCol w:w="1650"/>
        <w:gridCol w:w="2370"/>
        <w:gridCol w:w="390"/>
        <w:gridCol w:w="480"/>
        <w:gridCol w:w="210"/>
        <w:gridCol w:w="660"/>
        <w:gridCol w:w="301"/>
        <w:gridCol w:w="301"/>
        <w:gridCol w:w="654"/>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51090424T000011883084-计划生育后遗症资金</w:t>
            </w:r>
          </w:p>
        </w:tc>
      </w:tr>
      <w:tr>
        <w:tblPrEx>
          <w:tblCellMar>
            <w:top w:w="0" w:type="dxa"/>
            <w:left w:w="0" w:type="dxa"/>
            <w:bottom w:w="0" w:type="dxa"/>
            <w:right w:w="0" w:type="dxa"/>
          </w:tblCellMar>
        </w:tblPrEx>
        <w:trPr>
          <w:trHeight w:val="512" w:hRule="atLeast"/>
        </w:trPr>
        <w:tc>
          <w:tcPr>
            <w:tcW w:w="96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遂宁市安居区聚贤镇人民政府部门</w:t>
            </w:r>
          </w:p>
        </w:tc>
        <w:tc>
          <w:tcPr>
            <w:tcW w:w="383"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23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7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解决计划生育后遗症病人问题</w:t>
            </w:r>
          </w:p>
        </w:tc>
        <w:tc>
          <w:tcPr>
            <w:tcW w:w="161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39"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提供计划生育后遗症区级资金</w:t>
            </w:r>
          </w:p>
        </w:tc>
      </w:tr>
      <w:tr>
        <w:tblPrEx>
          <w:tblCellMar>
            <w:top w:w="0" w:type="dxa"/>
            <w:left w:w="0" w:type="dxa"/>
            <w:bottom w:w="0" w:type="dxa"/>
            <w:right w:w="0" w:type="dxa"/>
          </w:tblCellMar>
        </w:tblPrEx>
        <w:trPr>
          <w:trHeight w:val="361"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9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07"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6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5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9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解决计划生育后遗症病人问题</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保障时间</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解决计划生育后遗症病人工作</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10000元</w:t>
            </w:r>
          </w:p>
        </w:tc>
        <w:tc>
          <w:tcPr>
            <w:tcW w:w="1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286" w:hRule="atLeast"/>
        </w:trPr>
        <w:tc>
          <w:tcPr>
            <w:tcW w:w="3767"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9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60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项目完成既定绩效目标，预算执行率100%，保障了计划生育后遗症患者权益，达到预期社会效益。</w:t>
            </w:r>
          </w:p>
        </w:tc>
      </w:tr>
      <w:tr>
        <w:tblPrEx>
          <w:tblCellMar>
            <w:top w:w="0" w:type="dxa"/>
            <w:left w:w="0" w:type="dxa"/>
            <w:bottom w:w="0" w:type="dxa"/>
            <w:right w:w="0" w:type="dxa"/>
          </w:tblCellMar>
        </w:tblPrEx>
        <w:trPr>
          <w:trHeight w:val="57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项目资金不足：不能完全满足计划生育后遗症项目资金需要。</w:t>
            </w:r>
          </w:p>
        </w:tc>
      </w:tr>
      <w:tr>
        <w:tblPrEx>
          <w:tblCellMar>
            <w:top w:w="0" w:type="dxa"/>
            <w:left w:w="0" w:type="dxa"/>
            <w:bottom w:w="0" w:type="dxa"/>
            <w:right w:w="0" w:type="dxa"/>
          </w:tblCellMar>
        </w:tblPrEx>
        <w:trPr>
          <w:trHeight w:val="63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一是加强资金统筹管理，完善多部门联动机制；二是建议增加计划生育后遗症项目工作资金投入，保障工作开展。</w:t>
            </w:r>
          </w:p>
        </w:tc>
      </w:tr>
      <w:tr>
        <w:tblPrEx>
          <w:tblCellMar>
            <w:top w:w="0" w:type="dxa"/>
            <w:left w:w="0" w:type="dxa"/>
            <w:bottom w:w="0" w:type="dxa"/>
            <w:right w:w="0" w:type="dxa"/>
          </w:tblCellMar>
        </w:tblPrEx>
        <w:trPr>
          <w:trHeight w:val="286" w:hRule="atLeast"/>
        </w:trPr>
        <w:tc>
          <w:tcPr>
            <w:tcW w:w="261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项目负责人：郑红明</w:t>
            </w:r>
          </w:p>
        </w:tc>
        <w:tc>
          <w:tcPr>
            <w:tcW w:w="238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财务负责人：陈维维</w:t>
            </w:r>
          </w:p>
        </w:tc>
      </w:tr>
    </w:tbl>
    <w:p>
      <w:pPr>
        <w:ind w:left="0" w:leftChars="0" w:firstLine="0" w:firstLineChars="0"/>
      </w:pPr>
      <w:r>
        <w:br w:type="page"/>
      </w:r>
    </w:p>
    <w:p>
      <w:pPr>
        <w:pStyle w:val="22"/>
        <w:keepNext w:val="0"/>
        <w:keepLines w:val="0"/>
        <w:pageBreakBefore w:val="0"/>
        <w:widowControl w:val="0"/>
        <w:kinsoku/>
        <w:wordWrap/>
        <w:overflowPunct/>
        <w:topLinePunct w:val="0"/>
        <w:autoSpaceDE/>
        <w:autoSpaceDN/>
        <w:bidi w:val="0"/>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仿宋_GB2312" w:hAnsi="仿宋_GB2312" w:eastAsia="仿宋_GB2312" w:cs="仿宋_GB2312"/>
          <w:bCs/>
          <w:color w:val="auto"/>
          <w:kern w:val="2"/>
          <w:position w:val="0"/>
          <w:sz w:val="32"/>
          <w:szCs w:val="32"/>
          <w:highlight w:val="none"/>
          <w:u w:val="none"/>
          <w:lang w:val="en-US"/>
        </w:rPr>
      </w:pPr>
      <w:r>
        <w:rPr>
          <w:rFonts w:hint="eastAsia" w:ascii="仿宋_GB2312" w:hAnsi="仿宋_GB2312" w:eastAsia="仿宋_GB2312" w:cs="仿宋_GB2312"/>
          <w:bCs/>
          <w:i w:val="0"/>
          <w:color w:val="000000"/>
          <w:kern w:val="2"/>
          <w:position w:val="0"/>
          <w:sz w:val="32"/>
          <w:szCs w:val="32"/>
          <w:highlight w:val="none"/>
          <w:u w:val="none"/>
          <w:lang w:val="en-US" w:eastAsia="zh-CN" w:bidi="ar-SA"/>
        </w:rPr>
        <w:t>（聚贤风情小镇项目资金项目）</w:t>
      </w:r>
    </w:p>
    <w:p>
      <w:pPr>
        <w:pStyle w:val="2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color w:val="auto"/>
          <w:kern w:val="2"/>
          <w:positio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position w:val="0"/>
          <w:highlight w:val="none"/>
          <w:lang w:val="zh-CN"/>
        </w:rPr>
      </w:pPr>
      <w:r>
        <w:rPr>
          <w:rFonts w:hint="default" w:ascii="Times New Roman" w:hAnsi="Times New Roman" w:eastAsia="黑体" w:cs="Times New Roman"/>
          <w:position w:val="0"/>
          <w:highlight w:val="none"/>
        </w:rPr>
        <w:t>一、</w:t>
      </w:r>
      <w:r>
        <w:rPr>
          <w:rFonts w:hint="default" w:ascii="Times New Roman" w:hAnsi="Times New Roman" w:eastAsia="黑体" w:cs="Times New Roman"/>
          <w:position w:val="0"/>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2011年，区委</w:t>
      </w:r>
      <w:r>
        <w:rPr>
          <w:rFonts w:hint="default" w:ascii="Times New Roman" w:hAnsi="Times New Roman" w:cs="Times New Roman"/>
          <w:b w:val="0"/>
          <w:bCs/>
          <w:color w:val="auto"/>
          <w:position w:val="0"/>
          <w:sz w:val="32"/>
          <w:szCs w:val="32"/>
          <w:highlight w:val="none"/>
          <w:u w:val="none"/>
          <w:lang w:val="en-US" w:eastAsia="zh-CN"/>
        </w:rPr>
        <w:t>、</w:t>
      </w:r>
      <w:r>
        <w:rPr>
          <w:rFonts w:hint="default" w:ascii="Times New Roman" w:hAnsi="Times New Roman" w:eastAsia="仿宋_GB2312" w:cs="Times New Roman"/>
          <w:b w:val="0"/>
          <w:bCs/>
          <w:color w:val="auto"/>
          <w:position w:val="0"/>
          <w:sz w:val="32"/>
          <w:szCs w:val="32"/>
          <w:highlight w:val="none"/>
          <w:u w:val="none"/>
          <w:lang w:val="en-US" w:eastAsia="zh-CN"/>
        </w:rPr>
        <w:t>区政府委托攀枝花规划设计院对聚贤镇场镇及周边空间合计5265亩土地进行规划，201</w:t>
      </w:r>
      <w:r>
        <w:rPr>
          <w:rFonts w:hint="default" w:ascii="Times New Roman" w:hAnsi="Times New Roman" w:cs="Times New Roman"/>
          <w:b w:val="0"/>
          <w:bCs/>
          <w:color w:val="auto"/>
          <w:position w:val="0"/>
          <w:sz w:val="32"/>
          <w:szCs w:val="32"/>
          <w:highlight w:val="none"/>
          <w:u w:val="none"/>
          <w:lang w:val="en-US" w:eastAsia="zh-CN"/>
        </w:rPr>
        <w:t>2</w:t>
      </w:r>
      <w:r>
        <w:rPr>
          <w:rFonts w:hint="default" w:ascii="Times New Roman" w:hAnsi="Times New Roman" w:eastAsia="仿宋_GB2312" w:cs="Times New Roman"/>
          <w:b w:val="0"/>
          <w:bCs/>
          <w:color w:val="auto"/>
          <w:position w:val="0"/>
          <w:sz w:val="32"/>
          <w:szCs w:val="32"/>
          <w:highlight w:val="none"/>
          <w:u w:val="none"/>
          <w:lang w:val="en-US" w:eastAsia="zh-CN"/>
        </w:rPr>
        <w:t>年安居区政府通过招商引资与川威集团达成投资建设协议，</w:t>
      </w:r>
      <w:r>
        <w:rPr>
          <w:rFonts w:hint="default" w:ascii="Times New Roman" w:hAnsi="Times New Roman" w:cs="Times New Roman"/>
          <w:b w:val="0"/>
          <w:bCs/>
          <w:color w:val="auto"/>
          <w:position w:val="0"/>
          <w:sz w:val="32"/>
          <w:szCs w:val="32"/>
          <w:highlight w:val="none"/>
          <w:u w:val="none"/>
          <w:lang w:val="en-US" w:eastAsia="zh-CN"/>
        </w:rPr>
        <w:t>2023年劲力置业（川威集团下属子公司）与安居区政府签订《投资协议书》，</w:t>
      </w:r>
      <w:r>
        <w:rPr>
          <w:rFonts w:hint="default" w:ascii="Times New Roman" w:hAnsi="Times New Roman" w:eastAsia="仿宋_GB2312" w:cs="Times New Roman"/>
          <w:b w:val="0"/>
          <w:bCs/>
          <w:color w:val="auto"/>
          <w:position w:val="0"/>
          <w:sz w:val="32"/>
          <w:szCs w:val="32"/>
          <w:highlight w:val="none"/>
          <w:u w:val="none"/>
          <w:lang w:val="en-US" w:eastAsia="zh-CN"/>
        </w:rPr>
        <w:t>川威集团负责对聚贤镇场镇改造及场镇周边产业打造</w:t>
      </w:r>
      <w:r>
        <w:rPr>
          <w:rFonts w:hint="default" w:ascii="Times New Roman" w:hAnsi="Times New Roman" w:cs="Times New Roman"/>
          <w:b w:val="0"/>
          <w:bCs/>
          <w:color w:val="auto"/>
          <w:position w:val="0"/>
          <w:sz w:val="32"/>
          <w:szCs w:val="32"/>
          <w:highlight w:val="none"/>
          <w:u w:val="none"/>
          <w:lang w:val="en-US" w:eastAsia="zh-CN"/>
        </w:rPr>
        <w:t>；但是2023年川威集团、劲力置业、新地置业（劲力置业成立的公司，负责聚贤小镇具体投资建设）与安居区政府解除《投资协议书》达成共识，并在法院仲裁判定下，安居区政府需要按照《投资协议书》的约定返还新地置业前期投资款56539700元。</w:t>
      </w:r>
      <w:r>
        <w:rPr>
          <w:rFonts w:hint="default" w:ascii="Times New Roman" w:hAnsi="Times New Roman" w:eastAsia="仿宋_GB2312" w:cs="Times New Roman"/>
          <w:b w:val="0"/>
          <w:bCs/>
          <w:color w:val="auto"/>
          <w:position w:val="0"/>
          <w:sz w:val="32"/>
          <w:szCs w:val="32"/>
          <w:highlight w:val="none"/>
          <w:u w:val="none"/>
          <w:lang w:val="zh-CN"/>
        </w:rPr>
        <w:t>项目主要内容是</w:t>
      </w:r>
      <w:r>
        <w:rPr>
          <w:rFonts w:hint="default" w:ascii="Times New Roman" w:hAnsi="Times New Roman" w:cs="Times New Roman"/>
          <w:b w:val="0"/>
          <w:bCs/>
          <w:color w:val="auto"/>
          <w:position w:val="0"/>
          <w:sz w:val="32"/>
          <w:szCs w:val="32"/>
          <w:highlight w:val="none"/>
          <w:u w:val="none"/>
          <w:lang w:val="zh-CN"/>
        </w:rPr>
        <w:t>返还新地置业前期投资款</w:t>
      </w:r>
      <w:r>
        <w:rPr>
          <w:rFonts w:hint="default" w:ascii="Times New Roman" w:hAnsi="Times New Roman" w:eastAsia="仿宋_GB2312" w:cs="Times New Roman"/>
          <w:b w:val="0"/>
          <w:bCs/>
          <w:color w:val="auto"/>
          <w:position w:val="0"/>
          <w:sz w:val="32"/>
          <w:szCs w:val="32"/>
          <w:highlight w:val="none"/>
          <w:u w:val="none"/>
          <w:lang w:val="zh-CN"/>
        </w:rPr>
        <w:t>。</w:t>
      </w:r>
      <w:r>
        <w:rPr>
          <w:rFonts w:hint="default" w:ascii="Times New Roman" w:hAnsi="Times New Roman" w:eastAsia="仿宋_GB2312" w:cs="Times New Roman"/>
          <w:b w:val="0"/>
          <w:bCs/>
          <w:color w:val="auto"/>
          <w:position w:val="0"/>
          <w:sz w:val="32"/>
          <w:szCs w:val="32"/>
          <w:highlight w:val="none"/>
          <w:u w:val="none"/>
          <w:lang w:val="en-US" w:eastAsia="zh-CN"/>
        </w:rPr>
        <w:t>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实施目的及支持方向。</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0" w:firstLineChars="200"/>
        <w:contextualSpacing/>
        <w:jc w:val="left"/>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eastAsia="zh-CN"/>
        </w:rPr>
        <w:t>项目资金严格按照财务会计管理，</w:t>
      </w:r>
      <w:r>
        <w:rPr>
          <w:rFonts w:hint="eastAsia" w:cs="Times New Roman"/>
          <w:b w:val="0"/>
          <w:bCs/>
          <w:color w:val="auto"/>
          <w:position w:val="0"/>
          <w:sz w:val="32"/>
          <w:szCs w:val="32"/>
          <w:highlight w:val="none"/>
          <w:u w:val="none"/>
          <w:lang w:val="zh-CN" w:eastAsia="zh-CN"/>
        </w:rPr>
        <w:t>实行</w:t>
      </w:r>
      <w:r>
        <w:rPr>
          <w:rFonts w:hint="default" w:ascii="Times New Roman" w:hAnsi="Times New Roman" w:eastAsia="仿宋_GB2312" w:cs="Times New Roman"/>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报账制，保证专款专用，按有关程序要求保证，并接受纪委和财政部门检查监督，符合资金管理办法等相关规定。项目实施目的是</w:t>
      </w:r>
      <w:r>
        <w:rPr>
          <w:rFonts w:hint="default" w:ascii="Times New Roman" w:hAnsi="Times New Roman" w:cs="Times New Roman"/>
          <w:b w:val="0"/>
          <w:bCs/>
          <w:color w:val="auto"/>
          <w:position w:val="0"/>
          <w:sz w:val="32"/>
          <w:szCs w:val="32"/>
          <w:highlight w:val="none"/>
          <w:u w:val="none"/>
          <w:lang w:val="zh-CN"/>
        </w:rPr>
        <w:t>推进省委巡视问题整改</w:t>
      </w:r>
      <w:r>
        <w:rPr>
          <w:rFonts w:hint="default" w:ascii="Times New Roman" w:hAnsi="Times New Roman" w:eastAsia="仿宋_GB2312" w:cs="Times New Roman"/>
          <w:b w:val="0"/>
          <w:bCs/>
          <w:color w:val="auto"/>
          <w:position w:val="0"/>
          <w:sz w:val="32"/>
          <w:szCs w:val="32"/>
          <w:highlight w:val="none"/>
          <w:u w:val="none"/>
          <w:lang w:val="zh-CN" w:eastAsia="zh-CN"/>
        </w:rPr>
        <w:t>。主要工作任务是</w:t>
      </w:r>
      <w:r>
        <w:rPr>
          <w:rFonts w:hint="default" w:ascii="Times New Roman" w:hAnsi="Times New Roman" w:cs="Times New Roman"/>
          <w:b w:val="0"/>
          <w:bCs/>
          <w:color w:val="auto"/>
          <w:position w:val="0"/>
          <w:sz w:val="32"/>
          <w:szCs w:val="32"/>
          <w:highlight w:val="none"/>
          <w:u w:val="none"/>
          <w:lang w:val="zh-CN"/>
        </w:rPr>
        <w:t>返还新地置业前期投资款</w:t>
      </w:r>
      <w:r>
        <w:rPr>
          <w:rFonts w:hint="default" w:ascii="Times New Roman" w:hAnsi="Times New Roman" w:eastAsia="仿宋_GB2312" w:cs="Times New Roman"/>
          <w:b w:val="0"/>
          <w:bCs/>
          <w:color w:val="auto"/>
          <w:position w:val="0"/>
          <w:sz w:val="32"/>
          <w:szCs w:val="32"/>
          <w:highlight w:val="none"/>
          <w:u w:val="none"/>
          <w:lang w:val="zh-CN" w:eastAsia="zh-CN"/>
        </w:rPr>
        <w:t>。项目支持方向是</w:t>
      </w:r>
      <w:r>
        <w:rPr>
          <w:rFonts w:hint="default" w:ascii="Times New Roman" w:hAnsi="Times New Roman" w:cs="Times New Roman"/>
          <w:b w:val="0"/>
          <w:bCs/>
          <w:color w:val="auto"/>
          <w:position w:val="0"/>
          <w:sz w:val="32"/>
          <w:szCs w:val="32"/>
          <w:highlight w:val="none"/>
          <w:u w:val="none"/>
          <w:lang w:val="zh-CN" w:eastAsia="zh-CN"/>
        </w:rPr>
        <w:t>行政运转</w:t>
      </w:r>
      <w:r>
        <w:rPr>
          <w:rFonts w:hint="default" w:ascii="Times New Roman" w:hAnsi="Times New Roman" w:eastAsia="仿宋_GB2312" w:cs="Times New Roman"/>
          <w:b w:val="0"/>
          <w:bCs/>
          <w:color w:val="auto"/>
          <w:position w:val="0"/>
          <w:sz w:val="32"/>
          <w:szCs w:val="32"/>
          <w:highlight w:val="none"/>
          <w:u w:val="none"/>
          <w:lang w:val="zh-CN" w:eastAsia="zh-CN"/>
        </w:rPr>
        <w:t>领域。</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eastAsia="zh-CN"/>
        </w:rPr>
        <w:t>（三）</w:t>
      </w:r>
      <w:r>
        <w:rPr>
          <w:rFonts w:hint="default" w:ascii="Times New Roman" w:hAnsi="Times New Roman" w:eastAsia="楷体_GB2312" w:cs="Times New Roman"/>
          <w:b/>
          <w:color w:val="auto"/>
          <w:position w:val="0"/>
          <w:sz w:val="32"/>
          <w:szCs w:val="32"/>
          <w:highlight w:val="none"/>
          <w:u w:val="none"/>
          <w:lang w:val="en-US" w:eastAsia="zh-CN"/>
        </w:rPr>
        <w:t>预算安排及分配管理</w:t>
      </w:r>
      <w:r>
        <w:rPr>
          <w:rFonts w:hint="default" w:ascii="Times New Roman" w:hAnsi="Times New Roman"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cs="Times New Roman"/>
          <w:b w:val="0"/>
          <w:bCs/>
          <w:color w:val="auto"/>
          <w:position w:val="0"/>
          <w:sz w:val="32"/>
          <w:szCs w:val="32"/>
          <w:highlight w:val="none"/>
          <w:u w:val="none"/>
          <w:lang w:val="en-US" w:eastAsia="zh-CN"/>
        </w:rPr>
        <w:t>聚贤风情小镇项目资金</w:t>
      </w:r>
      <w:r>
        <w:rPr>
          <w:rFonts w:hint="default" w:ascii="Times New Roman" w:hAnsi="Times New Roman" w:eastAsia="仿宋_GB2312" w:cs="Times New Roman"/>
          <w:b w:val="0"/>
          <w:bCs/>
          <w:color w:val="auto"/>
          <w:position w:val="0"/>
          <w:sz w:val="32"/>
          <w:szCs w:val="32"/>
          <w:highlight w:val="none"/>
          <w:u w:val="none"/>
          <w:lang w:val="en-US" w:eastAsia="zh-CN"/>
        </w:rPr>
        <w:t>项目</w:t>
      </w:r>
      <w:r>
        <w:rPr>
          <w:rFonts w:hint="default" w:ascii="Times New Roman" w:hAnsi="Times New Roman" w:eastAsia="仿宋_GB2312" w:cs="Times New Roman"/>
          <w:b w:val="0"/>
          <w:bCs/>
          <w:color w:val="auto"/>
          <w:position w:val="0"/>
          <w:sz w:val="32"/>
          <w:szCs w:val="32"/>
          <w:highlight w:val="none"/>
          <w:u w:val="none"/>
          <w:lang w:val="zh-CN" w:eastAsia="zh-CN"/>
        </w:rPr>
        <w:t>预算总额为</w:t>
      </w:r>
      <w:r>
        <w:rPr>
          <w:rFonts w:hint="default" w:ascii="Times New Roman" w:hAnsi="Times New Roman" w:cs="Times New Roman"/>
          <w:b w:val="0"/>
          <w:bCs/>
          <w:color w:val="auto"/>
          <w:position w:val="0"/>
          <w:sz w:val="32"/>
          <w:szCs w:val="32"/>
          <w:highlight w:val="none"/>
          <w:u w:val="none"/>
          <w:lang w:val="en-US" w:eastAsia="zh-CN"/>
        </w:rPr>
        <w:t>5653.97</w:t>
      </w:r>
      <w:r>
        <w:rPr>
          <w:rFonts w:hint="default" w:ascii="Times New Roman" w:hAnsi="Times New Roman" w:eastAsia="仿宋_GB2312" w:cs="Times New Roman"/>
          <w:b w:val="0"/>
          <w:bCs/>
          <w:color w:val="auto"/>
          <w:position w:val="0"/>
          <w:sz w:val="32"/>
          <w:szCs w:val="32"/>
          <w:highlight w:val="none"/>
          <w:u w:val="none"/>
          <w:lang w:val="zh-CN" w:eastAsia="zh-CN"/>
        </w:rPr>
        <w:t>万元，其中财政资金</w:t>
      </w:r>
      <w:r>
        <w:rPr>
          <w:rFonts w:hint="default" w:ascii="Times New Roman" w:hAnsi="Times New Roman" w:cs="Times New Roman"/>
          <w:b w:val="0"/>
          <w:bCs/>
          <w:color w:val="auto"/>
          <w:position w:val="0"/>
          <w:sz w:val="32"/>
          <w:szCs w:val="32"/>
          <w:highlight w:val="none"/>
          <w:u w:val="none"/>
          <w:lang w:val="en-US" w:eastAsia="zh-CN"/>
        </w:rPr>
        <w:t>5653.97</w:t>
      </w:r>
      <w:r>
        <w:rPr>
          <w:rFonts w:hint="default" w:ascii="Times New Roman" w:hAnsi="Times New Roman" w:eastAsia="仿宋_GB2312" w:cs="Times New Roman"/>
          <w:b w:val="0"/>
          <w:bCs/>
          <w:color w:val="auto"/>
          <w:position w:val="0"/>
          <w:sz w:val="32"/>
          <w:szCs w:val="32"/>
          <w:highlight w:val="none"/>
          <w:u w:val="none"/>
          <w:lang w:val="zh-CN" w:eastAsia="zh-CN"/>
        </w:rPr>
        <w:t>万元。项目资金全用于</w:t>
      </w:r>
      <w:r>
        <w:rPr>
          <w:rFonts w:hint="default" w:ascii="Times New Roman" w:hAnsi="Times New Roman" w:cs="Times New Roman"/>
          <w:b w:val="0"/>
          <w:bCs/>
          <w:color w:val="auto"/>
          <w:position w:val="0"/>
          <w:sz w:val="32"/>
          <w:szCs w:val="32"/>
          <w:highlight w:val="none"/>
          <w:u w:val="none"/>
          <w:lang w:val="en-US" w:eastAsia="zh-CN"/>
        </w:rPr>
        <w:t>返还新地置业前期项目投资款</w:t>
      </w:r>
      <w:r>
        <w:rPr>
          <w:rFonts w:hint="default" w:ascii="Times New Roman" w:hAnsi="Times New Roman" w:eastAsia="仿宋_GB2312" w:cs="Times New Roman"/>
          <w:b w:val="0"/>
          <w:bCs/>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cs="Times New Roman"/>
          <w:color w:val="auto"/>
          <w:kern w:val="0"/>
          <w:position w:val="0"/>
          <w:sz w:val="32"/>
          <w:szCs w:val="32"/>
          <w:highlight w:val="none"/>
          <w:u w:val="none"/>
          <w:shd w:val="clear" w:color="auto" w:fill="FFFFFF"/>
          <w:lang w:val="zh-CN" w:eastAsia="zh-CN"/>
        </w:rPr>
      </w:pPr>
      <w:r>
        <w:rPr>
          <w:rFonts w:hint="default" w:ascii="Times New Roman" w:hAnsi="Times New Roman"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highlight w:val="none"/>
          <w:lang w:eastAsia="zh-CN"/>
        </w:rPr>
      </w:pPr>
      <w:r>
        <w:rPr>
          <w:rFonts w:hint="default" w:ascii="Times New Roman" w:hAnsi="Times New Roman" w:eastAsia="仿宋_GB2312" w:cs="Times New Roman"/>
          <w:position w:val="0"/>
          <w:highlight w:val="none"/>
          <w:lang w:eastAsia="zh-CN"/>
        </w:rPr>
        <w:t>整体绩效目标：</w:t>
      </w:r>
      <w:r>
        <w:rPr>
          <w:rFonts w:hint="default" w:ascii="Times New Roman" w:hAnsi="Times New Roman" w:cs="Times New Roman"/>
          <w:b w:val="0"/>
          <w:bCs/>
          <w:color w:val="auto"/>
          <w:position w:val="0"/>
          <w:sz w:val="32"/>
          <w:szCs w:val="32"/>
          <w:highlight w:val="none"/>
          <w:u w:val="none"/>
          <w:lang w:val="zh-CN"/>
        </w:rPr>
        <w:t>推进省委巡视问题整改</w:t>
      </w:r>
      <w:r>
        <w:rPr>
          <w:rFonts w:hint="default" w:ascii="Times New Roman" w:hAnsi="Times New Roman" w:eastAsia="仿宋_GB2312" w:cs="Times New Roman"/>
          <w:position w:val="0"/>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position w:val="0"/>
          <w:highlight w:val="none"/>
          <w:lang w:eastAsia="zh-CN"/>
        </w:rPr>
      </w:pPr>
      <w:r>
        <w:rPr>
          <w:rFonts w:hint="default" w:ascii="Times New Roman" w:hAnsi="Times New Roman" w:eastAsia="仿宋_GB2312" w:cs="Times New Roman"/>
          <w:position w:val="0"/>
          <w:highlight w:val="none"/>
          <w:lang w:eastAsia="zh-CN"/>
        </w:rPr>
        <w:t>区域绩效目标：</w:t>
      </w:r>
      <w:r>
        <w:rPr>
          <w:rFonts w:hint="default" w:ascii="Times New Roman" w:hAnsi="Times New Roman" w:cs="Times New Roman"/>
          <w:position w:val="0"/>
          <w:highlight w:val="none"/>
          <w:lang w:eastAsia="zh-CN"/>
        </w:rPr>
        <w:t>顺利返还前期投资款</w:t>
      </w:r>
      <w:r>
        <w:rPr>
          <w:rFonts w:hint="default" w:ascii="Times New Roman" w:hAnsi="Times New Roman" w:eastAsia="仿宋_GB2312" w:cs="Times New Roman"/>
          <w:position w:val="0"/>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highlight w:val="none"/>
        </w:rPr>
      </w:pPr>
      <w:r>
        <w:rPr>
          <w:rFonts w:hint="default" w:ascii="Times New Roman" w:hAnsi="Times New Roman" w:eastAsia="仿宋_GB2312" w:cs="Times New Roman"/>
          <w:position w:val="0"/>
          <w:highlight w:val="none"/>
          <w:lang w:eastAsia="zh-CN"/>
        </w:rPr>
        <w:t>具体绩效目标：</w:t>
      </w:r>
      <w:r>
        <w:rPr>
          <w:rFonts w:hint="default" w:ascii="Times New Roman" w:hAnsi="Times New Roman" w:cs="Times New Roman"/>
          <w:position w:val="0"/>
          <w:sz w:val="32"/>
          <w:szCs w:val="32"/>
          <w:lang w:eastAsia="zh-CN"/>
        </w:rPr>
        <w:t>返还金额</w:t>
      </w:r>
      <w:r>
        <w:rPr>
          <w:rFonts w:hint="default" w:ascii="Times New Roman" w:hAnsi="Times New Roman" w:cs="Times New Roman"/>
          <w:position w:val="0"/>
          <w:sz w:val="32"/>
          <w:szCs w:val="32"/>
          <w:lang w:val="en-US" w:eastAsia="zh-CN"/>
        </w:rPr>
        <w:t>=5653.97万元</w:t>
      </w:r>
      <w:r>
        <w:rPr>
          <w:rFonts w:hint="default" w:ascii="Times New Roman" w:hAnsi="Times New Roman" w:eastAsia="仿宋_GB2312" w:cs="Times New Roman"/>
          <w:position w:val="0"/>
          <w:sz w:val="32"/>
          <w:szCs w:val="32"/>
          <w:highlight w:val="none"/>
          <w:lang w:val="en-US" w:eastAsia="zh-CN"/>
        </w:rPr>
        <w:t>；资金支付及时率=100%；</w:t>
      </w:r>
      <w:r>
        <w:rPr>
          <w:rFonts w:hint="default" w:ascii="Times New Roman" w:hAnsi="Times New Roman" w:cs="Times New Roman"/>
          <w:position w:val="0"/>
          <w:sz w:val="32"/>
          <w:szCs w:val="32"/>
          <w:highlight w:val="none"/>
          <w:lang w:val="en-US" w:eastAsia="zh-CN"/>
        </w:rPr>
        <w:t>返还投资款工作进行良好；新地置业</w:t>
      </w:r>
      <w:r>
        <w:rPr>
          <w:rFonts w:hint="default" w:ascii="Times New Roman" w:hAnsi="Times New Roman" w:eastAsia="仿宋_GB2312" w:cs="Times New Roman"/>
          <w:position w:val="0"/>
          <w:sz w:val="32"/>
          <w:szCs w:val="32"/>
          <w:highlight w:val="none"/>
          <w:lang w:val="en-US" w:eastAsia="zh-CN"/>
        </w:rPr>
        <w:t>满意度≥90%。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highlight w:val="none"/>
          <w:lang w:eastAsia="zh-CN"/>
        </w:rPr>
      </w:pPr>
      <w:r>
        <w:rPr>
          <w:rFonts w:hint="default" w:ascii="Times New Roman" w:hAnsi="Times New Roman" w:eastAsia="黑体" w:cs="Times New Roman"/>
          <w:position w:val="0"/>
          <w:highlight w:val="none"/>
        </w:rPr>
        <w:t>二、</w:t>
      </w:r>
      <w:r>
        <w:rPr>
          <w:rFonts w:hint="default" w:ascii="Times New Roman" w:hAnsi="Times New Roman" w:eastAsia="黑体" w:cs="Times New Roman"/>
          <w:position w:val="0"/>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position w:val="0"/>
          <w:szCs w:val="32"/>
        </w:rPr>
      </w:pPr>
      <w:r>
        <w:rPr>
          <w:rFonts w:hint="default" w:ascii="Times New Roman" w:hAnsi="Times New Roman" w:eastAsia="楷体_GB2312" w:cs="Times New Roman"/>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通过对比项目实际成果与预设绩效目标，验证目标完成情况；总结项目经验，发现项目问题，改进同类项目方向，有利于优化资源配置效率，提升过程管控能力。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Cs w:val="32"/>
          <w:lang w:eastAsia="zh-CN"/>
        </w:rPr>
      </w:pPr>
      <w:r>
        <w:rPr>
          <w:rFonts w:hint="default" w:ascii="Times New Roman" w:hAnsi="Times New Roman" w:eastAsia="楷体_GB2312" w:cs="Times New Roman"/>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预设问题包括资金支出是否规范；</w:t>
      </w:r>
      <w:r>
        <w:rPr>
          <w:rFonts w:hint="default" w:ascii="Times New Roman" w:hAnsi="Times New Roman" w:cs="Times New Roman"/>
          <w:b w:val="0"/>
          <w:bCs/>
          <w:position w:val="0"/>
          <w:highlight w:val="none"/>
          <w:lang w:val="en-US" w:eastAsia="zh-CN"/>
        </w:rPr>
        <w:t>是否返还新地置业投资款</w:t>
      </w:r>
      <w:r>
        <w:rPr>
          <w:rFonts w:hint="default" w:ascii="Times New Roman" w:hAnsi="Times New Roman" w:eastAsia="仿宋_GB2312" w:cs="Times New Roman"/>
          <w:b w:val="0"/>
          <w:bCs/>
          <w:color w:val="auto"/>
          <w:position w:val="0"/>
          <w:sz w:val="32"/>
          <w:szCs w:val="32"/>
          <w:highlight w:val="none"/>
          <w:u w:val="none"/>
          <w:lang w:val="zh-CN"/>
        </w:rPr>
        <w:t>；</w:t>
      </w:r>
      <w:r>
        <w:rPr>
          <w:rFonts w:hint="default" w:ascii="Times New Roman" w:hAnsi="Times New Roman" w:cs="Times New Roman"/>
          <w:b w:val="0"/>
          <w:bCs/>
          <w:color w:val="auto"/>
          <w:position w:val="0"/>
          <w:sz w:val="32"/>
          <w:szCs w:val="32"/>
          <w:highlight w:val="none"/>
          <w:u w:val="none"/>
          <w:lang w:val="zh-CN"/>
        </w:rPr>
        <w:t>资金支付是否及时；</w:t>
      </w:r>
      <w:r>
        <w:rPr>
          <w:rFonts w:hint="default" w:ascii="Times New Roman" w:hAnsi="Times New Roman" w:cs="Times New Roman"/>
          <w:position w:val="0"/>
          <w:sz w:val="32"/>
          <w:szCs w:val="32"/>
          <w:highlight w:val="none"/>
          <w:lang w:val="en-US" w:eastAsia="zh-CN"/>
        </w:rPr>
        <w:t>返还投资款</w:t>
      </w:r>
      <w:r>
        <w:rPr>
          <w:rFonts w:hint="eastAsia" w:cs="Times New Roman"/>
          <w:position w:val="0"/>
          <w:sz w:val="32"/>
          <w:szCs w:val="32"/>
          <w:highlight w:val="none"/>
          <w:lang w:val="en-US" w:eastAsia="zh-CN"/>
        </w:rPr>
        <w:t>工作进展</w:t>
      </w:r>
      <w:r>
        <w:rPr>
          <w:rFonts w:hint="default" w:ascii="Times New Roman" w:hAnsi="Times New Roman" w:cs="Times New Roman"/>
          <w:position w:val="0"/>
          <w:sz w:val="32"/>
          <w:szCs w:val="32"/>
          <w:highlight w:val="none"/>
          <w:lang w:val="en-US" w:eastAsia="zh-CN"/>
        </w:rPr>
        <w:t>良好；</w:t>
      </w:r>
      <w:r>
        <w:rPr>
          <w:rFonts w:hint="default" w:ascii="Times New Roman" w:hAnsi="Times New Roman" w:cs="Times New Roman"/>
          <w:b w:val="0"/>
          <w:bCs/>
          <w:color w:val="auto"/>
          <w:position w:val="0"/>
          <w:sz w:val="32"/>
          <w:szCs w:val="32"/>
          <w:highlight w:val="none"/>
          <w:u w:val="none"/>
          <w:lang w:val="zh-CN"/>
        </w:rPr>
        <w:t>新地置业</w:t>
      </w:r>
      <w:r>
        <w:rPr>
          <w:rFonts w:hint="default" w:ascii="Times New Roman" w:hAnsi="Times New Roman" w:eastAsia="仿宋_GB2312" w:cs="Times New Roman"/>
          <w:b w:val="0"/>
          <w:bCs/>
          <w:color w:val="auto"/>
          <w:position w:val="0"/>
          <w:sz w:val="32"/>
          <w:szCs w:val="32"/>
          <w:highlight w:val="none"/>
          <w:u w:val="none"/>
          <w:lang w:val="zh-CN"/>
        </w:rPr>
        <w:t>是否满意等。评价重点围绕资金支出使用全过程及其实施效果，依据绩效评价指标体系，对项目预算、管理、实施、结果进行综合性评价和判断。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本次项目绩效自评选取</w:t>
      </w:r>
      <w:r>
        <w:rPr>
          <w:rFonts w:hint="default" w:ascii="Times New Roman" w:hAnsi="Times New Roman" w:cs="Times New Roman"/>
          <w:b w:val="0"/>
          <w:bCs/>
          <w:color w:val="auto"/>
          <w:position w:val="0"/>
          <w:sz w:val="32"/>
          <w:szCs w:val="32"/>
          <w:highlight w:val="none"/>
          <w:u w:val="none"/>
          <w:lang w:val="zh-CN"/>
        </w:rPr>
        <w:t>返还投资款金额</w:t>
      </w:r>
      <w:r>
        <w:rPr>
          <w:rFonts w:hint="default" w:ascii="Times New Roman" w:hAnsi="Times New Roman" w:eastAsia="仿宋_GB2312" w:cs="Times New Roman"/>
          <w:b w:val="0"/>
          <w:bCs/>
          <w:color w:val="auto"/>
          <w:position w:val="0"/>
          <w:sz w:val="32"/>
          <w:szCs w:val="32"/>
          <w:highlight w:val="none"/>
          <w:u w:val="none"/>
          <w:lang w:val="zh-CN"/>
        </w:rPr>
        <w:t>作为抽样点位，确保评价能够全面</w:t>
      </w:r>
      <w:r>
        <w:rPr>
          <w:rFonts w:hint="eastAsia" w:cs="Times New Roman"/>
          <w:b w:val="0"/>
          <w:bCs/>
          <w:color w:val="auto"/>
          <w:position w:val="0"/>
          <w:sz w:val="32"/>
          <w:szCs w:val="32"/>
          <w:highlight w:val="none"/>
          <w:u w:val="none"/>
          <w:lang w:val="zh-CN"/>
        </w:rPr>
        <w:t>反映</w:t>
      </w:r>
      <w:r>
        <w:rPr>
          <w:rFonts w:hint="default" w:ascii="Times New Roman" w:hAnsi="Times New Roman" w:eastAsia="仿宋_GB2312" w:cs="Times New Roman"/>
          <w:b w:val="0"/>
          <w:bCs/>
          <w:color w:val="auto"/>
          <w:position w:val="0"/>
          <w:sz w:val="32"/>
          <w:szCs w:val="32"/>
          <w:highlight w:val="none"/>
          <w:u w:val="none"/>
          <w:lang w:val="zh-CN"/>
        </w:rPr>
        <w:t>项目资金使用全过程及实施效果。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position w:val="0"/>
          <w:szCs w:val="32"/>
          <w:lang w:eastAsia="zh-CN"/>
        </w:rPr>
      </w:pPr>
      <w:r>
        <w:rPr>
          <w:rFonts w:hint="default" w:ascii="Times New Roman" w:hAnsi="Times New Roman" w:eastAsia="楷体_GB2312" w:cs="Times New Roman"/>
          <w:b/>
          <w:color w:val="auto"/>
          <w:position w:val="0"/>
          <w:sz w:val="32"/>
          <w:szCs w:val="32"/>
          <w:highlight w:val="none"/>
          <w:u w:val="none"/>
          <w:lang w:val="zh-CN"/>
        </w:rPr>
        <w:t>（四）评价方法。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cs="Times New Roman"/>
          <w:b w:val="0"/>
          <w:bCs/>
          <w:color w:val="auto"/>
          <w:position w:val="0"/>
          <w:sz w:val="32"/>
          <w:szCs w:val="32"/>
          <w:highlight w:val="none"/>
          <w:u w:val="none"/>
          <w:lang w:val="zh-CN"/>
        </w:rPr>
        <w:t>座谈调研法</w:t>
      </w:r>
      <w:r>
        <w:rPr>
          <w:rFonts w:hint="default" w:ascii="Times New Roman" w:hAnsi="Times New Roman" w:eastAsia="仿宋_GB2312" w:cs="Times New Roman"/>
          <w:b w:val="0"/>
          <w:bCs/>
          <w:color w:val="auto"/>
          <w:position w:val="0"/>
          <w:sz w:val="32"/>
          <w:szCs w:val="32"/>
          <w:highlight w:val="none"/>
          <w:u w:val="none"/>
          <w:lang w:val="zh-CN"/>
        </w:rPr>
        <w:t>：</w:t>
      </w:r>
      <w:r>
        <w:rPr>
          <w:rFonts w:hint="default" w:ascii="Times New Roman" w:hAnsi="Times New Roman" w:cs="Times New Roman"/>
          <w:b w:val="0"/>
          <w:bCs/>
          <w:color w:val="auto"/>
          <w:position w:val="0"/>
          <w:sz w:val="32"/>
          <w:szCs w:val="32"/>
          <w:highlight w:val="none"/>
          <w:u w:val="none"/>
          <w:lang w:val="zh-CN"/>
        </w:rPr>
        <w:t>镇党委召开党委会议，针对本项目进行讨论调研</w:t>
      </w:r>
      <w:r>
        <w:rPr>
          <w:rFonts w:hint="default" w:ascii="Times New Roman" w:hAnsi="Times New Roman" w:eastAsia="仿宋_GB2312" w:cs="Times New Roman"/>
          <w:b w:val="0"/>
          <w:bCs/>
          <w:color w:val="auto"/>
          <w:position w:val="0"/>
          <w:sz w:val="32"/>
          <w:szCs w:val="32"/>
          <w:highlight w:val="none"/>
          <w:u w:val="none"/>
          <w:lang w:val="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Cs/>
          <w:position w:val="0"/>
          <w:lang w:eastAsia="zh-CN"/>
        </w:rPr>
      </w:pPr>
      <w:r>
        <w:rPr>
          <w:rFonts w:hint="default" w:ascii="Times New Roman" w:hAnsi="Times New Roman" w:eastAsia="楷体_GB2312" w:cs="Times New Roman"/>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仿宋_GB2312" w:cs="Times New Roman"/>
          <w:color w:val="auto"/>
          <w:position w:val="0"/>
          <w:sz w:val="32"/>
          <w:szCs w:val="32"/>
          <w:highlight w:val="none"/>
          <w:u w:val="none"/>
          <w:lang w:eastAsia="zh-CN"/>
        </w:rPr>
        <w:t>本次绩效评价工作成立了政府牵头组建的绩效评价小组（包括财政部门、业务部门、纪委监察部门等多个部门）</w:t>
      </w:r>
      <w:r>
        <w:rPr>
          <w:rFonts w:hint="default" w:ascii="Times New Roman" w:hAnsi="Times New Roman" w:cs="Times New Roman"/>
          <w:color w:val="auto"/>
          <w:position w:val="0"/>
          <w:sz w:val="32"/>
          <w:szCs w:val="32"/>
          <w:highlight w:val="none"/>
          <w:u w:val="none"/>
          <w:lang w:eastAsia="zh-CN"/>
        </w:rPr>
        <w:t>，</w:t>
      </w:r>
      <w:r>
        <w:rPr>
          <w:rFonts w:hint="default" w:ascii="Times New Roman" w:hAnsi="Times New Roman" w:eastAsia="仿宋_GB2312" w:cs="Times New Roman"/>
          <w:color w:val="auto"/>
          <w:position w:val="0"/>
          <w:sz w:val="32"/>
          <w:szCs w:val="32"/>
          <w:highlight w:val="none"/>
          <w:u w:val="none"/>
          <w:lang w:eastAsia="zh-CN"/>
        </w:rPr>
        <w:t>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cs="Times New Roman"/>
          <w:color w:val="auto"/>
          <w:position w:val="0"/>
          <w:sz w:val="32"/>
          <w:szCs w:val="32"/>
          <w:highlight w:val="none"/>
          <w:u w:val="none"/>
          <w:lang w:val="zh-CN"/>
        </w:rPr>
      </w:pPr>
      <w:r>
        <w:rPr>
          <w:rFonts w:hint="default" w:ascii="Times New Roman" w:hAnsi="Times New Roman" w:eastAsia="黑体" w:cs="Times New Roman"/>
          <w:color w:val="auto"/>
          <w:position w:val="0"/>
          <w:sz w:val="32"/>
          <w:szCs w:val="32"/>
          <w:highlight w:val="none"/>
          <w:u w:val="none"/>
        </w:rPr>
        <w:t>三、</w:t>
      </w:r>
      <w:r>
        <w:rPr>
          <w:rFonts w:hint="default" w:ascii="Times New Roman" w:hAnsi="Times New Roman" w:eastAsia="黑体" w:cs="Times New Roman"/>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楷体_GB2312" w:cs="Times New Roman"/>
          <w:b/>
          <w:color w:val="auto"/>
          <w:position w:val="0"/>
          <w:sz w:val="32"/>
          <w:szCs w:val="32"/>
          <w:highlight w:val="none"/>
          <w:u w:val="none"/>
          <w:lang w:val="zh-CN"/>
        </w:rPr>
        <w:t>（一）</w:t>
      </w:r>
      <w:r>
        <w:rPr>
          <w:rFonts w:hint="default" w:ascii="Times New Roman" w:hAnsi="Times New Roman"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1.项目决策</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聚贤风情小镇项目资金项目</w:t>
      </w:r>
      <w:r>
        <w:rPr>
          <w:rFonts w:hint="default" w:ascii="Times New Roman" w:hAnsi="Times New Roman" w:eastAsia="仿宋_GB2312" w:cs="Times New Roman"/>
          <w:b w:val="0"/>
          <w:bCs w:val="0"/>
          <w:color w:val="auto"/>
          <w:position w:val="0"/>
          <w:sz w:val="32"/>
          <w:szCs w:val="32"/>
          <w:highlight w:val="none"/>
          <w:u w:val="none"/>
          <w:lang w:val="en-US" w:eastAsia="zh-CN"/>
        </w:rPr>
        <w:t>为初次申报项目，立项经过镇党委会审议通过、安居区人民政府通过、法院仲裁，决策程序规范；</w:t>
      </w:r>
      <w:r>
        <w:rPr>
          <w:rFonts w:hint="default" w:ascii="Times New Roman" w:hAnsi="Times New Roman" w:eastAsia="仿宋_GB2312" w:cs="Times New Roman"/>
          <w:b w:val="0"/>
          <w:bCs/>
          <w:color w:val="auto"/>
          <w:position w:val="0"/>
          <w:sz w:val="32"/>
          <w:szCs w:val="32"/>
          <w:highlight w:val="none"/>
          <w:u w:val="none"/>
          <w:lang w:val="en-US" w:eastAsia="zh-CN"/>
        </w:rPr>
        <w:t>聚贤风情小镇项目资金项目</w:t>
      </w:r>
      <w:r>
        <w:rPr>
          <w:rFonts w:hint="default" w:ascii="Times New Roman" w:hAnsi="Times New Roman" w:eastAsia="仿宋_GB2312" w:cs="Times New Roman"/>
          <w:b w:val="0"/>
          <w:bCs w:val="0"/>
          <w:color w:val="auto"/>
          <w:position w:val="0"/>
          <w:sz w:val="32"/>
          <w:szCs w:val="32"/>
          <w:highlight w:val="none"/>
          <w:u w:val="none"/>
          <w:lang w:val="en-US" w:eastAsia="zh-CN"/>
        </w:rPr>
        <w:t>聚焦行政运转领域，符合政府需求。该项指标18分、得18分。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2.项目管理</w:t>
      </w:r>
      <w:r>
        <w:rPr>
          <w:rFonts w:hint="default" w:ascii="Times New Roman" w:hAnsi="Times New Roman" w:eastAsia="仿宋_GB2312" w:cs="Times New Roman"/>
          <w:color w:val="auto"/>
          <w:position w:val="0"/>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为使项目如期完成，结合聚贤镇实际情况，</w:t>
      </w:r>
      <w:r>
        <w:rPr>
          <w:rFonts w:hint="default" w:ascii="Times New Roman" w:hAnsi="Times New Roman" w:eastAsia="仿宋_GB2312" w:cs="Times New Roman"/>
          <w:b w:val="0"/>
          <w:bCs/>
          <w:color w:val="auto"/>
          <w:position w:val="0"/>
          <w:sz w:val="32"/>
          <w:szCs w:val="32"/>
          <w:highlight w:val="none"/>
          <w:u w:val="none"/>
          <w:lang w:val="en-US" w:eastAsia="zh-CN"/>
        </w:rPr>
        <w:t>聚贤风情小镇项目资金项目</w:t>
      </w:r>
      <w:r>
        <w:rPr>
          <w:rFonts w:hint="default" w:ascii="Times New Roman" w:hAnsi="Times New Roman" w:eastAsia="仿宋_GB2312" w:cs="Times New Roman"/>
          <w:b w:val="0"/>
          <w:bCs w:val="0"/>
          <w:color w:val="auto"/>
          <w:position w:val="0"/>
          <w:sz w:val="32"/>
          <w:szCs w:val="32"/>
          <w:highlight w:val="none"/>
          <w:u w:val="none"/>
          <w:lang w:val="en-US" w:eastAsia="zh-CN"/>
        </w:rPr>
        <w:t>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3.项目实施。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val="en-US" w:eastAsia="zh-CN"/>
        </w:rPr>
      </w:pPr>
      <w:r>
        <w:rPr>
          <w:rFonts w:hint="default" w:ascii="Times New Roman" w:hAnsi="Times New Roman" w:eastAsia="仿宋_GB2312" w:cs="Times New Roman"/>
          <w:color w:val="auto"/>
          <w:position w:val="0"/>
          <w:sz w:val="32"/>
          <w:szCs w:val="32"/>
          <w:lang w:val="en-US" w:eastAsia="zh-CN"/>
        </w:rPr>
        <w:t>预算执行率100%，未出现截留、挤占、挪用等情况，资金使用规范。该项指标9分，得9分。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Cs w:val="32"/>
          <w:lang w:eastAsia="zh-CN"/>
        </w:rPr>
      </w:pPr>
      <w:r>
        <w:rPr>
          <w:rFonts w:hint="default" w:ascii="Times New Roman" w:hAnsi="Times New Roman" w:eastAsia="仿宋_GB2312" w:cs="Times New Roman"/>
          <w:color w:val="auto"/>
          <w:position w:val="0"/>
          <w:szCs w:val="32"/>
          <w:lang w:val="en-US" w:eastAsia="zh-CN"/>
        </w:rPr>
        <w:t>4.项目结果。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en-US" w:eastAsia="zh-CN"/>
        </w:rPr>
        <w:t>聚贤风情小镇项目资金项目</w:t>
      </w:r>
      <w:r>
        <w:rPr>
          <w:rFonts w:hint="default" w:ascii="Times New Roman" w:hAnsi="Times New Roman" w:eastAsia="仿宋_GB2312" w:cs="Times New Roman"/>
          <w:b w:val="0"/>
          <w:bCs w:val="0"/>
          <w:color w:val="auto"/>
          <w:position w:val="0"/>
          <w:sz w:val="32"/>
          <w:szCs w:val="32"/>
          <w:highlight w:val="none"/>
          <w:u w:val="none"/>
          <w:lang w:val="en-US" w:eastAsia="zh-CN"/>
        </w:rPr>
        <w:t>绩效目标完成，按时返还投资款，达到预期效果。该项指标9分，得9分。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bidi w:val="0"/>
        <w:rPr>
          <w:rFonts w:hint="default"/>
          <w:lang w:val="en-US" w:eastAsia="zh-CN"/>
        </w:rPr>
      </w:pPr>
      <w:r>
        <w:rPr>
          <w:rFonts w:hint="default"/>
          <w:lang w:val="en-US" w:eastAsia="zh-CN"/>
        </w:rPr>
        <w:t>聚贤风情小镇项目资金项目属于行政运转类项目，具体分析如下：</w:t>
      </w:r>
    </w:p>
    <w:p>
      <w:pPr>
        <w:bidi w:val="0"/>
        <w:rPr>
          <w:rFonts w:hint="default"/>
          <w:lang w:val="en-US"/>
        </w:rPr>
      </w:pPr>
      <w:r>
        <w:rPr>
          <w:rFonts w:hint="default"/>
          <w:lang w:val="zh-CN"/>
        </w:rPr>
        <w:t>用途合规性：</w:t>
      </w:r>
      <w:r>
        <w:rPr>
          <w:rFonts w:hint="default"/>
          <w:lang w:val="en-US" w:eastAsia="zh-CN"/>
        </w:rPr>
        <w:t>聚贤风情小镇项目资金项目实施是返还新地置业前期投资款，推进省委巡视问题整改，用途合规。该项指标10分，得10分。</w:t>
      </w:r>
    </w:p>
    <w:p>
      <w:pPr>
        <w:bidi w:val="0"/>
        <w:rPr>
          <w:rFonts w:hint="default"/>
          <w:lang w:val="en-US"/>
        </w:rPr>
      </w:pPr>
      <w:r>
        <w:rPr>
          <w:rFonts w:hint="default"/>
          <w:lang w:val="zh-CN"/>
        </w:rPr>
        <w:t>程序合规性：</w:t>
      </w:r>
      <w:r>
        <w:rPr>
          <w:rFonts w:hint="default"/>
          <w:lang w:val="en-US" w:eastAsia="zh-CN"/>
        </w:rPr>
        <w:t>聚贤风情小镇项目资金项目实施法院仲裁、安居区人民政府同意、聚贤镇党委会议通过，程序合规。该项指标10分，得10分。</w:t>
      </w:r>
    </w:p>
    <w:p>
      <w:pPr>
        <w:bidi w:val="0"/>
        <w:rPr>
          <w:rFonts w:hint="default"/>
          <w:lang w:val="zh-CN"/>
        </w:rPr>
      </w:pPr>
      <w:r>
        <w:rPr>
          <w:rFonts w:hint="default"/>
          <w:lang w:val="zh-CN"/>
        </w:rPr>
        <w:t>标准合规性：</w:t>
      </w:r>
      <w:r>
        <w:rPr>
          <w:rFonts w:hint="default"/>
          <w:lang w:val="en-US" w:eastAsia="zh-CN"/>
        </w:rPr>
        <w:t>聚贤风情小镇项目资金项目</w:t>
      </w:r>
      <w:r>
        <w:rPr>
          <w:rFonts w:hint="default"/>
          <w:lang w:val="zh-CN"/>
        </w:rPr>
        <w:t>符合相关资金管理办法的相关标准和要求，项目实施达到预期效果。</w:t>
      </w:r>
      <w:r>
        <w:rPr>
          <w:rFonts w:hint="default"/>
          <w:lang w:val="en-US" w:eastAsia="zh-CN"/>
        </w:rPr>
        <w:t>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position w:val="0"/>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（三）</w:t>
      </w:r>
      <w:r>
        <w:rPr>
          <w:rFonts w:hint="default" w:ascii="Times New Roman" w:hAnsi="Times New Roman"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val="0"/>
          <w:color w:val="auto"/>
          <w:position w:val="0"/>
          <w:sz w:val="32"/>
          <w:szCs w:val="32"/>
          <w:highlight w:val="none"/>
          <w:u w:val="none"/>
          <w:lang w:val="en-US" w:eastAsia="zh-CN"/>
        </w:rPr>
      </w:pPr>
      <w:r>
        <w:rPr>
          <w:rFonts w:hint="default" w:ascii="Times New Roman" w:hAnsi="Times New Roman" w:eastAsia="仿宋_GB2312" w:cs="Times New Roman"/>
          <w:b w:val="0"/>
          <w:bCs w:val="0"/>
          <w:color w:val="auto"/>
          <w:position w:val="0"/>
          <w:sz w:val="32"/>
          <w:szCs w:val="32"/>
          <w:highlight w:val="none"/>
          <w:u w:val="none"/>
          <w:lang w:eastAsia="zh-CN"/>
        </w:rPr>
        <w:t>返还时间≤</w:t>
      </w:r>
      <w:r>
        <w:rPr>
          <w:rFonts w:hint="default" w:ascii="Times New Roman" w:hAnsi="Times New Roman" w:eastAsia="仿宋_GB2312" w:cs="Times New Roman"/>
          <w:b w:val="0"/>
          <w:bCs w:val="0"/>
          <w:color w:val="auto"/>
          <w:position w:val="0"/>
          <w:sz w:val="32"/>
          <w:szCs w:val="32"/>
          <w:highlight w:val="none"/>
          <w:u w:val="none"/>
          <w:lang w:val="en-US" w:eastAsia="zh-CN"/>
        </w:rPr>
        <w:t>15天</w:t>
      </w:r>
      <w:r>
        <w:rPr>
          <w:rFonts w:hint="default" w:ascii="Times New Roman" w:hAnsi="Times New Roman" w:eastAsia="仿宋_GB2312" w:cs="Times New Roman"/>
          <w:b w:val="0"/>
          <w:bCs w:val="0"/>
          <w:color w:val="auto"/>
          <w:position w:val="0"/>
          <w:sz w:val="32"/>
          <w:szCs w:val="32"/>
          <w:highlight w:val="none"/>
          <w:u w:val="none"/>
          <w:lang w:eastAsia="zh-CN"/>
        </w:rPr>
        <w:t>：在项目资金下达后，返还新地置业前期项目投资款仅用时</w:t>
      </w:r>
      <w:r>
        <w:rPr>
          <w:rFonts w:hint="default" w:ascii="Times New Roman" w:hAnsi="Times New Roman" w:eastAsia="仿宋_GB2312" w:cs="Times New Roman"/>
          <w:b w:val="0"/>
          <w:bCs w:val="0"/>
          <w:color w:val="auto"/>
          <w:position w:val="0"/>
          <w:sz w:val="32"/>
          <w:szCs w:val="32"/>
          <w:highlight w:val="none"/>
          <w:u w:val="none"/>
          <w:lang w:val="en-US" w:eastAsia="zh-CN"/>
        </w:rPr>
        <w:t>3天。该项指标16分、得16分</w:t>
      </w:r>
      <w:r>
        <w:rPr>
          <w:rFonts w:hint="eastAsia" w:ascii="Times New Roman" w:hAnsi="Times New Roman" w:eastAsia="仿宋_GB2312" w:cs="Times New Roman"/>
          <w:b w:val="0"/>
          <w:bCs w:val="0"/>
          <w:color w:val="auto"/>
          <w:position w:val="0"/>
          <w:sz w:val="32"/>
          <w:szCs w:val="32"/>
          <w:highlight w:val="none"/>
          <w:u w:val="none"/>
          <w:lang w:val="en-US" w:eastAsia="zh-CN"/>
        </w:rPr>
        <w:t>。</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黑体" w:cs="Times New Roman"/>
          <w:color w:val="auto"/>
          <w:position w:val="0"/>
          <w:sz w:val="32"/>
          <w:szCs w:val="32"/>
          <w:highlight w:val="none"/>
          <w:u w:val="none"/>
          <w:lang w:eastAsia="zh-CN"/>
        </w:rPr>
        <w:t>四</w:t>
      </w:r>
      <w:r>
        <w:rPr>
          <w:rFonts w:hint="default" w:ascii="Times New Roman" w:hAnsi="Times New Roman" w:eastAsia="黑体" w:cs="Times New Roman"/>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经综合评价</w:t>
      </w:r>
      <w:r>
        <w:rPr>
          <w:rFonts w:hint="eastAsia" w:ascii="仿宋_GB2312" w:hAnsi="仿宋_GB2312" w:eastAsia="仿宋_GB2312" w:cs="仿宋_GB2312"/>
          <w:color w:val="auto"/>
          <w:position w:val="0"/>
          <w:sz w:val="32"/>
          <w:szCs w:val="32"/>
          <w:highlight w:val="none"/>
          <w:u w:val="none"/>
          <w:lang w:eastAsia="zh-CN"/>
        </w:rPr>
        <w:t>，</w:t>
      </w:r>
      <w:r>
        <w:rPr>
          <w:rFonts w:hint="default" w:ascii="Times New Roman" w:hAnsi="Times New Roman" w:eastAsia="仿宋_GB2312" w:cs="Times New Roman"/>
          <w:b w:val="0"/>
          <w:bCs/>
          <w:color w:val="auto"/>
          <w:position w:val="0"/>
          <w:sz w:val="32"/>
          <w:szCs w:val="32"/>
          <w:highlight w:val="none"/>
          <w:u w:val="none"/>
          <w:lang w:val="en-US" w:eastAsia="zh-CN"/>
        </w:rPr>
        <w:t>聚贤风情小镇项目资金项目绩效自评总分为</w:t>
      </w:r>
      <w:r>
        <w:rPr>
          <w:rFonts w:hint="eastAsia" w:ascii="Times New Roman" w:eastAsia="仿宋_GB2312" w:cs="Times New Roman"/>
          <w:b w:val="0"/>
          <w:bCs/>
          <w:color w:val="auto"/>
          <w:position w:val="0"/>
          <w:sz w:val="32"/>
          <w:szCs w:val="32"/>
          <w:highlight w:val="none"/>
          <w:u w:val="none"/>
          <w:lang w:val="en-US" w:eastAsia="zh-CN"/>
        </w:rPr>
        <w:t>100</w:t>
      </w:r>
      <w:r>
        <w:rPr>
          <w:rFonts w:hint="default" w:ascii="Times New Roman" w:hAnsi="Times New Roman" w:eastAsia="仿宋_GB2312" w:cs="Times New Roman"/>
          <w:b w:val="0"/>
          <w:bCs/>
          <w:color w:val="auto"/>
          <w:position w:val="0"/>
          <w:sz w:val="32"/>
          <w:szCs w:val="32"/>
          <w:highlight w:val="none"/>
          <w:u w:val="none"/>
          <w:lang w:val="en-US" w:eastAsia="zh-CN"/>
        </w:rPr>
        <w:t>分。项目完成既定绩效目标，预算执行率100%，顺利返还新地置业前期投资款，推进省委巡视问题整改。</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default" w:ascii="Times New Roman" w:hAnsi="Times New Roman"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虽然返还了新地置业前期投资款，但是聚贤小镇整个改造项目还有部分工程款未结清，需要资金支持。</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kern w:val="0"/>
          <w:position w:val="0"/>
          <w:sz w:val="32"/>
          <w:szCs w:val="32"/>
          <w:highlight w:val="none"/>
          <w:u w:val="none"/>
          <w:lang w:val="zh-CN" w:eastAsia="zh-CN" w:bidi="ar-SA"/>
        </w:rPr>
      </w:pPr>
      <w:r>
        <w:rPr>
          <w:rFonts w:hint="default" w:ascii="Times New Roman" w:hAnsi="Times New Roman"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Cs w:val="32"/>
          <w:highlight w:val="none"/>
          <w:shd w:val="clear" w:color="auto" w:fill="FFFFFF"/>
          <w:lang w:val="zh-CN" w:eastAsia="zh-CN"/>
        </w:rPr>
      </w:pPr>
      <w:r>
        <w:rPr>
          <w:rFonts w:hint="default" w:ascii="Times New Roman" w:hAnsi="Times New Roman" w:cs="Times New Roman"/>
          <w:color w:val="000000"/>
          <w:kern w:val="0"/>
          <w:position w:val="0"/>
          <w:sz w:val="32"/>
          <w:szCs w:val="32"/>
          <w:highlight w:val="none"/>
          <w:shd w:val="clear" w:color="auto" w:fill="FFFFFF"/>
          <w:lang w:val="zh-CN" w:eastAsia="zh-CN"/>
        </w:rPr>
        <w:t>一是加强资金统筹管理，完善多部门联动机制；二是建议增加</w:t>
      </w:r>
      <w:r>
        <w:rPr>
          <w:rFonts w:hint="default" w:ascii="Times New Roman" w:hAnsi="Times New Roman" w:cs="Times New Roman"/>
          <w:b w:val="0"/>
          <w:bCs/>
          <w:color w:val="auto"/>
          <w:position w:val="0"/>
          <w:sz w:val="32"/>
          <w:szCs w:val="32"/>
          <w:highlight w:val="none"/>
          <w:u w:val="none"/>
          <w:lang w:val="en-US" w:eastAsia="zh-CN"/>
        </w:rPr>
        <w:t>聚贤小镇项目工作资金投入，保障工作开展。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Times New Roman" w:hAnsi="Times New Roman" w:eastAsia="仿宋_GB2312" w:cs="Times New Roman"/>
          <w:kern w:val="2"/>
          <w:sz w:val="32"/>
          <w:szCs w:val="24"/>
          <w:lang w:val="en-US" w:eastAsia="zh-CN" w:bidi="ar-SA"/>
        </w:rPr>
      </w:pPr>
      <w:r>
        <w:rPr>
          <w:rFonts w:hint="default" w:ascii="Times New Roman" w:hAnsi="Times New Roman" w:cs="Times New Roman"/>
          <w:color w:val="000000"/>
          <w:kern w:val="0"/>
          <w:position w:val="0"/>
          <w:szCs w:val="32"/>
          <w:highlight w:val="none"/>
          <w:shd w:val="clear" w:color="auto" w:fill="FFFFFF"/>
          <w:lang w:val="en-US" w:eastAsia="zh-CN"/>
        </w:rPr>
        <w:t>附表：专项资金绩效目标完成情况自评表</w:t>
      </w:r>
    </w:p>
    <w:tbl>
      <w:tblPr>
        <w:tblStyle w:val="15"/>
        <w:tblW w:w="5000" w:type="pct"/>
        <w:tblInd w:w="0" w:type="dxa"/>
        <w:shd w:val="clear" w:color="auto" w:fill="auto"/>
        <w:tblLayout w:type="autofit"/>
        <w:tblCellMar>
          <w:top w:w="0" w:type="dxa"/>
          <w:left w:w="0" w:type="dxa"/>
          <w:bottom w:w="0" w:type="dxa"/>
          <w:right w:w="0" w:type="dxa"/>
        </w:tblCellMar>
      </w:tblPr>
      <w:tblGrid>
        <w:gridCol w:w="390"/>
        <w:gridCol w:w="930"/>
        <w:gridCol w:w="1650"/>
        <w:gridCol w:w="2650"/>
        <w:gridCol w:w="390"/>
        <w:gridCol w:w="390"/>
        <w:gridCol w:w="390"/>
        <w:gridCol w:w="660"/>
        <w:gridCol w:w="300"/>
        <w:gridCol w:w="210"/>
        <w:gridCol w:w="376"/>
      </w:tblGrid>
      <w:tr>
        <w:tblPrEx>
          <w:shd w:val="clear" w:color="auto" w:fill="auto"/>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06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51090425T000013212686-聚贤风情小镇项目资金</w:t>
            </w:r>
          </w:p>
        </w:tc>
      </w:tr>
      <w:tr>
        <w:tblPrEx>
          <w:tblCellMar>
            <w:top w:w="0" w:type="dxa"/>
            <w:left w:w="0" w:type="dxa"/>
            <w:bottom w:w="0" w:type="dxa"/>
            <w:right w:w="0" w:type="dxa"/>
          </w:tblCellMar>
        </w:tblPrEx>
        <w:trPr>
          <w:trHeight w:val="512" w:hRule="atLeast"/>
        </w:trPr>
        <w:tc>
          <w:tcPr>
            <w:tcW w:w="93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遂宁市安居区聚贤镇人民政府部门</w:t>
            </w:r>
          </w:p>
        </w:tc>
        <w:tc>
          <w:tcPr>
            <w:tcW w:w="377" w:type="pc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187"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24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15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249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返还聚贤风情小镇投资款</w:t>
            </w:r>
          </w:p>
        </w:tc>
        <w:tc>
          <w:tcPr>
            <w:tcW w:w="15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4060"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返还聚贤风情小镇投资款</w:t>
            </w:r>
          </w:p>
        </w:tc>
      </w:tr>
      <w:tr>
        <w:tblPrEx>
          <w:tblCellMar>
            <w:top w:w="0" w:type="dxa"/>
            <w:left w:w="0" w:type="dxa"/>
            <w:bottom w:w="0" w:type="dxa"/>
            <w:right w:w="0" w:type="dxa"/>
          </w:tblCellMar>
        </w:tblPrEx>
        <w:trPr>
          <w:trHeight w:val="361"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6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5,653.97</w:t>
            </w:r>
          </w:p>
        </w:tc>
        <w:tc>
          <w:tcPr>
            <w:tcW w:w="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5,653.97</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91"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5,653.97</w:t>
            </w:r>
          </w:p>
        </w:tc>
        <w:tc>
          <w:tcPr>
            <w:tcW w:w="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5,653.97</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07"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61"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6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93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7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建设聚贤风情小镇</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聚贤风情小镇建设治理</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3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360" w:firstLineChars="20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返还投资款工作进行良好</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7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w:t>
            </w:r>
          </w:p>
        </w:tc>
        <w:tc>
          <w:tcPr>
            <w:tcW w:w="1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w:t>
            </w:r>
          </w:p>
        </w:tc>
        <w:tc>
          <w:tcPr>
            <w:tcW w:w="1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5653.97万元</w:t>
            </w:r>
          </w:p>
        </w:tc>
        <w:tc>
          <w:tcPr>
            <w:tcW w:w="1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286" w:hRule="atLeast"/>
        </w:trPr>
        <w:tc>
          <w:tcPr>
            <w:tcW w:w="381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603"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476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项目完成既定绩效目标，预算执行率100%，顺利返还新地置业前期投资款，推进省委巡视问题整改。</w:t>
            </w:r>
          </w:p>
        </w:tc>
      </w:tr>
      <w:tr>
        <w:tblPrEx>
          <w:tblCellMar>
            <w:top w:w="0" w:type="dxa"/>
            <w:left w:w="0" w:type="dxa"/>
            <w:bottom w:w="0" w:type="dxa"/>
            <w:right w:w="0" w:type="dxa"/>
          </w:tblCellMar>
        </w:tblPrEx>
        <w:trPr>
          <w:trHeight w:val="572"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476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虽然返还了新地置业前期投资款，但是聚贤小镇整个改造项目还有部分工程款未结清，需要资金支持。</w:t>
            </w:r>
          </w:p>
        </w:tc>
      </w:tr>
      <w:tr>
        <w:tblPrEx>
          <w:tblCellMar>
            <w:top w:w="0" w:type="dxa"/>
            <w:left w:w="0" w:type="dxa"/>
            <w:bottom w:w="0" w:type="dxa"/>
            <w:right w:w="0" w:type="dxa"/>
          </w:tblCellMar>
        </w:tblPrEx>
        <w:trPr>
          <w:trHeight w:val="633" w:hRule="atLeast"/>
        </w:trPr>
        <w:tc>
          <w:tcPr>
            <w:tcW w:w="2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4764"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一是加强资金统筹管理，完善多部门联动机制；二是建议增加聚贤小镇项目工作资金投入，保障工作开展。</w:t>
            </w:r>
          </w:p>
        </w:tc>
      </w:tr>
      <w:tr>
        <w:tblPrEx>
          <w:tblCellMar>
            <w:top w:w="0" w:type="dxa"/>
            <w:left w:w="0" w:type="dxa"/>
            <w:bottom w:w="0" w:type="dxa"/>
            <w:right w:w="0" w:type="dxa"/>
          </w:tblCellMar>
        </w:tblPrEx>
        <w:trPr>
          <w:trHeight w:val="286" w:hRule="atLeast"/>
        </w:trPr>
        <w:tc>
          <w:tcPr>
            <w:tcW w:w="268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项目负责人：彭岚</w:t>
            </w:r>
          </w:p>
        </w:tc>
        <w:tc>
          <w:tcPr>
            <w:tcW w:w="231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财务负责人：陈维维</w:t>
            </w:r>
          </w:p>
        </w:tc>
      </w:tr>
    </w:tbl>
    <w:p>
      <w:pPr>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br w:type="page"/>
      </w:r>
    </w:p>
    <w:p>
      <w:pPr>
        <w:pStyle w:val="22"/>
        <w:keepNext w:val="0"/>
        <w:keepLines w:val="0"/>
        <w:pageBreakBefore w:val="0"/>
        <w:widowControl w:val="0"/>
        <w:kinsoku/>
        <w:wordWrap/>
        <w:overflowPunct/>
        <w:topLinePunct w:val="0"/>
        <w:autoSpaceDE/>
        <w:autoSpaceDN/>
        <w:bidi w:val="0"/>
        <w:spacing w:line="578"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2"/>
          <w:position w:val="0"/>
          <w:sz w:val="44"/>
          <w:szCs w:val="44"/>
          <w:highlight w:val="none"/>
          <w:lang w:val="en-US" w:eastAsia="zh-CN"/>
        </w:rPr>
      </w:pPr>
      <w:r>
        <w:rPr>
          <w:rFonts w:hint="eastAsia" w:ascii="方正小标宋简体" w:hAnsi="方正小标宋简体" w:eastAsia="方正小标宋简体" w:cs="方正小标宋简体"/>
          <w:color w:val="auto"/>
          <w:kern w:val="2"/>
          <w:position w:val="0"/>
          <w:sz w:val="44"/>
          <w:szCs w:val="44"/>
          <w:highlight w:val="none"/>
          <w:lang w:val="en-US" w:eastAsia="zh-CN"/>
        </w:rPr>
        <w:t>专项资金绩效自评报告</w:t>
      </w:r>
    </w:p>
    <w:p>
      <w:pPr>
        <w:pStyle w:val="22"/>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rPr>
          <w:rFonts w:hint="eastAsia" w:ascii="仿宋_GB2312" w:hAnsi="仿宋_GB2312" w:eastAsia="仿宋_GB2312" w:cs="仿宋_GB2312"/>
          <w:color w:val="auto"/>
          <w:kern w:val="2"/>
          <w:position w:val="0"/>
          <w:sz w:val="32"/>
          <w:szCs w:val="32"/>
          <w:highlight w:val="none"/>
        </w:rPr>
      </w:pPr>
      <w:r>
        <w:rPr>
          <w:rFonts w:hint="eastAsia" w:ascii="仿宋_GB2312" w:hAnsi="仿宋_GB2312" w:eastAsia="仿宋_GB2312" w:cs="仿宋_GB2312"/>
          <w:color w:val="auto"/>
          <w:kern w:val="2"/>
          <w:position w:val="0"/>
          <w:sz w:val="32"/>
          <w:szCs w:val="32"/>
          <w:highlight w:val="none"/>
        </w:rPr>
        <w:t>（聚贤镇2020年脱贫攻坚“两通工程”项目）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hint="default" w:ascii="Times New Roman" w:hAnsi="Times New Roman" w:eastAsia="黑体" w:cs="Times New Roman"/>
          <w:positio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position w:val="0"/>
          <w:sz w:val="32"/>
          <w:szCs w:val="32"/>
          <w:highlight w:val="none"/>
          <w:lang w:val="zh-CN"/>
        </w:rPr>
      </w:pPr>
      <w:r>
        <w:rPr>
          <w:rFonts w:hint="default" w:ascii="Times New Roman" w:hAnsi="Times New Roman" w:eastAsia="黑体" w:cs="Times New Roman"/>
          <w:position w:val="0"/>
          <w:sz w:val="32"/>
          <w:szCs w:val="32"/>
          <w:highlight w:val="none"/>
        </w:rPr>
        <w:t>一、</w:t>
      </w:r>
      <w:r>
        <w:rPr>
          <w:rFonts w:hint="default" w:ascii="Times New Roman" w:hAnsi="Times New Roman" w:eastAsia="黑体" w:cs="Times New Roman"/>
          <w:position w:val="0"/>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eastAsia="仿宋_GB2312"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2020年聚贤镇脱贫攻坚“两通工程”项目已完工且已完成项目审计，该项目主要包括新建金石路等5条道路。该项目审定工程款1449.4万元，已拨付1108.61万元，剩余340.79万元</w:t>
      </w:r>
      <w:r>
        <w:rPr>
          <w:rFonts w:hint="eastAsia" w:cs="Times New Roman"/>
          <w:b w:val="0"/>
          <w:bCs/>
          <w:color w:val="auto"/>
          <w:position w:val="0"/>
          <w:sz w:val="32"/>
          <w:szCs w:val="32"/>
          <w:highlight w:val="none"/>
          <w:u w:val="none"/>
          <w:lang w:val="en-US" w:eastAsia="zh-CN"/>
        </w:rPr>
        <w:t>道路</w:t>
      </w:r>
      <w:r>
        <w:rPr>
          <w:rFonts w:hint="default" w:ascii="Times New Roman" w:hAnsi="Times New Roman" w:eastAsia="仿宋_GB2312" w:cs="Times New Roman"/>
          <w:b w:val="0"/>
          <w:bCs/>
          <w:color w:val="auto"/>
          <w:position w:val="0"/>
          <w:sz w:val="32"/>
          <w:szCs w:val="32"/>
          <w:highlight w:val="none"/>
          <w:u w:val="none"/>
          <w:lang w:val="en-US" w:eastAsia="zh-CN"/>
        </w:rPr>
        <w:t>项目资金未拨付，该笔资金已纳入遂宁高新区管委会与安居区2022年区划调整债权债务审计并确认，因涉及农民工工资和辖区稳定，聚贤镇设立聚贤镇2020年脱贫攻坚“两通工程”项目。项目主要内容是</w:t>
      </w:r>
      <w:r>
        <w:rPr>
          <w:rFonts w:hint="default" w:ascii="Times New Roman" w:hAnsi="Times New Roman" w:cs="Times New Roman"/>
          <w:b w:val="0"/>
          <w:bCs/>
          <w:color w:val="auto"/>
          <w:position w:val="0"/>
          <w:sz w:val="32"/>
          <w:szCs w:val="32"/>
          <w:highlight w:val="none"/>
          <w:u w:val="none"/>
          <w:lang w:val="en-US" w:eastAsia="zh-CN"/>
        </w:rPr>
        <w:t>拨付</w:t>
      </w:r>
      <w:r>
        <w:rPr>
          <w:rFonts w:hint="default" w:ascii="Times New Roman" w:hAnsi="Times New Roman" w:eastAsia="仿宋_GB2312" w:cs="Times New Roman"/>
          <w:b w:val="0"/>
          <w:bCs/>
          <w:color w:val="auto"/>
          <w:position w:val="0"/>
          <w:sz w:val="32"/>
          <w:szCs w:val="32"/>
          <w:highlight w:val="none"/>
          <w:u w:val="none"/>
          <w:lang w:val="en-US" w:eastAsia="zh-CN"/>
        </w:rPr>
        <w:t>包括新建金石路等5条道路项目剩余工程款。聚贤镇人民政府作为主管部门，主要职能包括统筹规划项目实施，协调各方资源，监督项目资金拨付到位，确保项目顺利完成。</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实施目的及支持方向。</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zh-CN" w:eastAsia="zh-CN"/>
        </w:rPr>
      </w:pPr>
      <w:r>
        <w:rPr>
          <w:rFonts w:hint="default" w:ascii="Times New Roman" w:hAnsi="Times New Roman" w:eastAsia="仿宋_GB2312" w:cs="Times New Roman"/>
          <w:b w:val="0"/>
          <w:bCs/>
          <w:color w:val="auto"/>
          <w:position w:val="0"/>
          <w:sz w:val="32"/>
          <w:szCs w:val="32"/>
          <w:highlight w:val="none"/>
          <w:u w:val="none"/>
          <w:lang w:val="zh-CN" w:eastAsia="zh-CN"/>
        </w:rPr>
        <w:t>项目资金严格按照财务会计管理，</w:t>
      </w:r>
      <w:r>
        <w:rPr>
          <w:rFonts w:hint="eastAsia" w:cs="Times New Roman"/>
          <w:b w:val="0"/>
          <w:bCs/>
          <w:color w:val="auto"/>
          <w:position w:val="0"/>
          <w:sz w:val="32"/>
          <w:szCs w:val="32"/>
          <w:highlight w:val="none"/>
          <w:u w:val="none"/>
          <w:lang w:val="zh-CN" w:eastAsia="zh-CN"/>
        </w:rPr>
        <w:t>实行</w:t>
      </w:r>
      <w:r>
        <w:rPr>
          <w:rFonts w:hint="default" w:ascii="Times New Roman" w:hAnsi="Times New Roman" w:eastAsia="仿宋_GB2312" w:cs="Times New Roman"/>
          <w:b w:val="0"/>
          <w:bCs/>
          <w:color w:val="auto"/>
          <w:position w:val="0"/>
          <w:sz w:val="32"/>
          <w:szCs w:val="32"/>
          <w:highlight w:val="none"/>
          <w:u w:val="none"/>
          <w:lang w:val="zh-CN" w:eastAsia="zh-CN"/>
        </w:rPr>
        <w:t>报账制，保证专款专用，按有关程序要求保证，并接受纪委和财政部门检查监督，符合资金管理办法等相关规定。项目实施目的在于维护辖区稳定，保障农民工权益。主要工作任务是</w:t>
      </w:r>
      <w:r>
        <w:rPr>
          <w:rFonts w:hint="default" w:ascii="Times New Roman" w:hAnsi="Times New Roman" w:cs="Times New Roman"/>
          <w:b w:val="0"/>
          <w:bCs/>
          <w:color w:val="auto"/>
          <w:position w:val="0"/>
          <w:sz w:val="32"/>
          <w:szCs w:val="32"/>
          <w:highlight w:val="none"/>
          <w:u w:val="none"/>
          <w:lang w:val="en-US" w:eastAsia="zh-CN"/>
        </w:rPr>
        <w:t>拨付</w:t>
      </w:r>
      <w:r>
        <w:rPr>
          <w:rFonts w:hint="default" w:ascii="Times New Roman" w:hAnsi="Times New Roman" w:eastAsia="仿宋_GB2312" w:cs="Times New Roman"/>
          <w:b w:val="0"/>
          <w:bCs/>
          <w:color w:val="auto"/>
          <w:position w:val="0"/>
          <w:sz w:val="32"/>
          <w:szCs w:val="32"/>
          <w:highlight w:val="none"/>
          <w:u w:val="none"/>
          <w:lang w:val="en-US" w:eastAsia="zh-CN"/>
        </w:rPr>
        <w:t>包括新建金石路等5条道路项目剩余工程款</w:t>
      </w:r>
      <w:r>
        <w:rPr>
          <w:rFonts w:hint="default" w:ascii="Times New Roman" w:hAnsi="Times New Roman" w:cs="Times New Roman"/>
          <w:b w:val="0"/>
          <w:bCs/>
          <w:color w:val="auto"/>
          <w:position w:val="0"/>
          <w:sz w:val="32"/>
          <w:szCs w:val="32"/>
          <w:highlight w:val="none"/>
          <w:u w:val="none"/>
          <w:lang w:val="en-US" w:eastAsia="zh-CN"/>
        </w:rPr>
        <w:t>。项目支持方向是民生交通领域，重点解决群众</w:t>
      </w:r>
      <w:r>
        <w:rPr>
          <w:rFonts w:hint="eastAsia" w:cs="Times New Roman"/>
          <w:b w:val="0"/>
          <w:bCs/>
          <w:color w:val="auto"/>
          <w:position w:val="0"/>
          <w:sz w:val="32"/>
          <w:szCs w:val="32"/>
          <w:highlight w:val="none"/>
          <w:u w:val="none"/>
          <w:lang w:val="en-US" w:eastAsia="zh-CN"/>
        </w:rPr>
        <w:t>反映</w:t>
      </w:r>
      <w:r>
        <w:rPr>
          <w:rFonts w:hint="default" w:ascii="Times New Roman" w:hAnsi="Times New Roman" w:cs="Times New Roman"/>
          <w:b w:val="0"/>
          <w:bCs/>
          <w:color w:val="auto"/>
          <w:position w:val="0"/>
          <w:sz w:val="32"/>
          <w:szCs w:val="32"/>
          <w:highlight w:val="none"/>
          <w:u w:val="none"/>
          <w:lang w:val="en-US" w:eastAsia="zh-CN"/>
        </w:rPr>
        <w:t>的交通不便等问题。</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right="0" w:rightChars="0" w:firstLine="643" w:firstLineChars="200"/>
        <w:contextualSpacing/>
        <w:jc w:val="left"/>
        <w:textAlignment w:val="auto"/>
        <w:rPr>
          <w:rFonts w:hint="default" w:ascii="Times New Roman" w:hAnsi="Times New Roman" w:cs="Times New Roman"/>
          <w:color w:val="auto"/>
          <w:kern w:val="0"/>
          <w:position w:val="0"/>
          <w:sz w:val="32"/>
          <w:szCs w:val="32"/>
          <w:highlight w:val="none"/>
          <w:u w:val="none"/>
          <w:shd w:val="clear" w:color="auto" w:fill="FFFFFF"/>
          <w:lang w:val="zh-CN"/>
        </w:rPr>
      </w:pPr>
      <w:r>
        <w:rPr>
          <w:rFonts w:hint="default" w:ascii="Times New Roman" w:hAnsi="Times New Roman" w:eastAsia="楷体_GB2312" w:cs="Times New Roman"/>
          <w:b/>
          <w:color w:val="auto"/>
          <w:position w:val="0"/>
          <w:sz w:val="32"/>
          <w:szCs w:val="32"/>
          <w:highlight w:val="none"/>
          <w:u w:val="none"/>
          <w:lang w:val="zh-CN" w:eastAsia="zh-CN"/>
        </w:rPr>
        <w:t>（三）</w:t>
      </w:r>
      <w:r>
        <w:rPr>
          <w:rFonts w:hint="default" w:ascii="Times New Roman" w:hAnsi="Times New Roman" w:eastAsia="楷体_GB2312" w:cs="Times New Roman"/>
          <w:b/>
          <w:color w:val="auto"/>
          <w:position w:val="0"/>
          <w:sz w:val="32"/>
          <w:szCs w:val="32"/>
          <w:highlight w:val="none"/>
          <w:u w:val="none"/>
          <w:lang w:val="en-US" w:eastAsia="zh-CN"/>
        </w:rPr>
        <w:t>预算安排及分配管理</w:t>
      </w:r>
      <w:r>
        <w:rPr>
          <w:rFonts w:hint="default" w:ascii="Times New Roman" w:hAnsi="Times New Roman" w:eastAsia="楷体_GB2312" w:cs="Times New Roman"/>
          <w:b/>
          <w:color w:val="auto"/>
          <w:position w:val="0"/>
          <w:sz w:val="32"/>
          <w:szCs w:val="32"/>
          <w:highlight w:val="none"/>
          <w:u w:val="none"/>
          <w:lang w:val="zh-CN"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聚贤镇2020年脱贫攻坚“两通工程”项目</w:t>
      </w:r>
      <w:r>
        <w:rPr>
          <w:rFonts w:hint="default" w:ascii="Times New Roman" w:hAnsi="Times New Roman" w:cs="Times New Roman"/>
          <w:b w:val="0"/>
          <w:bCs/>
          <w:color w:val="auto"/>
          <w:position w:val="0"/>
          <w:sz w:val="32"/>
          <w:szCs w:val="32"/>
          <w:highlight w:val="none"/>
          <w:u w:val="none"/>
          <w:lang w:val="en-US" w:eastAsia="zh-CN"/>
        </w:rPr>
        <w:t>预算总额为50万元，其中财政资金50万元。项目资金全用于拨付</w:t>
      </w:r>
      <w:r>
        <w:rPr>
          <w:rFonts w:hint="default" w:ascii="Times New Roman" w:hAnsi="Times New Roman" w:eastAsia="仿宋_GB2312" w:cs="Times New Roman"/>
          <w:b w:val="0"/>
          <w:bCs/>
          <w:color w:val="auto"/>
          <w:position w:val="0"/>
          <w:sz w:val="32"/>
          <w:szCs w:val="32"/>
          <w:highlight w:val="none"/>
          <w:u w:val="none"/>
          <w:lang w:val="en-US" w:eastAsia="zh-CN"/>
        </w:rPr>
        <w:t>包括新建金石路等5条道路项目剩余工程款</w:t>
      </w:r>
      <w:r>
        <w:rPr>
          <w:rFonts w:hint="default" w:ascii="Times New Roman" w:hAnsi="Times New Roman" w:cs="Times New Roman"/>
          <w:b w:val="0"/>
          <w:bCs/>
          <w:color w:val="auto"/>
          <w:positio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cs="Times New Roman"/>
          <w:color w:val="auto"/>
          <w:kern w:val="0"/>
          <w:position w:val="0"/>
          <w:sz w:val="32"/>
          <w:szCs w:val="32"/>
          <w:highlight w:val="none"/>
          <w:u w:val="none"/>
          <w:shd w:val="clear" w:color="auto" w:fill="FFFFFF"/>
          <w:lang w:val="zh-CN" w:eastAsia="zh-CN"/>
        </w:rPr>
      </w:pPr>
      <w:r>
        <w:rPr>
          <w:rFonts w:hint="default" w:ascii="Times New Roman" w:hAnsi="Times New Roman" w:eastAsia="楷体_GB2312" w:cs="Times New Roman"/>
          <w:b/>
          <w:color w:val="auto"/>
          <w:position w:val="0"/>
          <w:sz w:val="32"/>
          <w:szCs w:val="32"/>
          <w:highlight w:val="none"/>
          <w:u w:val="none"/>
          <w:lang w:val="zh-CN" w:eastAsia="zh-CN"/>
        </w:rPr>
        <w:t>（四）项目绩效目标设置。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position w:val="0"/>
          <w:sz w:val="32"/>
          <w:szCs w:val="32"/>
          <w:highlight w:val="none"/>
          <w:lang w:eastAsia="zh-CN"/>
        </w:rPr>
      </w:pPr>
      <w:r>
        <w:rPr>
          <w:rFonts w:hint="default" w:ascii="Times New Roman" w:hAnsi="Times New Roman" w:eastAsia="仿宋_GB2312" w:cs="Times New Roman"/>
          <w:b w:val="0"/>
          <w:bCs w:val="0"/>
          <w:position w:val="0"/>
          <w:sz w:val="32"/>
          <w:szCs w:val="32"/>
          <w:highlight w:val="none"/>
          <w:lang w:eastAsia="zh-CN"/>
        </w:rPr>
        <w:t>整体绩效目标：保证</w:t>
      </w:r>
      <w:r>
        <w:rPr>
          <w:rFonts w:hint="default" w:ascii="Times New Roman" w:hAnsi="Times New Roman" w:eastAsia="仿宋_GB2312" w:cs="Times New Roman"/>
          <w:b w:val="0"/>
          <w:bCs w:val="0"/>
          <w:color w:val="auto"/>
          <w:position w:val="0"/>
          <w:sz w:val="32"/>
          <w:szCs w:val="32"/>
          <w:highlight w:val="none"/>
          <w:u w:val="none"/>
          <w:lang w:val="en-US" w:eastAsia="zh-CN"/>
        </w:rPr>
        <w:t>聚贤镇2020年脱贫攻坚“两通工程”项目顺利实施。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position w:val="0"/>
          <w:sz w:val="32"/>
          <w:szCs w:val="32"/>
          <w:lang w:eastAsia="zh-CN"/>
        </w:rPr>
      </w:pPr>
      <w:r>
        <w:rPr>
          <w:rFonts w:hint="default" w:ascii="Times New Roman" w:hAnsi="Times New Roman" w:eastAsia="仿宋_GB2312" w:cs="Times New Roman"/>
          <w:b w:val="0"/>
          <w:bCs w:val="0"/>
          <w:position w:val="0"/>
          <w:sz w:val="32"/>
          <w:szCs w:val="32"/>
          <w:highlight w:val="none"/>
          <w:lang w:eastAsia="zh-CN"/>
        </w:rPr>
        <w:t>区域绩效目标：改善全镇交通出行条件和安全状况。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val="0"/>
          <w:position w:val="0"/>
          <w:sz w:val="32"/>
          <w:szCs w:val="32"/>
          <w:highlight w:val="none"/>
        </w:rPr>
      </w:pPr>
      <w:r>
        <w:rPr>
          <w:rFonts w:hint="default" w:ascii="Times New Roman" w:hAnsi="Times New Roman" w:eastAsia="仿宋_GB2312" w:cs="Times New Roman"/>
          <w:b w:val="0"/>
          <w:bCs w:val="0"/>
          <w:position w:val="0"/>
          <w:sz w:val="32"/>
          <w:szCs w:val="32"/>
          <w:highlight w:val="none"/>
          <w:lang w:eastAsia="zh-CN"/>
        </w:rPr>
        <w:t>具体绩效目标：</w:t>
      </w:r>
      <w:r>
        <w:rPr>
          <w:rFonts w:hint="default" w:ascii="Times New Roman" w:hAnsi="Times New Roman" w:eastAsia="仿宋_GB2312" w:cs="Times New Roman"/>
          <w:b w:val="0"/>
          <w:bCs w:val="0"/>
          <w:color w:val="auto"/>
          <w:position w:val="0"/>
          <w:sz w:val="32"/>
          <w:szCs w:val="32"/>
          <w:highlight w:val="none"/>
          <w:u w:val="none"/>
          <w:lang w:val="en-US" w:eastAsia="zh-CN"/>
        </w:rPr>
        <w:t>聚贤镇2020年脱贫攻坚“两通工程”进度≥90%；聚贤镇2020年脱贫攻坚“两通工程”合格率≥95%；资金支付及时率=100%；群众出行条件改善；群众满意率≥9</w:t>
      </w:r>
      <w:r>
        <w:rPr>
          <w:rFonts w:hint="eastAsia" w:cs="Times New Roman"/>
          <w:b w:val="0"/>
          <w:bCs w:val="0"/>
          <w:color w:val="auto"/>
          <w:position w:val="0"/>
          <w:sz w:val="32"/>
          <w:szCs w:val="32"/>
          <w:highlight w:val="none"/>
          <w:u w:val="none"/>
          <w:lang w:val="en-US" w:eastAsia="zh-CN"/>
        </w:rPr>
        <w:t>5</w:t>
      </w:r>
      <w:r>
        <w:rPr>
          <w:rFonts w:hint="default" w:ascii="Times New Roman" w:hAnsi="Times New Roman" w:eastAsia="仿宋_GB2312" w:cs="Times New Roman"/>
          <w:b w:val="0"/>
          <w:bCs w:val="0"/>
          <w:color w:val="auto"/>
          <w:positio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position w:val="0"/>
          <w:sz w:val="32"/>
          <w:szCs w:val="32"/>
          <w:highlight w:val="none"/>
          <w:lang w:eastAsia="zh-CN"/>
        </w:rPr>
      </w:pPr>
      <w:r>
        <w:rPr>
          <w:rFonts w:hint="default" w:ascii="Times New Roman" w:hAnsi="Times New Roman" w:eastAsia="黑体" w:cs="Times New Roman"/>
          <w:position w:val="0"/>
          <w:sz w:val="32"/>
          <w:szCs w:val="32"/>
          <w:highlight w:val="none"/>
        </w:rPr>
        <w:t>二、</w:t>
      </w:r>
      <w:r>
        <w:rPr>
          <w:rFonts w:hint="default" w:ascii="Times New Roman" w:hAnsi="Times New Roman" w:eastAsia="黑体" w:cs="Times New Roman"/>
          <w:position w:val="0"/>
          <w:sz w:val="32"/>
          <w:szCs w:val="32"/>
          <w:highlight w:val="none"/>
          <w:lang w:eastAsia="zh-CN"/>
        </w:rPr>
        <w:t>评价实施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position w:val="0"/>
          <w:sz w:val="32"/>
          <w:szCs w:val="32"/>
        </w:rPr>
      </w:pPr>
      <w:r>
        <w:rPr>
          <w:rFonts w:hint="default" w:ascii="Times New Roman" w:hAnsi="Times New Roman" w:eastAsia="楷体_GB2312" w:cs="Times New Roman"/>
          <w:b/>
          <w:color w:val="auto"/>
          <w:position w:val="0"/>
          <w:sz w:val="32"/>
          <w:szCs w:val="32"/>
          <w:highlight w:val="none"/>
          <w:u w:val="none"/>
          <w:lang w:val="zh-CN"/>
        </w:rPr>
        <w:t>（一）评价目的。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通过对比项目实际成果与预设绩效目标，验证目标完成情况；总结项目经验，发现项目问题，改进</w:t>
      </w:r>
      <w:r>
        <w:rPr>
          <w:rFonts w:hint="default" w:ascii="Times New Roman" w:hAnsi="Times New Roman" w:cs="Times New Roman"/>
          <w:b w:val="0"/>
          <w:bCs/>
          <w:color w:val="auto"/>
          <w:position w:val="0"/>
          <w:sz w:val="32"/>
          <w:szCs w:val="32"/>
          <w:highlight w:val="none"/>
          <w:u w:val="none"/>
          <w:lang w:val="zh-CN"/>
        </w:rPr>
        <w:t>同类</w:t>
      </w:r>
      <w:r>
        <w:rPr>
          <w:rFonts w:hint="default" w:ascii="Times New Roman" w:hAnsi="Times New Roman" w:eastAsia="仿宋_GB2312" w:cs="Times New Roman"/>
          <w:b w:val="0"/>
          <w:bCs/>
          <w:color w:val="auto"/>
          <w:position w:val="0"/>
          <w:sz w:val="32"/>
          <w:szCs w:val="32"/>
          <w:highlight w:val="none"/>
          <w:u w:val="none"/>
          <w:lang w:val="zh-CN"/>
        </w:rPr>
        <w:t>项目方向，有利于优化资源配置效率，提升过程管控能力。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 w:val="32"/>
          <w:szCs w:val="32"/>
          <w:lang w:eastAsia="zh-CN"/>
        </w:rPr>
      </w:pPr>
      <w:r>
        <w:rPr>
          <w:rFonts w:hint="default" w:ascii="Times New Roman" w:hAnsi="Times New Roman" w:eastAsia="楷体_GB2312" w:cs="Times New Roman"/>
          <w:b/>
          <w:color w:val="auto"/>
          <w:position w:val="0"/>
          <w:sz w:val="32"/>
          <w:szCs w:val="32"/>
          <w:highlight w:val="none"/>
          <w:u w:val="none"/>
          <w:lang w:val="zh-CN"/>
        </w:rPr>
        <w:t>（二）预设问题及评价重点。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预设问题包括资金支出是否规范；工作质量是否合格；群众出行条件是否得到改善；群众是否满意等。评价重点围绕资金支出使用全过程及其实施效果，依据绩效评价指标体系，对项目预算、管理、实施、结果进行综合性评价和判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position w:val="0"/>
          <w:sz w:val="32"/>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（三）评价选点。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zh-CN"/>
        </w:rPr>
      </w:pPr>
      <w:r>
        <w:rPr>
          <w:rFonts w:hint="default" w:ascii="Times New Roman" w:hAnsi="Times New Roman" w:eastAsia="仿宋_GB2312" w:cs="Times New Roman"/>
          <w:b w:val="0"/>
          <w:bCs/>
          <w:color w:val="auto"/>
          <w:position w:val="0"/>
          <w:sz w:val="32"/>
          <w:szCs w:val="32"/>
          <w:highlight w:val="none"/>
          <w:u w:val="none"/>
          <w:lang w:val="zh-CN"/>
        </w:rPr>
        <w:t>本次项目绩效自评选取包括金石路在内的五条道路作为抽样点位，确保评价能够全面</w:t>
      </w:r>
      <w:r>
        <w:rPr>
          <w:rFonts w:hint="eastAsia" w:cs="Times New Roman"/>
          <w:b w:val="0"/>
          <w:bCs/>
          <w:color w:val="auto"/>
          <w:position w:val="0"/>
          <w:sz w:val="32"/>
          <w:szCs w:val="32"/>
          <w:highlight w:val="none"/>
          <w:u w:val="none"/>
          <w:lang w:val="zh-CN"/>
        </w:rPr>
        <w:t>反映</w:t>
      </w:r>
      <w:r>
        <w:rPr>
          <w:rFonts w:hint="default" w:ascii="Times New Roman" w:hAnsi="Times New Roman" w:eastAsia="仿宋_GB2312" w:cs="Times New Roman"/>
          <w:b w:val="0"/>
          <w:bCs/>
          <w:color w:val="auto"/>
          <w:position w:val="0"/>
          <w:sz w:val="32"/>
          <w:szCs w:val="32"/>
          <w:highlight w:val="none"/>
          <w:u w:val="none"/>
          <w:lang w:val="zh-CN"/>
        </w:rPr>
        <w:t>项目资金使用全过程及实施效果。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zh-CN"/>
        </w:rPr>
      </w:pPr>
      <w:r>
        <w:rPr>
          <w:rFonts w:hint="default" w:ascii="Times New Roman" w:hAnsi="Times New Roman" w:eastAsia="楷体_GB2312" w:cs="Times New Roman"/>
          <w:b/>
          <w:color w:val="auto"/>
          <w:position w:val="0"/>
          <w:sz w:val="32"/>
          <w:szCs w:val="32"/>
          <w:highlight w:val="none"/>
          <w:u w:val="none"/>
          <w:lang w:val="zh-CN"/>
        </w:rPr>
        <w:t>（</w:t>
      </w:r>
      <w:r>
        <w:rPr>
          <w:rFonts w:hint="eastAsia" w:eastAsia="楷体_GB2312" w:cs="Times New Roman"/>
          <w:b/>
          <w:color w:val="auto"/>
          <w:position w:val="0"/>
          <w:sz w:val="32"/>
          <w:szCs w:val="32"/>
          <w:highlight w:val="none"/>
          <w:u w:val="none"/>
          <w:lang w:val="zh-CN"/>
        </w:rPr>
        <w:t>四</w:t>
      </w:r>
      <w:r>
        <w:rPr>
          <w:rFonts w:hint="default" w:ascii="Times New Roman" w:hAnsi="Times New Roman" w:eastAsia="楷体_GB2312" w:cs="Times New Roman"/>
          <w:b/>
          <w:color w:val="auto"/>
          <w:position w:val="0"/>
          <w:sz w:val="32"/>
          <w:szCs w:val="32"/>
          <w:highlight w:val="none"/>
          <w:u w:val="none"/>
          <w:lang w:val="zh-CN"/>
        </w:rPr>
        <w:t>）评价方法。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position w:val="0"/>
          <w:sz w:val="32"/>
          <w:szCs w:val="32"/>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1.成本效益分析法：通过衡量项目投入与改善群众出行条件，减少交通事故带来的效益，进行量化分析。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2.单位自评法：由政府主导实施，基于预算设定的绩效目标与项目结果进行对比分析。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3.实地勘察法：通过现场观察、测量与记录项目实施的实际情况。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en-US" w:eastAsia="zh-CN"/>
        </w:rPr>
        <w:t>4.问卷调查法：设计调查问卷，随机抽取村民及过往群众填报问卷，了解群众对项目实施的意见、建议以及群众满意度。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Cs/>
          <w:position w:val="0"/>
          <w:sz w:val="32"/>
          <w:szCs w:val="32"/>
          <w:lang w:eastAsia="zh-CN"/>
        </w:rPr>
      </w:pPr>
      <w:r>
        <w:rPr>
          <w:rFonts w:hint="default" w:ascii="Times New Roman" w:hAnsi="Times New Roman" w:eastAsia="楷体_GB2312" w:cs="Times New Roman"/>
          <w:b/>
          <w:color w:val="auto"/>
          <w:position w:val="0"/>
          <w:sz w:val="32"/>
          <w:szCs w:val="32"/>
          <w:highlight w:val="none"/>
          <w:u w:val="none"/>
          <w:lang w:val="zh-CN"/>
        </w:rPr>
        <w:t>（五）评价组织。</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default" w:ascii="Times New Roman" w:hAnsi="Times New Roman" w:eastAsia="仿宋_GB2312" w:cs="Times New Roman"/>
          <w:color w:val="auto"/>
          <w:position w:val="0"/>
          <w:sz w:val="32"/>
          <w:szCs w:val="32"/>
          <w:highlight w:val="none"/>
          <w:u w:val="none"/>
          <w:lang w:eastAsia="zh-CN"/>
        </w:rPr>
        <w:t>本次绩效评价工作成立了政府牵头组建的绩效评价小组（包括财政部门、业务部门、纪委监察部门等多个部门）</w:t>
      </w:r>
      <w:r>
        <w:rPr>
          <w:rFonts w:hint="eastAsia" w:cs="Times New Roman"/>
          <w:color w:val="auto"/>
          <w:position w:val="0"/>
          <w:sz w:val="32"/>
          <w:szCs w:val="32"/>
          <w:highlight w:val="none"/>
          <w:u w:val="none"/>
          <w:lang w:eastAsia="zh-CN"/>
        </w:rPr>
        <w:t>，</w:t>
      </w:r>
      <w:r>
        <w:rPr>
          <w:rFonts w:hint="default" w:ascii="Times New Roman" w:hAnsi="Times New Roman" w:eastAsia="仿宋_GB2312" w:cs="Times New Roman"/>
          <w:color w:val="auto"/>
          <w:position w:val="0"/>
          <w:sz w:val="32"/>
          <w:szCs w:val="32"/>
          <w:highlight w:val="none"/>
          <w:u w:val="none"/>
          <w:lang w:eastAsia="zh-CN"/>
        </w:rPr>
        <w:t>小组负责对项目实施全过程进行绩效监督与评价，包括绩效目标合规性审查，跟踪项目执行进度与资金使用规范性，得出评价报告等。绩效评价小组严格遵循《财政支出绩效评价管理办法》等相关规定，制定详细的评价计划，设定评价标准、明确各环节的负责人及时间节点，通过定期召开工作会等形式，确保评价结果真实、客观、可靠。</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cs="Times New Roman"/>
          <w:color w:val="auto"/>
          <w:position w:val="0"/>
          <w:sz w:val="32"/>
          <w:szCs w:val="32"/>
          <w:highlight w:val="none"/>
          <w:u w:val="none"/>
          <w:lang w:val="zh-CN"/>
        </w:rPr>
      </w:pPr>
      <w:r>
        <w:rPr>
          <w:rFonts w:hint="default" w:ascii="Times New Roman" w:hAnsi="Times New Roman" w:eastAsia="黑体" w:cs="Times New Roman"/>
          <w:color w:val="auto"/>
          <w:position w:val="0"/>
          <w:sz w:val="32"/>
          <w:szCs w:val="32"/>
          <w:highlight w:val="none"/>
          <w:u w:val="none"/>
        </w:rPr>
        <w:t>三、</w:t>
      </w:r>
      <w:r>
        <w:rPr>
          <w:rFonts w:hint="default" w:ascii="Times New Roman" w:hAnsi="Times New Roman" w:eastAsia="黑体" w:cs="Times New Roman"/>
          <w:color w:val="auto"/>
          <w:position w:val="0"/>
          <w:sz w:val="32"/>
          <w:szCs w:val="32"/>
          <w:highlight w:val="none"/>
          <w:u w:val="none"/>
          <w:lang w:eastAsia="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b/>
          <w:color w:val="auto"/>
          <w:position w:val="0"/>
          <w:sz w:val="32"/>
          <w:szCs w:val="32"/>
          <w:highlight w:val="none"/>
          <w:u w:val="none"/>
          <w:lang w:val="en-US" w:eastAsia="zh-CN"/>
        </w:rPr>
      </w:pPr>
      <w:r>
        <w:rPr>
          <w:rFonts w:hint="default" w:ascii="Times New Roman" w:hAnsi="Times New Roman" w:eastAsia="楷体_GB2312" w:cs="Times New Roman"/>
          <w:b/>
          <w:color w:val="auto"/>
          <w:position w:val="0"/>
          <w:sz w:val="32"/>
          <w:szCs w:val="32"/>
          <w:highlight w:val="none"/>
          <w:u w:val="none"/>
          <w:lang w:val="zh-CN"/>
        </w:rPr>
        <w:t>（一）</w:t>
      </w:r>
      <w:r>
        <w:rPr>
          <w:rFonts w:hint="default" w:ascii="Times New Roman" w:hAnsi="Times New Roman" w:eastAsia="楷体_GB2312" w:cs="Times New Roman"/>
          <w:b/>
          <w:color w:val="auto"/>
          <w:position w:val="0"/>
          <w:sz w:val="32"/>
          <w:szCs w:val="32"/>
          <w:highlight w:val="none"/>
          <w:u w:val="none"/>
          <w:lang w:val="en-US" w:eastAsia="zh-CN"/>
        </w:rPr>
        <w:t>通用指标</w:t>
      </w:r>
      <w:r>
        <w:rPr>
          <w:rFonts w:hint="default" w:ascii="Times New Roman" w:hAnsi="Times New Roman" w:eastAsia="楷体_GB2312" w:cs="Times New Roman"/>
          <w:b/>
          <w:bCs/>
          <w:color w:val="000000"/>
          <w:kern w:val="0"/>
          <w:positio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 w:val="32"/>
          <w:szCs w:val="32"/>
          <w:lang w:eastAsia="zh-CN"/>
        </w:rPr>
      </w:pPr>
      <w:r>
        <w:rPr>
          <w:rFonts w:hint="default" w:ascii="Times New Roman" w:hAnsi="Times New Roman" w:eastAsia="仿宋_GB2312" w:cs="Times New Roman"/>
          <w:color w:val="auto"/>
          <w:position w:val="0"/>
          <w:sz w:val="32"/>
          <w:szCs w:val="32"/>
          <w:lang w:val="en-US" w:eastAsia="zh-CN"/>
        </w:rPr>
        <w:t>1.项目决策</w:t>
      </w:r>
      <w:r>
        <w:rPr>
          <w:rFonts w:hint="default" w:ascii="Times New Roman" w:hAnsi="Times New Roman" w:eastAsia="仿宋_GB2312" w:cs="Times New Roman"/>
          <w:color w:val="auto"/>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bCs/>
          <w:color w:val="auto"/>
          <w:position w:val="0"/>
          <w:sz w:val="32"/>
          <w:szCs w:val="32"/>
          <w:lang w:val="en-US" w:eastAsia="zh-CN"/>
        </w:rPr>
      </w:pPr>
      <w:r>
        <w:rPr>
          <w:rFonts w:hint="default" w:ascii="Times New Roman" w:hAnsi="Times New Roman" w:eastAsia="仿宋_GB2312" w:cs="Times New Roman"/>
          <w:b w:val="0"/>
          <w:bCs w:val="0"/>
          <w:color w:val="auto"/>
          <w:position w:val="0"/>
          <w:sz w:val="32"/>
          <w:szCs w:val="32"/>
          <w:highlight w:val="none"/>
          <w:u w:val="none"/>
          <w:lang w:val="en-US" w:eastAsia="zh-CN"/>
        </w:rPr>
        <w:t>聚贤镇2020年脱贫攻坚“两通工程”项目为初次申报项目，立项经过镇党委会审议通过，上报高新区科技创新与经济发展局，决策程序规范；前期通过实地调研、问卷调查等形式，开展了充分的论证，规划合理；聚贤镇2020年脱贫攻坚“两通工程”项目聚焦民生交通领域，符合群众需求。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 w:val="32"/>
          <w:szCs w:val="32"/>
          <w:lang w:eastAsia="zh-CN"/>
        </w:rPr>
      </w:pPr>
      <w:r>
        <w:rPr>
          <w:rFonts w:hint="default" w:ascii="Times New Roman" w:hAnsi="Times New Roman" w:eastAsia="仿宋_GB2312" w:cs="Times New Roman"/>
          <w:color w:val="auto"/>
          <w:position w:val="0"/>
          <w:sz w:val="32"/>
          <w:szCs w:val="32"/>
          <w:lang w:val="en-US" w:eastAsia="zh-CN"/>
        </w:rPr>
        <w:t>2.项目管理</w:t>
      </w:r>
      <w:r>
        <w:rPr>
          <w:rFonts w:hint="default" w:ascii="Times New Roman" w:hAnsi="Times New Roman" w:eastAsia="仿宋_GB2312" w:cs="Times New Roman"/>
          <w:color w:val="auto"/>
          <w:positio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 w:val="32"/>
          <w:szCs w:val="32"/>
          <w:lang w:val="en-US" w:eastAsia="zh-CN"/>
        </w:rPr>
      </w:pPr>
      <w:r>
        <w:rPr>
          <w:rFonts w:hint="default" w:ascii="Times New Roman" w:hAnsi="Times New Roman" w:eastAsia="仿宋_GB2312" w:cs="Times New Roman"/>
          <w:color w:val="auto"/>
          <w:position w:val="0"/>
          <w:sz w:val="32"/>
          <w:szCs w:val="32"/>
          <w:lang w:val="en-US" w:eastAsia="zh-CN"/>
        </w:rPr>
        <w:t>为使项目如期完成，结合聚贤镇实际情况，</w:t>
      </w:r>
      <w:r>
        <w:rPr>
          <w:rFonts w:hint="default" w:ascii="Times New Roman" w:hAnsi="Times New Roman" w:eastAsia="仿宋_GB2312" w:cs="Times New Roman"/>
          <w:b w:val="0"/>
          <w:bCs w:val="0"/>
          <w:color w:val="auto"/>
          <w:position w:val="0"/>
          <w:sz w:val="32"/>
          <w:szCs w:val="32"/>
          <w:highlight w:val="none"/>
          <w:u w:val="none"/>
          <w:lang w:val="en-US" w:eastAsia="zh-CN"/>
        </w:rPr>
        <w:t>聚贤镇2020年脱贫攻坚“两通工程”项目按照镇党委分工，将项目分解到所有相关党政班子成员，由分管领导负责具体项目实施。严格执行项目管理制度，资金分配合理，过程公开透明，建立了绩效监控机制，定期对项目实施、资金使用情况进行监控。该项指标18分、得18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 w:val="32"/>
          <w:szCs w:val="32"/>
          <w:lang w:eastAsia="zh-CN"/>
        </w:rPr>
      </w:pPr>
      <w:r>
        <w:rPr>
          <w:rFonts w:hint="default" w:ascii="Times New Roman" w:hAnsi="Times New Roman" w:eastAsia="仿宋_GB2312" w:cs="Times New Roman"/>
          <w:color w:val="auto"/>
          <w:position w:val="0"/>
          <w:sz w:val="32"/>
          <w:szCs w:val="32"/>
          <w:lang w:val="en-US" w:eastAsia="zh-CN"/>
        </w:rPr>
        <w:t>3.项目实施。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 w:val="32"/>
          <w:szCs w:val="32"/>
          <w:lang w:val="en-US" w:eastAsia="zh-CN"/>
        </w:rPr>
      </w:pPr>
      <w:r>
        <w:rPr>
          <w:rFonts w:hint="default" w:ascii="Times New Roman" w:hAnsi="Times New Roman" w:eastAsia="仿宋_GB2312" w:cs="Times New Roman"/>
          <w:color w:val="auto"/>
          <w:position w:val="0"/>
          <w:sz w:val="32"/>
          <w:szCs w:val="32"/>
          <w:lang w:val="en-US" w:eastAsia="zh-CN"/>
        </w:rPr>
        <w:t>预算执行率100%，未出现截留、挤占、挪用等情况，资金使用规范。该项指标9分，得9分。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position w:val="0"/>
          <w:sz w:val="32"/>
          <w:szCs w:val="32"/>
          <w:lang w:eastAsia="zh-CN"/>
        </w:rPr>
      </w:pPr>
      <w:r>
        <w:rPr>
          <w:rFonts w:hint="default" w:ascii="Times New Roman" w:hAnsi="Times New Roman" w:eastAsia="仿宋_GB2312" w:cs="Times New Roman"/>
          <w:color w:val="auto"/>
          <w:position w:val="0"/>
          <w:sz w:val="32"/>
          <w:szCs w:val="32"/>
          <w:lang w:val="en-US" w:eastAsia="zh-CN"/>
        </w:rPr>
        <w:t>4.项目结果。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color w:val="auto"/>
          <w:position w:val="0"/>
          <w:sz w:val="32"/>
          <w:szCs w:val="32"/>
          <w:highlight w:val="none"/>
          <w:u w:val="none"/>
          <w:lang w:val="en-US"/>
        </w:rPr>
      </w:pPr>
      <w:r>
        <w:rPr>
          <w:rFonts w:hint="default" w:ascii="Times New Roman" w:hAnsi="Times New Roman" w:eastAsia="仿宋_GB2312" w:cs="Times New Roman"/>
          <w:b w:val="0"/>
          <w:bCs w:val="0"/>
          <w:color w:val="auto"/>
          <w:position w:val="0"/>
          <w:sz w:val="32"/>
          <w:szCs w:val="32"/>
          <w:highlight w:val="none"/>
          <w:u w:val="none"/>
          <w:lang w:val="en-US" w:eastAsia="zh-CN"/>
        </w:rPr>
        <w:t>聚贤镇2020年脱贫攻坚“两通工程”项目绩效目标完成，均按时完工，达到预期效果。该项指标9分，得9分。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楷体_GB2312" w:cs="Times New Roman"/>
          <w:color w:val="auto"/>
          <w:position w:val="0"/>
          <w:sz w:val="32"/>
          <w:szCs w:val="32"/>
          <w:lang w:val="zh-CN" w:eastAsia="zh-CN"/>
        </w:rPr>
      </w:pPr>
      <w:r>
        <w:rPr>
          <w:rFonts w:hint="default" w:ascii="Times New Roman" w:hAnsi="Times New Roman" w:eastAsia="楷体_GB2312" w:cs="Times New Roman"/>
          <w:b/>
          <w:color w:val="auto"/>
          <w:position w:val="0"/>
          <w:sz w:val="32"/>
          <w:szCs w:val="32"/>
          <w:highlight w:val="none"/>
          <w:u w:val="none"/>
          <w:lang w:val="zh-CN"/>
        </w:rPr>
        <w:t>（二）</w:t>
      </w:r>
      <w:r>
        <w:rPr>
          <w:rFonts w:hint="default" w:ascii="Times New Roman" w:hAnsi="Times New Roman" w:eastAsia="楷体_GB2312" w:cs="Times New Roman"/>
          <w:b/>
          <w:color w:val="auto"/>
          <w:position w:val="0"/>
          <w:sz w:val="32"/>
          <w:szCs w:val="32"/>
          <w:highlight w:val="none"/>
          <w:u w:val="none"/>
          <w:lang w:val="en-US" w:eastAsia="zh-CN"/>
        </w:rPr>
        <w:t>专用指标</w:t>
      </w:r>
      <w:r>
        <w:rPr>
          <w:rFonts w:hint="default" w:ascii="Times New Roman" w:hAnsi="Times New Roman" w:eastAsia="楷体_GB2312" w:cs="Times New Roman"/>
          <w:b/>
          <w:bCs/>
          <w:color w:val="000000"/>
          <w:kern w:val="0"/>
          <w:position w:val="0"/>
          <w:sz w:val="32"/>
          <w:szCs w:val="32"/>
          <w:highlight w:val="none"/>
          <w:shd w:val="clear" w:color="auto" w:fill="FFFFFF"/>
          <w:lang w:val="zh-CN"/>
        </w:rPr>
        <w:t>绩效分析。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楷体_GB2312" w:cs="Times New Roman"/>
          <w:color w:val="auto"/>
          <w:position w:val="0"/>
          <w:sz w:val="32"/>
          <w:szCs w:val="32"/>
          <w:lang w:val="en-US" w:eastAsia="zh-CN"/>
        </w:rPr>
      </w:pPr>
      <w:r>
        <w:rPr>
          <w:rFonts w:hint="default" w:ascii="Times New Roman" w:hAnsi="Times New Roman" w:eastAsia="仿宋_GB2312" w:cs="Times New Roman"/>
          <w:b w:val="0"/>
          <w:bCs w:val="0"/>
          <w:color w:val="auto"/>
          <w:position w:val="0"/>
          <w:sz w:val="32"/>
          <w:szCs w:val="32"/>
          <w:highlight w:val="none"/>
          <w:u w:val="none"/>
          <w:lang w:val="en-US" w:eastAsia="zh-CN"/>
        </w:rPr>
        <w:t>聚贤镇2020年脱贫攻坚“两通工程”项目</w:t>
      </w:r>
      <w:r>
        <w:rPr>
          <w:rFonts w:hint="default" w:ascii="Times New Roman" w:hAnsi="Times New Roman" w:cs="Times New Roman"/>
          <w:b w:val="0"/>
          <w:bCs w:val="0"/>
          <w:color w:val="auto"/>
          <w:position w:val="0"/>
          <w:sz w:val="32"/>
          <w:szCs w:val="32"/>
          <w:highlight w:val="none"/>
          <w:u w:val="none"/>
          <w:lang w:val="en-US" w:eastAsia="zh-CN"/>
        </w:rPr>
        <w:t>属于民生保障类项目，具体分析如下：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区域均衡性：</w:t>
      </w:r>
      <w:r>
        <w:rPr>
          <w:rFonts w:hint="default" w:ascii="Times New Roman" w:hAnsi="Times New Roman" w:eastAsia="仿宋_GB2312" w:cs="Times New Roman"/>
          <w:b w:val="0"/>
          <w:bCs/>
          <w:color w:val="auto"/>
          <w:position w:val="0"/>
          <w:sz w:val="32"/>
          <w:szCs w:val="32"/>
          <w:highlight w:val="none"/>
          <w:u w:val="none"/>
          <w:lang w:val="en-US" w:eastAsia="zh-CN"/>
        </w:rPr>
        <w:t>聚贤镇2020年脱贫攻坚“两通工程”项目是新建金石路等5条道路，便利了全镇人民出行交通环境，</w:t>
      </w:r>
      <w:r>
        <w:rPr>
          <w:rFonts w:hint="default" w:ascii="Times New Roman" w:hAnsi="Times New Roman" w:cs="Times New Roman"/>
          <w:b w:val="0"/>
          <w:bCs/>
          <w:color w:val="auto"/>
          <w:position w:val="0"/>
          <w:sz w:val="32"/>
          <w:szCs w:val="32"/>
          <w:highlight w:val="none"/>
          <w:u w:val="none"/>
          <w:lang w:val="en-US" w:eastAsia="zh-CN"/>
        </w:rPr>
        <w:t>实现“村村相连，内外互通”，</w:t>
      </w:r>
      <w:r>
        <w:rPr>
          <w:rFonts w:hint="default" w:ascii="Times New Roman" w:hAnsi="Times New Roman" w:eastAsia="仿宋_GB2312" w:cs="Times New Roman"/>
          <w:b w:val="0"/>
          <w:bCs/>
          <w:color w:val="auto"/>
          <w:position w:val="0"/>
          <w:sz w:val="32"/>
          <w:szCs w:val="32"/>
          <w:highlight w:val="none"/>
          <w:u w:val="none"/>
          <w:lang w:val="en-US" w:eastAsia="zh-CN"/>
        </w:rPr>
        <w:t>区域均衡性得到改善，差异缩小。该项指标10分，得10分。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rPr>
      </w:pPr>
      <w:r>
        <w:rPr>
          <w:rFonts w:hint="default" w:ascii="Times New Roman" w:hAnsi="Times New Roman" w:eastAsia="仿宋_GB2312" w:cs="Times New Roman"/>
          <w:b w:val="0"/>
          <w:bCs/>
          <w:color w:val="auto"/>
          <w:position w:val="0"/>
          <w:sz w:val="32"/>
          <w:szCs w:val="32"/>
          <w:highlight w:val="none"/>
          <w:u w:val="none"/>
          <w:lang w:val="zh-CN"/>
        </w:rPr>
        <w:t>对象精准性：</w:t>
      </w:r>
      <w:r>
        <w:rPr>
          <w:rFonts w:hint="default" w:ascii="Times New Roman" w:hAnsi="Times New Roman" w:eastAsia="仿宋_GB2312" w:cs="Times New Roman"/>
          <w:b w:val="0"/>
          <w:bCs/>
          <w:color w:val="auto"/>
          <w:position w:val="0"/>
          <w:sz w:val="32"/>
          <w:szCs w:val="32"/>
          <w:highlight w:val="none"/>
          <w:u w:val="none"/>
          <w:lang w:val="en-US" w:eastAsia="zh-CN"/>
        </w:rPr>
        <w:t>聚贤镇2020年脱贫攻坚“两通工程”项目实施后，解决全镇人民出行难题，符合群众实际需求。该项指标10分，得10分。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标准合理性：项目建设标准符合交通基础设施建设相关标准和要求，项目实施达到预期效果，工程质量合格。该项指标</w:t>
      </w:r>
      <w:r>
        <w:rPr>
          <w:rFonts w:hint="default" w:ascii="Times New Roman" w:hAnsi="Times New Roman" w:eastAsia="仿宋_GB2312" w:cs="Times New Roman"/>
          <w:b w:val="0"/>
          <w:bCs/>
          <w:color w:val="auto"/>
          <w:position w:val="0"/>
          <w:sz w:val="32"/>
          <w:szCs w:val="32"/>
          <w:highlight w:val="none"/>
          <w:u w:val="none"/>
          <w:lang w:val="en-US" w:eastAsia="zh-CN"/>
        </w:rPr>
        <w:t>5分，得5分。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val="0"/>
          <w:bCs/>
          <w:color w:val="auto"/>
          <w:position w:val="0"/>
          <w:sz w:val="32"/>
          <w:szCs w:val="32"/>
          <w:highlight w:val="none"/>
          <w:u w:val="none"/>
          <w:lang w:val="en-US" w:eastAsia="zh-CN"/>
        </w:rPr>
      </w:pPr>
      <w:r>
        <w:rPr>
          <w:rFonts w:hint="default" w:ascii="Times New Roman" w:hAnsi="Times New Roman" w:eastAsia="仿宋_GB2312" w:cs="Times New Roman"/>
          <w:b w:val="0"/>
          <w:bCs/>
          <w:color w:val="auto"/>
          <w:position w:val="0"/>
          <w:sz w:val="32"/>
          <w:szCs w:val="32"/>
          <w:highlight w:val="none"/>
          <w:u w:val="none"/>
          <w:lang w:val="zh-CN"/>
        </w:rPr>
        <w:t>群众满意度：通过问卷调查，群众对项目满意度达到</w:t>
      </w:r>
      <w:r>
        <w:rPr>
          <w:rFonts w:hint="default" w:ascii="Times New Roman" w:hAnsi="Times New Roman" w:eastAsia="仿宋_GB2312" w:cs="Times New Roman"/>
          <w:b w:val="0"/>
          <w:bCs/>
          <w:color w:val="auto"/>
          <w:position w:val="0"/>
          <w:sz w:val="32"/>
          <w:szCs w:val="32"/>
          <w:highlight w:val="none"/>
          <w:u w:val="none"/>
          <w:lang w:val="en-US" w:eastAsia="zh-CN"/>
        </w:rPr>
        <w:t>98%。该项指标5分，得4.9分。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position w:val="0"/>
          <w:sz w:val="32"/>
          <w:szCs w:val="32"/>
          <w:lang w:val="en-US" w:eastAsia="zh-CN"/>
        </w:rPr>
      </w:pPr>
      <w:r>
        <w:rPr>
          <w:rFonts w:hint="default" w:ascii="Times New Roman" w:hAnsi="Times New Roman" w:eastAsia="楷体_GB2312" w:cs="Times New Roman"/>
          <w:b/>
          <w:color w:val="auto"/>
          <w:position w:val="0"/>
          <w:sz w:val="32"/>
          <w:szCs w:val="32"/>
          <w:highlight w:val="none"/>
          <w:u w:val="none"/>
          <w:lang w:val="zh-CN"/>
        </w:rPr>
        <w:t>（三）</w:t>
      </w:r>
      <w:r>
        <w:rPr>
          <w:rFonts w:hint="default" w:ascii="Times New Roman" w:hAnsi="Times New Roman" w:eastAsia="楷体_GB2312" w:cs="Times New Roman"/>
          <w:b/>
          <w:color w:val="auto"/>
          <w:position w:val="0"/>
          <w:sz w:val="32"/>
          <w:szCs w:val="32"/>
          <w:highlight w:val="none"/>
          <w:u w:val="none"/>
          <w:lang w:val="en-US" w:eastAsia="zh-CN"/>
        </w:rPr>
        <w:t>个性指标</w:t>
      </w:r>
      <w:r>
        <w:rPr>
          <w:rFonts w:hint="default" w:ascii="Times New Roman" w:hAnsi="Times New Roman" w:eastAsia="楷体_GB2312" w:cs="Times New Roman"/>
          <w:b/>
          <w:bCs/>
          <w:color w:val="000000"/>
          <w:kern w:val="0"/>
          <w:position w:val="0"/>
          <w:sz w:val="32"/>
          <w:szCs w:val="32"/>
          <w:highlight w:val="none"/>
          <w:shd w:val="clear" w:color="auto" w:fill="FFFFFF"/>
          <w:lang w:val="zh-CN"/>
        </w:rPr>
        <w:t>绩效分析。</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群众出行条件：作为新建道路的项目，道路建成后，优化了交通环境，完善了交通规划，群众通勤“便捷度、舒适度、安全度”全面提升，惠及周边群众日常出行。该项指标</w:t>
      </w:r>
      <w:r>
        <w:rPr>
          <w:rFonts w:hint="default" w:ascii="Times New Roman" w:hAnsi="Times New Roman" w:eastAsia="仿宋_GB2312" w:cs="Times New Roman"/>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color w:val="auto"/>
          <w:position w:val="0"/>
          <w:sz w:val="32"/>
          <w:szCs w:val="32"/>
          <w:highlight w:val="none"/>
          <w:u w:val="none"/>
          <w:lang w:eastAsia="zh-CN"/>
        </w:rPr>
      </w:pPr>
      <w:r>
        <w:rPr>
          <w:rFonts w:hint="default" w:ascii="Times New Roman" w:hAnsi="Times New Roman" w:eastAsia="仿宋_GB2312" w:cs="Times New Roman"/>
          <w:color w:val="auto"/>
          <w:position w:val="0"/>
          <w:sz w:val="32"/>
          <w:szCs w:val="32"/>
          <w:highlight w:val="none"/>
          <w:u w:val="none"/>
          <w:lang w:eastAsia="zh-CN"/>
        </w:rPr>
        <w:t>运输成本：道路修建后，大型运输车辆可以直接进村，运输时间减少，运输量增加，鲜活农产品损耗率降低，农产品运输成本下降。该项指标</w:t>
      </w:r>
      <w:r>
        <w:rPr>
          <w:rFonts w:hint="default" w:ascii="Times New Roman" w:hAnsi="Times New Roman" w:eastAsia="仿宋_GB2312" w:cs="Times New Roman"/>
          <w:color w:val="auto"/>
          <w:position w:val="0"/>
          <w:sz w:val="32"/>
          <w:szCs w:val="32"/>
          <w:highlight w:val="none"/>
          <w:u w:val="none"/>
          <w:lang w:val="en-US" w:eastAsia="zh-CN"/>
        </w:rPr>
        <w:t>8分，得8分。</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rPr>
      </w:pPr>
      <w:r>
        <w:rPr>
          <w:rFonts w:hint="default" w:ascii="Times New Roman" w:hAnsi="Times New Roman" w:eastAsia="黑体" w:cs="Times New Roman"/>
          <w:color w:val="auto"/>
          <w:position w:val="0"/>
          <w:sz w:val="32"/>
          <w:szCs w:val="32"/>
          <w:highlight w:val="none"/>
          <w:u w:val="none"/>
          <w:lang w:eastAsia="zh-CN"/>
        </w:rPr>
        <w:t>四</w:t>
      </w:r>
      <w:r>
        <w:rPr>
          <w:rFonts w:hint="default" w:ascii="Times New Roman" w:hAnsi="Times New Roman" w:eastAsia="黑体" w:cs="Times New Roman"/>
          <w:color w:val="auto"/>
          <w:position w:val="0"/>
          <w:sz w:val="32"/>
          <w:szCs w:val="32"/>
          <w:highlight w:val="none"/>
          <w:u w:val="none"/>
        </w:rPr>
        <w:t>、评价结论</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cs="Times New Roman"/>
          <w:color w:val="auto"/>
          <w:position w:val="0"/>
          <w:sz w:val="32"/>
          <w:szCs w:val="32"/>
          <w:highlight w:val="none"/>
          <w:u w:val="none"/>
          <w:lang w:val="en-US" w:eastAsia="zh-CN"/>
        </w:rPr>
      </w:pPr>
      <w:r>
        <w:rPr>
          <w:rFonts w:hint="default" w:ascii="Times New Roman" w:hAnsi="Times New Roman" w:eastAsia="仿宋_GB2312" w:cs="Times New Roman"/>
          <w:color w:val="auto"/>
          <w:position w:val="0"/>
          <w:sz w:val="32"/>
          <w:szCs w:val="32"/>
          <w:highlight w:val="none"/>
          <w:u w:val="none"/>
          <w:lang w:eastAsia="zh-CN"/>
        </w:rPr>
        <w:t>经综合评价</w:t>
      </w:r>
      <w:r>
        <w:rPr>
          <w:rFonts w:hint="eastAsia" w:ascii="仿宋_GB2312" w:hAnsi="仿宋_GB2312" w:eastAsia="仿宋_GB2312" w:cs="仿宋_GB2312"/>
          <w:color w:val="auto"/>
          <w:position w:val="0"/>
          <w:sz w:val="32"/>
          <w:szCs w:val="32"/>
          <w:highlight w:val="none"/>
          <w:u w:val="none"/>
          <w:lang w:eastAsia="zh-CN"/>
        </w:rPr>
        <w:t>，</w:t>
      </w:r>
      <w:r>
        <w:rPr>
          <w:rFonts w:hint="default" w:ascii="Times New Roman" w:hAnsi="Times New Roman" w:eastAsia="仿宋_GB2312" w:cs="Times New Roman"/>
          <w:b w:val="0"/>
          <w:bCs/>
          <w:color w:val="auto"/>
          <w:position w:val="0"/>
          <w:sz w:val="32"/>
          <w:szCs w:val="32"/>
          <w:highlight w:val="none"/>
          <w:u w:val="none"/>
          <w:lang w:val="en-US" w:eastAsia="zh-CN"/>
        </w:rPr>
        <w:t>聚贤镇2020年脱贫攻坚“两通工程”项目绩效自评总分为9</w:t>
      </w:r>
      <w:r>
        <w:rPr>
          <w:rFonts w:hint="eastAsia" w:ascii="Times New Roman" w:eastAsia="仿宋_GB2312" w:cs="Times New Roman"/>
          <w:b w:val="0"/>
          <w:bCs/>
          <w:color w:val="auto"/>
          <w:position w:val="0"/>
          <w:sz w:val="32"/>
          <w:szCs w:val="32"/>
          <w:highlight w:val="none"/>
          <w:u w:val="none"/>
          <w:lang w:val="en-US" w:eastAsia="zh-CN"/>
        </w:rPr>
        <w:t>9</w:t>
      </w:r>
      <w:r>
        <w:rPr>
          <w:rFonts w:hint="default" w:ascii="Times New Roman" w:hAnsi="Times New Roman" w:eastAsia="仿宋_GB2312" w:cs="Times New Roman"/>
          <w:b w:val="0"/>
          <w:bCs/>
          <w:color w:val="auto"/>
          <w:position w:val="0"/>
          <w:sz w:val="32"/>
          <w:szCs w:val="32"/>
          <w:highlight w:val="none"/>
          <w:u w:val="none"/>
          <w:lang w:val="en-US" w:eastAsia="zh-CN"/>
        </w:rPr>
        <w:t>.9分。项目完成既定绩效目标，预算执行率100%，工程质量合格，群众满意度高，全镇交通出行条件和安全状况显著改善，运输成本降低，达到预期经济效益和社会效益。</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position w:val="0"/>
          <w:sz w:val="32"/>
          <w:szCs w:val="32"/>
          <w:highlight w:val="none"/>
          <w:u w:val="none"/>
          <w:lang w:eastAsia="zh-CN"/>
        </w:rPr>
      </w:pPr>
      <w:r>
        <w:rPr>
          <w:rFonts w:hint="eastAsia" w:ascii="黑体" w:hAnsi="黑体" w:eastAsia="黑体" w:cs="黑体"/>
          <w:color w:val="auto"/>
          <w:position w:val="0"/>
          <w:sz w:val="32"/>
          <w:szCs w:val="32"/>
          <w:highlight w:val="none"/>
          <w:u w:val="none"/>
          <w:lang w:eastAsia="zh-CN"/>
        </w:rPr>
        <w:t>五、</w:t>
      </w:r>
      <w:r>
        <w:rPr>
          <w:rFonts w:hint="default" w:ascii="Times New Roman" w:hAnsi="Times New Roman" w:eastAsia="黑体" w:cs="Times New Roman"/>
          <w:color w:val="auto"/>
          <w:position w:val="0"/>
          <w:sz w:val="32"/>
          <w:szCs w:val="32"/>
          <w:highlight w:val="none"/>
          <w:u w:val="none"/>
          <w:lang w:eastAsia="zh-CN"/>
        </w:rPr>
        <w:t>存在主要问题</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t>项目资金不足：</w:t>
      </w:r>
      <w:r>
        <w:rPr>
          <w:rFonts w:hint="default" w:ascii="Times New Roman" w:hAnsi="Times New Roman" w:eastAsia="仿宋_GB2312" w:cs="Times New Roman"/>
          <w:b w:val="0"/>
          <w:bCs/>
          <w:color w:val="auto"/>
          <w:position w:val="0"/>
          <w:sz w:val="32"/>
          <w:szCs w:val="32"/>
          <w:highlight w:val="none"/>
          <w:u w:val="none"/>
          <w:lang w:val="en-US" w:eastAsia="zh-CN"/>
        </w:rPr>
        <w:t>聚贤镇2020年脱贫攻坚“两通工程”项目部分道路款未结清，后续道路养护资金缺乏。</w:t>
      </w:r>
    </w:p>
    <w:p>
      <w:pPr>
        <w:pStyle w:val="9"/>
        <w:keepNext w:val="0"/>
        <w:keepLines w:val="0"/>
        <w:pageBreakBefore w:val="0"/>
        <w:numPr>
          <w:ilvl w:val="0"/>
          <w:numId w:val="0"/>
        </w:numPr>
        <w:tabs>
          <w:tab w:val="left" w:pos="2160"/>
        </w:tabs>
        <w:kinsoku/>
        <w:wordWrap/>
        <w:overflowPunct/>
        <w:topLinePunct w:val="0"/>
        <w:autoSpaceDE/>
        <w:autoSpaceDN/>
        <w:bidi w:val="0"/>
        <w:adjustRightInd/>
        <w:snapToGrid/>
        <w:spacing w:beforeLines="0" w:line="600" w:lineRule="exact"/>
        <w:ind w:left="0" w:leftChars="0" w:right="0" w:rightChars="0" w:firstLine="640" w:firstLineChars="200"/>
        <w:textAlignment w:val="auto"/>
        <w:rPr>
          <w:rFonts w:hint="default" w:ascii="Times New Roman" w:hAnsi="Times New Roman" w:eastAsia="黑体" w:cs="Times New Roman"/>
          <w:color w:val="auto"/>
          <w:kern w:val="0"/>
          <w:position w:val="0"/>
          <w:sz w:val="32"/>
          <w:szCs w:val="32"/>
          <w:highlight w:val="none"/>
          <w:u w:val="none"/>
          <w:lang w:val="zh-CN" w:eastAsia="zh-CN" w:bidi="ar-SA"/>
        </w:rPr>
      </w:pPr>
      <w:r>
        <w:rPr>
          <w:rFonts w:hint="default" w:ascii="Times New Roman" w:hAnsi="Times New Roman" w:eastAsia="黑体" w:cs="Times New Roman"/>
          <w:color w:val="auto"/>
          <w:kern w:val="0"/>
          <w:position w:val="0"/>
          <w:sz w:val="32"/>
          <w:szCs w:val="32"/>
          <w:highlight w:val="none"/>
          <w:u w:val="none"/>
          <w:lang w:val="zh-CN" w:eastAsia="zh-CN" w:bidi="ar-SA"/>
        </w:rPr>
        <w:t>六、改进建议</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cs="Times New Roman"/>
          <w:color w:val="000000"/>
          <w:kern w:val="0"/>
          <w:position w:val="0"/>
          <w:sz w:val="32"/>
          <w:szCs w:val="32"/>
          <w:highlight w:val="none"/>
          <w:shd w:val="clear" w:color="auto" w:fill="FFFFFF"/>
          <w:lang w:val="zh-CN" w:eastAsia="zh-CN"/>
        </w:rPr>
      </w:pPr>
      <w:r>
        <w:rPr>
          <w:rFonts w:hint="default" w:ascii="Times New Roman" w:hAnsi="Times New Roman" w:cs="Times New Roman"/>
          <w:color w:val="000000"/>
          <w:kern w:val="0"/>
          <w:position w:val="0"/>
          <w:sz w:val="32"/>
          <w:szCs w:val="32"/>
          <w:highlight w:val="none"/>
          <w:shd w:val="clear" w:color="auto" w:fill="FFFFFF"/>
          <w:lang w:val="zh-CN" w:eastAsia="zh-CN"/>
        </w:rPr>
        <w:t>一是加强资金统筹管理，完善多部门联动机制；二是建议增加</w:t>
      </w:r>
      <w:r>
        <w:rPr>
          <w:rFonts w:hint="default" w:ascii="Times New Roman" w:hAnsi="Times New Roman" w:eastAsia="仿宋_GB2312" w:cs="Times New Roman"/>
          <w:b w:val="0"/>
          <w:bCs/>
          <w:color w:val="auto"/>
          <w:position w:val="0"/>
          <w:sz w:val="32"/>
          <w:szCs w:val="32"/>
          <w:highlight w:val="none"/>
          <w:u w:val="none"/>
          <w:lang w:val="en-US" w:eastAsia="zh-CN"/>
        </w:rPr>
        <w:t>聚贤镇2020年脱贫攻坚“两通工程”项目</w:t>
      </w:r>
      <w:r>
        <w:rPr>
          <w:rFonts w:hint="default" w:ascii="Times New Roman" w:hAnsi="Times New Roman" w:cs="Times New Roman"/>
          <w:b w:val="0"/>
          <w:bCs/>
          <w:color w:val="auto"/>
          <w:position w:val="0"/>
          <w:sz w:val="32"/>
          <w:szCs w:val="32"/>
          <w:highlight w:val="none"/>
          <w:u w:val="none"/>
          <w:lang w:val="en-US" w:eastAsia="zh-CN"/>
        </w:rPr>
        <w:t>工作资金投入，保障工作开展。</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黑体" w:hAnsi="黑体" w:eastAsia="黑体" w:cs="黑体"/>
          <w:position w:val="0"/>
          <w:sz w:val="24"/>
          <w:szCs w:val="24"/>
          <w:highlight w:val="none"/>
          <w:lang w:val="en-US" w:eastAsia="zh-CN"/>
        </w:rPr>
      </w:pPr>
      <w:r>
        <w:rPr>
          <w:rFonts w:hint="default" w:ascii="Times New Roman" w:hAnsi="Times New Roman" w:cs="Times New Roman"/>
          <w:color w:val="000000"/>
          <w:kern w:val="0"/>
          <w:position w:val="0"/>
          <w:sz w:val="32"/>
          <w:szCs w:val="32"/>
          <w:highlight w:val="none"/>
          <w:shd w:val="clear" w:color="auto" w:fill="FFFFFF"/>
          <w:lang w:val="en-US" w:eastAsia="zh-CN"/>
        </w:rPr>
        <w:t>附表：专项资金绩效目标完成情况自评表</w:t>
      </w:r>
    </w:p>
    <w:tbl>
      <w:tblPr>
        <w:tblStyle w:val="15"/>
        <w:tblW w:w="0" w:type="auto"/>
        <w:tblInd w:w="0" w:type="dxa"/>
        <w:shd w:val="clear" w:color="auto" w:fill="auto"/>
        <w:tblLayout w:type="autofit"/>
        <w:tblCellMar>
          <w:top w:w="0" w:type="dxa"/>
          <w:left w:w="0" w:type="dxa"/>
          <w:bottom w:w="0" w:type="dxa"/>
          <w:right w:w="0" w:type="dxa"/>
        </w:tblCellMar>
      </w:tblPr>
      <w:tblGrid>
        <w:gridCol w:w="389"/>
        <w:gridCol w:w="929"/>
        <w:gridCol w:w="1649"/>
        <w:gridCol w:w="2729"/>
        <w:gridCol w:w="390"/>
        <w:gridCol w:w="390"/>
        <w:gridCol w:w="390"/>
        <w:gridCol w:w="660"/>
        <w:gridCol w:w="300"/>
        <w:gridCol w:w="300"/>
        <w:gridCol w:w="210"/>
      </w:tblGrid>
      <w:tr>
        <w:tblPrEx>
          <w:shd w:val="clear" w:color="auto" w:fill="auto"/>
          <w:tblCellMar>
            <w:top w:w="0" w:type="dxa"/>
            <w:left w:w="0" w:type="dxa"/>
            <w:bottom w:w="0" w:type="dxa"/>
            <w:right w:w="0"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tblPrEx>
          <w:tblCellMar>
            <w:top w:w="0" w:type="dxa"/>
            <w:left w:w="0" w:type="dxa"/>
            <w:bottom w:w="0" w:type="dxa"/>
            <w:right w:w="0"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51090423T000009057617-聚贤镇2020年脱贫攻坚“两通工程”项目资金</w:t>
            </w:r>
          </w:p>
        </w:tc>
      </w:tr>
      <w:tr>
        <w:tblPrEx>
          <w:tblCellMar>
            <w:top w:w="0" w:type="dxa"/>
            <w:left w:w="0" w:type="dxa"/>
            <w:bottom w:w="0" w:type="dxa"/>
            <w:right w:w="0"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遂宁市安居区聚贤镇人民政府部门</w:t>
            </w:r>
          </w:p>
        </w:tc>
        <w:tc>
          <w:tcPr>
            <w:tcW w:w="0" w:type="auto"/>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遂宁市安居区聚贤镇人民政府</w:t>
            </w:r>
          </w:p>
        </w:tc>
      </w:tr>
      <w:tr>
        <w:tblPrEx>
          <w:tblCellMar>
            <w:top w:w="0" w:type="dxa"/>
            <w:left w:w="0" w:type="dxa"/>
            <w:bottom w:w="0" w:type="dxa"/>
            <w:right w:w="0"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CellMar>
            <w:top w:w="0" w:type="dxa"/>
            <w:left w:w="0" w:type="dxa"/>
            <w:bottom w:w="0" w:type="dxa"/>
            <w:right w:w="0"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保证完成聚贤镇2020年脱贫攻坚“两通工程”项目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tblPrEx>
          <w:tblCellMar>
            <w:top w:w="0" w:type="dxa"/>
            <w:left w:w="0" w:type="dxa"/>
            <w:bottom w:w="0" w:type="dxa"/>
            <w:right w:w="0"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完成聚贤镇2020年脱贫攻坚“两通工程”项目</w:t>
            </w:r>
          </w:p>
        </w:tc>
      </w:tr>
      <w:tr>
        <w:tblPrEx>
          <w:tblCellMar>
            <w:top w:w="0" w:type="dxa"/>
            <w:left w:w="0" w:type="dxa"/>
            <w:bottom w:w="0" w:type="dxa"/>
            <w:right w:w="0"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CellMar>
            <w:top w:w="0" w:type="dxa"/>
            <w:left w:w="0" w:type="dxa"/>
            <w:bottom w:w="0" w:type="dxa"/>
            <w:right w:w="0"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保证完成</w:t>
            </w:r>
            <w:bookmarkStart w:id="120" w:name="_GoBack"/>
            <w:bookmarkEnd w:id="120"/>
            <w:r>
              <w:rPr>
                <w:rFonts w:hint="eastAsia" w:ascii="宋体" w:hAnsi="宋体" w:eastAsia="宋体" w:cs="宋体"/>
                <w:i w:val="0"/>
                <w:iCs w:val="0"/>
                <w:color w:val="000000"/>
                <w:kern w:val="0"/>
                <w:sz w:val="18"/>
                <w:szCs w:val="18"/>
                <w:u w:val="none"/>
                <w:lang w:val="en-US" w:eastAsia="zh-CN" w:bidi="ar"/>
              </w:rPr>
              <w:t>脱贫攻坚“两通工程”</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脱贫攻坚“两通工程”</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资金保障时效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脱贫攻坚“两通工程”</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脱贫攻坚“两通工程”</w:t>
            </w:r>
          </w:p>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jc w:val="center"/>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ind w:firstLine="0" w:firstLineChars="0"/>
              <w:rPr>
                <w:rFonts w:hint="eastAsia" w:ascii="宋体" w:hAnsi="宋体" w:eastAsia="宋体" w:cs="宋体"/>
                <w:i w:val="0"/>
                <w:iCs w:val="0"/>
                <w:color w:val="000000"/>
                <w:sz w:val="18"/>
                <w:szCs w:val="18"/>
                <w:u w:val="none"/>
              </w:rPr>
            </w:pPr>
          </w:p>
        </w:tc>
      </w:tr>
      <w:tr>
        <w:tblPrEx>
          <w:tblCellMar>
            <w:top w:w="0" w:type="dxa"/>
            <w:left w:w="0" w:type="dxa"/>
            <w:bottom w:w="0" w:type="dxa"/>
            <w:right w:w="0"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项目完成既定绩效目标，预算执行率100%，工程质量合格，群众满意度高，全镇交通出行条件和安全状况显著改善，运输成本降低，达到预期经济效益和社会效益。</w:t>
            </w:r>
          </w:p>
        </w:tc>
      </w:tr>
      <w:tr>
        <w:tblPrEx>
          <w:tblCellMar>
            <w:top w:w="0" w:type="dxa"/>
            <w:left w:w="0" w:type="dxa"/>
            <w:bottom w:w="0" w:type="dxa"/>
            <w:right w:w="0"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项目资金不足：聚贤镇2020年脱贫攻坚“两通工程”项目部分道路款未结清，后续道路养护资金缺乏。</w:t>
            </w:r>
          </w:p>
        </w:tc>
      </w:tr>
      <w:tr>
        <w:tblPrEx>
          <w:tblCellMar>
            <w:top w:w="0" w:type="dxa"/>
            <w:left w:w="0" w:type="dxa"/>
            <w:bottom w:w="0" w:type="dxa"/>
            <w:right w:w="0"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一是加强资金统筹管理，完善多部门联动机制；二是建议增加聚贤镇2020年脱贫攻坚“两通工程”项目工作资金投入，保障工作开展。</w:t>
            </w:r>
          </w:p>
        </w:tc>
      </w:tr>
      <w:tr>
        <w:tblPrEx>
          <w:tblCellMar>
            <w:top w:w="0" w:type="dxa"/>
            <w:left w:w="0" w:type="dxa"/>
            <w:bottom w:w="0" w:type="dxa"/>
            <w:right w:w="0"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r>
              <w:rPr>
                <w:rFonts w:hint="eastAsia" w:ascii="宋体" w:hAnsi="宋体" w:eastAsia="宋体" w:cs="宋体"/>
                <w:i w:val="0"/>
                <w:color w:val="000000"/>
                <w:kern w:val="0"/>
                <w:sz w:val="18"/>
                <w:szCs w:val="18"/>
                <w:u w:val="none"/>
                <w:lang w:val="en-US" w:eastAsia="zh-CN" w:bidi="ar"/>
              </w:rPr>
              <w:t>彭岚</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ind w:firstLine="0" w:firstLineChars="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财务负责人：陈维维</w:t>
            </w:r>
          </w:p>
        </w:tc>
      </w:tr>
    </w:tbl>
    <w:p>
      <w:r>
        <w:br w:type="page"/>
      </w:r>
    </w:p>
    <w:p>
      <w:pPr>
        <w:widowControl/>
        <w:jc w:val="center"/>
        <w:outlineLvl w:val="0"/>
        <w:rPr>
          <w:rFonts w:hint="eastAsia" w:ascii="Times New Roman" w:hAnsi="Times New Roman" w:eastAsia="仿宋"/>
          <w:b w:val="0"/>
          <w:color w:val="auto"/>
          <w:highlight w:val="none"/>
        </w:rPr>
      </w:pPr>
      <w:bookmarkStart w:id="91" w:name="_Toc2543"/>
      <w:bookmarkStart w:id="92" w:name="_Toc15396618"/>
      <w:bookmarkStart w:id="93" w:name="_Toc23064"/>
      <w:r>
        <w:rPr>
          <w:rFonts w:hint="eastAsia" w:ascii="Times New Roman" w:hAnsi="Times New Roman" w:eastAsia="黑体"/>
          <w:color w:val="auto"/>
          <w:sz w:val="44"/>
          <w:szCs w:val="44"/>
          <w:highlight w:val="none"/>
        </w:rPr>
        <w:t>第</w:t>
      </w:r>
      <w:r>
        <w:rPr>
          <w:rStyle w:val="19"/>
          <w:rFonts w:hint="eastAsia" w:ascii="Times New Roman" w:hAnsi="Times New Roman" w:eastAsia="黑体"/>
          <w:b w:val="0"/>
          <w:color w:val="auto"/>
          <w:highlight w:val="none"/>
        </w:rPr>
        <w:t xml:space="preserve">五部分 </w:t>
      </w:r>
      <w:r>
        <w:rPr>
          <w:rStyle w:val="19"/>
          <w:rFonts w:hint="eastAsia" w:ascii="Times New Roman" w:hAnsi="Times New Roman" w:eastAsia="黑体"/>
          <w:b w:val="0"/>
          <w:color w:val="auto"/>
          <w:highlight w:val="none"/>
          <w:lang w:val="en-US" w:eastAsia="zh-CN"/>
        </w:rPr>
        <w:t xml:space="preserve"> </w:t>
      </w:r>
      <w:r>
        <w:rPr>
          <w:rStyle w:val="19"/>
          <w:rFonts w:hint="eastAsia" w:ascii="Times New Roman" w:hAnsi="Times New Roman" w:eastAsia="黑体"/>
          <w:b w:val="0"/>
          <w:color w:val="auto"/>
          <w:highlight w:val="none"/>
        </w:rPr>
        <w:t>附表</w:t>
      </w:r>
      <w:bookmarkEnd w:id="86"/>
      <w:bookmarkEnd w:id="91"/>
      <w:bookmarkEnd w:id="92"/>
      <w:bookmarkEnd w:id="93"/>
      <w:bookmarkStart w:id="94"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6"/>
        <w:bidi w:val="0"/>
        <w:rPr>
          <w:rFonts w:hint="eastAsia" w:ascii="仿宋_GB2312" w:hAnsi="仿宋_GB2312" w:eastAsia="仿宋_GB2312" w:cs="仿宋_GB2312"/>
        </w:rPr>
      </w:pPr>
      <w:bookmarkStart w:id="95" w:name="_Toc21917"/>
      <w:r>
        <w:rPr>
          <w:rFonts w:hint="eastAsia" w:ascii="仿宋_GB2312" w:hAnsi="仿宋_GB2312" w:eastAsia="仿宋_GB2312" w:cs="仿宋_GB2312"/>
        </w:rPr>
        <w:t>一、收入支出决算总表</w:t>
      </w:r>
      <w:bookmarkEnd w:id="94"/>
      <w:bookmarkEnd w:id="95"/>
    </w:p>
    <w:p>
      <w:pPr>
        <w:pStyle w:val="6"/>
        <w:bidi w:val="0"/>
        <w:rPr>
          <w:rFonts w:hint="eastAsia" w:ascii="仿宋_GB2312" w:hAnsi="仿宋_GB2312" w:eastAsia="仿宋_GB2312" w:cs="仿宋_GB2312"/>
        </w:rPr>
      </w:pPr>
      <w:bookmarkStart w:id="96" w:name="_Toc15396620"/>
      <w:bookmarkStart w:id="97" w:name="_Toc1906"/>
      <w:r>
        <w:rPr>
          <w:rFonts w:hint="eastAsia" w:ascii="仿宋_GB2312" w:hAnsi="仿宋_GB2312" w:eastAsia="仿宋_GB2312" w:cs="仿宋_GB2312"/>
        </w:rPr>
        <w:t>二、收入决算表</w:t>
      </w:r>
      <w:bookmarkEnd w:id="96"/>
      <w:bookmarkEnd w:id="97"/>
    </w:p>
    <w:p>
      <w:pPr>
        <w:pStyle w:val="6"/>
        <w:bidi w:val="0"/>
        <w:rPr>
          <w:rFonts w:hint="eastAsia" w:ascii="仿宋_GB2312" w:hAnsi="仿宋_GB2312" w:eastAsia="仿宋_GB2312" w:cs="仿宋_GB2312"/>
        </w:rPr>
      </w:pPr>
      <w:bookmarkStart w:id="98" w:name="_Toc23354"/>
      <w:bookmarkStart w:id="99" w:name="_Toc15396621"/>
      <w:r>
        <w:rPr>
          <w:rFonts w:hint="eastAsia" w:ascii="仿宋_GB2312" w:hAnsi="仿宋_GB2312" w:eastAsia="仿宋_GB2312" w:cs="仿宋_GB2312"/>
        </w:rPr>
        <w:t>三、支出决算表</w:t>
      </w:r>
      <w:bookmarkEnd w:id="98"/>
      <w:bookmarkEnd w:id="99"/>
    </w:p>
    <w:p>
      <w:pPr>
        <w:pStyle w:val="6"/>
        <w:bidi w:val="0"/>
        <w:rPr>
          <w:rFonts w:hint="eastAsia" w:ascii="仿宋_GB2312" w:hAnsi="仿宋_GB2312" w:eastAsia="仿宋_GB2312" w:cs="仿宋_GB2312"/>
        </w:rPr>
      </w:pPr>
      <w:bookmarkStart w:id="100" w:name="_Toc24762"/>
      <w:bookmarkStart w:id="101" w:name="_Toc15396622"/>
      <w:r>
        <w:rPr>
          <w:rFonts w:hint="eastAsia" w:ascii="仿宋_GB2312" w:hAnsi="仿宋_GB2312" w:eastAsia="仿宋_GB2312" w:cs="仿宋_GB2312"/>
        </w:rPr>
        <w:t>四、财政拨款收入支出决算总表</w:t>
      </w:r>
      <w:bookmarkEnd w:id="100"/>
      <w:bookmarkEnd w:id="101"/>
    </w:p>
    <w:p>
      <w:pPr>
        <w:pStyle w:val="6"/>
        <w:bidi w:val="0"/>
        <w:rPr>
          <w:rFonts w:hint="eastAsia" w:ascii="仿宋_GB2312" w:hAnsi="仿宋_GB2312" w:eastAsia="仿宋_GB2312" w:cs="仿宋_GB2312"/>
        </w:rPr>
      </w:pPr>
      <w:bookmarkStart w:id="102" w:name="_Toc15396623"/>
      <w:bookmarkStart w:id="103" w:name="_Toc22429"/>
      <w:r>
        <w:rPr>
          <w:rFonts w:hint="eastAsia" w:ascii="仿宋_GB2312" w:hAnsi="仿宋_GB2312" w:eastAsia="仿宋_GB2312" w:cs="仿宋_GB2312"/>
        </w:rPr>
        <w:t>五、财政拨款支出决算明细表</w:t>
      </w:r>
      <w:bookmarkEnd w:id="102"/>
      <w:bookmarkEnd w:id="103"/>
      <w:bookmarkStart w:id="104" w:name="_Toc15396624"/>
    </w:p>
    <w:p>
      <w:pPr>
        <w:pStyle w:val="6"/>
        <w:bidi w:val="0"/>
        <w:rPr>
          <w:rFonts w:hint="eastAsia" w:ascii="仿宋_GB2312" w:hAnsi="仿宋_GB2312" w:eastAsia="仿宋_GB2312" w:cs="仿宋_GB2312"/>
        </w:rPr>
      </w:pPr>
      <w:bookmarkStart w:id="105" w:name="_Toc32508"/>
      <w:r>
        <w:rPr>
          <w:rFonts w:hint="eastAsia" w:ascii="仿宋_GB2312" w:hAnsi="仿宋_GB2312" w:eastAsia="仿宋_GB2312" w:cs="仿宋_GB2312"/>
        </w:rPr>
        <w:t>六、一般公共预算财政拨款支出决算表</w:t>
      </w:r>
      <w:bookmarkEnd w:id="104"/>
      <w:bookmarkEnd w:id="105"/>
    </w:p>
    <w:p>
      <w:pPr>
        <w:pStyle w:val="6"/>
        <w:bidi w:val="0"/>
        <w:rPr>
          <w:rFonts w:hint="eastAsia" w:ascii="仿宋_GB2312" w:hAnsi="仿宋_GB2312" w:eastAsia="仿宋_GB2312" w:cs="仿宋_GB2312"/>
        </w:rPr>
      </w:pPr>
      <w:bookmarkStart w:id="106" w:name="_Toc15396625"/>
      <w:bookmarkStart w:id="107" w:name="_Toc15928"/>
      <w:r>
        <w:rPr>
          <w:rFonts w:hint="eastAsia" w:ascii="仿宋_GB2312" w:hAnsi="仿宋_GB2312" w:eastAsia="仿宋_GB2312" w:cs="仿宋_GB2312"/>
        </w:rPr>
        <w:t>七、一般公共预算财政拨款支出决算明细表</w:t>
      </w:r>
      <w:bookmarkEnd w:id="106"/>
      <w:bookmarkEnd w:id="107"/>
    </w:p>
    <w:p>
      <w:pPr>
        <w:pStyle w:val="6"/>
        <w:bidi w:val="0"/>
        <w:rPr>
          <w:rFonts w:hint="eastAsia" w:ascii="仿宋_GB2312" w:hAnsi="仿宋_GB2312" w:eastAsia="仿宋_GB2312" w:cs="仿宋_GB2312"/>
        </w:rPr>
      </w:pPr>
      <w:bookmarkStart w:id="108" w:name="_Toc5162"/>
      <w:bookmarkStart w:id="109" w:name="_Toc15396626"/>
      <w:r>
        <w:rPr>
          <w:rFonts w:hint="eastAsia" w:ascii="仿宋_GB2312" w:hAnsi="仿宋_GB2312" w:eastAsia="仿宋_GB2312" w:cs="仿宋_GB2312"/>
        </w:rPr>
        <w:t>八、一般公共预算财政拨款基本支出决算表</w:t>
      </w:r>
      <w:bookmarkEnd w:id="108"/>
      <w:bookmarkEnd w:id="109"/>
    </w:p>
    <w:p>
      <w:pPr>
        <w:pStyle w:val="6"/>
        <w:bidi w:val="0"/>
        <w:rPr>
          <w:rFonts w:hint="eastAsia" w:ascii="仿宋_GB2312" w:hAnsi="仿宋_GB2312" w:eastAsia="仿宋_GB2312" w:cs="仿宋_GB2312"/>
        </w:rPr>
      </w:pPr>
      <w:bookmarkStart w:id="110" w:name="_Toc15396627"/>
      <w:bookmarkStart w:id="111" w:name="_Toc31829"/>
      <w:r>
        <w:rPr>
          <w:rFonts w:hint="eastAsia" w:ascii="仿宋_GB2312" w:hAnsi="仿宋_GB2312" w:eastAsia="仿宋_GB2312" w:cs="仿宋_GB2312"/>
        </w:rPr>
        <w:t>九、一般公共预算财政拨款项目支出决算表</w:t>
      </w:r>
      <w:bookmarkEnd w:id="110"/>
      <w:bookmarkEnd w:id="111"/>
    </w:p>
    <w:p>
      <w:pPr>
        <w:pStyle w:val="6"/>
        <w:bidi w:val="0"/>
        <w:rPr>
          <w:rFonts w:hint="eastAsia" w:ascii="仿宋_GB2312" w:hAnsi="仿宋_GB2312" w:eastAsia="仿宋_GB2312" w:cs="仿宋_GB2312"/>
        </w:rPr>
      </w:pPr>
      <w:bookmarkStart w:id="112" w:name="_Toc15396628"/>
      <w:bookmarkStart w:id="113" w:name="_Toc22269"/>
      <w:r>
        <w:rPr>
          <w:rFonts w:hint="eastAsia" w:ascii="仿宋_GB2312" w:hAnsi="仿宋_GB2312" w:eastAsia="仿宋_GB2312" w:cs="仿宋_GB2312"/>
        </w:rPr>
        <w:t>十、</w:t>
      </w:r>
      <w:bookmarkEnd w:id="112"/>
      <w:r>
        <w:rPr>
          <w:rFonts w:hint="eastAsia" w:ascii="仿宋_GB2312" w:hAnsi="仿宋_GB2312" w:eastAsia="仿宋_GB2312" w:cs="仿宋_GB2312"/>
        </w:rPr>
        <w:t>政府性基金预算财政拨款收入支出决算表</w:t>
      </w:r>
      <w:bookmarkEnd w:id="113"/>
    </w:p>
    <w:p>
      <w:pPr>
        <w:pStyle w:val="6"/>
        <w:bidi w:val="0"/>
        <w:rPr>
          <w:rFonts w:hint="eastAsia" w:ascii="仿宋_GB2312" w:hAnsi="仿宋_GB2312" w:eastAsia="仿宋_GB2312" w:cs="仿宋_GB2312"/>
        </w:rPr>
      </w:pPr>
      <w:bookmarkStart w:id="114" w:name="_Toc15396629"/>
      <w:bookmarkStart w:id="115" w:name="_Toc23035"/>
      <w:r>
        <w:rPr>
          <w:rFonts w:hint="eastAsia" w:ascii="仿宋_GB2312" w:hAnsi="仿宋_GB2312" w:eastAsia="仿宋_GB2312" w:cs="仿宋_GB2312"/>
        </w:rPr>
        <w:t>十一、</w:t>
      </w:r>
      <w:bookmarkEnd w:id="114"/>
      <w:r>
        <w:rPr>
          <w:rFonts w:hint="eastAsia" w:ascii="仿宋_GB2312" w:hAnsi="仿宋_GB2312" w:eastAsia="仿宋_GB2312" w:cs="仿宋_GB2312"/>
        </w:rPr>
        <w:t>国有资本经营预算</w:t>
      </w:r>
      <w:r>
        <w:rPr>
          <w:rFonts w:hint="eastAsia" w:ascii="仿宋_GB2312" w:hAnsi="仿宋_GB2312" w:eastAsia="仿宋_GB2312" w:cs="仿宋_GB2312"/>
          <w:lang w:eastAsia="zh-CN"/>
        </w:rPr>
        <w:t>财政拨款收入</w:t>
      </w:r>
      <w:r>
        <w:rPr>
          <w:rFonts w:hint="eastAsia" w:ascii="仿宋_GB2312" w:hAnsi="仿宋_GB2312" w:eastAsia="仿宋_GB2312" w:cs="仿宋_GB2312"/>
        </w:rPr>
        <w:t>支出决算表</w:t>
      </w:r>
      <w:bookmarkEnd w:id="115"/>
    </w:p>
    <w:p>
      <w:pPr>
        <w:pStyle w:val="6"/>
        <w:bidi w:val="0"/>
        <w:rPr>
          <w:rFonts w:hint="eastAsia" w:ascii="仿宋_GB2312" w:hAnsi="仿宋_GB2312" w:eastAsia="仿宋_GB2312" w:cs="仿宋_GB2312"/>
        </w:rPr>
      </w:pPr>
      <w:bookmarkStart w:id="116" w:name="_Toc15396630"/>
      <w:bookmarkStart w:id="117" w:name="_Toc29390"/>
      <w:r>
        <w:rPr>
          <w:rFonts w:hint="eastAsia" w:ascii="仿宋_GB2312" w:hAnsi="仿宋_GB2312" w:eastAsia="仿宋_GB2312" w:cs="仿宋_GB2312"/>
        </w:rPr>
        <w:t>十二、</w:t>
      </w:r>
      <w:bookmarkEnd w:id="116"/>
      <w:r>
        <w:rPr>
          <w:rFonts w:hint="eastAsia" w:ascii="仿宋_GB2312" w:hAnsi="仿宋_GB2312" w:eastAsia="仿宋_GB2312" w:cs="仿宋_GB2312"/>
          <w:lang w:eastAsia="zh-CN"/>
        </w:rPr>
        <w:t>国有资本经营预算财政拨款支出决算表</w:t>
      </w:r>
      <w:bookmarkEnd w:id="117"/>
    </w:p>
    <w:p>
      <w:pPr>
        <w:pStyle w:val="6"/>
        <w:bidi w:val="0"/>
        <w:rPr>
          <w:rFonts w:hint="eastAsia" w:ascii="仿宋_GB2312" w:hAnsi="仿宋_GB2312" w:eastAsia="仿宋_GB2312" w:cs="仿宋_GB2312"/>
          <w:lang w:eastAsia="zh-CN"/>
        </w:rPr>
      </w:pPr>
      <w:bookmarkStart w:id="118" w:name="_Toc15396631"/>
      <w:bookmarkStart w:id="119" w:name="_Toc29409"/>
      <w:r>
        <w:rPr>
          <w:rFonts w:hint="eastAsia" w:ascii="仿宋_GB2312" w:hAnsi="仿宋_GB2312" w:eastAsia="仿宋_GB2312" w:cs="仿宋_GB2312"/>
        </w:rPr>
        <w:t>十三、</w:t>
      </w:r>
      <w:bookmarkEnd w:id="118"/>
      <w:r>
        <w:rPr>
          <w:rFonts w:hint="eastAsia" w:ascii="仿宋_GB2312" w:hAnsi="仿宋_GB2312" w:eastAsia="仿宋_GB2312" w:cs="仿宋_GB2312"/>
          <w:lang w:eastAsia="zh-CN"/>
        </w:rPr>
        <w:t>财政拨款“三公”经费支出决算表</w:t>
      </w:r>
      <w:bookmarkEnd w:id="119"/>
    </w:p>
    <w:p>
      <w:pPr>
        <w:rPr>
          <w:rFonts w:hint="eastAsia" w:ascii="Times New Roman" w:hAnsi="Times New Roman"/>
          <w:lang w:eastAsia="zh-CN"/>
        </w:rPr>
      </w:pPr>
    </w:p>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10"/>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E2DCEC"/>
    <w:multiLevelType w:val="singleLevel"/>
    <w:tmpl w:val="B3E2DCEC"/>
    <w:lvl w:ilvl="0" w:tentative="0">
      <w:start w:val="1"/>
      <w:numFmt w:val="chineseCounting"/>
      <w:suff w:val="nothing"/>
      <w:lvlText w:val="%1、"/>
      <w:lvlJc w:val="left"/>
      <w:rPr>
        <w:rFonts w:hint="eastAsia"/>
      </w:rPr>
    </w:lvl>
  </w:abstractNum>
  <w:abstractNum w:abstractNumId="1">
    <w:nsid w:val="4B8538E4"/>
    <w:multiLevelType w:val="singleLevel"/>
    <w:tmpl w:val="4B8538E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A12D6"/>
    <w:rsid w:val="00DF7FF5"/>
    <w:rsid w:val="07291617"/>
    <w:rsid w:val="0A731C2B"/>
    <w:rsid w:val="0CCD2BA4"/>
    <w:rsid w:val="0E8A12D6"/>
    <w:rsid w:val="13554F4F"/>
    <w:rsid w:val="172561BF"/>
    <w:rsid w:val="18C01A05"/>
    <w:rsid w:val="2C2E480A"/>
    <w:rsid w:val="3283012F"/>
    <w:rsid w:val="373B3A6D"/>
    <w:rsid w:val="37835805"/>
    <w:rsid w:val="386E6B3B"/>
    <w:rsid w:val="3C4E310A"/>
    <w:rsid w:val="3D844AC4"/>
    <w:rsid w:val="40F42499"/>
    <w:rsid w:val="680E619A"/>
    <w:rsid w:val="6F2843FC"/>
    <w:rsid w:val="710757D4"/>
    <w:rsid w:val="74A533C2"/>
    <w:rsid w:val="756306D6"/>
    <w:rsid w:val="77CA182F"/>
    <w:rsid w:val="79D03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1440" w:firstLineChars="20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19"/>
    <w:qFormat/>
    <w:uiPriority w:val="9"/>
    <w:pPr>
      <w:keepNext/>
      <w:keepLines/>
      <w:spacing w:before="340" w:after="330" w:line="579" w:lineRule="auto"/>
      <w:ind w:firstLine="0" w:firstLineChars="0"/>
      <w:jc w:val="center"/>
      <w:outlineLvl w:val="0"/>
    </w:pPr>
    <w:rPr>
      <w:rFonts w:eastAsia="方正小标宋简体"/>
      <w:bCs/>
      <w:kern w:val="44"/>
      <w:sz w:val="44"/>
      <w:szCs w:val="44"/>
    </w:rPr>
  </w:style>
  <w:style w:type="paragraph" w:styleId="6">
    <w:name w:val="heading 2"/>
    <w:basedOn w:val="1"/>
    <w:next w:val="1"/>
    <w:link w:val="20"/>
    <w:unhideWhenUsed/>
    <w:qFormat/>
    <w:uiPriority w:val="9"/>
    <w:pPr>
      <w:keepNext/>
      <w:keepLines/>
      <w:spacing w:line="600" w:lineRule="exact"/>
      <w:ind w:firstLine="1440" w:firstLineChars="200"/>
      <w:outlineLvl w:val="1"/>
    </w:pPr>
    <w:rPr>
      <w:rFonts w:eastAsia="黑体" w:asciiTheme="majorAscii" w:hAnsiTheme="majorAscii" w:cstheme="majorBidi"/>
      <w:bCs/>
      <w:sz w:val="32"/>
      <w:szCs w:val="32"/>
    </w:rPr>
  </w:style>
  <w:style w:type="paragraph" w:styleId="7">
    <w:name w:val="heading 3"/>
    <w:basedOn w:val="1"/>
    <w:next w:val="1"/>
    <w:unhideWhenUsed/>
    <w:qFormat/>
    <w:uiPriority w:val="0"/>
    <w:pPr>
      <w:keepNext/>
      <w:keepLines/>
      <w:spacing w:beforeLines="0" w:beforeAutospacing="0" w:afterLines="0" w:afterAutospacing="0" w:line="600" w:lineRule="exact"/>
      <w:outlineLvl w:val="2"/>
    </w:pPr>
    <w:rPr>
      <w:rFonts w:eastAsia="楷体_GB2312"/>
      <w:b/>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index 5"/>
    <w:basedOn w:val="1"/>
    <w:next w:val="1"/>
    <w:qFormat/>
    <w:uiPriority w:val="0"/>
    <w:pPr>
      <w:ind w:left="1680"/>
    </w:pPr>
  </w:style>
  <w:style w:type="paragraph" w:styleId="9">
    <w:name w:val="Body Text"/>
    <w:basedOn w:val="1"/>
    <w:qFormat/>
    <w:uiPriority w:val="99"/>
    <w:pPr>
      <w:spacing w:beforeLines="30"/>
    </w:pPr>
    <w:rPr>
      <w:rFonts w:ascii="仿宋_GB2312" w:eastAsia="仿宋_GB2312"/>
      <w:kern w:val="0"/>
      <w:sz w:val="30"/>
    </w:rPr>
  </w:style>
  <w:style w:type="paragraph" w:styleId="10">
    <w:name w:val="footer"/>
    <w:basedOn w:val="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unhideWhenUsed/>
    <w:qFormat/>
    <w:uiPriority w:val="99"/>
    <w:pPr>
      <w:ind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19">
    <w:name w:val="标题 1 Char"/>
    <w:basedOn w:val="17"/>
    <w:link w:val="5"/>
    <w:qFormat/>
    <w:uiPriority w:val="9"/>
    <w:rPr>
      <w:rFonts w:eastAsia="方正小标宋简体"/>
      <w:bCs/>
      <w:kern w:val="44"/>
      <w:sz w:val="44"/>
      <w:szCs w:val="44"/>
    </w:rPr>
  </w:style>
  <w:style w:type="character" w:customStyle="1" w:styleId="20">
    <w:name w:val="标题 2 Char"/>
    <w:basedOn w:val="17"/>
    <w:link w:val="6"/>
    <w:qFormat/>
    <w:uiPriority w:val="9"/>
    <w:rPr>
      <w:rFonts w:eastAsia="黑体" w:asciiTheme="majorAscii" w:hAnsiTheme="majorAscii" w:cstheme="majorBidi"/>
      <w:bCs/>
      <w:sz w:val="32"/>
      <w:szCs w:val="32"/>
    </w:rPr>
  </w:style>
  <w:style w:type="paragraph" w:styleId="21">
    <w:name w:val="List Paragraph"/>
    <w:basedOn w:val="1"/>
    <w:qFormat/>
    <w:uiPriority w:val="34"/>
    <w:pPr>
      <w:ind w:firstLine="420" w:firstLineChars="200"/>
    </w:pPr>
  </w:style>
  <w:style w:type="paragraph" w:customStyle="1" w:styleId="22">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3">
    <w:name w:val="常用样式（方正仿宋简）"/>
    <w:basedOn w:val="1"/>
    <w:next w:val="8"/>
    <w:qFormat/>
    <w:uiPriority w:val="0"/>
    <w:pPr>
      <w:spacing w:line="560" w:lineRule="exact"/>
      <w:ind w:firstLine="640" w:firstLineChars="200"/>
    </w:pPr>
    <w:rPr>
      <w:rFonts w:hint="eastAsia" w:ascii="Calibri" w:hAnsi="Times New Roman" w:eastAsia="方正仿宋简体" w:cs="Times New Roman"/>
      <w:sz w:val="32"/>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overlay val="0"/>
      <c:spPr>
        <a:noFill/>
        <a:ln>
          <a:noFill/>
        </a:ln>
        <a:effectLst/>
      </c:spPr>
    </c:title>
    <c:autoTitleDeleted val="0"/>
    <c:plotArea>
      <c:layout>
        <c:manualLayout>
          <c:layoutTarget val="inner"/>
          <c:xMode val="edge"/>
          <c:yMode val="edge"/>
          <c:x val="0.071825"/>
          <c:y val="0.127"/>
          <c:w val="0.8938"/>
          <c:h val="0.716566666666667"/>
        </c:manualLayout>
      </c:layout>
      <c:barChart>
        <c:barDir val="col"/>
        <c:grouping val="clustered"/>
        <c:varyColors val="0"/>
        <c:ser>
          <c:idx val="0"/>
          <c:order val="0"/>
          <c:tx>
            <c:strRef>
              <c:f>Sheet1!$A$2</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收入</c:v>
                </c:pt>
                <c:pt idx="1">
                  <c:v>支出</c:v>
                </c:pt>
              </c:strCache>
            </c:strRef>
          </c:cat>
          <c:val>
            <c:numRef>
              <c:f>Sheet1!$B$2:$C$2</c:f>
              <c:numCache>
                <c:formatCode>General</c:formatCode>
                <c:ptCount val="2"/>
                <c:pt idx="0">
                  <c:v>1285.27</c:v>
                </c:pt>
                <c:pt idx="1">
                  <c:v>1285.27</c:v>
                </c:pt>
              </c:numCache>
            </c:numRef>
          </c:val>
        </c:ser>
        <c:ser>
          <c:idx val="1"/>
          <c:order val="1"/>
          <c:tx>
            <c:strRef>
              <c:f>Sheet1!$A$3</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收入</c:v>
                </c:pt>
                <c:pt idx="1">
                  <c:v>支出</c:v>
                </c:pt>
              </c:strCache>
            </c:strRef>
          </c:cat>
          <c:val>
            <c:numRef>
              <c:f>Sheet1!$B$3:$C$3</c:f>
              <c:numCache>
                <c:formatCode>General</c:formatCode>
                <c:ptCount val="2"/>
                <c:pt idx="0">
                  <c:v>6977.17</c:v>
                </c:pt>
                <c:pt idx="1">
                  <c:v>6977.17</c:v>
                </c:pt>
              </c:numCache>
            </c:numRef>
          </c:val>
        </c:ser>
        <c:dLbls>
          <c:showLegendKey val="0"/>
          <c:showVal val="1"/>
          <c:showCatName val="0"/>
          <c:showSerName val="0"/>
          <c:showPercent val="0"/>
          <c:showBubbleSize val="0"/>
        </c:dLbls>
        <c:gapWidth val="219"/>
        <c:overlap val="-27"/>
        <c:axId val="994871092"/>
        <c:axId val="608991044"/>
      </c:barChart>
      <c:catAx>
        <c:axId val="9948710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991044"/>
        <c:crosses val="autoZero"/>
        <c:auto val="1"/>
        <c:lblAlgn val="ctr"/>
        <c:lblOffset val="100"/>
        <c:noMultiLvlLbl val="0"/>
      </c:catAx>
      <c:valAx>
        <c:axId val="6089910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487109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0.1783</c:v>
                </c:pt>
                <c:pt idx="1">
                  <c:v>0.8217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0.1488</c:v>
                </c:pt>
                <c:pt idx="1">
                  <c:v>0.8512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1285.27</c:v>
                </c:pt>
                <c:pt idx="1">
                  <c:v>1285.27</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6977.17</c:v>
                </c:pt>
                <c:pt idx="1">
                  <c:v>6977.17</c:v>
                </c:pt>
              </c:numCache>
            </c:numRef>
          </c:val>
        </c:ser>
        <c:dLbls>
          <c:showLegendKey val="0"/>
          <c:showVal val="1"/>
          <c:showCatName val="0"/>
          <c:showSerName val="0"/>
          <c:showPercent val="0"/>
          <c:showBubbleSize val="0"/>
        </c:dLbls>
        <c:gapWidth val="219"/>
        <c:overlap val="-27"/>
        <c:axId val="656293975"/>
        <c:axId val="898741300"/>
      </c:barChart>
      <c:catAx>
        <c:axId val="6562939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741300"/>
        <c:crosses val="autoZero"/>
        <c:auto val="1"/>
        <c:lblAlgn val="ctr"/>
        <c:lblOffset val="100"/>
        <c:noMultiLvlLbl val="0"/>
      </c:catAx>
      <c:valAx>
        <c:axId val="8987413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29397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1260.15</c:v>
                </c:pt>
              </c:numCache>
            </c:numRef>
          </c:val>
        </c:ser>
        <c:ser>
          <c:idx val="1"/>
          <c:order val="1"/>
          <c:tx>
            <c:strRef>
              <c:f>Sheet1!$C$1</c:f>
              <c:strCache>
                <c:ptCount val="1"/>
                <c:pt idx="0">
                  <c:v>2024年</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1244.2</c:v>
                </c:pt>
              </c:numCache>
            </c:numRef>
          </c:val>
        </c:ser>
        <c:dLbls>
          <c:showLegendKey val="0"/>
          <c:showVal val="1"/>
          <c:showCatName val="0"/>
          <c:showSerName val="0"/>
          <c:showPercent val="0"/>
          <c:showBubbleSize val="0"/>
        </c:dLbls>
        <c:gapWidth val="219"/>
        <c:overlap val="-27"/>
        <c:axId val="280846725"/>
        <c:axId val="78639722"/>
      </c:barChart>
      <c:catAx>
        <c:axId val="2808467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639722"/>
        <c:crosses val="autoZero"/>
        <c:auto val="1"/>
        <c:lblAlgn val="ctr"/>
        <c:lblOffset val="100"/>
        <c:noMultiLvlLbl val="0"/>
      </c:catAx>
      <c:valAx>
        <c:axId val="786397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0846725"/>
        <c:crosses val="autoZero"/>
        <c:crossBetween val="between"/>
        <c:majorUnit val="1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Sheet1!$C$2</c:f>
              <c:strCache>
                <c:ptCount val="1"/>
                <c:pt idx="0">
                  <c:v>一般公共预算财政拨款支出决算结构图</c:v>
                </c:pt>
              </c:strCache>
            </c:strRef>
          </c:tx>
          <c:spPr>
            <a:ln w="19050">
              <a:noFill/>
            </a:ln>
          </c:spPr>
          <c:explosion val="0"/>
          <c:dPt>
            <c:idx val="0"/>
            <c:bubble3D val="0"/>
            <c:spPr>
              <a:solidFill>
                <a:schemeClr val="accent1"/>
              </a:solidFill>
              <a:ln w="19050">
                <a:noFill/>
              </a:ln>
              <a:effectLst/>
            </c:spPr>
          </c:dPt>
          <c:dPt>
            <c:idx val="1"/>
            <c:bubble3D val="0"/>
            <c:spPr>
              <a:gradFill>
                <a:gsLst>
                  <a:gs pos="0">
                    <a:srgbClr val="FBFB11"/>
                  </a:gs>
                  <a:gs pos="100000">
                    <a:srgbClr val="838309"/>
                  </a:gs>
                </a:gsLst>
                <a:lin ang="5400000" scaled="0"/>
              </a:gradFill>
              <a:ln w="19050">
                <a:noFill/>
              </a:ln>
              <a:effectLst/>
            </c:spPr>
          </c:dPt>
          <c:dPt>
            <c:idx val="2"/>
            <c:bubble3D val="0"/>
            <c:spPr>
              <a:solidFill>
                <a:schemeClr val="accent3"/>
              </a:solidFill>
              <a:ln w="19050">
                <a:noFill/>
              </a:ln>
              <a:effectLst/>
            </c:spPr>
          </c:dPt>
          <c:dPt>
            <c:idx val="3"/>
            <c:bubble3D val="0"/>
            <c:spPr>
              <a:solidFill>
                <a:schemeClr val="accent4"/>
              </a:solidFill>
              <a:ln w="19050">
                <a:noFill/>
              </a:ln>
              <a:effectLst/>
            </c:spPr>
          </c:dPt>
          <c:dPt>
            <c:idx val="4"/>
            <c:bubble3D val="0"/>
            <c:spPr>
              <a:solidFill>
                <a:schemeClr val="accent5"/>
              </a:solidFill>
              <a:ln w="19050">
                <a:noFill/>
              </a:ln>
              <a:effectLst/>
            </c:spPr>
          </c:dPt>
          <c:dPt>
            <c:idx val="5"/>
            <c:bubble3D val="0"/>
            <c:spPr>
              <a:solidFill>
                <a:schemeClr val="accent6"/>
              </a:solidFill>
              <a:ln w="19050">
                <a:noFill/>
              </a:ln>
              <a:effectLst/>
            </c:spPr>
          </c:dPt>
          <c:dPt>
            <c:idx val="6"/>
            <c:bubble3D val="0"/>
            <c:spPr>
              <a:solidFill>
                <a:schemeClr val="accent1">
                  <a:lumMod val="60000"/>
                </a:schemeClr>
              </a:solidFill>
              <a:ln w="19050">
                <a:noFill/>
              </a:ln>
              <a:effectLst/>
            </c:spPr>
          </c:dPt>
          <c:dPt>
            <c:idx val="7"/>
            <c:bubble3D val="0"/>
            <c:spPr>
              <a:solidFill>
                <a:schemeClr val="accent2">
                  <a:lumMod val="60000"/>
                </a:schemeClr>
              </a:solidFill>
              <a:ln w="19050">
                <a:noFill/>
              </a:ln>
              <a:effectLst/>
            </c:spPr>
          </c:dPt>
          <c:dPt>
            <c:idx val="8"/>
            <c:bubble3D val="0"/>
            <c:spPr>
              <a:solidFill>
                <a:schemeClr val="accent6">
                  <a:lumMod val="20000"/>
                  <a:lumOff val="80000"/>
                </a:schemeClr>
              </a:solidFill>
              <a:ln w="19050">
                <a:noFill/>
              </a:ln>
              <a:effectLst/>
            </c:spPr>
          </c:dPt>
          <c:dLbls>
            <c:dLbl>
              <c:idx val="0"/>
              <c:layout>
                <c:manualLayout>
                  <c:x val="0.00972963853527836"/>
                  <c:y val="-0.01649569607047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1527560386326"/>
                  <c:y val="-0.02225772241618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3771328405753"/>
                  <c:y val="-0.024667139744091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844700765021908"/>
                  <c:y val="0.01998410173482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45374091858799"/>
                  <c:y val="0.04820464221020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228166445370991"/>
                  <c:y val="-0.01590404625829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5807114955774"/>
                  <c:y val="0.04024273100317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121008911774365"/>
                  <c:y val="-0.01725467801877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454157892664159"/>
                  <c:y val="-0.0004622788704713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Sheet1!$D$1:$L$1</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Sheet1!$D$2:$L$2</c:f>
              <c:numCache>
                <c:formatCode>0.00%</c:formatCode>
                <c:ptCount val="9"/>
                <c:pt idx="0">
                  <c:v>0.0698</c:v>
                </c:pt>
                <c:pt idx="1">
                  <c:v>0.0008</c:v>
                </c:pt>
                <c:pt idx="2">
                  <c:v>0.0243</c:v>
                </c:pt>
                <c:pt idx="3">
                  <c:v>0.006</c:v>
                </c:pt>
                <c:pt idx="4">
                  <c:v>0.0008</c:v>
                </c:pt>
                <c:pt idx="5">
                  <c:v>0.8217</c:v>
                </c:pt>
                <c:pt idx="6">
                  <c:v>0.0681</c:v>
                </c:pt>
                <c:pt idx="7">
                  <c:v>0.0075</c:v>
                </c:pt>
                <c:pt idx="8">
                  <c:v>0.001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c:v>
                </c:pt>
              </c:strCache>
            </c:strRef>
          </c:tx>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4">
                  <a:lumMod val="60000"/>
                  <a:lumOff val="40000"/>
                </a:schemeClr>
              </a:solidFill>
              <a:ln w="19050">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2" c:formatCode="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6069</Words>
  <Characters>6721</Characters>
  <Lines>0</Lines>
  <Paragraphs>0</Paragraphs>
  <TotalTime>9</TotalTime>
  <ScaleCrop>false</ScaleCrop>
  <LinksUpToDate>false</LinksUpToDate>
  <CharactersWithSpaces>6765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2025-08-18T09:08:00Z</dcterms:created>
  <dc:creator>Administrator</dc:creator>
  <cp:lastModifiedBy>Administrator</cp:lastModifiedBy>
  <dcterms:modified xsi:type="dcterms:W3CDTF">2025-08-26T03:56:39Z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TemplateDocerSaveRecord">
    <vt:lpwstr>eyJoZGlkIjoiY2Y4ODA3YzczNTkxMzI3OTk2OWRhYmI1NTdjZWYzOTgiLCJ1c2VySWQiOiI3MTc4NzMyNTUifQ==</vt:lpwstr>
  </property>
  <property fmtid="{D5CDD505-2E9C-101B-9397-08002B2CF9AE}" pid="4" name="ICV">
    <vt:lpwstr>3265290BFCC94872B4A109F24AF9564A_12</vt:lpwstr>
  </property>
</Properties>
</file>