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61609">
      <w:pPr>
        <w:pStyle w:val="6"/>
        <w:jc w:val="center"/>
        <w:rPr>
          <w:rFonts w:hint="eastAsia" w:ascii="Times New Roman" w:hAnsi="Times New Roman" w:eastAsia="方正小标宋简体" w:cs="Times New Roman"/>
          <w:color w:val="auto"/>
          <w:kern w:val="2"/>
          <w:sz w:val="44"/>
          <w:szCs w:val="44"/>
          <w:highlight w:val="none"/>
          <w:lang w:val="en-US" w:eastAsia="zh-CN" w:bidi="ar-SA"/>
        </w:rPr>
      </w:pPr>
      <w:bookmarkStart w:id="0" w:name="_Toc15306267"/>
      <w:bookmarkStart w:id="1" w:name="_Toc15378442"/>
      <w:bookmarkStart w:id="2" w:name="_Toc15396476"/>
      <w:bookmarkStart w:id="3" w:name="_Toc15377426"/>
      <w:bookmarkStart w:id="4" w:name="_Toc15396598"/>
      <w:bookmarkStart w:id="5" w:name="_Toc15377194"/>
    </w:p>
    <w:p w14:paraId="49312BAB">
      <w:pPr>
        <w:pStyle w:val="6"/>
        <w:jc w:val="both"/>
        <w:rPr>
          <w:rFonts w:hint="eastAsia" w:ascii="Times New Roman" w:hAnsi="Times New Roman" w:eastAsia="方正小标宋简体" w:cs="Times New Roman"/>
          <w:color w:val="auto"/>
          <w:kern w:val="2"/>
          <w:sz w:val="44"/>
          <w:szCs w:val="44"/>
          <w:highlight w:val="none"/>
          <w:lang w:val="en-US" w:eastAsia="zh-CN" w:bidi="ar-SA"/>
        </w:rPr>
      </w:pPr>
    </w:p>
    <w:p w14:paraId="0EFDC281">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14:paraId="7D081468">
      <w:pPr>
        <w:pStyle w:val="6"/>
        <w:jc w:val="both"/>
        <w:rPr>
          <w:rFonts w:hint="eastAsia" w:ascii="Times New Roman" w:hAnsi="Times New Roman" w:eastAsia="方正小标宋简体" w:cs="Times New Roman"/>
          <w:color w:val="auto"/>
          <w:kern w:val="2"/>
          <w:sz w:val="44"/>
          <w:szCs w:val="44"/>
          <w:highlight w:val="none"/>
          <w:lang w:val="en-US" w:eastAsia="zh-CN" w:bidi="ar-SA"/>
        </w:rPr>
      </w:pPr>
    </w:p>
    <w:p w14:paraId="7911E994">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14:paraId="417F92A0">
      <w:pPr>
        <w:pStyle w:val="6"/>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b/>
          <w:bCs/>
          <w:color w:val="auto"/>
          <w:kern w:val="2"/>
          <w:sz w:val="44"/>
          <w:szCs w:val="44"/>
          <w:highlight w:val="none"/>
          <w:lang w:val="en-US" w:eastAsia="zh-CN" w:bidi="ar-SA"/>
        </w:rPr>
        <w:t>2024</w:t>
      </w:r>
      <w:r>
        <w:rPr>
          <w:rFonts w:hint="eastAsia" w:ascii="Times New Roman" w:hAnsi="Times New Roman" w:eastAsia="方正小标宋简体" w:cs="Times New Roman"/>
          <w:color w:val="auto"/>
          <w:kern w:val="2"/>
          <w:sz w:val="44"/>
          <w:szCs w:val="44"/>
          <w:highlight w:val="none"/>
          <w:lang w:val="en-US" w:eastAsia="zh-CN" w:bidi="ar-SA"/>
        </w:rPr>
        <w:t>年度</w:t>
      </w:r>
    </w:p>
    <w:p w14:paraId="6D310211">
      <w:pPr>
        <w:pStyle w:val="6"/>
        <w:jc w:val="center"/>
        <w:rPr>
          <w:rFonts w:hint="eastAsia" w:asci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四川省</w:t>
      </w:r>
      <w:r>
        <w:rPr>
          <w:rFonts w:hint="eastAsia" w:ascii="Times New Roman" w:eastAsia="方正小标宋简体" w:cs="Times New Roman"/>
          <w:color w:val="auto"/>
          <w:kern w:val="2"/>
          <w:sz w:val="44"/>
          <w:szCs w:val="44"/>
          <w:highlight w:val="none"/>
          <w:lang w:val="en-US" w:eastAsia="zh-CN" w:bidi="ar-SA"/>
        </w:rPr>
        <w:t>遂宁市安居区社会福利服务中心</w:t>
      </w:r>
    </w:p>
    <w:bookmarkEnd w:id="0"/>
    <w:p w14:paraId="4419B236">
      <w:pPr>
        <w:pStyle w:val="6"/>
        <w:jc w:val="center"/>
        <w:rPr>
          <w:rFonts w:hint="eastAsia" w:ascii="Times New Roman" w:hAnsi="Times New Roman" w:eastAsia="方正小标宋简体" w:cs="Times New Roman"/>
          <w:color w:val="auto"/>
          <w:kern w:val="2"/>
          <w:sz w:val="44"/>
          <w:szCs w:val="44"/>
          <w:highlight w:val="none"/>
          <w:lang w:val="en-US" w:eastAsia="zh-CN" w:bidi="ar-SA"/>
        </w:rPr>
      </w:pPr>
      <w:bookmarkStart w:id="6" w:name="_Toc15306268"/>
      <w:r>
        <w:rPr>
          <w:rFonts w:hint="eastAsia" w:ascii="Times New Roman" w:hAnsi="Times New Roman" w:eastAsia="方正小标宋简体" w:cs="Times New Roman"/>
          <w:color w:val="auto"/>
          <w:kern w:val="2"/>
          <w:sz w:val="44"/>
          <w:szCs w:val="44"/>
          <w:highlight w:val="none"/>
          <w:lang w:val="en-US" w:eastAsia="zh-CN" w:bidi="ar-SA"/>
        </w:rPr>
        <w:t>部门决算</w:t>
      </w:r>
      <w:bookmarkEnd w:id="1"/>
      <w:bookmarkEnd w:id="2"/>
      <w:bookmarkEnd w:id="3"/>
      <w:bookmarkEnd w:id="4"/>
      <w:bookmarkEnd w:id="5"/>
      <w:bookmarkEnd w:id="6"/>
    </w:p>
    <w:p w14:paraId="31D12FF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val="en-US" w:eastAsia="zh-CN"/>
        </w:rPr>
      </w:pPr>
    </w:p>
    <w:p w14:paraId="53A0D201">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14:paraId="52A29807">
      <w:pPr>
        <w:widowControl/>
        <w:jc w:val="center"/>
        <w:rPr>
          <w:rFonts w:ascii="Times New Roman" w:hAnsi="Times New Roman" w:eastAsia="黑体" w:cstheme="minorBidi"/>
          <w:color w:val="auto"/>
          <w:sz w:val="28"/>
          <w:szCs w:val="28"/>
          <w:highlight w:val="none"/>
        </w:rPr>
      </w:pPr>
    </w:p>
    <w:p w14:paraId="5652CC4D">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24</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8</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26</w:t>
      </w:r>
      <w:bookmarkStart w:id="11" w:name="_GoBack"/>
      <w:bookmarkEnd w:id="11"/>
      <w:r>
        <w:rPr>
          <w:rFonts w:hint="eastAsia" w:ascii="Times New Roman" w:hAnsi="Times New Roman" w:eastAsia="仿宋_GB2312" w:cs="仿宋_GB2312"/>
          <w:color w:val="auto"/>
          <w:sz w:val="32"/>
          <w:szCs w:val="32"/>
          <w:highlight w:val="none"/>
        </w:rPr>
        <w:t>日</w:t>
      </w:r>
    </w:p>
    <w:p w14:paraId="281C5C0D">
      <w:pPr>
        <w:rPr>
          <w:rFonts w:ascii="Times New Roman" w:hAnsi="Times New Roman"/>
          <w:color w:val="auto"/>
          <w:highlight w:val="none"/>
        </w:rPr>
      </w:pPr>
    </w:p>
    <w:p w14:paraId="33F746B1">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黑体" w:cs="黑体"/>
          <w:color w:val="auto"/>
          <w:sz w:val="32"/>
          <w:szCs w:val="32"/>
          <w:highlight w:val="none"/>
        </w:rPr>
        <w:t>第一部分 部门概况</w:t>
      </w:r>
      <w:r>
        <w:rPr>
          <w:rFonts w:hint="eastAsia" w:ascii="仿宋_GB2312" w:hAnsi="仿宋_GB2312" w:eastAsia="仿宋_GB2312" w:cs="仿宋_GB2312"/>
          <w:sz w:val="32"/>
          <w:szCs w:val="32"/>
          <w:lang w:val="en-US" w:eastAsia="zh-CN"/>
        </w:rPr>
        <w:tab/>
      </w:r>
      <w:r>
        <w:rPr>
          <w:rFonts w:hint="eastAsia" w:ascii="Times New Roman" w:hAnsi="Times New Roman" w:eastAsia="仿宋_GB2312" w:cs="仿宋_GB2312"/>
          <w:color w:val="auto"/>
          <w:sz w:val="32"/>
          <w:szCs w:val="32"/>
          <w:highlight w:val="none"/>
          <w:lang w:val="en-US" w:eastAsia="zh-CN"/>
        </w:rPr>
        <w:t>1</w:t>
      </w:r>
    </w:p>
    <w:p w14:paraId="19A4D9A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ascii="仿宋_GB2312" w:hAnsi="仿宋_GB2312" w:eastAsia="仿宋_GB2312" w:cs="仿宋_GB2312"/>
          <w:sz w:val="32"/>
          <w:szCs w:val="32"/>
          <w:lang w:val="en-US" w:eastAsia="zh-CN"/>
        </w:rPr>
        <w:tab/>
      </w:r>
      <w:r>
        <w:rPr>
          <w:rFonts w:hint="eastAsia" w:ascii="Times New Roman" w:hAnsi="Times New Roman" w:eastAsia="仿宋_GB2312" w:cs="仿宋_GB2312"/>
          <w:color w:val="auto"/>
          <w:sz w:val="32"/>
          <w:szCs w:val="32"/>
          <w:highlight w:val="none"/>
          <w:lang w:val="en-US" w:eastAsia="zh-CN"/>
        </w:rPr>
        <w:t>1</w:t>
      </w:r>
    </w:p>
    <w:p w14:paraId="5D0C069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二、机构设置</w:t>
      </w:r>
      <w:r>
        <w:rPr>
          <w:rFonts w:hint="eastAsia" w:ascii="仿宋_GB2312" w:hAnsi="仿宋_GB2312" w:eastAsia="仿宋_GB2312" w:cs="仿宋_GB2312"/>
          <w:sz w:val="32"/>
          <w:szCs w:val="32"/>
          <w:lang w:val="en-US" w:eastAsia="zh-CN"/>
        </w:rPr>
        <w:tab/>
      </w:r>
      <w:r>
        <w:rPr>
          <w:rFonts w:hint="eastAsia" w:ascii="Times New Roman" w:hAnsi="Times New Roman" w:eastAsia="仿宋_GB2312" w:cs="仿宋_GB2312"/>
          <w:color w:val="auto"/>
          <w:sz w:val="32"/>
          <w:szCs w:val="32"/>
          <w:highlight w:val="none"/>
          <w:lang w:val="en-US" w:eastAsia="zh-CN"/>
        </w:rPr>
        <w:t>1</w:t>
      </w:r>
    </w:p>
    <w:p w14:paraId="50959B01">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ascii="仿宋_GB2312" w:hAnsi="仿宋_GB2312" w:eastAsia="仿宋_GB2312" w:cs="仿宋_GB2312"/>
          <w:sz w:val="32"/>
          <w:szCs w:val="32"/>
          <w:lang w:val="en-US" w:eastAsia="zh-CN"/>
        </w:rPr>
        <w:tab/>
      </w:r>
      <w:r>
        <w:rPr>
          <w:rFonts w:hint="eastAsia" w:ascii="Times New Roman" w:hAnsi="Times New Roman" w:eastAsia="仿宋_GB2312" w:cs="仿宋_GB2312"/>
          <w:color w:val="auto"/>
          <w:sz w:val="32"/>
          <w:szCs w:val="32"/>
          <w:highlight w:val="none"/>
          <w:lang w:val="en-US" w:eastAsia="zh-CN"/>
        </w:rPr>
        <w:t>2</w:t>
      </w:r>
    </w:p>
    <w:p w14:paraId="42E7294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一、收入支出决算总体情况说明</w:t>
      </w:r>
      <w:r>
        <w:rPr>
          <w:rFonts w:hint="eastAsia" w:ascii="仿宋_GB2312" w:hAnsi="仿宋_GB2312" w:eastAsia="仿宋_GB2312" w:cs="仿宋_GB2312"/>
          <w:sz w:val="32"/>
          <w:szCs w:val="32"/>
          <w:lang w:val="en-US" w:eastAsia="zh-CN"/>
        </w:rPr>
        <w:tab/>
      </w:r>
      <w:r>
        <w:rPr>
          <w:rFonts w:hint="eastAsia" w:ascii="Times New Roman" w:hAnsi="Times New Roman" w:eastAsia="仿宋_GB2312" w:cs="仿宋_GB2312"/>
          <w:color w:val="auto"/>
          <w:sz w:val="32"/>
          <w:szCs w:val="32"/>
          <w:highlight w:val="none"/>
          <w:lang w:val="en-US" w:eastAsia="zh-CN"/>
        </w:rPr>
        <w:t>2</w:t>
      </w:r>
    </w:p>
    <w:p w14:paraId="1318976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二、收入决算情况说明</w:t>
      </w:r>
      <w:r>
        <w:rPr>
          <w:rFonts w:hint="eastAsia" w:ascii="仿宋_GB2312" w:hAnsi="仿宋_GB2312" w:eastAsia="仿宋_GB2312" w:cs="仿宋_GB2312"/>
          <w:sz w:val="32"/>
          <w:szCs w:val="32"/>
          <w:lang w:val="en-US" w:eastAsia="zh-CN"/>
        </w:rPr>
        <w:tab/>
      </w:r>
      <w:r>
        <w:rPr>
          <w:rFonts w:hint="eastAsia" w:ascii="Times New Roman" w:hAnsi="Times New Roman" w:eastAsia="仿宋_GB2312" w:cs="仿宋_GB2312"/>
          <w:color w:val="auto"/>
          <w:sz w:val="32"/>
          <w:szCs w:val="32"/>
          <w:highlight w:val="none"/>
          <w:lang w:val="en-US" w:eastAsia="zh-CN"/>
        </w:rPr>
        <w:t>2</w:t>
      </w:r>
    </w:p>
    <w:p w14:paraId="182AC3F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三、支出决算情况说明</w:t>
      </w:r>
      <w:r>
        <w:rPr>
          <w:rFonts w:hint="eastAsia" w:ascii="仿宋_GB2312" w:hAnsi="仿宋_GB2312" w:eastAsia="仿宋_GB2312" w:cs="仿宋_GB2312"/>
          <w:sz w:val="32"/>
          <w:szCs w:val="32"/>
          <w:lang w:val="en-US" w:eastAsia="zh-CN"/>
        </w:rPr>
        <w:tab/>
      </w:r>
      <w:r>
        <w:rPr>
          <w:rFonts w:hint="eastAsia" w:ascii="Times New Roman" w:hAnsi="Times New Roman" w:eastAsia="仿宋_GB2312" w:cs="仿宋_GB2312"/>
          <w:color w:val="auto"/>
          <w:sz w:val="32"/>
          <w:szCs w:val="32"/>
          <w:highlight w:val="none"/>
          <w:lang w:val="en-US" w:eastAsia="zh-CN"/>
        </w:rPr>
        <w:t>3</w:t>
      </w:r>
    </w:p>
    <w:p w14:paraId="0154BEB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ascii="仿宋_GB2312" w:hAnsi="仿宋_GB2312" w:eastAsia="仿宋_GB2312" w:cs="仿宋_GB2312"/>
          <w:sz w:val="32"/>
          <w:szCs w:val="32"/>
          <w:lang w:val="en-US" w:eastAsia="zh-CN"/>
        </w:rPr>
        <w:tab/>
      </w:r>
      <w:r>
        <w:rPr>
          <w:rFonts w:hint="eastAsia" w:ascii="Times New Roman" w:hAnsi="Times New Roman" w:eastAsia="仿宋_GB2312" w:cs="仿宋_GB2312"/>
          <w:color w:val="auto"/>
          <w:sz w:val="32"/>
          <w:szCs w:val="32"/>
          <w:highlight w:val="none"/>
          <w:lang w:val="en-US" w:eastAsia="zh-CN"/>
        </w:rPr>
        <w:t>4</w:t>
      </w:r>
    </w:p>
    <w:p w14:paraId="5BD2C23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ascii="仿宋_GB2312" w:hAnsi="仿宋_GB2312" w:eastAsia="仿宋_GB2312" w:cs="仿宋_GB2312"/>
          <w:sz w:val="32"/>
          <w:szCs w:val="32"/>
          <w:lang w:val="en-US" w:eastAsia="zh-CN"/>
        </w:rPr>
        <w:tab/>
      </w:r>
      <w:r>
        <w:rPr>
          <w:rFonts w:hint="eastAsia" w:ascii="Times New Roman" w:hAnsi="Times New Roman" w:eastAsia="仿宋_GB2312" w:cs="仿宋_GB2312"/>
          <w:color w:val="auto"/>
          <w:sz w:val="32"/>
          <w:szCs w:val="32"/>
          <w:highlight w:val="none"/>
          <w:lang w:val="en-US" w:eastAsia="zh-CN"/>
        </w:rPr>
        <w:t>4</w:t>
      </w:r>
    </w:p>
    <w:p w14:paraId="3D3B5F0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ascii="仿宋_GB2312" w:hAnsi="仿宋_GB2312" w:eastAsia="仿宋_GB2312" w:cs="仿宋_GB2312"/>
          <w:sz w:val="32"/>
          <w:szCs w:val="32"/>
          <w:lang w:val="en-US" w:eastAsia="zh-CN"/>
        </w:rPr>
        <w:tab/>
      </w:r>
      <w:r>
        <w:rPr>
          <w:rFonts w:hint="eastAsia" w:ascii="Times New Roman" w:hAnsi="Times New Roman" w:eastAsia="仿宋_GB2312" w:cs="仿宋_GB2312"/>
          <w:color w:val="auto"/>
          <w:sz w:val="32"/>
          <w:szCs w:val="32"/>
          <w:highlight w:val="none"/>
          <w:lang w:val="en-US" w:eastAsia="zh-CN"/>
        </w:rPr>
        <w:t>7</w:t>
      </w:r>
    </w:p>
    <w:p w14:paraId="355C36F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ascii="仿宋_GB2312" w:hAnsi="仿宋_GB2312" w:eastAsia="仿宋_GB2312" w:cs="仿宋_GB2312"/>
          <w:sz w:val="32"/>
          <w:szCs w:val="32"/>
          <w:lang w:val="en-US" w:eastAsia="zh-CN"/>
        </w:rPr>
        <w:tab/>
      </w:r>
      <w:r>
        <w:rPr>
          <w:rFonts w:hint="eastAsia" w:ascii="Times New Roman" w:hAnsi="Times New Roman" w:eastAsia="仿宋_GB2312" w:cs="仿宋_GB2312"/>
          <w:color w:val="auto"/>
          <w:sz w:val="32"/>
          <w:szCs w:val="32"/>
          <w:highlight w:val="none"/>
          <w:lang w:val="en-US" w:eastAsia="zh-CN"/>
        </w:rPr>
        <w:t>7</w:t>
      </w:r>
    </w:p>
    <w:p w14:paraId="3F969AC0">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八、政府性基金预算支出决算情况说明</w:t>
      </w:r>
      <w:r>
        <w:rPr>
          <w:rFonts w:hint="eastAsia" w:ascii="仿宋_GB2312" w:hAnsi="仿宋_GB2312" w:eastAsia="仿宋_GB2312" w:cs="仿宋_GB2312"/>
          <w:sz w:val="32"/>
          <w:szCs w:val="32"/>
          <w:lang w:val="en-US" w:eastAsia="zh-CN"/>
        </w:rPr>
        <w:tab/>
      </w:r>
      <w:r>
        <w:rPr>
          <w:rFonts w:hint="eastAsia" w:eastAsia="仿宋_GB2312" w:cs="仿宋_GB2312"/>
          <w:color w:val="auto"/>
          <w:sz w:val="32"/>
          <w:szCs w:val="32"/>
          <w:highlight w:val="none"/>
          <w:lang w:val="en-US" w:eastAsia="zh-CN"/>
        </w:rPr>
        <w:t>8</w:t>
      </w:r>
    </w:p>
    <w:p w14:paraId="0806490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ascii="仿宋_GB2312" w:hAnsi="仿宋_GB2312" w:eastAsia="仿宋_GB2312" w:cs="仿宋_GB2312"/>
          <w:sz w:val="32"/>
          <w:szCs w:val="32"/>
          <w:lang w:val="en-US" w:eastAsia="zh-CN"/>
        </w:rPr>
        <w:tab/>
      </w:r>
      <w:r>
        <w:rPr>
          <w:rFonts w:hint="eastAsia" w:eastAsia="仿宋_GB2312" w:cs="仿宋_GB2312"/>
          <w:color w:val="auto"/>
          <w:sz w:val="32"/>
          <w:szCs w:val="32"/>
          <w:highlight w:val="none"/>
          <w:lang w:val="en-US" w:eastAsia="zh-CN"/>
        </w:rPr>
        <w:t>9</w:t>
      </w:r>
    </w:p>
    <w:p w14:paraId="2BB7656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ascii="仿宋_GB2312" w:hAnsi="仿宋_GB2312" w:eastAsia="仿宋_GB2312" w:cs="仿宋_GB2312"/>
          <w:sz w:val="32"/>
          <w:szCs w:val="32"/>
          <w:lang w:val="en-US" w:eastAsia="zh-CN"/>
        </w:rPr>
        <w:tab/>
      </w:r>
      <w:r>
        <w:rPr>
          <w:rFonts w:hint="eastAsia" w:eastAsia="仿宋_GB2312" w:cs="仿宋_GB2312"/>
          <w:color w:val="auto"/>
          <w:sz w:val="32"/>
          <w:szCs w:val="32"/>
          <w:highlight w:val="none"/>
          <w:lang w:val="en-US" w:eastAsia="zh-CN"/>
        </w:rPr>
        <w:t>9</w:t>
      </w:r>
    </w:p>
    <w:p w14:paraId="55AC9005">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第三部分 名词解释</w:t>
      </w:r>
      <w:r>
        <w:rPr>
          <w:rFonts w:hint="eastAsia" w:ascii="仿宋_GB2312" w:hAnsi="仿宋_GB2312" w:eastAsia="仿宋_GB2312" w:cs="仿宋_GB2312"/>
          <w:sz w:val="32"/>
          <w:szCs w:val="32"/>
          <w:lang w:val="en-US" w:eastAsia="zh-CN"/>
        </w:rPr>
        <w:tab/>
      </w:r>
      <w:r>
        <w:rPr>
          <w:rFonts w:hint="eastAsia" w:ascii="Times New Roman" w:hAnsi="Times New Roman" w:eastAsia="仿宋_GB2312" w:cs="仿宋_GB2312"/>
          <w:color w:val="auto"/>
          <w:sz w:val="32"/>
          <w:szCs w:val="32"/>
          <w:highlight w:val="none"/>
          <w:lang w:val="en-US" w:eastAsia="zh-CN"/>
        </w:rPr>
        <w:t>11</w:t>
      </w:r>
    </w:p>
    <w:p w14:paraId="40AFB3DA">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第四部分 附件</w:t>
      </w:r>
      <w:r>
        <w:rPr>
          <w:rFonts w:hint="eastAsia" w:ascii="仿宋_GB2312" w:hAnsi="仿宋_GB2312" w:eastAsia="仿宋_GB2312" w:cs="仿宋_GB2312"/>
          <w:sz w:val="32"/>
          <w:szCs w:val="32"/>
          <w:lang w:val="en-US" w:eastAsia="zh-CN"/>
        </w:rPr>
        <w:tab/>
      </w:r>
      <w:r>
        <w:rPr>
          <w:rFonts w:hint="eastAsia" w:ascii="Times New Roman" w:hAnsi="Times New Roman" w:eastAsia="仿宋_GB2312" w:cs="仿宋_GB2312"/>
          <w:color w:val="auto"/>
          <w:sz w:val="32"/>
          <w:szCs w:val="32"/>
          <w:highlight w:val="none"/>
          <w:lang w:val="en-US" w:eastAsia="zh-CN"/>
        </w:rPr>
        <w:t>14</w:t>
      </w:r>
    </w:p>
    <w:p w14:paraId="215992F8">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第五部分 附表</w:t>
      </w:r>
      <w:r>
        <w:rPr>
          <w:rFonts w:hint="eastAsia" w:ascii="仿宋_GB2312" w:hAnsi="仿宋_GB2312" w:eastAsia="仿宋_GB2312" w:cs="仿宋_GB2312"/>
          <w:sz w:val="32"/>
          <w:szCs w:val="32"/>
          <w:lang w:val="en-US" w:eastAsia="zh-CN"/>
        </w:rPr>
        <w:tab/>
      </w:r>
      <w:r>
        <w:rPr>
          <w:rFonts w:hint="eastAsia" w:ascii="Times New Roman" w:hAnsi="Times New Roman" w:eastAsia="仿宋_GB2312" w:cs="仿宋_GB2312"/>
          <w:color w:val="auto"/>
          <w:sz w:val="32"/>
          <w:szCs w:val="32"/>
          <w:highlight w:val="none"/>
          <w:lang w:val="en-US" w:eastAsia="zh-CN"/>
        </w:rPr>
        <w:t>33</w:t>
      </w:r>
    </w:p>
    <w:p w14:paraId="5E51387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一、收入支出决算总表</w:t>
      </w:r>
      <w:r>
        <w:rPr>
          <w:rFonts w:hint="eastAsia" w:ascii="仿宋_GB2312" w:hAnsi="仿宋_GB2312" w:eastAsia="仿宋_GB2312" w:cs="仿宋_GB2312"/>
          <w:sz w:val="32"/>
          <w:szCs w:val="32"/>
          <w:lang w:val="en-US" w:eastAsia="zh-CN"/>
        </w:rPr>
        <w:tab/>
      </w:r>
      <w:r>
        <w:rPr>
          <w:rFonts w:hint="eastAsia" w:ascii="Times New Roman" w:hAnsi="Times New Roman" w:eastAsia="仿宋_GB2312" w:cs="仿宋_GB2312"/>
          <w:color w:val="auto"/>
          <w:sz w:val="32"/>
          <w:szCs w:val="32"/>
          <w:highlight w:val="none"/>
          <w:lang w:val="en-US" w:eastAsia="zh-CN"/>
        </w:rPr>
        <w:t>33</w:t>
      </w:r>
    </w:p>
    <w:p w14:paraId="7A3B8D1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r>
        <w:rPr>
          <w:rFonts w:hint="eastAsia" w:ascii="仿宋_GB2312" w:hAnsi="仿宋_GB2312" w:eastAsia="仿宋_GB2312" w:cs="仿宋_GB2312"/>
          <w:sz w:val="32"/>
          <w:szCs w:val="32"/>
          <w:lang w:val="en-US" w:eastAsia="zh-CN"/>
        </w:rPr>
        <w:tab/>
      </w:r>
      <w:r>
        <w:rPr>
          <w:rFonts w:hint="eastAsia" w:ascii="Times New Roman" w:hAnsi="Times New Roman" w:eastAsia="仿宋_GB2312" w:cs="仿宋_GB2312"/>
          <w:color w:val="auto"/>
          <w:sz w:val="32"/>
          <w:szCs w:val="32"/>
          <w:highlight w:val="none"/>
          <w:lang w:val="en-US" w:eastAsia="zh-CN"/>
        </w:rPr>
        <w:t>33</w:t>
      </w:r>
    </w:p>
    <w:p w14:paraId="1AAD5BE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r>
        <w:rPr>
          <w:rFonts w:hint="eastAsia" w:ascii="仿宋_GB2312" w:hAnsi="仿宋_GB2312" w:eastAsia="仿宋_GB2312" w:cs="仿宋_GB2312"/>
          <w:sz w:val="32"/>
          <w:szCs w:val="32"/>
          <w:lang w:val="en-US" w:eastAsia="zh-CN"/>
        </w:rPr>
        <w:tab/>
      </w:r>
      <w:r>
        <w:rPr>
          <w:rFonts w:hint="eastAsia" w:ascii="Times New Roman" w:hAnsi="Times New Roman" w:eastAsia="仿宋_GB2312" w:cs="仿宋_GB2312"/>
          <w:color w:val="auto"/>
          <w:sz w:val="32"/>
          <w:szCs w:val="32"/>
          <w:highlight w:val="none"/>
          <w:lang w:val="en-US" w:eastAsia="zh-CN"/>
        </w:rPr>
        <w:t>33</w:t>
      </w:r>
    </w:p>
    <w:p w14:paraId="7EE3009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r>
        <w:rPr>
          <w:rFonts w:hint="eastAsia" w:ascii="仿宋_GB2312" w:hAnsi="仿宋_GB2312" w:eastAsia="仿宋_GB2312" w:cs="仿宋_GB2312"/>
          <w:sz w:val="32"/>
          <w:szCs w:val="32"/>
          <w:lang w:val="en-US" w:eastAsia="zh-CN"/>
        </w:rPr>
        <w:tab/>
      </w:r>
      <w:r>
        <w:rPr>
          <w:rFonts w:hint="eastAsia" w:ascii="Times New Roman" w:hAnsi="Times New Roman" w:eastAsia="仿宋_GB2312" w:cs="仿宋_GB2312"/>
          <w:color w:val="auto"/>
          <w:sz w:val="32"/>
          <w:szCs w:val="32"/>
          <w:highlight w:val="none"/>
          <w:lang w:val="en-US" w:eastAsia="zh-CN"/>
        </w:rPr>
        <w:t>3</w:t>
      </w:r>
      <w:r>
        <w:rPr>
          <w:rFonts w:hint="eastAsia" w:eastAsia="仿宋_GB2312" w:cs="仿宋_GB2312"/>
          <w:color w:val="auto"/>
          <w:sz w:val="32"/>
          <w:szCs w:val="32"/>
          <w:highlight w:val="none"/>
          <w:lang w:val="en-US" w:eastAsia="zh-CN"/>
        </w:rPr>
        <w:t>3</w:t>
      </w:r>
    </w:p>
    <w:p w14:paraId="43FDE72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r>
        <w:rPr>
          <w:rFonts w:hint="eastAsia" w:ascii="仿宋_GB2312" w:hAnsi="仿宋_GB2312" w:eastAsia="仿宋_GB2312" w:cs="仿宋_GB2312"/>
          <w:sz w:val="32"/>
          <w:szCs w:val="32"/>
          <w:lang w:val="en-US" w:eastAsia="zh-CN"/>
        </w:rPr>
        <w:tab/>
      </w:r>
      <w:r>
        <w:rPr>
          <w:rFonts w:hint="eastAsia" w:ascii="Times New Roman" w:hAnsi="Times New Roman" w:eastAsia="仿宋_GB2312" w:cs="仿宋_GB2312"/>
          <w:color w:val="auto"/>
          <w:sz w:val="32"/>
          <w:szCs w:val="32"/>
          <w:highlight w:val="none"/>
          <w:lang w:val="en-US" w:eastAsia="zh-CN"/>
        </w:rPr>
        <w:t>3</w:t>
      </w:r>
      <w:r>
        <w:rPr>
          <w:rFonts w:hint="eastAsia" w:eastAsia="仿宋_GB2312" w:cs="仿宋_GB2312"/>
          <w:color w:val="auto"/>
          <w:sz w:val="32"/>
          <w:szCs w:val="32"/>
          <w:highlight w:val="none"/>
          <w:lang w:val="en-US" w:eastAsia="zh-CN"/>
        </w:rPr>
        <w:t>3</w:t>
      </w:r>
    </w:p>
    <w:p w14:paraId="057AEC8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r>
        <w:rPr>
          <w:rFonts w:hint="eastAsia" w:ascii="仿宋_GB2312" w:hAnsi="仿宋_GB2312" w:eastAsia="仿宋_GB2312" w:cs="仿宋_GB2312"/>
          <w:sz w:val="32"/>
          <w:szCs w:val="32"/>
          <w:lang w:val="en-US" w:eastAsia="zh-CN"/>
        </w:rPr>
        <w:tab/>
      </w:r>
      <w:r>
        <w:rPr>
          <w:rFonts w:hint="eastAsia" w:ascii="Times New Roman" w:hAnsi="Times New Roman" w:eastAsia="仿宋_GB2312" w:cs="仿宋_GB2312"/>
          <w:color w:val="auto"/>
          <w:sz w:val="32"/>
          <w:szCs w:val="32"/>
          <w:highlight w:val="none"/>
          <w:lang w:val="en-US" w:eastAsia="zh-CN"/>
        </w:rPr>
        <w:t>3</w:t>
      </w:r>
      <w:r>
        <w:rPr>
          <w:rFonts w:hint="eastAsia" w:eastAsia="仿宋_GB2312" w:cs="仿宋_GB2312"/>
          <w:color w:val="auto"/>
          <w:sz w:val="32"/>
          <w:szCs w:val="32"/>
          <w:highlight w:val="none"/>
          <w:lang w:val="en-US" w:eastAsia="zh-CN"/>
        </w:rPr>
        <w:t>3</w:t>
      </w:r>
    </w:p>
    <w:p w14:paraId="1012737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ascii="仿宋_GB2312" w:hAnsi="仿宋_GB2312" w:eastAsia="仿宋_GB2312" w:cs="仿宋_GB2312"/>
          <w:sz w:val="32"/>
          <w:szCs w:val="32"/>
          <w:lang w:val="en-US" w:eastAsia="zh-CN"/>
        </w:rPr>
        <w:tab/>
      </w:r>
      <w:r>
        <w:rPr>
          <w:rFonts w:hint="eastAsia" w:ascii="Times New Roman" w:hAnsi="Times New Roman" w:eastAsia="仿宋_GB2312" w:cs="仿宋_GB2312"/>
          <w:color w:val="auto"/>
          <w:sz w:val="32"/>
          <w:szCs w:val="32"/>
          <w:highlight w:val="none"/>
          <w:lang w:val="en-US" w:eastAsia="zh-CN"/>
        </w:rPr>
        <w:t>3</w:t>
      </w:r>
      <w:r>
        <w:rPr>
          <w:rFonts w:hint="eastAsia" w:eastAsia="仿宋_GB2312" w:cs="仿宋_GB2312"/>
          <w:color w:val="auto"/>
          <w:sz w:val="32"/>
          <w:szCs w:val="32"/>
          <w:highlight w:val="none"/>
          <w:lang w:val="en-US" w:eastAsia="zh-CN"/>
        </w:rPr>
        <w:t>3</w:t>
      </w:r>
    </w:p>
    <w:p w14:paraId="4615818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ascii="仿宋_GB2312" w:hAnsi="仿宋_GB2312" w:eastAsia="仿宋_GB2312" w:cs="仿宋_GB2312"/>
          <w:sz w:val="32"/>
          <w:szCs w:val="32"/>
          <w:lang w:val="en-US" w:eastAsia="zh-CN"/>
        </w:rPr>
        <w:tab/>
      </w:r>
      <w:r>
        <w:rPr>
          <w:rFonts w:hint="eastAsia" w:ascii="Times New Roman" w:hAnsi="Times New Roman" w:eastAsia="仿宋_GB2312" w:cs="仿宋_GB2312"/>
          <w:color w:val="auto"/>
          <w:sz w:val="32"/>
          <w:szCs w:val="32"/>
          <w:highlight w:val="none"/>
          <w:lang w:val="en-US" w:eastAsia="zh-CN"/>
        </w:rPr>
        <w:t>3</w:t>
      </w:r>
      <w:r>
        <w:rPr>
          <w:rFonts w:hint="eastAsia" w:eastAsia="仿宋_GB2312" w:cs="仿宋_GB2312"/>
          <w:color w:val="auto"/>
          <w:sz w:val="32"/>
          <w:szCs w:val="32"/>
          <w:highlight w:val="none"/>
          <w:lang w:val="en-US" w:eastAsia="zh-CN"/>
        </w:rPr>
        <w:t>3</w:t>
      </w:r>
    </w:p>
    <w:p w14:paraId="711E443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ascii="仿宋_GB2312" w:hAnsi="仿宋_GB2312" w:eastAsia="仿宋_GB2312" w:cs="仿宋_GB2312"/>
          <w:sz w:val="32"/>
          <w:szCs w:val="32"/>
          <w:lang w:val="en-US" w:eastAsia="zh-CN"/>
        </w:rPr>
        <w:tab/>
      </w:r>
      <w:r>
        <w:rPr>
          <w:rFonts w:hint="eastAsia" w:ascii="Times New Roman" w:hAnsi="Times New Roman" w:eastAsia="仿宋_GB2312" w:cs="仿宋_GB2312"/>
          <w:color w:val="auto"/>
          <w:sz w:val="32"/>
          <w:szCs w:val="32"/>
          <w:highlight w:val="none"/>
          <w:lang w:val="en-US" w:eastAsia="zh-CN"/>
        </w:rPr>
        <w:t>3</w:t>
      </w:r>
      <w:r>
        <w:rPr>
          <w:rFonts w:hint="eastAsia" w:eastAsia="仿宋_GB2312" w:cs="仿宋_GB2312"/>
          <w:color w:val="auto"/>
          <w:sz w:val="32"/>
          <w:szCs w:val="32"/>
          <w:highlight w:val="none"/>
          <w:lang w:val="en-US" w:eastAsia="zh-CN"/>
        </w:rPr>
        <w:t>3</w:t>
      </w:r>
    </w:p>
    <w:p w14:paraId="11850C80">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ascii="仿宋_GB2312" w:hAnsi="仿宋_GB2312" w:eastAsia="仿宋_GB2312" w:cs="仿宋_GB2312"/>
          <w:sz w:val="32"/>
          <w:szCs w:val="32"/>
          <w:lang w:val="en-US" w:eastAsia="zh-CN"/>
        </w:rPr>
        <w:tab/>
      </w:r>
      <w:r>
        <w:rPr>
          <w:rFonts w:hint="eastAsia" w:ascii="Times New Roman" w:hAnsi="Times New Roman" w:eastAsia="仿宋_GB2312" w:cs="仿宋_GB2312"/>
          <w:color w:val="auto"/>
          <w:sz w:val="32"/>
          <w:szCs w:val="32"/>
          <w:highlight w:val="none"/>
          <w:lang w:val="en-US" w:eastAsia="zh-CN"/>
        </w:rPr>
        <w:t>3</w:t>
      </w:r>
      <w:r>
        <w:rPr>
          <w:rFonts w:hint="eastAsia" w:eastAsia="仿宋_GB2312" w:cs="仿宋_GB2312"/>
          <w:color w:val="auto"/>
          <w:sz w:val="32"/>
          <w:szCs w:val="32"/>
          <w:highlight w:val="none"/>
          <w:lang w:val="en-US" w:eastAsia="zh-CN"/>
        </w:rPr>
        <w:t>3</w:t>
      </w:r>
    </w:p>
    <w:p w14:paraId="039A90C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ascii="仿宋_GB2312" w:hAnsi="仿宋_GB2312" w:eastAsia="仿宋_GB2312" w:cs="仿宋_GB2312"/>
          <w:sz w:val="32"/>
          <w:szCs w:val="32"/>
          <w:lang w:val="en-US" w:eastAsia="zh-CN"/>
        </w:rPr>
        <w:tab/>
      </w:r>
      <w:r>
        <w:rPr>
          <w:rFonts w:hint="eastAsia" w:ascii="Times New Roman" w:hAnsi="Times New Roman" w:eastAsia="仿宋_GB2312" w:cs="仿宋_GB2312"/>
          <w:color w:val="auto"/>
          <w:sz w:val="32"/>
          <w:szCs w:val="32"/>
          <w:highlight w:val="none"/>
          <w:lang w:val="en-US" w:eastAsia="zh-CN"/>
        </w:rPr>
        <w:t>3</w:t>
      </w:r>
      <w:r>
        <w:rPr>
          <w:rFonts w:hint="eastAsia" w:eastAsia="仿宋_GB2312" w:cs="仿宋_GB2312"/>
          <w:color w:val="auto"/>
          <w:sz w:val="32"/>
          <w:szCs w:val="32"/>
          <w:highlight w:val="none"/>
          <w:lang w:val="en-US" w:eastAsia="zh-CN"/>
        </w:rPr>
        <w:t>3</w:t>
      </w:r>
    </w:p>
    <w:p w14:paraId="44FEFEE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ascii="仿宋_GB2312" w:hAnsi="仿宋_GB2312" w:eastAsia="仿宋_GB2312" w:cs="仿宋_GB2312"/>
          <w:sz w:val="32"/>
          <w:szCs w:val="32"/>
          <w:lang w:val="en-US" w:eastAsia="zh-CN"/>
        </w:rPr>
        <w:tab/>
      </w:r>
      <w:r>
        <w:rPr>
          <w:rFonts w:hint="eastAsia" w:ascii="Times New Roman" w:hAnsi="Times New Roman" w:eastAsia="仿宋_GB2312" w:cs="仿宋_GB2312"/>
          <w:color w:val="auto"/>
          <w:sz w:val="32"/>
          <w:szCs w:val="32"/>
          <w:highlight w:val="none"/>
          <w:lang w:val="en-US" w:eastAsia="zh-CN"/>
        </w:rPr>
        <w:t>3</w:t>
      </w:r>
      <w:r>
        <w:rPr>
          <w:rFonts w:hint="eastAsia" w:eastAsia="仿宋_GB2312" w:cs="仿宋_GB2312"/>
          <w:color w:val="auto"/>
          <w:sz w:val="32"/>
          <w:szCs w:val="32"/>
          <w:highlight w:val="none"/>
          <w:lang w:val="en-US" w:eastAsia="zh-CN"/>
        </w:rPr>
        <w:t>3</w:t>
      </w:r>
    </w:p>
    <w:p w14:paraId="5F37668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r>
        <w:rPr>
          <w:rFonts w:hint="eastAsia" w:ascii="仿宋_GB2312" w:hAnsi="仿宋_GB2312" w:eastAsia="仿宋_GB2312" w:cs="仿宋_GB2312"/>
          <w:sz w:val="32"/>
          <w:szCs w:val="32"/>
          <w:lang w:val="en-US" w:eastAsia="zh-CN"/>
        </w:rPr>
        <w:tab/>
      </w:r>
      <w:r>
        <w:rPr>
          <w:rFonts w:hint="eastAsia" w:ascii="Times New Roman" w:hAnsi="Times New Roman" w:eastAsia="仿宋_GB2312" w:cs="仿宋_GB2312"/>
          <w:color w:val="auto"/>
          <w:sz w:val="32"/>
          <w:szCs w:val="32"/>
          <w:highlight w:val="none"/>
          <w:lang w:val="en-US" w:eastAsia="zh-CN"/>
        </w:rPr>
        <w:t>3</w:t>
      </w:r>
      <w:r>
        <w:rPr>
          <w:rFonts w:hint="eastAsia" w:eastAsia="仿宋_GB2312" w:cs="仿宋_GB2312"/>
          <w:color w:val="auto"/>
          <w:sz w:val="32"/>
          <w:szCs w:val="32"/>
          <w:highlight w:val="none"/>
          <w:lang w:val="en-US" w:eastAsia="zh-CN"/>
        </w:rPr>
        <w:t>3</w:t>
      </w:r>
    </w:p>
    <w:p w14:paraId="1ACD1CA0">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sectPr>
          <w:footerReference r:id="rId4" w:type="first"/>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7" w:name="_Toc15377196"/>
      <w:bookmarkStart w:id="8" w:name="_Toc15396599"/>
    </w:p>
    <w:p w14:paraId="7B2B9C2F">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p>
    <w:p w14:paraId="02F9A200">
      <w:pPr>
        <w:pStyle w:val="2"/>
        <w:jc w:val="center"/>
        <w:rPr>
          <w:rStyle w:val="30"/>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0"/>
          <w:rFonts w:hint="eastAsia" w:ascii="Times New Roman" w:hAnsi="Times New Roman" w:eastAsia="方正小标宋简体" w:cs="方正小标宋简体"/>
          <w:b w:val="0"/>
          <w:bCs w:val="0"/>
          <w:color w:val="auto"/>
          <w:highlight w:val="none"/>
        </w:rPr>
        <w:t>部门概况</w:t>
      </w:r>
    </w:p>
    <w:p w14:paraId="5EA90CB5">
      <w:pPr>
        <w:widowControl/>
        <w:jc w:val="left"/>
        <w:rPr>
          <w:rFonts w:ascii="Times New Roman" w:hAnsi="Times New Roman" w:eastAsia="黑体"/>
          <w:color w:val="auto"/>
          <w:sz w:val="32"/>
          <w:szCs w:val="32"/>
          <w:highlight w:val="none"/>
        </w:rPr>
      </w:pPr>
    </w:p>
    <w:p w14:paraId="3C7B60AC">
      <w:pPr>
        <w:pStyle w:val="3"/>
        <w:rPr>
          <w:rStyle w:val="31"/>
          <w:rFonts w:hint="eastAsia" w:ascii="Times New Roman" w:hAnsi="Times New Roman" w:eastAsia="黑体"/>
          <w:b w:val="0"/>
          <w:bCs w:val="0"/>
          <w:color w:val="auto"/>
          <w:highlight w:val="none"/>
          <w:lang w:eastAsia="zh-CN"/>
        </w:rPr>
      </w:pPr>
      <w:r>
        <w:rPr>
          <w:rFonts w:hint="eastAsia" w:ascii="Times New Roman" w:hAnsi="Times New Roman" w:eastAsia="黑体"/>
          <w:b w:val="0"/>
          <w:color w:val="auto"/>
          <w:highlight w:val="none"/>
        </w:rPr>
        <w:t>一、</w:t>
      </w:r>
      <w:r>
        <w:rPr>
          <w:rFonts w:hint="eastAsia" w:ascii="Times New Roman" w:hAnsi="Times New Roman" w:eastAsia="黑体"/>
          <w:b w:val="0"/>
          <w:color w:val="auto"/>
          <w:highlight w:val="none"/>
          <w:lang w:eastAsia="zh-CN"/>
        </w:rPr>
        <w:t>部门职责</w:t>
      </w:r>
    </w:p>
    <w:p w14:paraId="6F1C0B28">
      <w:pPr>
        <w:pStyle w:val="6"/>
        <w:adjustRightInd w:val="0"/>
        <w:snapToGrid w:val="0"/>
        <w:spacing w:before="72" w:line="540" w:lineRule="exact"/>
        <w:ind w:left="651"/>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1、改善孤老退伍军人的生活条件，密切军政军民关系。</w:t>
      </w:r>
    </w:p>
    <w:p w14:paraId="7ACD392A">
      <w:pPr>
        <w:pStyle w:val="6"/>
        <w:adjustRightInd w:val="0"/>
        <w:snapToGrid w:val="0"/>
        <w:spacing w:before="93" w:line="540" w:lineRule="exact"/>
        <w:ind w:left="651"/>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2、改善五保对象的生活条件，提高集中供养率。</w:t>
      </w:r>
    </w:p>
    <w:p w14:paraId="3FEF9E65">
      <w:pPr>
        <w:pStyle w:val="6"/>
        <w:adjustRightInd w:val="0"/>
        <w:snapToGrid w:val="0"/>
        <w:spacing w:before="93" w:line="540" w:lineRule="exact"/>
        <w:ind w:left="651"/>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3、为老年人提供一个老有所养、老有所乐、老有所学的生活平台。</w:t>
      </w:r>
    </w:p>
    <w:p w14:paraId="3E08D0C1">
      <w:pPr>
        <w:pStyle w:val="3"/>
        <w:rPr>
          <w:rStyle w:val="31"/>
          <w:rFonts w:ascii="Times New Roman" w:hAnsi="Times New Roman"/>
          <w:b w:val="0"/>
          <w:bCs w:val="0"/>
          <w:color w:val="auto"/>
          <w:highlight w:val="none"/>
        </w:rPr>
      </w:pPr>
      <w:r>
        <w:rPr>
          <w:rFonts w:hint="eastAsia" w:ascii="Times New Roman" w:hAnsi="Times New Roman" w:eastAsia="黑体"/>
          <w:b w:val="0"/>
          <w:color w:val="auto"/>
          <w:highlight w:val="none"/>
        </w:rPr>
        <w:t>二、机</w:t>
      </w:r>
      <w:r>
        <w:rPr>
          <w:rStyle w:val="31"/>
          <w:rFonts w:hint="eastAsia" w:ascii="Times New Roman" w:hAnsi="Times New Roman" w:eastAsia="黑体"/>
          <w:b w:val="0"/>
          <w:bCs w:val="0"/>
          <w:color w:val="auto"/>
          <w:highlight w:val="none"/>
        </w:rPr>
        <w:t>构设置</w:t>
      </w:r>
    </w:p>
    <w:p w14:paraId="24386AB7">
      <w:pPr>
        <w:spacing w:line="540" w:lineRule="exact"/>
        <w:ind w:firstLine="640" w:firstLineChars="200"/>
        <w:rPr>
          <w:rFonts w:ascii="仿宋_GB2312" w:eastAsia="仿宋_GB2312"/>
          <w:bCs/>
          <w:color w:val="000000"/>
          <w:kern w:val="0"/>
          <w:sz w:val="32"/>
          <w:szCs w:val="32"/>
        </w:rPr>
      </w:pPr>
      <w:r>
        <w:rPr>
          <w:rFonts w:hint="eastAsia" w:ascii="仿宋_GB2312" w:eastAsia="仿宋_GB2312"/>
          <w:bCs/>
          <w:color w:val="000000"/>
          <w:kern w:val="0"/>
          <w:sz w:val="32"/>
          <w:szCs w:val="32"/>
        </w:rPr>
        <w:t>遂宁市安居区社会福利服务中心下属二级预算单位0个，其中行政单位0个，参照公务员法管理的事业单位0个，其他事业单位0个。</w:t>
      </w:r>
    </w:p>
    <w:p w14:paraId="6B82AED6">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53318AAF">
      <w:pPr>
        <w:pStyle w:val="2"/>
        <w:jc w:val="center"/>
        <w:rPr>
          <w:rFonts w:hint="eastAsia" w:ascii="Times New Roman" w:hAnsi="Times New Roman" w:eastAsia="方正小标宋简体" w:cs="方正小标宋简体"/>
          <w:b w:val="0"/>
          <w:color w:val="auto"/>
          <w:highlight w:val="none"/>
        </w:rPr>
      </w:pPr>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p>
    <w:p w14:paraId="45F10835">
      <w:pPr>
        <w:rPr>
          <w:rFonts w:ascii="Times New Roman" w:hAnsi="Times New Roman"/>
          <w:color w:val="auto"/>
          <w:highlight w:val="none"/>
        </w:rPr>
      </w:pPr>
    </w:p>
    <w:p w14:paraId="1D4E9273">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1"/>
          <w:rFonts w:hint="eastAsia" w:ascii="Times New Roman" w:hAnsi="Times New Roman" w:eastAsia="黑体"/>
          <w:b w:val="0"/>
          <w:color w:val="auto"/>
          <w:highlight w:val="none"/>
        </w:rPr>
        <w:t>入支出决算总体情况说明</w:t>
      </w:r>
    </w:p>
    <w:p w14:paraId="299AE1FD">
      <w:pPr>
        <w:spacing w:line="600" w:lineRule="exact"/>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202</w:t>
      </w:r>
      <w:r>
        <w:rPr>
          <w:rFonts w:hint="eastAsia" w:ascii="Times New Roman" w:hAnsi="Times New Roman" w:eastAsia="仿宋_GB2312" w:cs="仿宋_GB2312"/>
          <w:color w:val="auto"/>
          <w:sz w:val="32"/>
          <w:szCs w:val="32"/>
          <w:highlight w:val="none"/>
          <w:lang w:val="en-US" w:eastAsia="zh-CN"/>
        </w:rPr>
        <w:t>4</w:t>
      </w:r>
      <w:r>
        <w:rPr>
          <w:rFonts w:hint="eastAsia" w:ascii="Times New Roman" w:hAnsi="Times New Roman" w:eastAsia="仿宋_GB2312" w:cs="仿宋_GB2312"/>
          <w:color w:val="auto"/>
          <w:sz w:val="32"/>
          <w:szCs w:val="32"/>
          <w:highlight w:val="none"/>
        </w:rPr>
        <w:t>年度收</w:t>
      </w:r>
      <w:r>
        <w:rPr>
          <w:rFonts w:hint="eastAsia" w:eastAsia="仿宋_GB2312" w:cs="仿宋_GB2312"/>
          <w:color w:val="auto"/>
          <w:sz w:val="32"/>
          <w:szCs w:val="32"/>
          <w:highlight w:val="none"/>
          <w:lang w:val="en-US" w:eastAsia="zh-CN"/>
        </w:rPr>
        <w:t>入</w:t>
      </w:r>
      <w:r>
        <w:rPr>
          <w:rFonts w:hint="eastAsia" w:ascii="Times New Roman" w:hAnsi="Times New Roman" w:eastAsia="仿宋_GB2312" w:cs="仿宋_GB2312"/>
          <w:color w:val="auto"/>
          <w:sz w:val="32"/>
          <w:szCs w:val="32"/>
          <w:highlight w:val="none"/>
        </w:rPr>
        <w:t>、支</w:t>
      </w:r>
      <w:r>
        <w:rPr>
          <w:rFonts w:hint="eastAsia" w:eastAsia="仿宋_GB2312" w:cs="仿宋_GB2312"/>
          <w:color w:val="auto"/>
          <w:sz w:val="32"/>
          <w:szCs w:val="32"/>
          <w:highlight w:val="none"/>
          <w:lang w:val="en-US" w:eastAsia="zh-CN"/>
        </w:rPr>
        <w:t>出</w:t>
      </w:r>
      <w:r>
        <w:rPr>
          <w:rFonts w:hint="eastAsia" w:ascii="Times New Roman" w:hAnsi="Times New Roman" w:eastAsia="仿宋_GB2312" w:cs="仿宋_GB2312"/>
          <w:color w:val="auto"/>
          <w:sz w:val="32"/>
          <w:szCs w:val="32"/>
          <w:highlight w:val="none"/>
        </w:rPr>
        <w:t>总计均为143.87万元。与202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年度相比，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w:t>
      </w:r>
      <w:r>
        <w:rPr>
          <w:rFonts w:hint="eastAsia" w:ascii="Times New Roman" w:hAnsi="Times New Roman" w:eastAsia="仿宋_GB2312" w:cs="仿宋_GB2312"/>
          <w:color w:val="auto"/>
          <w:sz w:val="32"/>
          <w:szCs w:val="32"/>
          <w:highlight w:val="none"/>
          <w:lang w:val="en-US" w:eastAsia="zh-CN"/>
        </w:rPr>
        <w:t>增加2.68</w:t>
      </w:r>
      <w:r>
        <w:rPr>
          <w:rFonts w:hint="eastAsia" w:ascii="Times New Roman" w:hAnsi="Times New Roman" w:eastAsia="仿宋_GB2312" w:cs="仿宋_GB2312"/>
          <w:color w:val="auto"/>
          <w:sz w:val="32"/>
          <w:szCs w:val="32"/>
          <w:highlight w:val="none"/>
        </w:rPr>
        <w:t>万元，</w:t>
      </w:r>
      <w:r>
        <w:rPr>
          <w:rFonts w:hint="eastAsia" w:ascii="Times New Roman" w:hAnsi="Times New Roman" w:eastAsia="仿宋_GB2312" w:cs="仿宋_GB2312"/>
          <w:color w:val="auto"/>
          <w:sz w:val="32"/>
          <w:szCs w:val="32"/>
          <w:highlight w:val="none"/>
          <w:lang w:val="en-US" w:eastAsia="zh-CN"/>
        </w:rPr>
        <w:t>增长1.86</w:t>
      </w:r>
      <w:r>
        <w:rPr>
          <w:rFonts w:hint="eastAsia" w:ascii="Times New Roman" w:hAnsi="Times New Roman" w:eastAsia="仿宋_GB2312" w:cs="仿宋_GB2312"/>
          <w:color w:val="auto"/>
          <w:sz w:val="32"/>
          <w:szCs w:val="32"/>
          <w:highlight w:val="none"/>
        </w:rPr>
        <w:t>%。</w:t>
      </w:r>
      <w:r>
        <w:rPr>
          <w:rFonts w:hint="eastAsia"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人员经费增加调整</w:t>
      </w:r>
      <w:r>
        <w:rPr>
          <w:rFonts w:hint="eastAsia" w:ascii="Times New Roman" w:hAnsi="Times New Roman" w:eastAsia="仿宋_GB2312" w:cs="仿宋_GB2312"/>
          <w:color w:val="auto"/>
          <w:sz w:val="32"/>
          <w:szCs w:val="32"/>
          <w:highlight w:val="none"/>
        </w:rPr>
        <w:t>。</w:t>
      </w:r>
    </w:p>
    <w:p w14:paraId="1E1EB1B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仿宋_GB2312"/>
          <w:color w:val="auto"/>
          <w:sz w:val="32"/>
          <w:szCs w:val="32"/>
          <w:highlight w:val="none"/>
        </w:rPr>
      </w:pPr>
      <w:r>
        <w:drawing>
          <wp:inline distT="0" distB="0" distL="114300" distR="114300">
            <wp:extent cx="4447540" cy="2741930"/>
            <wp:effectExtent l="4445" t="4445" r="5715" b="15875"/>
            <wp:docPr id="3" name="图表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633A6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103C49A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6C186E62">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r>
        <w:rPr>
          <w:rFonts w:hint="eastAsia" w:ascii="Times New Roman" w:hAnsi="Times New Roman" w:eastAsia="黑体"/>
          <w:color w:val="auto"/>
          <w:sz w:val="32"/>
          <w:szCs w:val="32"/>
          <w:highlight w:val="none"/>
          <w:lang w:eastAsia="zh-CN"/>
        </w:rPr>
        <w:t>二、收入决算情况说明</w:t>
      </w:r>
    </w:p>
    <w:p w14:paraId="28D733A4">
      <w:pPr>
        <w:spacing w:line="600" w:lineRule="exact"/>
        <w:ind w:firstLine="640" w:firstLineChars="200"/>
        <w:outlineLvl w:val="1"/>
        <w:rPr>
          <w:rFonts w:ascii="仿宋" w:hAnsi="仿宋" w:eastAsia="仿宋"/>
          <w:sz w:val="32"/>
          <w:szCs w:val="32"/>
        </w:rPr>
      </w:pPr>
      <w:r>
        <w:rPr>
          <w:rFonts w:hint="eastAsia" w:ascii="Times New Roman" w:hAnsi="Times New Roman" w:eastAsia="仿宋_GB2312" w:cs="仿宋_GB2312"/>
          <w:color w:val="auto"/>
          <w:sz w:val="32"/>
          <w:szCs w:val="32"/>
          <w:highlight w:val="none"/>
          <w:lang w:eastAsia="zh-CN"/>
        </w:rPr>
        <w:t>2024年度本年收入合计</w:t>
      </w:r>
      <w:r>
        <w:rPr>
          <w:rFonts w:hint="eastAsia" w:ascii="Times New Roman" w:hAnsi="Times New Roman" w:eastAsia="仿宋_GB2312" w:cs="仿宋_GB2312"/>
          <w:color w:val="auto"/>
          <w:sz w:val="32"/>
          <w:szCs w:val="32"/>
          <w:highlight w:val="none"/>
        </w:rPr>
        <w:t>14</w:t>
      </w:r>
      <w:r>
        <w:rPr>
          <w:rFonts w:hint="eastAsia" w:ascii="Times New Roman" w:hAnsi="Times New Roman" w:eastAsia="仿宋_GB2312" w:cs="仿宋_GB2312"/>
          <w:color w:val="auto"/>
          <w:sz w:val="32"/>
          <w:szCs w:val="32"/>
          <w:highlight w:val="none"/>
          <w:lang w:val="en-US" w:eastAsia="zh-CN"/>
        </w:rPr>
        <w:t>6.55</w:t>
      </w:r>
      <w:r>
        <w:rPr>
          <w:rFonts w:hint="eastAsia" w:ascii="Times New Roman" w:hAnsi="Times New Roman" w:eastAsia="仿宋_GB2312" w:cs="仿宋_GB2312"/>
          <w:color w:val="auto"/>
          <w:sz w:val="32"/>
          <w:szCs w:val="32"/>
          <w:highlight w:val="none"/>
        </w:rPr>
        <w:t>万元，其中：一般公共预算财政拨款收入14</w:t>
      </w:r>
      <w:r>
        <w:rPr>
          <w:rFonts w:hint="eastAsia" w:ascii="Times New Roman" w:hAnsi="Times New Roman" w:eastAsia="仿宋_GB2312" w:cs="仿宋_GB2312"/>
          <w:color w:val="auto"/>
          <w:sz w:val="32"/>
          <w:szCs w:val="32"/>
          <w:highlight w:val="none"/>
          <w:lang w:val="en-US" w:eastAsia="zh-CN"/>
        </w:rPr>
        <w:t>6.55</w:t>
      </w:r>
      <w:r>
        <w:rPr>
          <w:rFonts w:hint="eastAsia" w:ascii="Times New Roman" w:hAnsi="Times New Roman" w:eastAsia="仿宋_GB2312" w:cs="仿宋_GB2312"/>
          <w:color w:val="auto"/>
          <w:sz w:val="32"/>
          <w:szCs w:val="32"/>
          <w:highlight w:val="none"/>
        </w:rPr>
        <w:t>万元，占100%</w:t>
      </w:r>
      <w:r>
        <w:rPr>
          <w:rFonts w:hint="eastAsia" w:ascii="Times New Roman" w:hAnsi="Times New Roman" w:eastAsia="仿宋_GB2312" w:cs="仿宋_GB2312"/>
          <w:color w:val="auto"/>
          <w:sz w:val="32"/>
          <w:szCs w:val="32"/>
          <w:highlight w:val="none"/>
          <w:shd w:val="clear" w:fill="auto"/>
        </w:rPr>
        <w:t>。</w:t>
      </w:r>
    </w:p>
    <w:p w14:paraId="6C26C9D4">
      <w:pPr>
        <w:spacing w:line="600" w:lineRule="exact"/>
        <w:ind w:firstLine="640" w:firstLineChars="200"/>
        <w:outlineLvl w:val="1"/>
        <w:rPr>
          <w:rFonts w:hint="eastAsia" w:ascii="仿宋" w:hAnsi="仿宋" w:eastAsia="仿宋"/>
          <w:sz w:val="32"/>
          <w:szCs w:val="32"/>
        </w:rPr>
      </w:pPr>
    </w:p>
    <w:p w14:paraId="5EAA5214">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firstLineChars="0"/>
        <w:textAlignment w:val="auto"/>
        <w:outlineLvl w:val="1"/>
        <w:rPr>
          <w:rFonts w:hint="eastAsia" w:ascii="Times New Roman" w:hAnsi="Times New Roman" w:eastAsia="仿宋_GB2312" w:cs="仿宋_GB2312"/>
          <w:b/>
          <w:bCs/>
          <w:color w:val="auto"/>
          <w:sz w:val="32"/>
          <w:szCs w:val="32"/>
          <w:highlight w:val="none"/>
          <w:lang w:eastAsia="zh-CN"/>
        </w:rPr>
      </w:pPr>
    </w:p>
    <w:p w14:paraId="30D9857B">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3896995" cy="1716405"/>
            <wp:effectExtent l="4445" t="4445" r="22860" b="12700"/>
            <wp:docPr id="1"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479EA25">
      <w:pPr>
        <w:ind w:firstLine="800" w:firstLineChars="250"/>
        <w:rPr>
          <w:rFonts w:hint="eastAsia" w:ascii="Times New Roman" w:hAnsi="Times New Roman" w:eastAsia="仿宋_GB2312" w:cs="仿宋_GB2312"/>
          <w:color w:val="auto"/>
          <w:sz w:val="32"/>
          <w:szCs w:val="32"/>
          <w:highlight w:val="none"/>
          <w:lang w:eastAsia="zh-CN"/>
        </w:rPr>
      </w:pPr>
    </w:p>
    <w:p w14:paraId="62563E7C">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513609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5985B12F">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1"/>
          <w:rFonts w:hint="eastAsia" w:ascii="Times New Roman" w:hAnsi="Times New Roman" w:eastAsia="黑体"/>
          <w:b w:val="0"/>
          <w:color w:val="auto"/>
          <w:highlight w:val="none"/>
        </w:rPr>
        <w:t>出决算情况说明</w:t>
      </w:r>
    </w:p>
    <w:p w14:paraId="480C2FD8">
      <w:pPr>
        <w:spacing w:line="600" w:lineRule="exact"/>
        <w:ind w:firstLine="640" w:firstLineChars="200"/>
        <w:outlineLvl w:val="1"/>
        <w:rPr>
          <w:rFonts w:ascii="仿宋" w:hAnsi="仿宋" w:eastAsia="仿宋"/>
          <w:sz w:val="32"/>
          <w:szCs w:val="32"/>
        </w:rPr>
      </w:pPr>
      <w:r>
        <w:rPr>
          <w:rFonts w:hint="eastAsia" w:ascii="Times New Roman" w:hAnsi="Times New Roman" w:eastAsia="仿宋_GB2312" w:cs="仿宋_GB2312"/>
          <w:color w:val="auto"/>
          <w:sz w:val="32"/>
          <w:szCs w:val="32"/>
          <w:highlight w:val="none"/>
          <w:lang w:eastAsia="zh-CN"/>
        </w:rPr>
        <w:t>2024年度本年支出合计</w:t>
      </w:r>
      <w:r>
        <w:rPr>
          <w:rFonts w:hint="eastAsia" w:ascii="Times New Roman" w:hAnsi="Times New Roman" w:eastAsia="仿宋_GB2312" w:cs="仿宋_GB2312"/>
          <w:color w:val="auto"/>
          <w:sz w:val="32"/>
          <w:szCs w:val="32"/>
          <w:highlight w:val="none"/>
        </w:rPr>
        <w:t>14</w:t>
      </w:r>
      <w:r>
        <w:rPr>
          <w:rFonts w:hint="eastAsia" w:ascii="Times New Roman" w:hAnsi="Times New Roman" w:eastAsia="仿宋_GB2312" w:cs="仿宋_GB2312"/>
          <w:color w:val="auto"/>
          <w:sz w:val="32"/>
          <w:szCs w:val="32"/>
          <w:highlight w:val="none"/>
          <w:lang w:val="en-US" w:eastAsia="zh-CN"/>
        </w:rPr>
        <w:t>6.55</w:t>
      </w:r>
      <w:r>
        <w:rPr>
          <w:rFonts w:hint="eastAsia" w:ascii="Times New Roman" w:hAnsi="Times New Roman" w:eastAsia="仿宋_GB2312" w:cs="仿宋_GB2312"/>
          <w:color w:val="auto"/>
          <w:sz w:val="32"/>
          <w:szCs w:val="32"/>
          <w:highlight w:val="none"/>
        </w:rPr>
        <w:t>万元，其中：基本支出</w:t>
      </w:r>
      <w:r>
        <w:rPr>
          <w:rFonts w:hint="eastAsia" w:ascii="Times New Roman" w:hAnsi="Times New Roman" w:eastAsia="仿宋_GB2312" w:cs="仿宋_GB2312"/>
          <w:color w:val="auto"/>
          <w:sz w:val="32"/>
          <w:szCs w:val="32"/>
          <w:highlight w:val="none"/>
          <w:lang w:val="en-US" w:eastAsia="zh-CN"/>
        </w:rPr>
        <w:t>96.55</w:t>
      </w:r>
      <w:r>
        <w:rPr>
          <w:rFonts w:hint="eastAsia" w:ascii="Times New Roman" w:hAnsi="Times New Roman" w:eastAsia="仿宋_GB2312" w:cs="仿宋_GB2312"/>
          <w:color w:val="auto"/>
          <w:sz w:val="32"/>
          <w:szCs w:val="32"/>
          <w:highlight w:val="none"/>
        </w:rPr>
        <w:t>万元，占</w:t>
      </w:r>
      <w:r>
        <w:rPr>
          <w:rFonts w:hint="eastAsia" w:ascii="Times New Roman" w:hAnsi="Times New Roman" w:eastAsia="仿宋_GB2312" w:cs="仿宋_GB2312"/>
          <w:color w:val="auto"/>
          <w:sz w:val="32"/>
          <w:szCs w:val="32"/>
          <w:highlight w:val="none"/>
          <w:lang w:val="en-US" w:eastAsia="zh-CN"/>
        </w:rPr>
        <w:t>65.88</w:t>
      </w:r>
      <w:r>
        <w:rPr>
          <w:rFonts w:hint="eastAsia" w:ascii="Times New Roman" w:hAnsi="Times New Roman" w:eastAsia="仿宋_GB2312" w:cs="仿宋_GB2312"/>
          <w:color w:val="auto"/>
          <w:sz w:val="32"/>
          <w:szCs w:val="32"/>
          <w:highlight w:val="none"/>
        </w:rPr>
        <w:t>%；项目支出</w:t>
      </w:r>
      <w:r>
        <w:rPr>
          <w:rFonts w:hint="eastAsia" w:ascii="Times New Roman" w:hAnsi="Times New Roman" w:eastAsia="仿宋_GB2312" w:cs="仿宋_GB2312"/>
          <w:color w:val="auto"/>
          <w:sz w:val="32"/>
          <w:szCs w:val="32"/>
          <w:highlight w:val="none"/>
          <w:lang w:val="en-US" w:eastAsia="zh-CN"/>
        </w:rPr>
        <w:t>50</w:t>
      </w:r>
      <w:r>
        <w:rPr>
          <w:rFonts w:hint="eastAsia" w:ascii="Times New Roman" w:hAnsi="Times New Roman" w:eastAsia="仿宋_GB2312" w:cs="仿宋_GB2312"/>
          <w:color w:val="auto"/>
          <w:sz w:val="32"/>
          <w:szCs w:val="32"/>
          <w:highlight w:val="none"/>
        </w:rPr>
        <w:t>万元，占</w:t>
      </w:r>
      <w:r>
        <w:rPr>
          <w:rFonts w:hint="eastAsia" w:ascii="Times New Roman" w:hAnsi="Times New Roman" w:eastAsia="仿宋_GB2312" w:cs="仿宋_GB2312"/>
          <w:color w:val="auto"/>
          <w:sz w:val="32"/>
          <w:szCs w:val="32"/>
          <w:highlight w:val="none"/>
          <w:lang w:val="en-US" w:eastAsia="zh-CN"/>
        </w:rPr>
        <w:t>34.12</w:t>
      </w:r>
      <w:r>
        <w:rPr>
          <w:rFonts w:hint="eastAsia" w:ascii="Times New Roman" w:hAnsi="Times New Roman" w:eastAsia="仿宋_GB2312" w:cs="仿宋_GB2312"/>
          <w:color w:val="auto"/>
          <w:sz w:val="32"/>
          <w:szCs w:val="32"/>
          <w:highlight w:val="none"/>
        </w:rPr>
        <w:t>%。</w:t>
      </w:r>
    </w:p>
    <w:p w14:paraId="25CF5C35">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447540" cy="2741930"/>
            <wp:effectExtent l="4445" t="4445" r="5715" b="15875"/>
            <wp:docPr id="4" name="图表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F884584">
      <w:pPr>
        <w:ind w:firstLine="800" w:firstLineChars="250"/>
        <w:rPr>
          <w:rFonts w:hint="eastAsia" w:ascii="Times New Roman" w:hAnsi="Times New Roman" w:eastAsia="仿宋_GB2312" w:cs="仿宋_GB2312"/>
          <w:color w:val="auto"/>
          <w:sz w:val="32"/>
          <w:szCs w:val="32"/>
          <w:highlight w:val="none"/>
          <w:lang w:eastAsia="zh-CN"/>
        </w:rPr>
      </w:pPr>
    </w:p>
    <w:p w14:paraId="0CECE9CC">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2BA52C33">
      <w:pPr>
        <w:pStyle w:val="14"/>
        <w:rPr>
          <w:rFonts w:hint="eastAsia"/>
          <w:lang w:eastAsia="zh-CN"/>
        </w:rPr>
      </w:pPr>
    </w:p>
    <w:p w14:paraId="23E261DD">
      <w:pPr>
        <w:pStyle w:val="8"/>
        <w:rPr>
          <w:rFonts w:hint="eastAsia"/>
          <w:lang w:eastAsia="zh-CN"/>
        </w:rPr>
      </w:pPr>
    </w:p>
    <w:p w14:paraId="374D9264">
      <w:pPr>
        <w:pStyle w:val="8"/>
        <w:rPr>
          <w:rFonts w:hint="eastAsia"/>
          <w:lang w:eastAsia="zh-CN"/>
        </w:rPr>
      </w:pPr>
    </w:p>
    <w:p w14:paraId="12012BCF">
      <w:pPr>
        <w:pStyle w:val="8"/>
        <w:rPr>
          <w:rFonts w:hint="eastAsia"/>
          <w:lang w:eastAsia="zh-CN"/>
        </w:rPr>
      </w:pPr>
    </w:p>
    <w:p w14:paraId="338827A8">
      <w:pPr>
        <w:spacing w:line="600" w:lineRule="exact"/>
        <w:ind w:firstLine="640" w:firstLineChars="200"/>
        <w:outlineLvl w:val="1"/>
        <w:rPr>
          <w:rStyle w:val="31"/>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四、财</w:t>
      </w:r>
      <w:r>
        <w:rPr>
          <w:rStyle w:val="31"/>
          <w:rFonts w:hint="eastAsia" w:ascii="Times New Roman" w:hAnsi="Times New Roman" w:eastAsia="黑体"/>
          <w:b w:val="0"/>
          <w:color w:val="auto"/>
          <w:highlight w:val="none"/>
        </w:rPr>
        <w:t>政拨款收入支出决算总体情况说明</w:t>
      </w:r>
    </w:p>
    <w:p w14:paraId="4F2BCE9A">
      <w:pPr>
        <w:spacing w:line="600" w:lineRule="exact"/>
        <w:ind w:firstLine="640" w:firstLineChars="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Times New Roman" w:hAnsi="Times New Roman" w:eastAsia="仿宋_GB2312" w:cs="仿宋_GB2312"/>
          <w:color w:val="auto"/>
          <w:sz w:val="32"/>
          <w:szCs w:val="32"/>
          <w:highlight w:val="none"/>
        </w:rPr>
        <w:t>143.87万元。与202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年度相比，</w:t>
      </w:r>
      <w:r>
        <w:rPr>
          <w:rFonts w:hint="eastAsia" w:ascii="Times New Roman" w:hAnsi="Times New Roman" w:eastAsia="仿宋_GB2312" w:cs="仿宋_GB2312"/>
          <w:color w:val="auto"/>
          <w:kern w:val="2"/>
          <w:sz w:val="32"/>
          <w:szCs w:val="32"/>
          <w:highlight w:val="none"/>
          <w:lang w:val="en-US" w:eastAsia="zh-CN" w:bidi="ar-SA"/>
        </w:rPr>
        <w:t>财政拨款收入、支出</w:t>
      </w:r>
      <w:r>
        <w:rPr>
          <w:rFonts w:hint="eastAsia" w:ascii="Times New Roman" w:hAnsi="Times New Roman" w:eastAsia="仿宋_GB2312" w:cs="仿宋_GB2312"/>
          <w:color w:val="auto"/>
          <w:sz w:val="32"/>
          <w:szCs w:val="32"/>
          <w:highlight w:val="none"/>
        </w:rPr>
        <w:t>总计各</w:t>
      </w:r>
      <w:r>
        <w:rPr>
          <w:rFonts w:hint="eastAsia" w:ascii="Times New Roman" w:hAnsi="Times New Roman" w:eastAsia="仿宋_GB2312" w:cs="仿宋_GB2312"/>
          <w:color w:val="auto"/>
          <w:sz w:val="32"/>
          <w:szCs w:val="32"/>
          <w:highlight w:val="none"/>
          <w:lang w:val="en-US" w:eastAsia="zh-CN"/>
        </w:rPr>
        <w:t>增加2.68</w:t>
      </w:r>
      <w:r>
        <w:rPr>
          <w:rFonts w:hint="eastAsia" w:ascii="Times New Roman" w:hAnsi="Times New Roman" w:eastAsia="仿宋_GB2312" w:cs="仿宋_GB2312"/>
          <w:color w:val="auto"/>
          <w:sz w:val="32"/>
          <w:szCs w:val="32"/>
          <w:highlight w:val="none"/>
        </w:rPr>
        <w:t>万元，</w:t>
      </w:r>
      <w:r>
        <w:rPr>
          <w:rFonts w:hint="eastAsia" w:ascii="Times New Roman" w:hAnsi="Times New Roman" w:eastAsia="仿宋_GB2312" w:cs="仿宋_GB2312"/>
          <w:color w:val="auto"/>
          <w:sz w:val="32"/>
          <w:szCs w:val="32"/>
          <w:highlight w:val="none"/>
          <w:lang w:val="en-US" w:eastAsia="zh-CN"/>
        </w:rPr>
        <w:t>增长1.86</w:t>
      </w:r>
      <w:r>
        <w:rPr>
          <w:rFonts w:hint="eastAsia" w:ascii="Times New Roman" w:hAnsi="Times New Roman" w:eastAsia="仿宋_GB2312" w:cs="仿宋_GB2312"/>
          <w:color w:val="auto"/>
          <w:sz w:val="32"/>
          <w:szCs w:val="32"/>
          <w:highlight w:val="none"/>
        </w:rPr>
        <w:t>%。</w:t>
      </w:r>
      <w:r>
        <w:rPr>
          <w:rFonts w:hint="eastAsia"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人员经费增加调整</w:t>
      </w:r>
      <w:r>
        <w:rPr>
          <w:rFonts w:hint="eastAsia" w:ascii="Times New Roman" w:hAnsi="Times New Roman" w:eastAsia="仿宋_GB2312" w:cs="仿宋_GB2312"/>
          <w:color w:val="auto"/>
          <w:sz w:val="32"/>
          <w:szCs w:val="32"/>
          <w:highlight w:val="none"/>
        </w:rPr>
        <w:t>。</w:t>
      </w:r>
    </w:p>
    <w:p w14:paraId="3DFD0CDC">
      <w:pPr>
        <w:spacing w:line="600" w:lineRule="exact"/>
        <w:ind w:firstLine="640" w:firstLineChars="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59264" behindDoc="0" locked="0" layoutInCell="1" allowOverlap="1">
            <wp:simplePos x="0" y="0"/>
            <wp:positionH relativeFrom="page">
              <wp:posOffset>1062990</wp:posOffset>
            </wp:positionH>
            <wp:positionV relativeFrom="page">
              <wp:posOffset>2858770</wp:posOffset>
            </wp:positionV>
            <wp:extent cx="4447540" cy="2741930"/>
            <wp:effectExtent l="4445" t="4445" r="5715" b="15875"/>
            <wp:wrapTopAndBottom/>
            <wp:docPr id="6" name="图表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756D16FA">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25528E2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2F4A865">
      <w:pPr>
        <w:spacing w:line="600" w:lineRule="exact"/>
        <w:ind w:firstLine="640" w:firstLineChars="200"/>
        <w:outlineLvl w:val="1"/>
        <w:rPr>
          <w:rFonts w:hint="eastAsia" w:ascii="Times New Roman" w:hAnsi="Times New Roman" w:eastAsia="黑体"/>
          <w:color w:val="auto"/>
          <w:sz w:val="32"/>
          <w:szCs w:val="32"/>
          <w:highlight w:val="none"/>
        </w:rPr>
      </w:pPr>
    </w:p>
    <w:p w14:paraId="54779169">
      <w:pPr>
        <w:spacing w:line="600" w:lineRule="exact"/>
        <w:ind w:firstLine="640" w:firstLineChars="200"/>
        <w:outlineLvl w:val="1"/>
        <w:rPr>
          <w:rFonts w:hint="eastAsia" w:ascii="Times New Roman" w:hAnsi="Times New Roman" w:eastAsia="黑体"/>
          <w:color w:val="auto"/>
          <w:sz w:val="32"/>
          <w:szCs w:val="32"/>
          <w:highlight w:val="none"/>
        </w:rPr>
      </w:pPr>
    </w:p>
    <w:p w14:paraId="35984631">
      <w:pPr>
        <w:spacing w:line="600" w:lineRule="exact"/>
        <w:ind w:firstLine="640" w:firstLineChars="200"/>
        <w:outlineLvl w:val="1"/>
        <w:rPr>
          <w:rStyle w:val="31"/>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般公共预算财政拨款支出决算情况说明</w:t>
      </w:r>
    </w:p>
    <w:p w14:paraId="7A7E223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（一）一般公共预算财政拨款支出决算总体情况</w:t>
      </w:r>
    </w:p>
    <w:p w14:paraId="75B50E5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eastAsia="仿宋_GB2312" w:cs="仿宋_GB2312"/>
          <w:color w:val="auto"/>
          <w:kern w:val="2"/>
          <w:sz w:val="32"/>
          <w:szCs w:val="32"/>
          <w:highlight w:val="none"/>
          <w:lang w:val="en-US" w:eastAsia="zh-CN" w:bidi="ar-SA"/>
        </w:rPr>
        <w:t>146.55</w:t>
      </w:r>
      <w:r>
        <w:rPr>
          <w:rFonts w:hint="eastAsia" w:ascii="Times New Roman" w:hAnsi="Times New Roman" w:eastAsia="仿宋_GB2312" w:cs="仿宋_GB2312"/>
          <w:color w:val="auto"/>
          <w:kern w:val="2"/>
          <w:sz w:val="32"/>
          <w:szCs w:val="32"/>
          <w:highlight w:val="none"/>
          <w:lang w:val="en-US" w:eastAsia="zh-CN" w:bidi="ar-SA"/>
        </w:rPr>
        <w:t>万元，占本年支出合计的</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%。与2023年度相比，一般公共预算财政拨款支出增加</w:t>
      </w:r>
      <w:r>
        <w:rPr>
          <w:rFonts w:hint="eastAsia" w:eastAsia="仿宋_GB2312" w:cs="仿宋_GB2312"/>
          <w:color w:val="auto"/>
          <w:kern w:val="2"/>
          <w:sz w:val="32"/>
          <w:szCs w:val="32"/>
          <w:highlight w:val="none"/>
          <w:lang w:val="en-US" w:eastAsia="zh-CN" w:bidi="ar-SA"/>
        </w:rPr>
        <w:t>2.68</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1.86</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人员经费增加调整</w:t>
      </w:r>
      <w:r>
        <w:rPr>
          <w:rFonts w:hint="eastAsia" w:eastAsia="仿宋_GB2312" w:cs="仿宋_GB2312"/>
          <w:color w:val="auto"/>
          <w:kern w:val="2"/>
          <w:sz w:val="32"/>
          <w:szCs w:val="32"/>
          <w:highlight w:val="none"/>
          <w:lang w:val="en-US" w:eastAsia="zh-CN" w:bidi="ar-SA"/>
        </w:rPr>
        <w:t>。</w:t>
      </w:r>
    </w:p>
    <w:p w14:paraId="18DE2E9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A670119">
      <w:pPr>
        <w:spacing w:line="600" w:lineRule="exact"/>
        <w:ind w:firstLine="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0288" behindDoc="0" locked="0" layoutInCell="1" allowOverlap="1">
            <wp:simplePos x="0" y="0"/>
            <wp:positionH relativeFrom="page">
              <wp:posOffset>1565910</wp:posOffset>
            </wp:positionH>
            <wp:positionV relativeFrom="page">
              <wp:posOffset>1603375</wp:posOffset>
            </wp:positionV>
            <wp:extent cx="4447540" cy="2741930"/>
            <wp:effectExtent l="4445" t="4445" r="5715" b="15875"/>
            <wp:wrapTopAndBottom/>
            <wp:docPr id="5" name="图表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2090F328">
      <w:pPr>
        <w:spacing w:line="600" w:lineRule="exact"/>
        <w:ind w:firstLine="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59DD538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（二）一般公共预算财政拨款支出决算结构情况</w:t>
      </w:r>
    </w:p>
    <w:p w14:paraId="59F6E22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sz w:val="32"/>
          <w:szCs w:val="32"/>
          <w:highlight w:val="none"/>
        </w:rPr>
        <w:drawing>
          <wp:anchor distT="0" distB="0" distL="114300" distR="114300" simplePos="0" relativeHeight="251661312" behindDoc="0" locked="0" layoutInCell="1" allowOverlap="1">
            <wp:simplePos x="0" y="0"/>
            <wp:positionH relativeFrom="page">
              <wp:posOffset>1606550</wp:posOffset>
            </wp:positionH>
            <wp:positionV relativeFrom="page">
              <wp:posOffset>7132955</wp:posOffset>
            </wp:positionV>
            <wp:extent cx="4447540" cy="2558415"/>
            <wp:effectExtent l="4445" t="4445" r="5715" b="8890"/>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eastAsia="仿宋_GB2312" w:cs="仿宋_GB2312"/>
          <w:color w:val="auto"/>
          <w:kern w:val="2"/>
          <w:sz w:val="32"/>
          <w:szCs w:val="32"/>
          <w:highlight w:val="none"/>
          <w:lang w:val="en-US" w:eastAsia="zh-CN" w:bidi="ar-SA"/>
        </w:rPr>
        <w:t>146.55</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sz w:val="32"/>
          <w:szCs w:val="32"/>
          <w:highlight w:val="none"/>
        </w:rPr>
        <w:t>主要用于以下方面</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社会保障和就业支出1</w:t>
      </w:r>
      <w:r>
        <w:rPr>
          <w:rFonts w:hint="eastAsia" w:ascii="Times New Roman" w:hAnsi="Times New Roman" w:eastAsia="仿宋_GB2312" w:cs="仿宋_GB2312"/>
          <w:b w:val="0"/>
          <w:bCs w:val="0"/>
          <w:color w:val="auto"/>
          <w:sz w:val="32"/>
          <w:szCs w:val="32"/>
          <w:highlight w:val="none"/>
          <w:lang w:val="en-US" w:eastAsia="zh-CN"/>
        </w:rPr>
        <w:t>36.73</w:t>
      </w:r>
      <w:r>
        <w:rPr>
          <w:rFonts w:hint="eastAsia" w:ascii="Times New Roman" w:hAnsi="Times New Roman" w:eastAsia="仿宋_GB2312" w:cs="仿宋_GB2312"/>
          <w:b w:val="0"/>
          <w:bCs w:val="0"/>
          <w:color w:val="auto"/>
          <w:sz w:val="32"/>
          <w:szCs w:val="32"/>
          <w:highlight w:val="none"/>
        </w:rPr>
        <w:t>万元，占88.13%；卫生健康支出</w:t>
      </w:r>
      <w:r>
        <w:rPr>
          <w:rFonts w:hint="eastAsia" w:ascii="Times New Roman" w:hAnsi="Times New Roman" w:eastAsia="仿宋_GB2312" w:cs="仿宋_GB2312"/>
          <w:b w:val="0"/>
          <w:bCs w:val="0"/>
          <w:color w:val="auto"/>
          <w:sz w:val="32"/>
          <w:szCs w:val="32"/>
          <w:highlight w:val="none"/>
          <w:lang w:val="en-US" w:eastAsia="zh-CN"/>
        </w:rPr>
        <w:t>4.13</w:t>
      </w:r>
      <w:r>
        <w:rPr>
          <w:rFonts w:hint="eastAsia" w:ascii="Times New Roman" w:hAnsi="Times New Roman" w:eastAsia="仿宋_GB2312" w:cs="仿宋_GB2312"/>
          <w:b w:val="0"/>
          <w:bCs w:val="0"/>
          <w:color w:val="auto"/>
          <w:sz w:val="32"/>
          <w:szCs w:val="32"/>
          <w:highlight w:val="none"/>
        </w:rPr>
        <w:t>万元，占</w:t>
      </w:r>
      <w:r>
        <w:rPr>
          <w:rFonts w:hint="eastAsia" w:ascii="Times New Roman" w:hAnsi="Times New Roman" w:eastAsia="仿宋_GB2312" w:cs="仿宋_GB2312"/>
          <w:b w:val="0"/>
          <w:bCs w:val="0"/>
          <w:color w:val="auto"/>
          <w:sz w:val="32"/>
          <w:szCs w:val="32"/>
          <w:highlight w:val="none"/>
          <w:lang w:val="en-US" w:eastAsia="zh-CN"/>
        </w:rPr>
        <w:t>2.82</w:t>
      </w:r>
      <w:r>
        <w:rPr>
          <w:rFonts w:hint="eastAsia" w:ascii="Times New Roman" w:hAnsi="Times New Roman" w:eastAsia="仿宋_GB2312" w:cs="仿宋_GB2312"/>
          <w:b w:val="0"/>
          <w:bCs w:val="0"/>
          <w:color w:val="auto"/>
          <w:sz w:val="32"/>
          <w:szCs w:val="32"/>
          <w:highlight w:val="none"/>
        </w:rPr>
        <w:t>%；住房保障支出5</w:t>
      </w:r>
      <w:r>
        <w:rPr>
          <w:rFonts w:hint="eastAsia" w:ascii="Times New Roman" w:hAnsi="Times New Roman" w:eastAsia="仿宋_GB2312" w:cs="仿宋_GB2312"/>
          <w:color w:val="auto"/>
          <w:sz w:val="32"/>
          <w:szCs w:val="32"/>
          <w:highlight w:val="none"/>
        </w:rPr>
        <w:t>.6</w:t>
      </w:r>
      <w:r>
        <w:rPr>
          <w:rFonts w:hint="eastAsia" w:ascii="Times New Roman" w:hAnsi="Times New Roman"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万元，占</w:t>
      </w:r>
      <w:r>
        <w:rPr>
          <w:rFonts w:hint="eastAsia" w:ascii="Times New Roman" w:hAnsi="Times New Roman" w:eastAsia="仿宋_GB2312" w:cs="仿宋_GB2312"/>
          <w:color w:val="auto"/>
          <w:sz w:val="32"/>
          <w:szCs w:val="32"/>
          <w:highlight w:val="none"/>
          <w:lang w:val="en-US" w:eastAsia="zh-CN"/>
        </w:rPr>
        <w:t>3.88</w:t>
      </w:r>
      <w:r>
        <w:rPr>
          <w:rFonts w:hint="eastAsia" w:ascii="Times New Roman" w:hAnsi="Times New Roman" w:eastAsia="仿宋_GB2312" w:cs="仿宋_GB2312"/>
          <w:color w:val="auto"/>
          <w:sz w:val="32"/>
          <w:szCs w:val="32"/>
          <w:highlight w:val="none"/>
        </w:rPr>
        <w:t>%。</w:t>
      </w:r>
    </w:p>
    <w:p w14:paraId="3C81575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57C0778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（三）一般公共预算财政拨款支出决算具体情况</w:t>
      </w:r>
    </w:p>
    <w:p w14:paraId="699F03E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2024年度一般公共预算支出决算数为</w:t>
      </w:r>
      <w:r>
        <w:rPr>
          <w:rFonts w:hint="eastAsia" w:eastAsia="仿宋_GB2312" w:cs="仿宋_GB2312"/>
          <w:color w:val="auto"/>
          <w:kern w:val="2"/>
          <w:sz w:val="32"/>
          <w:szCs w:val="32"/>
          <w:highlight w:val="none"/>
          <w:lang w:val="en-US" w:eastAsia="zh-CN" w:bidi="ar-SA"/>
        </w:rPr>
        <w:t>146.55</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p>
    <w:p w14:paraId="382581C4">
      <w:pPr>
        <w:spacing w:line="600" w:lineRule="exact"/>
        <w:ind w:firstLine="643" w:firstLineChars="200"/>
        <w:rPr>
          <w:rStyle w:val="18"/>
          <w:rFonts w:hint="eastAsia" w:ascii="仿宋" w:hAnsi="仿宋" w:eastAsia="仿宋"/>
          <w:b w:val="0"/>
          <w:bCs/>
          <w:color w:val="000000"/>
          <w:sz w:val="32"/>
          <w:szCs w:val="32"/>
          <w:lang w:eastAsia="zh-CN"/>
        </w:rPr>
      </w:pPr>
      <w:r>
        <w:rPr>
          <w:rStyle w:val="18"/>
          <w:rFonts w:hint="eastAsia" w:ascii="仿宋" w:hAnsi="仿宋" w:eastAsia="仿宋"/>
          <w:bCs/>
          <w:sz w:val="32"/>
          <w:szCs w:val="32"/>
          <w:lang w:val="en-US" w:eastAsia="zh-CN"/>
        </w:rPr>
        <w:t>1.</w:t>
      </w:r>
      <w:r>
        <w:rPr>
          <w:rStyle w:val="18"/>
          <w:rFonts w:hint="eastAsia" w:ascii="仿宋" w:hAnsi="仿宋" w:eastAsia="仿宋"/>
          <w:bCs/>
          <w:sz w:val="32"/>
          <w:szCs w:val="32"/>
        </w:rPr>
        <w:t>社会保障和就业支出（类）人力资源和社会保障管理事务（款）事业运行</w:t>
      </w:r>
      <w:r>
        <w:rPr>
          <w:rStyle w:val="18"/>
          <w:rFonts w:ascii="仿宋" w:hAnsi="仿宋" w:eastAsia="仿宋"/>
          <w:bCs/>
          <w:sz w:val="32"/>
          <w:szCs w:val="32"/>
        </w:rPr>
        <w:t>支出</w:t>
      </w:r>
      <w:r>
        <w:rPr>
          <w:rStyle w:val="18"/>
          <w:rFonts w:hint="eastAsia" w:ascii="仿宋" w:hAnsi="仿宋" w:eastAsia="仿宋"/>
          <w:bCs/>
          <w:sz w:val="32"/>
          <w:szCs w:val="32"/>
        </w:rPr>
        <w:t>（项）：</w:t>
      </w:r>
      <w:r>
        <w:rPr>
          <w:rStyle w:val="17"/>
          <w:rFonts w:hint="eastAsia" w:ascii="Times New Roman" w:hAnsi="Times New Roman" w:eastAsia="仿宋_GB2312" w:cs="仿宋_GB2312"/>
          <w:b w:val="0"/>
          <w:bCs w:val="0"/>
          <w:color w:val="auto"/>
          <w:sz w:val="32"/>
          <w:szCs w:val="32"/>
          <w:highlight w:val="none"/>
        </w:rPr>
        <w:t xml:space="preserve">支出决算为 </w:t>
      </w:r>
      <w:r>
        <w:rPr>
          <w:rStyle w:val="17"/>
          <w:rFonts w:hint="eastAsia" w:ascii="Times New Roman" w:hAnsi="Times New Roman" w:eastAsia="仿宋_GB2312" w:cs="仿宋_GB2312"/>
          <w:b w:val="0"/>
          <w:bCs w:val="0"/>
          <w:color w:val="auto"/>
          <w:sz w:val="32"/>
          <w:szCs w:val="32"/>
          <w:highlight w:val="none"/>
          <w:lang w:val="en-US" w:eastAsia="zh-CN"/>
        </w:rPr>
        <w:t>0.36</w:t>
      </w:r>
      <w:r>
        <w:rPr>
          <w:rStyle w:val="17"/>
          <w:rFonts w:hint="eastAsia" w:ascii="Times New Roman" w:hAnsi="Times New Roman" w:eastAsia="仿宋_GB2312" w:cs="仿宋_GB2312"/>
          <w:b w:val="0"/>
          <w:bCs w:val="0"/>
          <w:color w:val="auto"/>
          <w:sz w:val="32"/>
          <w:szCs w:val="32"/>
          <w:highlight w:val="none"/>
        </w:rPr>
        <w:t>万元，完成预算100%</w:t>
      </w:r>
      <w:r>
        <w:rPr>
          <w:rStyle w:val="17"/>
          <w:rFonts w:hint="eastAsia" w:ascii="Times New Roman" w:hAnsi="Times New Roman" w:eastAsia="仿宋_GB2312" w:cs="仿宋_GB2312"/>
          <w:b w:val="0"/>
          <w:bCs w:val="0"/>
          <w:color w:val="auto"/>
          <w:sz w:val="32"/>
          <w:szCs w:val="32"/>
          <w:highlight w:val="none"/>
          <w:lang w:eastAsia="zh-CN"/>
        </w:rPr>
        <w:t>，</w:t>
      </w:r>
      <w:r>
        <w:rPr>
          <w:rStyle w:val="17"/>
          <w:rFonts w:hint="eastAsia" w:ascii="Times New Roman" w:hAnsi="Times New Roman" w:eastAsia="仿宋_GB2312" w:cs="仿宋_GB2312"/>
          <w:b w:val="0"/>
          <w:bCs w:val="0"/>
          <w:color w:val="auto"/>
          <w:sz w:val="32"/>
          <w:szCs w:val="32"/>
          <w:highlight w:val="none"/>
        </w:rPr>
        <w:t>决算数</w:t>
      </w:r>
      <w:r>
        <w:rPr>
          <w:rStyle w:val="17"/>
          <w:rFonts w:hint="eastAsia" w:ascii="Times New Roman" w:hAnsi="Times New Roman" w:eastAsia="仿宋_GB2312" w:cs="仿宋_GB2312"/>
          <w:b w:val="0"/>
          <w:bCs w:val="0"/>
          <w:color w:val="auto"/>
          <w:sz w:val="32"/>
          <w:szCs w:val="32"/>
          <w:highlight w:val="none"/>
          <w:lang w:val="en-US" w:eastAsia="zh-CN"/>
        </w:rPr>
        <w:t>与</w:t>
      </w:r>
      <w:r>
        <w:rPr>
          <w:rStyle w:val="17"/>
          <w:rFonts w:hint="eastAsia" w:ascii="Times New Roman" w:hAnsi="Times New Roman" w:eastAsia="仿宋_GB2312" w:cs="仿宋_GB2312"/>
          <w:b w:val="0"/>
          <w:bCs w:val="0"/>
          <w:color w:val="auto"/>
          <w:sz w:val="32"/>
          <w:szCs w:val="32"/>
          <w:highlight w:val="none"/>
        </w:rPr>
        <w:t>预算数</w:t>
      </w:r>
      <w:r>
        <w:rPr>
          <w:rStyle w:val="17"/>
          <w:rFonts w:hint="eastAsia" w:ascii="Times New Roman" w:hAnsi="Times New Roman" w:eastAsia="仿宋_GB2312" w:cs="仿宋_GB2312"/>
          <w:b w:val="0"/>
          <w:bCs w:val="0"/>
          <w:color w:val="auto"/>
          <w:sz w:val="32"/>
          <w:szCs w:val="32"/>
          <w:highlight w:val="none"/>
          <w:lang w:val="en-US" w:eastAsia="zh-CN"/>
        </w:rPr>
        <w:t>持平</w:t>
      </w:r>
      <w:r>
        <w:rPr>
          <w:rStyle w:val="17"/>
          <w:rFonts w:hint="eastAsia" w:ascii="Times New Roman" w:hAnsi="Times New Roman" w:eastAsia="仿宋_GB2312" w:cs="仿宋_GB2312"/>
          <w:b w:val="0"/>
          <w:bCs w:val="0"/>
          <w:color w:val="auto"/>
          <w:sz w:val="32"/>
          <w:szCs w:val="32"/>
          <w:highlight w:val="none"/>
          <w:lang w:eastAsia="zh-CN"/>
        </w:rPr>
        <w:t>。</w:t>
      </w:r>
    </w:p>
    <w:p w14:paraId="6BCBFB92">
      <w:pPr>
        <w:spacing w:line="600" w:lineRule="exact"/>
        <w:ind w:firstLine="643" w:firstLineChars="200"/>
        <w:rPr>
          <w:rStyle w:val="18"/>
          <w:rFonts w:hint="eastAsia" w:ascii="仿宋" w:hAnsi="仿宋" w:eastAsia="仿宋"/>
          <w:b w:val="0"/>
          <w:color w:val="000000"/>
          <w:sz w:val="32"/>
          <w:szCs w:val="32"/>
        </w:rPr>
      </w:pPr>
      <w:r>
        <w:rPr>
          <w:rStyle w:val="18"/>
          <w:rFonts w:hint="eastAsia" w:ascii="仿宋" w:hAnsi="仿宋" w:eastAsia="仿宋" w:cs="Times New Roman"/>
          <w:bCs/>
          <w:sz w:val="32"/>
          <w:szCs w:val="32"/>
          <w:lang w:val="en-US" w:eastAsia="zh-CN"/>
        </w:rPr>
        <w:t>2.</w:t>
      </w:r>
      <w:r>
        <w:rPr>
          <w:rStyle w:val="18"/>
          <w:rFonts w:hint="eastAsia" w:ascii="仿宋" w:hAnsi="仿宋" w:eastAsia="仿宋" w:cs="Times New Roman"/>
          <w:bCs/>
          <w:sz w:val="32"/>
          <w:szCs w:val="32"/>
        </w:rPr>
        <w:t>社会保障和就业（类）行政事业单位离退休（款）机关事业单位养老保险费支出（项）</w:t>
      </w:r>
      <w:r>
        <w:rPr>
          <w:rStyle w:val="18"/>
          <w:rFonts w:hint="eastAsia" w:ascii="仿宋" w:hAnsi="仿宋" w:eastAsia="仿宋"/>
          <w:bCs/>
          <w:sz w:val="32"/>
          <w:szCs w:val="32"/>
        </w:rPr>
        <w:t>：</w:t>
      </w:r>
      <w:r>
        <w:rPr>
          <w:rStyle w:val="17"/>
          <w:rFonts w:hint="eastAsia" w:ascii="Times New Roman" w:hAnsi="Times New Roman" w:eastAsia="仿宋_GB2312" w:cs="仿宋_GB2312"/>
          <w:b w:val="0"/>
          <w:bCs w:val="0"/>
          <w:color w:val="auto"/>
          <w:sz w:val="32"/>
          <w:szCs w:val="32"/>
          <w:highlight w:val="none"/>
        </w:rPr>
        <w:t>支出决算为</w:t>
      </w:r>
      <w:r>
        <w:rPr>
          <w:rStyle w:val="17"/>
          <w:rFonts w:hint="eastAsia" w:ascii="Times New Roman" w:hAnsi="Times New Roman" w:eastAsia="仿宋_GB2312" w:cs="仿宋_GB2312"/>
          <w:b w:val="0"/>
          <w:bCs w:val="0"/>
          <w:color w:val="auto"/>
          <w:sz w:val="32"/>
          <w:szCs w:val="32"/>
          <w:highlight w:val="none"/>
          <w:lang w:val="en-US" w:eastAsia="zh-CN"/>
        </w:rPr>
        <w:t>7.92</w:t>
      </w:r>
      <w:r>
        <w:rPr>
          <w:rStyle w:val="17"/>
          <w:rFonts w:hint="eastAsia" w:ascii="Times New Roman" w:hAnsi="Times New Roman" w:eastAsia="仿宋_GB2312" w:cs="仿宋_GB2312"/>
          <w:b w:val="0"/>
          <w:bCs w:val="0"/>
          <w:color w:val="auto"/>
          <w:sz w:val="32"/>
          <w:szCs w:val="32"/>
          <w:highlight w:val="none"/>
        </w:rPr>
        <w:t>万元，完成预算100%</w:t>
      </w:r>
      <w:r>
        <w:rPr>
          <w:rStyle w:val="17"/>
          <w:rFonts w:hint="eastAsia" w:ascii="Times New Roman" w:hAnsi="Times New Roman" w:eastAsia="仿宋_GB2312" w:cs="仿宋_GB2312"/>
          <w:b w:val="0"/>
          <w:bCs w:val="0"/>
          <w:color w:val="auto"/>
          <w:sz w:val="32"/>
          <w:szCs w:val="32"/>
          <w:highlight w:val="none"/>
          <w:lang w:eastAsia="zh-CN"/>
        </w:rPr>
        <w:t>，</w:t>
      </w:r>
      <w:r>
        <w:rPr>
          <w:rStyle w:val="17"/>
          <w:rFonts w:hint="eastAsia" w:ascii="Times New Roman" w:hAnsi="Times New Roman" w:eastAsia="仿宋_GB2312" w:cs="仿宋_GB2312"/>
          <w:b w:val="0"/>
          <w:bCs w:val="0"/>
          <w:color w:val="auto"/>
          <w:sz w:val="32"/>
          <w:szCs w:val="32"/>
          <w:highlight w:val="none"/>
        </w:rPr>
        <w:t>决算数</w:t>
      </w:r>
      <w:r>
        <w:rPr>
          <w:rStyle w:val="17"/>
          <w:rFonts w:hint="eastAsia" w:ascii="Times New Roman" w:hAnsi="Times New Roman" w:eastAsia="仿宋_GB2312" w:cs="仿宋_GB2312"/>
          <w:b w:val="0"/>
          <w:bCs w:val="0"/>
          <w:color w:val="auto"/>
          <w:sz w:val="32"/>
          <w:szCs w:val="32"/>
          <w:highlight w:val="none"/>
          <w:lang w:val="en-US" w:eastAsia="zh-CN"/>
        </w:rPr>
        <w:t>与</w:t>
      </w:r>
      <w:r>
        <w:rPr>
          <w:rStyle w:val="17"/>
          <w:rFonts w:hint="eastAsia" w:ascii="Times New Roman" w:hAnsi="Times New Roman" w:eastAsia="仿宋_GB2312" w:cs="仿宋_GB2312"/>
          <w:b w:val="0"/>
          <w:bCs w:val="0"/>
          <w:color w:val="auto"/>
          <w:sz w:val="32"/>
          <w:szCs w:val="32"/>
          <w:highlight w:val="none"/>
        </w:rPr>
        <w:t>预算数</w:t>
      </w:r>
      <w:r>
        <w:rPr>
          <w:rStyle w:val="17"/>
          <w:rFonts w:hint="eastAsia" w:ascii="Times New Roman" w:hAnsi="Times New Roman" w:eastAsia="仿宋_GB2312" w:cs="仿宋_GB2312"/>
          <w:b w:val="0"/>
          <w:bCs w:val="0"/>
          <w:color w:val="auto"/>
          <w:sz w:val="32"/>
          <w:szCs w:val="32"/>
          <w:highlight w:val="none"/>
          <w:lang w:val="en-US" w:eastAsia="zh-CN"/>
        </w:rPr>
        <w:t>持平</w:t>
      </w:r>
      <w:r>
        <w:rPr>
          <w:rStyle w:val="17"/>
          <w:rFonts w:hint="eastAsia" w:ascii="Times New Roman" w:hAnsi="Times New Roman" w:eastAsia="仿宋_GB2312" w:cs="仿宋_GB2312"/>
          <w:b w:val="0"/>
          <w:bCs w:val="0"/>
          <w:color w:val="auto"/>
          <w:sz w:val="32"/>
          <w:szCs w:val="32"/>
          <w:highlight w:val="none"/>
          <w:lang w:eastAsia="zh-CN"/>
        </w:rPr>
        <w:t>。</w:t>
      </w:r>
    </w:p>
    <w:p w14:paraId="6B11823A">
      <w:pPr>
        <w:spacing w:line="600" w:lineRule="exact"/>
        <w:ind w:firstLine="643" w:firstLineChars="200"/>
        <w:rPr>
          <w:rStyle w:val="17"/>
          <w:rFonts w:hint="eastAsia" w:ascii="Times New Roman" w:hAnsi="Times New Roman" w:eastAsia="仿宋_GB2312" w:cs="仿宋_GB2312"/>
          <w:b w:val="0"/>
          <w:color w:val="auto"/>
          <w:sz w:val="32"/>
          <w:szCs w:val="32"/>
          <w:highlight w:val="none"/>
        </w:rPr>
      </w:pPr>
      <w:r>
        <w:rPr>
          <w:rStyle w:val="18"/>
          <w:rFonts w:hint="eastAsia" w:ascii="仿宋" w:hAnsi="仿宋" w:eastAsia="仿宋" w:cs="Times New Roman"/>
          <w:bCs/>
          <w:sz w:val="32"/>
          <w:szCs w:val="32"/>
          <w:lang w:val="en-US" w:eastAsia="zh-CN"/>
        </w:rPr>
        <w:t>3.</w:t>
      </w:r>
      <w:r>
        <w:rPr>
          <w:rStyle w:val="18"/>
          <w:rFonts w:hint="eastAsia" w:ascii="仿宋" w:hAnsi="仿宋" w:eastAsia="仿宋" w:cs="Times New Roman"/>
          <w:bCs/>
          <w:sz w:val="32"/>
          <w:szCs w:val="32"/>
        </w:rPr>
        <w:t>社会保障和就业（类）社会福利（款）社会福利事业单位（项）</w:t>
      </w:r>
      <w:r>
        <w:rPr>
          <w:rStyle w:val="18"/>
          <w:rFonts w:hint="eastAsia" w:ascii="仿宋" w:hAnsi="仿宋" w:eastAsia="仿宋"/>
          <w:bCs/>
          <w:sz w:val="32"/>
          <w:szCs w:val="32"/>
        </w:rPr>
        <w:t>：</w:t>
      </w:r>
      <w:r>
        <w:rPr>
          <w:rStyle w:val="17"/>
          <w:rFonts w:hint="eastAsia" w:ascii="Times New Roman" w:hAnsi="Times New Roman" w:eastAsia="仿宋_GB2312" w:cs="仿宋_GB2312"/>
          <w:b w:val="0"/>
          <w:bCs w:val="0"/>
          <w:color w:val="auto"/>
          <w:sz w:val="32"/>
          <w:szCs w:val="32"/>
          <w:highlight w:val="none"/>
        </w:rPr>
        <w:t>支出</w:t>
      </w:r>
      <w:r>
        <w:rPr>
          <w:rStyle w:val="17"/>
          <w:rFonts w:hint="eastAsia" w:ascii="Times New Roman" w:hAnsi="Times New Roman" w:eastAsia="仿宋_GB2312" w:cs="仿宋_GB2312"/>
          <w:b w:val="0"/>
          <w:color w:val="auto"/>
          <w:sz w:val="32"/>
          <w:szCs w:val="32"/>
          <w:highlight w:val="none"/>
        </w:rPr>
        <w:t>决算数为</w:t>
      </w:r>
      <w:r>
        <w:rPr>
          <w:rStyle w:val="17"/>
          <w:rFonts w:hint="eastAsia" w:ascii="Times New Roman" w:hAnsi="Times New Roman" w:eastAsia="仿宋_GB2312" w:cs="仿宋_GB2312"/>
          <w:b w:val="0"/>
          <w:color w:val="auto"/>
          <w:sz w:val="32"/>
          <w:szCs w:val="32"/>
          <w:highlight w:val="none"/>
          <w:lang w:val="en-US" w:eastAsia="zh-CN"/>
        </w:rPr>
        <w:t>127.83</w:t>
      </w:r>
      <w:r>
        <w:rPr>
          <w:rStyle w:val="17"/>
          <w:rFonts w:hint="eastAsia" w:ascii="Times New Roman" w:hAnsi="Times New Roman" w:eastAsia="仿宋_GB2312" w:cs="仿宋_GB2312"/>
          <w:b w:val="0"/>
          <w:color w:val="auto"/>
          <w:sz w:val="32"/>
          <w:szCs w:val="32"/>
          <w:highlight w:val="none"/>
        </w:rPr>
        <w:t>万元，完成预算的100%</w:t>
      </w:r>
      <w:r>
        <w:rPr>
          <w:rStyle w:val="17"/>
          <w:rFonts w:hint="eastAsia" w:ascii="Times New Roman" w:hAnsi="Times New Roman" w:eastAsia="仿宋_GB2312" w:cs="仿宋_GB2312"/>
          <w:b w:val="0"/>
          <w:bCs w:val="0"/>
          <w:color w:val="auto"/>
          <w:sz w:val="32"/>
          <w:szCs w:val="32"/>
          <w:highlight w:val="none"/>
          <w:lang w:eastAsia="zh-CN"/>
        </w:rPr>
        <w:t>，</w:t>
      </w:r>
      <w:r>
        <w:rPr>
          <w:rStyle w:val="17"/>
          <w:rFonts w:hint="eastAsia" w:ascii="Times New Roman" w:hAnsi="Times New Roman" w:eastAsia="仿宋_GB2312" w:cs="仿宋_GB2312"/>
          <w:b w:val="0"/>
          <w:bCs w:val="0"/>
          <w:color w:val="auto"/>
          <w:sz w:val="32"/>
          <w:szCs w:val="32"/>
          <w:highlight w:val="none"/>
        </w:rPr>
        <w:t>决算数</w:t>
      </w:r>
      <w:r>
        <w:rPr>
          <w:rStyle w:val="17"/>
          <w:rFonts w:hint="eastAsia" w:ascii="Times New Roman" w:hAnsi="Times New Roman" w:eastAsia="仿宋_GB2312" w:cs="仿宋_GB2312"/>
          <w:b w:val="0"/>
          <w:bCs w:val="0"/>
          <w:color w:val="auto"/>
          <w:sz w:val="32"/>
          <w:szCs w:val="32"/>
          <w:highlight w:val="none"/>
          <w:lang w:val="en-US" w:eastAsia="zh-CN"/>
        </w:rPr>
        <w:t>与</w:t>
      </w:r>
      <w:r>
        <w:rPr>
          <w:rStyle w:val="17"/>
          <w:rFonts w:hint="eastAsia" w:ascii="Times New Roman" w:hAnsi="Times New Roman" w:eastAsia="仿宋_GB2312" w:cs="仿宋_GB2312"/>
          <w:b w:val="0"/>
          <w:bCs w:val="0"/>
          <w:color w:val="auto"/>
          <w:sz w:val="32"/>
          <w:szCs w:val="32"/>
          <w:highlight w:val="none"/>
        </w:rPr>
        <w:t>预算数</w:t>
      </w:r>
      <w:r>
        <w:rPr>
          <w:rStyle w:val="17"/>
          <w:rFonts w:hint="eastAsia" w:ascii="Times New Roman" w:hAnsi="Times New Roman" w:eastAsia="仿宋_GB2312" w:cs="仿宋_GB2312"/>
          <w:b w:val="0"/>
          <w:bCs w:val="0"/>
          <w:color w:val="auto"/>
          <w:sz w:val="32"/>
          <w:szCs w:val="32"/>
          <w:highlight w:val="none"/>
          <w:lang w:val="en-US" w:eastAsia="zh-CN"/>
        </w:rPr>
        <w:t>持平</w:t>
      </w:r>
      <w:r>
        <w:rPr>
          <w:rStyle w:val="17"/>
          <w:rFonts w:hint="eastAsia" w:ascii="Times New Roman" w:hAnsi="Times New Roman" w:eastAsia="仿宋_GB2312" w:cs="仿宋_GB2312"/>
          <w:b w:val="0"/>
          <w:bCs w:val="0"/>
          <w:color w:val="auto"/>
          <w:sz w:val="32"/>
          <w:szCs w:val="32"/>
          <w:highlight w:val="none"/>
          <w:lang w:eastAsia="zh-CN"/>
        </w:rPr>
        <w:t>。</w:t>
      </w:r>
    </w:p>
    <w:p w14:paraId="548C33E8">
      <w:pPr>
        <w:spacing w:line="600" w:lineRule="exact"/>
        <w:ind w:firstLine="643" w:firstLineChars="200"/>
        <w:rPr>
          <w:rStyle w:val="18"/>
          <w:rFonts w:ascii="仿宋" w:hAnsi="仿宋" w:eastAsia="仿宋"/>
          <w:b w:val="0"/>
          <w:color w:val="000000"/>
          <w:sz w:val="32"/>
          <w:szCs w:val="32"/>
        </w:rPr>
      </w:pPr>
      <w:r>
        <w:rPr>
          <w:rStyle w:val="18"/>
          <w:rFonts w:hint="eastAsia" w:ascii="仿宋" w:hAnsi="仿宋" w:eastAsia="仿宋" w:cs="Times New Roman"/>
          <w:bCs/>
          <w:sz w:val="32"/>
          <w:szCs w:val="32"/>
          <w:lang w:val="en-US" w:eastAsia="zh-CN"/>
        </w:rPr>
        <w:t>4.</w:t>
      </w:r>
      <w:r>
        <w:rPr>
          <w:rStyle w:val="18"/>
          <w:rFonts w:hint="eastAsia" w:ascii="仿宋" w:hAnsi="仿宋" w:eastAsia="仿宋" w:cs="Times New Roman"/>
          <w:bCs/>
          <w:sz w:val="32"/>
          <w:szCs w:val="32"/>
        </w:rPr>
        <w:t>社会保障和就业（类）其他社会保障和就业支出（款）其他社会保障和就业支出（项）</w:t>
      </w:r>
      <w:r>
        <w:rPr>
          <w:rStyle w:val="18"/>
          <w:rFonts w:hint="eastAsia" w:ascii="仿宋" w:hAnsi="仿宋" w:eastAsia="仿宋"/>
          <w:bCs/>
          <w:sz w:val="32"/>
          <w:szCs w:val="32"/>
        </w:rPr>
        <w:t>：</w:t>
      </w:r>
      <w:r>
        <w:rPr>
          <w:rStyle w:val="17"/>
          <w:rFonts w:hint="eastAsia" w:ascii="Times New Roman" w:hAnsi="Times New Roman" w:eastAsia="仿宋_GB2312" w:cs="仿宋_GB2312"/>
          <w:b w:val="0"/>
          <w:bCs w:val="0"/>
          <w:color w:val="auto"/>
          <w:sz w:val="32"/>
          <w:szCs w:val="32"/>
          <w:highlight w:val="none"/>
        </w:rPr>
        <w:t>支出</w:t>
      </w:r>
      <w:r>
        <w:rPr>
          <w:rStyle w:val="17"/>
          <w:rFonts w:hint="eastAsia" w:ascii="Times New Roman" w:hAnsi="Times New Roman" w:eastAsia="仿宋_GB2312" w:cs="仿宋_GB2312"/>
          <w:b w:val="0"/>
          <w:color w:val="auto"/>
          <w:sz w:val="32"/>
          <w:szCs w:val="32"/>
          <w:highlight w:val="none"/>
        </w:rPr>
        <w:t>决算数为0.</w:t>
      </w:r>
      <w:r>
        <w:rPr>
          <w:rStyle w:val="17"/>
          <w:rFonts w:hint="eastAsia" w:ascii="Times New Roman" w:hAnsi="Times New Roman" w:eastAsia="仿宋_GB2312" w:cs="仿宋_GB2312"/>
          <w:b w:val="0"/>
          <w:color w:val="auto"/>
          <w:sz w:val="32"/>
          <w:szCs w:val="32"/>
          <w:highlight w:val="none"/>
          <w:lang w:val="en-US" w:eastAsia="zh-CN"/>
        </w:rPr>
        <w:t>61</w:t>
      </w:r>
      <w:r>
        <w:rPr>
          <w:rStyle w:val="17"/>
          <w:rFonts w:hint="eastAsia" w:ascii="Times New Roman" w:hAnsi="Times New Roman" w:eastAsia="仿宋_GB2312" w:cs="仿宋_GB2312"/>
          <w:b w:val="0"/>
          <w:color w:val="auto"/>
          <w:sz w:val="32"/>
          <w:szCs w:val="32"/>
          <w:highlight w:val="none"/>
        </w:rPr>
        <w:t>万元，完成预算的100%</w:t>
      </w:r>
      <w:r>
        <w:rPr>
          <w:rStyle w:val="17"/>
          <w:rFonts w:hint="eastAsia" w:ascii="Times New Roman" w:hAnsi="Times New Roman" w:eastAsia="仿宋_GB2312" w:cs="仿宋_GB2312"/>
          <w:b w:val="0"/>
          <w:bCs w:val="0"/>
          <w:color w:val="auto"/>
          <w:sz w:val="32"/>
          <w:szCs w:val="32"/>
          <w:highlight w:val="none"/>
          <w:lang w:eastAsia="zh-CN"/>
        </w:rPr>
        <w:t>，</w:t>
      </w:r>
      <w:r>
        <w:rPr>
          <w:rStyle w:val="17"/>
          <w:rFonts w:hint="eastAsia" w:ascii="Times New Roman" w:hAnsi="Times New Roman" w:eastAsia="仿宋_GB2312" w:cs="仿宋_GB2312"/>
          <w:b w:val="0"/>
          <w:bCs w:val="0"/>
          <w:color w:val="auto"/>
          <w:sz w:val="32"/>
          <w:szCs w:val="32"/>
          <w:highlight w:val="none"/>
        </w:rPr>
        <w:t>决算数</w:t>
      </w:r>
      <w:r>
        <w:rPr>
          <w:rStyle w:val="17"/>
          <w:rFonts w:hint="eastAsia" w:ascii="Times New Roman" w:hAnsi="Times New Roman" w:eastAsia="仿宋_GB2312" w:cs="仿宋_GB2312"/>
          <w:b w:val="0"/>
          <w:bCs w:val="0"/>
          <w:color w:val="auto"/>
          <w:sz w:val="32"/>
          <w:szCs w:val="32"/>
          <w:highlight w:val="none"/>
          <w:lang w:val="en-US" w:eastAsia="zh-CN"/>
        </w:rPr>
        <w:t>与</w:t>
      </w:r>
      <w:r>
        <w:rPr>
          <w:rStyle w:val="17"/>
          <w:rFonts w:hint="eastAsia" w:ascii="Times New Roman" w:hAnsi="Times New Roman" w:eastAsia="仿宋_GB2312" w:cs="仿宋_GB2312"/>
          <w:b w:val="0"/>
          <w:bCs w:val="0"/>
          <w:color w:val="auto"/>
          <w:sz w:val="32"/>
          <w:szCs w:val="32"/>
          <w:highlight w:val="none"/>
        </w:rPr>
        <w:t>预算数</w:t>
      </w:r>
      <w:r>
        <w:rPr>
          <w:rStyle w:val="17"/>
          <w:rFonts w:hint="eastAsia" w:ascii="Times New Roman" w:hAnsi="Times New Roman" w:eastAsia="仿宋_GB2312" w:cs="仿宋_GB2312"/>
          <w:b w:val="0"/>
          <w:bCs w:val="0"/>
          <w:color w:val="auto"/>
          <w:sz w:val="32"/>
          <w:szCs w:val="32"/>
          <w:highlight w:val="none"/>
          <w:lang w:val="en-US" w:eastAsia="zh-CN"/>
        </w:rPr>
        <w:t>持平</w:t>
      </w:r>
      <w:r>
        <w:rPr>
          <w:rStyle w:val="17"/>
          <w:rFonts w:hint="eastAsia" w:ascii="Times New Roman" w:hAnsi="Times New Roman" w:eastAsia="仿宋_GB2312" w:cs="仿宋_GB2312"/>
          <w:b w:val="0"/>
          <w:bCs w:val="0"/>
          <w:color w:val="auto"/>
          <w:sz w:val="32"/>
          <w:szCs w:val="32"/>
          <w:highlight w:val="none"/>
          <w:lang w:eastAsia="zh-CN"/>
        </w:rPr>
        <w:t>。</w:t>
      </w:r>
    </w:p>
    <w:p w14:paraId="6B8ACF3A">
      <w:pPr>
        <w:spacing w:line="600" w:lineRule="exact"/>
        <w:ind w:firstLine="643" w:firstLineChars="200"/>
        <w:rPr>
          <w:rStyle w:val="17"/>
          <w:rFonts w:hint="eastAsia" w:ascii="Times New Roman" w:hAnsi="Times New Roman" w:eastAsia="仿宋_GB2312" w:cs="仿宋_GB2312"/>
          <w:b w:val="0"/>
          <w:color w:val="auto"/>
          <w:sz w:val="32"/>
          <w:szCs w:val="32"/>
          <w:highlight w:val="none"/>
        </w:rPr>
      </w:pPr>
      <w:r>
        <w:rPr>
          <w:rStyle w:val="18"/>
          <w:rFonts w:hint="eastAsia" w:ascii="仿宋" w:hAnsi="仿宋" w:eastAsia="仿宋" w:cs="Times New Roman"/>
          <w:bCs/>
          <w:sz w:val="32"/>
          <w:szCs w:val="32"/>
          <w:lang w:val="en-US" w:eastAsia="zh-CN"/>
        </w:rPr>
        <w:t>5.</w:t>
      </w:r>
      <w:r>
        <w:rPr>
          <w:rStyle w:val="18"/>
          <w:rFonts w:hint="eastAsia" w:ascii="仿宋" w:hAnsi="仿宋" w:eastAsia="仿宋" w:cs="Times New Roman"/>
          <w:bCs/>
          <w:sz w:val="32"/>
          <w:szCs w:val="32"/>
        </w:rPr>
        <w:t>卫生健康支出（类）行政事业单位医疗（款）事业单位医疗（项）</w:t>
      </w:r>
      <w:r>
        <w:rPr>
          <w:rStyle w:val="18"/>
          <w:rFonts w:hint="eastAsia" w:ascii="仿宋" w:hAnsi="仿宋" w:eastAsia="仿宋"/>
          <w:bCs/>
          <w:sz w:val="32"/>
          <w:szCs w:val="32"/>
        </w:rPr>
        <w:t>：</w:t>
      </w:r>
      <w:r>
        <w:rPr>
          <w:rStyle w:val="17"/>
          <w:rFonts w:hint="eastAsia" w:ascii="Times New Roman" w:hAnsi="Times New Roman" w:eastAsia="仿宋_GB2312" w:cs="仿宋_GB2312"/>
          <w:b w:val="0"/>
          <w:color w:val="auto"/>
          <w:sz w:val="32"/>
          <w:szCs w:val="32"/>
          <w:highlight w:val="none"/>
        </w:rPr>
        <w:t>决算数为</w:t>
      </w:r>
      <w:r>
        <w:rPr>
          <w:rStyle w:val="17"/>
          <w:rFonts w:hint="eastAsia" w:ascii="Times New Roman" w:hAnsi="Times New Roman" w:eastAsia="仿宋_GB2312" w:cs="仿宋_GB2312"/>
          <w:b w:val="0"/>
          <w:color w:val="auto"/>
          <w:sz w:val="32"/>
          <w:szCs w:val="32"/>
          <w:highlight w:val="none"/>
          <w:lang w:val="en-US" w:eastAsia="zh-CN"/>
        </w:rPr>
        <w:t>4.13</w:t>
      </w:r>
      <w:r>
        <w:rPr>
          <w:rStyle w:val="17"/>
          <w:rFonts w:hint="eastAsia" w:ascii="Times New Roman" w:hAnsi="Times New Roman" w:eastAsia="仿宋_GB2312" w:cs="仿宋_GB2312"/>
          <w:b w:val="0"/>
          <w:color w:val="auto"/>
          <w:sz w:val="32"/>
          <w:szCs w:val="32"/>
          <w:highlight w:val="none"/>
        </w:rPr>
        <w:t>万元，完成预算的100%</w:t>
      </w:r>
      <w:r>
        <w:rPr>
          <w:rStyle w:val="17"/>
          <w:rFonts w:hint="eastAsia" w:ascii="Times New Roman" w:hAnsi="Times New Roman" w:eastAsia="仿宋_GB2312" w:cs="仿宋_GB2312"/>
          <w:b w:val="0"/>
          <w:bCs w:val="0"/>
          <w:color w:val="auto"/>
          <w:sz w:val="32"/>
          <w:szCs w:val="32"/>
          <w:highlight w:val="none"/>
          <w:lang w:eastAsia="zh-CN"/>
        </w:rPr>
        <w:t>，</w:t>
      </w:r>
      <w:r>
        <w:rPr>
          <w:rStyle w:val="17"/>
          <w:rFonts w:hint="eastAsia" w:ascii="Times New Roman" w:hAnsi="Times New Roman" w:eastAsia="仿宋_GB2312" w:cs="仿宋_GB2312"/>
          <w:b w:val="0"/>
          <w:bCs w:val="0"/>
          <w:color w:val="auto"/>
          <w:sz w:val="32"/>
          <w:szCs w:val="32"/>
          <w:highlight w:val="none"/>
        </w:rPr>
        <w:t>决算数</w:t>
      </w:r>
      <w:r>
        <w:rPr>
          <w:rStyle w:val="17"/>
          <w:rFonts w:hint="eastAsia" w:ascii="Times New Roman" w:hAnsi="Times New Roman" w:eastAsia="仿宋_GB2312" w:cs="仿宋_GB2312"/>
          <w:b w:val="0"/>
          <w:bCs w:val="0"/>
          <w:color w:val="auto"/>
          <w:sz w:val="32"/>
          <w:szCs w:val="32"/>
          <w:highlight w:val="none"/>
          <w:lang w:val="en-US" w:eastAsia="zh-CN"/>
        </w:rPr>
        <w:t>与</w:t>
      </w:r>
      <w:r>
        <w:rPr>
          <w:rStyle w:val="17"/>
          <w:rFonts w:hint="eastAsia" w:ascii="Times New Roman" w:hAnsi="Times New Roman" w:eastAsia="仿宋_GB2312" w:cs="仿宋_GB2312"/>
          <w:b w:val="0"/>
          <w:bCs w:val="0"/>
          <w:color w:val="auto"/>
          <w:sz w:val="32"/>
          <w:szCs w:val="32"/>
          <w:highlight w:val="none"/>
        </w:rPr>
        <w:t>预算数</w:t>
      </w:r>
      <w:r>
        <w:rPr>
          <w:rStyle w:val="17"/>
          <w:rFonts w:hint="eastAsia" w:ascii="Times New Roman" w:hAnsi="Times New Roman" w:eastAsia="仿宋_GB2312" w:cs="仿宋_GB2312"/>
          <w:b w:val="0"/>
          <w:bCs w:val="0"/>
          <w:color w:val="auto"/>
          <w:sz w:val="32"/>
          <w:szCs w:val="32"/>
          <w:highlight w:val="none"/>
          <w:lang w:val="en-US" w:eastAsia="zh-CN"/>
        </w:rPr>
        <w:t>持平</w:t>
      </w:r>
      <w:r>
        <w:rPr>
          <w:rStyle w:val="17"/>
          <w:rFonts w:hint="eastAsia" w:ascii="Times New Roman" w:hAnsi="Times New Roman" w:eastAsia="仿宋_GB2312" w:cs="仿宋_GB2312"/>
          <w:b w:val="0"/>
          <w:bCs w:val="0"/>
          <w:color w:val="auto"/>
          <w:sz w:val="32"/>
          <w:szCs w:val="32"/>
          <w:highlight w:val="none"/>
          <w:lang w:eastAsia="zh-CN"/>
        </w:rPr>
        <w:t>。</w:t>
      </w:r>
    </w:p>
    <w:p w14:paraId="4D8BB00A">
      <w:pPr>
        <w:spacing w:line="600" w:lineRule="exact"/>
        <w:ind w:firstLine="643" w:firstLineChars="200"/>
        <w:rPr>
          <w:rFonts w:hint="eastAsia" w:ascii="Times New Roman" w:hAnsi="Times New Roman" w:eastAsia="仿宋_GB2312" w:cs="仿宋_GB2312"/>
          <w:color w:val="auto"/>
          <w:kern w:val="2"/>
          <w:sz w:val="32"/>
          <w:szCs w:val="32"/>
          <w:highlight w:val="none"/>
          <w:lang w:val="en-US" w:eastAsia="zh-CN" w:bidi="ar-SA"/>
        </w:rPr>
      </w:pPr>
      <w:r>
        <w:rPr>
          <w:rStyle w:val="18"/>
          <w:rFonts w:hint="eastAsia" w:ascii="仿宋" w:hAnsi="仿宋" w:eastAsia="仿宋" w:cs="Times New Roman"/>
          <w:bCs/>
          <w:sz w:val="32"/>
          <w:szCs w:val="32"/>
          <w:lang w:val="en-US" w:eastAsia="zh-CN"/>
        </w:rPr>
        <w:t>7.</w:t>
      </w:r>
      <w:r>
        <w:rPr>
          <w:rStyle w:val="18"/>
          <w:rFonts w:hint="eastAsia" w:ascii="仿宋" w:hAnsi="仿宋" w:eastAsia="仿宋" w:cs="Times New Roman"/>
          <w:bCs/>
          <w:sz w:val="32"/>
          <w:szCs w:val="32"/>
        </w:rPr>
        <w:t>住房保障支出（类）住房改革支出（款）住房公积金（项）</w:t>
      </w:r>
      <w:r>
        <w:rPr>
          <w:rStyle w:val="18"/>
          <w:rFonts w:hint="eastAsia" w:ascii="仿宋" w:hAnsi="仿宋" w:eastAsia="仿宋"/>
          <w:bCs/>
          <w:sz w:val="32"/>
          <w:szCs w:val="32"/>
        </w:rPr>
        <w:t>：</w:t>
      </w:r>
      <w:r>
        <w:rPr>
          <w:rStyle w:val="17"/>
          <w:rFonts w:hint="eastAsia" w:ascii="Times New Roman" w:hAnsi="Times New Roman" w:eastAsia="仿宋_GB2312" w:cs="仿宋_GB2312"/>
          <w:b w:val="0"/>
          <w:color w:val="auto"/>
          <w:sz w:val="32"/>
          <w:szCs w:val="32"/>
          <w:highlight w:val="none"/>
        </w:rPr>
        <w:t>决算数为5.6</w:t>
      </w:r>
      <w:r>
        <w:rPr>
          <w:rStyle w:val="17"/>
          <w:rFonts w:hint="eastAsia" w:ascii="Times New Roman" w:hAnsi="Times New Roman" w:eastAsia="仿宋_GB2312" w:cs="仿宋_GB2312"/>
          <w:b w:val="0"/>
          <w:color w:val="auto"/>
          <w:sz w:val="32"/>
          <w:szCs w:val="32"/>
          <w:highlight w:val="none"/>
          <w:lang w:val="en-US" w:eastAsia="zh-CN"/>
        </w:rPr>
        <w:t>9</w:t>
      </w:r>
      <w:r>
        <w:rPr>
          <w:rStyle w:val="17"/>
          <w:rFonts w:hint="eastAsia" w:ascii="Times New Roman" w:hAnsi="Times New Roman" w:eastAsia="仿宋_GB2312" w:cs="仿宋_GB2312"/>
          <w:b w:val="0"/>
          <w:color w:val="auto"/>
          <w:sz w:val="32"/>
          <w:szCs w:val="32"/>
          <w:highlight w:val="none"/>
        </w:rPr>
        <w:t>万元，完成预算的100%</w:t>
      </w:r>
      <w:r>
        <w:rPr>
          <w:rStyle w:val="17"/>
          <w:rFonts w:hint="eastAsia" w:ascii="Times New Roman" w:hAnsi="Times New Roman" w:eastAsia="仿宋_GB2312" w:cs="仿宋_GB2312"/>
          <w:b w:val="0"/>
          <w:bCs w:val="0"/>
          <w:color w:val="auto"/>
          <w:sz w:val="32"/>
          <w:szCs w:val="32"/>
          <w:highlight w:val="none"/>
          <w:lang w:eastAsia="zh-CN"/>
        </w:rPr>
        <w:t>，</w:t>
      </w:r>
      <w:r>
        <w:rPr>
          <w:rStyle w:val="17"/>
          <w:rFonts w:hint="eastAsia" w:ascii="Times New Roman" w:hAnsi="Times New Roman" w:eastAsia="仿宋_GB2312" w:cs="仿宋_GB2312"/>
          <w:b w:val="0"/>
          <w:bCs w:val="0"/>
          <w:color w:val="auto"/>
          <w:sz w:val="32"/>
          <w:szCs w:val="32"/>
          <w:highlight w:val="none"/>
        </w:rPr>
        <w:t>决算数</w:t>
      </w:r>
      <w:r>
        <w:rPr>
          <w:rStyle w:val="17"/>
          <w:rFonts w:hint="eastAsia" w:ascii="Times New Roman" w:hAnsi="Times New Roman" w:eastAsia="仿宋_GB2312" w:cs="仿宋_GB2312"/>
          <w:b w:val="0"/>
          <w:bCs w:val="0"/>
          <w:color w:val="auto"/>
          <w:sz w:val="32"/>
          <w:szCs w:val="32"/>
          <w:highlight w:val="none"/>
          <w:lang w:val="en-US" w:eastAsia="zh-CN"/>
        </w:rPr>
        <w:t>与</w:t>
      </w:r>
      <w:r>
        <w:rPr>
          <w:rStyle w:val="17"/>
          <w:rFonts w:hint="eastAsia" w:ascii="Times New Roman" w:hAnsi="Times New Roman" w:eastAsia="仿宋_GB2312" w:cs="仿宋_GB2312"/>
          <w:b w:val="0"/>
          <w:bCs w:val="0"/>
          <w:color w:val="auto"/>
          <w:sz w:val="32"/>
          <w:szCs w:val="32"/>
          <w:highlight w:val="none"/>
        </w:rPr>
        <w:t>预算数</w:t>
      </w:r>
      <w:r>
        <w:rPr>
          <w:rStyle w:val="17"/>
          <w:rFonts w:hint="eastAsia" w:ascii="Times New Roman" w:hAnsi="Times New Roman" w:eastAsia="仿宋_GB2312" w:cs="仿宋_GB2312"/>
          <w:b w:val="0"/>
          <w:bCs w:val="0"/>
          <w:color w:val="auto"/>
          <w:sz w:val="32"/>
          <w:szCs w:val="32"/>
          <w:highlight w:val="none"/>
          <w:lang w:val="en-US" w:eastAsia="zh-CN"/>
        </w:rPr>
        <w:t>持平</w:t>
      </w:r>
      <w:r>
        <w:rPr>
          <w:rStyle w:val="17"/>
          <w:rFonts w:hint="eastAsia" w:ascii="Times New Roman" w:hAnsi="Times New Roman" w:eastAsia="仿宋_GB2312" w:cs="仿宋_GB2312"/>
          <w:b w:val="0"/>
          <w:bCs w:val="0"/>
          <w:color w:val="auto"/>
          <w:sz w:val="32"/>
          <w:szCs w:val="32"/>
          <w:highlight w:val="none"/>
          <w:lang w:eastAsia="zh-CN"/>
        </w:rPr>
        <w:t>。</w:t>
      </w:r>
    </w:p>
    <w:p w14:paraId="364C75E9">
      <w:pPr>
        <w:tabs>
          <w:tab w:val="right" w:pos="8306"/>
        </w:tabs>
        <w:spacing w:line="600" w:lineRule="exact"/>
        <w:ind w:firstLine="640"/>
        <w:outlineLvl w:val="1"/>
        <w:rPr>
          <w:rStyle w:val="31"/>
          <w:rFonts w:ascii="Times New Roman" w:hAnsi="Times New Roman"/>
          <w:color w:val="auto"/>
          <w:highlight w:val="none"/>
        </w:rPr>
      </w:pPr>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般公共预算财政拨款基本支出决算情况说明</w:t>
      </w:r>
      <w:r>
        <w:rPr>
          <w:rStyle w:val="31"/>
          <w:rFonts w:ascii="Times New Roman" w:hAnsi="Times New Roman" w:eastAsia="黑体"/>
          <w:b w:val="0"/>
          <w:color w:val="auto"/>
          <w:highlight w:val="none"/>
        </w:rPr>
        <w:tab/>
      </w:r>
    </w:p>
    <w:p w14:paraId="11CE940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eastAsia="仿宋_GB2312" w:cs="仿宋_GB2312"/>
          <w:color w:val="auto"/>
          <w:kern w:val="2"/>
          <w:sz w:val="32"/>
          <w:szCs w:val="32"/>
          <w:highlight w:val="none"/>
          <w:lang w:val="en-US" w:eastAsia="zh-CN" w:bidi="ar-SA"/>
        </w:rPr>
        <w:t>96.55</w:t>
      </w:r>
      <w:r>
        <w:rPr>
          <w:rFonts w:hint="eastAsia" w:ascii="Times New Roman" w:hAnsi="Times New Roman" w:eastAsia="仿宋_GB2312" w:cs="仿宋_GB2312"/>
          <w:color w:val="auto"/>
          <w:kern w:val="2"/>
          <w:sz w:val="32"/>
          <w:szCs w:val="32"/>
          <w:highlight w:val="none"/>
          <w:lang w:val="en-US" w:eastAsia="zh-CN" w:bidi="ar-SA"/>
        </w:rPr>
        <w:t>万元，其中：</w:t>
      </w:r>
    </w:p>
    <w:p w14:paraId="12BB4C0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eastAsia="仿宋_GB2312" w:cs="仿宋_GB2312"/>
          <w:color w:val="auto"/>
          <w:kern w:val="2"/>
          <w:sz w:val="32"/>
          <w:szCs w:val="32"/>
          <w:highlight w:val="none"/>
          <w:lang w:val="en-US" w:eastAsia="zh-CN" w:bidi="ar-SA"/>
        </w:rPr>
        <w:t>89.63</w:t>
      </w:r>
      <w:r>
        <w:rPr>
          <w:rFonts w:hint="eastAsia" w:ascii="Times New Roman" w:hAnsi="Times New Roman" w:eastAsia="仿宋_GB2312" w:cs="仿宋_GB2312"/>
          <w:color w:val="auto"/>
          <w:kern w:val="2"/>
          <w:sz w:val="32"/>
          <w:szCs w:val="32"/>
          <w:highlight w:val="none"/>
          <w:lang w:val="en-US" w:eastAsia="zh-CN" w:bidi="ar-SA"/>
        </w:rPr>
        <w:t>万元，主要包括：基本工资、津贴补贴、奖金、伙食补助费、绩效工资、机关事业单位基本养老保险缴费、职业年金缴费、其他社会保障缴费、其他工资福利支出、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eastAsia="仿宋_GB2312" w:cs="仿宋_GB2312"/>
          <w:color w:val="auto"/>
          <w:kern w:val="2"/>
          <w:sz w:val="32"/>
          <w:szCs w:val="32"/>
          <w:highlight w:val="none"/>
          <w:lang w:val="en-US" w:eastAsia="zh-CN" w:bidi="ar-SA"/>
        </w:rPr>
        <w:t>6.92</w:t>
      </w:r>
      <w:r>
        <w:rPr>
          <w:rFonts w:hint="eastAsia" w:ascii="Times New Roman" w:hAnsi="Times New Roman" w:eastAsia="仿宋_GB2312" w:cs="仿宋_GB2312"/>
          <w:color w:val="auto"/>
          <w:kern w:val="2"/>
          <w:sz w:val="32"/>
          <w:szCs w:val="32"/>
          <w:highlight w:val="none"/>
          <w:lang w:val="en-US" w:eastAsia="zh-CN" w:bidi="ar-SA"/>
        </w:rPr>
        <w:t>万元，主要包括：办公费、印刷费、咨询费、手续费、水费、电费、邮电费、物业管理费、差旅费、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4CD1E159">
      <w:pPr>
        <w:numPr>
          <w:ilvl w:val="0"/>
          <w:numId w:val="0"/>
        </w:numPr>
        <w:spacing w:line="600" w:lineRule="exact"/>
        <w:ind w:left="630" w:leftChars="0"/>
        <w:outlineLvl w:val="1"/>
        <w:rPr>
          <w:rStyle w:val="31"/>
          <w:rFonts w:hint="eastAsia" w:ascii="Times New Roman" w:hAnsi="Times New Roman" w:eastAsia="黑体"/>
          <w:b w:val="0"/>
          <w:color w:val="auto"/>
          <w:highlight w:val="none"/>
          <w:lang w:eastAsia="zh-CN"/>
        </w:rPr>
      </w:pPr>
    </w:p>
    <w:p w14:paraId="2DD1FD82">
      <w:pPr>
        <w:spacing w:line="600" w:lineRule="exact"/>
        <w:ind w:firstLine="640"/>
        <w:outlineLvl w:val="1"/>
        <w:rPr>
          <w:rStyle w:val="31"/>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七、</w:t>
      </w:r>
      <w:r>
        <w:rPr>
          <w:rStyle w:val="31"/>
          <w:rFonts w:hint="eastAsia" w:ascii="Times New Roman" w:hAnsi="Times New Roman" w:eastAsia="黑体"/>
          <w:b w:val="0"/>
          <w:color w:val="auto"/>
          <w:highlight w:val="none"/>
        </w:rPr>
        <w:t>财政拨款</w:t>
      </w:r>
      <w:r>
        <w:rPr>
          <w:rStyle w:val="31"/>
          <w:rFonts w:hint="eastAsia" w:ascii="Times New Roman" w:hAnsi="Times New Roman" w:eastAsia="黑体"/>
          <w:color w:val="auto"/>
          <w:highlight w:val="none"/>
        </w:rPr>
        <w:t>“</w:t>
      </w:r>
      <w:r>
        <w:rPr>
          <w:rStyle w:val="31"/>
          <w:rFonts w:hint="eastAsia" w:ascii="Times New Roman" w:hAnsi="Times New Roman" w:eastAsia="黑体"/>
          <w:b w:val="0"/>
          <w:color w:val="auto"/>
          <w:highlight w:val="none"/>
        </w:rPr>
        <w:t>三公”经费支出决算情况说明</w:t>
      </w:r>
    </w:p>
    <w:p w14:paraId="2223992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（一）“三公”经费财政拨款支出决算总体情况说明</w:t>
      </w:r>
    </w:p>
    <w:p w14:paraId="58888BC4">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上年度</w:t>
      </w:r>
      <w:r>
        <w:rPr>
          <w:rFonts w:hint="eastAsia" w:eastAsia="仿宋_GB2312" w:cs="仿宋_GB2312"/>
          <w:color w:val="auto"/>
          <w:kern w:val="2"/>
          <w:sz w:val="32"/>
          <w:szCs w:val="32"/>
          <w:highlight w:val="none"/>
          <w:lang w:val="en-US" w:eastAsia="zh-CN" w:bidi="ar-SA"/>
        </w:rPr>
        <w:t>持平。</w:t>
      </w:r>
    </w:p>
    <w:p w14:paraId="0A8AF55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（二）“三公”经费财政拨款支出决算具体情况说明</w:t>
      </w:r>
    </w:p>
    <w:p w14:paraId="3FC3A8D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2024年度“三公”经费财政拨款支出决算中，因公出国（境）费支出决算</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%；公务接待费支出决算</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%。具体情况如下：</w:t>
      </w:r>
    </w:p>
    <w:p w14:paraId="7C636E81">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完成预算100%。</w:t>
      </w:r>
      <w:r>
        <w:rPr>
          <w:rFonts w:hint="eastAsia" w:ascii="Times New Roman" w:hAnsi="Times New Roman" w:eastAsia="仿宋_GB2312" w:cs="仿宋_GB2312"/>
          <w:color w:val="auto"/>
          <w:kern w:val="2"/>
          <w:sz w:val="32"/>
          <w:szCs w:val="32"/>
          <w:highlight w:val="none"/>
          <w:lang w:val="en-US" w:eastAsia="zh-CN" w:bidi="ar-SA"/>
        </w:rPr>
        <w:t>全年安排因公出国（境）团组</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人。因公出国（境）支出决算与2023年</w:t>
      </w:r>
      <w:r>
        <w:rPr>
          <w:rFonts w:hint="eastAsia" w:eastAsia="仿宋_GB2312" w:cs="仿宋_GB2312"/>
          <w:color w:val="auto"/>
          <w:kern w:val="2"/>
          <w:sz w:val="32"/>
          <w:szCs w:val="32"/>
          <w:highlight w:val="none"/>
          <w:lang w:val="en-US" w:eastAsia="zh-CN" w:bidi="ar-SA"/>
        </w:rPr>
        <w:t>持平。</w:t>
      </w:r>
    </w:p>
    <w:p w14:paraId="70926F14">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公务用车购置及运行维护费支出决算与2023年度</w:t>
      </w:r>
      <w:r>
        <w:rPr>
          <w:rFonts w:hint="eastAsia" w:eastAsia="仿宋_GB2312" w:cs="仿宋_GB2312"/>
          <w:color w:val="auto"/>
          <w:kern w:val="2"/>
          <w:sz w:val="32"/>
          <w:szCs w:val="32"/>
          <w:highlight w:val="none"/>
          <w:lang w:val="en-US" w:eastAsia="zh-CN" w:bidi="ar-SA"/>
        </w:rPr>
        <w:t>持平。</w:t>
      </w:r>
    </w:p>
    <w:p w14:paraId="1E3CF70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2FB51CA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公务用车运行维护费支出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w:t>
      </w:r>
    </w:p>
    <w:p w14:paraId="5053EDB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公务接待费支出决算与2023年度</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其中：</w:t>
      </w:r>
    </w:p>
    <w:p w14:paraId="33D9B43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国内公务接待支出0万元。国内公务接待0批次，0人次（不包括陪同人员），共计支出0万元。</w:t>
      </w:r>
    </w:p>
    <w:p w14:paraId="3BA90D3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外事接待支出0万元。外事接待0批次，0人次（不包括陪同人员），共计支出0万元。</w:t>
      </w:r>
    </w:p>
    <w:p w14:paraId="5668F85D">
      <w:pPr>
        <w:spacing w:line="600" w:lineRule="exact"/>
        <w:ind w:firstLine="0"/>
        <w:rPr>
          <w:rFonts w:hint="eastAsia" w:ascii="Times New Roman" w:hAnsi="Times New Roman" w:eastAsia="仿宋_GB2312" w:cs="仿宋_GB2312"/>
          <w:color w:val="auto"/>
          <w:kern w:val="2"/>
          <w:sz w:val="32"/>
          <w:szCs w:val="32"/>
          <w:highlight w:val="none"/>
          <w:lang w:val="en-US" w:eastAsia="zh-CN" w:bidi="ar-SA"/>
        </w:rPr>
      </w:pPr>
    </w:p>
    <w:p w14:paraId="795B8F2F">
      <w:pPr>
        <w:spacing w:line="600" w:lineRule="exact"/>
        <w:ind w:firstLine="640"/>
        <w:outlineLvl w:val="1"/>
        <w:rPr>
          <w:rStyle w:val="31"/>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1"/>
          <w:rFonts w:hint="eastAsia" w:ascii="Times New Roman" w:hAnsi="Times New Roman" w:eastAsia="黑体"/>
          <w:b w:val="0"/>
          <w:color w:val="auto"/>
          <w:highlight w:val="none"/>
        </w:rPr>
        <w:t>政府性基金预算支出决算情况说明</w:t>
      </w:r>
    </w:p>
    <w:p w14:paraId="13775C32">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2024年度政府性基金预算财政拨款支出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万元，占本年支出合计的</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%。与2023年度</w:t>
      </w:r>
      <w:r>
        <w:rPr>
          <w:rFonts w:hint="eastAsia" w:eastAsia="仿宋_GB2312" w:cs="仿宋_GB2312"/>
          <w:color w:val="auto"/>
          <w:kern w:val="2"/>
          <w:sz w:val="32"/>
          <w:szCs w:val="32"/>
          <w:highlight w:val="none"/>
          <w:lang w:val="en-US" w:eastAsia="zh-CN" w:bidi="ar-SA"/>
        </w:rPr>
        <w:t>持平。</w:t>
      </w:r>
    </w:p>
    <w:p w14:paraId="7A4AEA58">
      <w:pPr>
        <w:numPr>
          <w:ilvl w:val="0"/>
          <w:numId w:val="0"/>
        </w:numPr>
        <w:spacing w:line="600" w:lineRule="exact"/>
        <w:ind w:left="630" w:leftChars="0"/>
        <w:outlineLvl w:val="1"/>
        <w:rPr>
          <w:rStyle w:val="31"/>
          <w:rFonts w:hint="eastAsia" w:ascii="Times New Roman" w:hAnsi="Times New Roman" w:eastAsia="黑体"/>
          <w:b w:val="0"/>
          <w:color w:val="auto"/>
          <w:highlight w:val="none"/>
          <w:lang w:eastAsia="zh-CN"/>
        </w:rPr>
      </w:pPr>
    </w:p>
    <w:p w14:paraId="463FE711">
      <w:pPr>
        <w:numPr>
          <w:ilvl w:val="0"/>
          <w:numId w:val="0"/>
        </w:numPr>
        <w:spacing w:line="600" w:lineRule="exact"/>
        <w:ind w:left="630" w:leftChars="0"/>
        <w:outlineLvl w:val="1"/>
        <w:rPr>
          <w:rStyle w:val="31"/>
          <w:rFonts w:ascii="Times New Roman" w:hAnsi="Times New Roman" w:eastAsia="黑体"/>
          <w:b w:val="0"/>
          <w:color w:val="auto"/>
          <w:highlight w:val="none"/>
        </w:rPr>
      </w:pPr>
      <w:r>
        <w:rPr>
          <w:rStyle w:val="31"/>
          <w:rFonts w:hint="eastAsia" w:ascii="Times New Roman" w:hAnsi="Times New Roman" w:eastAsia="黑体"/>
          <w:b w:val="0"/>
          <w:color w:val="auto"/>
          <w:highlight w:val="none"/>
          <w:lang w:eastAsia="zh-CN"/>
        </w:rPr>
        <w:t>九、</w:t>
      </w:r>
      <w:r>
        <w:rPr>
          <w:rStyle w:val="31"/>
          <w:rFonts w:hint="eastAsia" w:ascii="Times New Roman" w:hAnsi="Times New Roman" w:eastAsia="黑体"/>
          <w:b w:val="0"/>
          <w:color w:val="auto"/>
          <w:highlight w:val="none"/>
        </w:rPr>
        <w:t>国有资本经营预算支出决算情况说明</w:t>
      </w:r>
    </w:p>
    <w:p w14:paraId="062CABD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万元，占本年支出合计的</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%。与2023年度</w:t>
      </w:r>
      <w:r>
        <w:rPr>
          <w:rFonts w:hint="eastAsia" w:eastAsia="仿宋_GB2312" w:cs="仿宋_GB2312"/>
          <w:color w:val="auto"/>
          <w:kern w:val="2"/>
          <w:sz w:val="32"/>
          <w:szCs w:val="32"/>
          <w:highlight w:val="none"/>
          <w:lang w:val="en-US" w:eastAsia="zh-CN" w:bidi="ar-SA"/>
        </w:rPr>
        <w:t>持平。</w:t>
      </w:r>
    </w:p>
    <w:p w14:paraId="24195A5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ECAB31C">
      <w:pPr>
        <w:numPr>
          <w:ilvl w:val="0"/>
          <w:numId w:val="0"/>
        </w:numPr>
        <w:spacing w:line="600" w:lineRule="exact"/>
        <w:ind w:left="630" w:leftChars="0"/>
        <w:outlineLvl w:val="1"/>
        <w:rPr>
          <w:rStyle w:val="31"/>
          <w:rFonts w:hint="eastAsia" w:ascii="Times New Roman" w:hAnsi="Times New Roman" w:eastAsia="黑体"/>
          <w:b w:val="0"/>
          <w:color w:val="auto"/>
          <w:highlight w:val="none"/>
        </w:rPr>
      </w:pPr>
      <w:r>
        <w:rPr>
          <w:rStyle w:val="31"/>
          <w:rFonts w:hint="eastAsia" w:ascii="Times New Roman" w:hAnsi="Times New Roman" w:eastAsia="黑体"/>
          <w:b w:val="0"/>
          <w:color w:val="auto"/>
          <w:highlight w:val="none"/>
          <w:lang w:eastAsia="zh-CN"/>
        </w:rPr>
        <w:t>十、</w:t>
      </w:r>
      <w:r>
        <w:rPr>
          <w:rStyle w:val="31"/>
          <w:rFonts w:hint="eastAsia" w:ascii="Times New Roman" w:hAnsi="Times New Roman" w:eastAsia="黑体"/>
          <w:b w:val="0"/>
          <w:color w:val="auto"/>
          <w:highlight w:val="none"/>
        </w:rPr>
        <w:t>其他重要事项的情况说明</w:t>
      </w:r>
    </w:p>
    <w:p w14:paraId="4ABC624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（一）机关运行经费支出情况</w:t>
      </w:r>
    </w:p>
    <w:p w14:paraId="0CE80A55">
      <w:pPr>
        <w:spacing w:line="600" w:lineRule="exact"/>
        <w:ind w:firstLine="640" w:firstLineChars="0"/>
        <w:rPr>
          <w:rFonts w:hint="eastAsia" w:ascii="仿宋_GB2312" w:eastAsia="仿宋_GB2312"/>
          <w:sz w:val="32"/>
          <w:szCs w:val="32"/>
        </w:rPr>
      </w:pPr>
      <w:r>
        <w:rPr>
          <w:rFonts w:hint="eastAsia" w:ascii="Times New Roman" w:hAnsi="Times New Roman" w:eastAsia="仿宋_GB2312" w:cs="仿宋_GB2312"/>
          <w:color w:val="auto"/>
          <w:kern w:val="2"/>
          <w:sz w:val="32"/>
          <w:szCs w:val="32"/>
          <w:highlight w:val="none"/>
          <w:lang w:val="en-US" w:eastAsia="zh-CN" w:bidi="ar-SA"/>
        </w:rPr>
        <w:t>2024年度，机关运行经费支出0万元，与2023年度决算数持平。主要原因是本</w:t>
      </w:r>
      <w:r>
        <w:rPr>
          <w:rFonts w:hint="eastAsia" w:ascii="仿宋_GB2312" w:eastAsia="仿宋_GB2312"/>
          <w:sz w:val="32"/>
          <w:szCs w:val="32"/>
        </w:rPr>
        <w:t>单位为全额拨款事业单位，所以没有此项经费。</w:t>
      </w:r>
    </w:p>
    <w:p w14:paraId="25CB8FD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5B36DC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（二）政府采购支出情况</w:t>
      </w:r>
    </w:p>
    <w:p w14:paraId="41DD861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Times New Roman" w:eastAsia="仿宋_GB2312" w:cs="仿宋_GB2312"/>
          <w:color w:val="auto"/>
          <w:sz w:val="32"/>
          <w:szCs w:val="32"/>
          <w:highlight w:val="none"/>
        </w:rPr>
        <w:t>单位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2203BEA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44ED53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（三）国有资产占有使用情况</w:t>
      </w:r>
    </w:p>
    <w:p w14:paraId="16949FA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截至202</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年12月31日，</w:t>
      </w:r>
      <w:r>
        <w:rPr>
          <w:rFonts w:hint="eastAsia" w:ascii="Times New Roman" w:eastAsia="仿宋_GB2312" w:cs="仿宋_GB2312"/>
          <w:color w:val="auto"/>
          <w:sz w:val="32"/>
          <w:szCs w:val="32"/>
          <w:highlight w:val="none"/>
        </w:rPr>
        <w:t>共有车辆0辆，其中：</w:t>
      </w:r>
      <w:r>
        <w:rPr>
          <w:rFonts w:hint="eastAsia" w:ascii="Times New Roman" w:hAnsi="Times New Roman" w:eastAsia="仿宋_GB2312" w:cs="仿宋_GB2312"/>
          <w:color w:val="auto"/>
          <w:kern w:val="2"/>
          <w:sz w:val="32"/>
          <w:szCs w:val="32"/>
          <w:highlight w:val="none"/>
          <w:lang w:val="en-US" w:eastAsia="zh-CN" w:bidi="ar-SA"/>
        </w:rPr>
        <w:t>主要</w:t>
      </w:r>
      <w:r>
        <w:rPr>
          <w:rFonts w:hint="eastAsia" w:eastAsia="仿宋_GB2312" w:cs="仿宋_GB2312"/>
          <w:color w:val="auto"/>
          <w:kern w:val="2"/>
          <w:sz w:val="32"/>
          <w:szCs w:val="32"/>
          <w:highlight w:val="none"/>
          <w:lang w:val="en-US" w:eastAsia="zh-CN" w:bidi="ar-SA"/>
        </w:rPr>
        <w:t>负责人</w:t>
      </w:r>
      <w:r>
        <w:rPr>
          <w:rFonts w:hint="eastAsia" w:ascii="Times New Roman" w:hAnsi="Times New Roman" w:eastAsia="仿宋_GB2312" w:cs="仿宋_GB2312"/>
          <w:color w:val="auto"/>
          <w:kern w:val="2"/>
          <w:sz w:val="32"/>
          <w:szCs w:val="32"/>
          <w:highlight w:val="none"/>
          <w:lang w:val="en-US" w:eastAsia="zh-CN" w:bidi="ar-SA"/>
        </w:rPr>
        <w:t>用车</w:t>
      </w:r>
      <w:r>
        <w:rPr>
          <w:rFonts w:hint="eastAsia" w:ascii="Times New Roman" w:eastAsia="仿宋_GB2312" w:cs="仿宋_GB2312"/>
          <w:color w:val="auto"/>
          <w:sz w:val="32"/>
          <w:szCs w:val="32"/>
          <w:highlight w:val="none"/>
        </w:rPr>
        <w:t>0辆、机要通信用车0辆、应急保障用车0辆、其他用车0辆。单价100万元以上设备（不含车辆）0台（套）。</w:t>
      </w:r>
    </w:p>
    <w:p w14:paraId="4CDD00B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6FC8C39E">
      <w:pPr>
        <w:spacing w:line="600" w:lineRule="exact"/>
        <w:ind w:firstLine="640" w:firstLineChars="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本部门</w:t>
      </w:r>
      <w:r>
        <w:rPr>
          <w:rFonts w:hint="eastAsia" w:ascii="Times New Roman" w:hAnsi="Times New Roman" w:eastAsia="仿宋_GB2312" w:cs="仿宋_GB2312"/>
          <w:color w:val="auto"/>
          <w:kern w:val="2"/>
          <w:sz w:val="32"/>
          <w:szCs w:val="32"/>
          <w:highlight w:val="none"/>
          <w:lang w:val="en-US" w:eastAsia="zh-CN" w:bidi="ar-SA"/>
        </w:rPr>
        <w:t>在2024</w:t>
      </w:r>
      <w:r>
        <w:rPr>
          <w:rFonts w:hint="eastAsia" w:ascii="Times New Roman" w:hAnsi="Times New Roman" w:eastAsia="仿宋_GB2312" w:cs="仿宋_GB2312"/>
          <w:color w:val="auto"/>
          <w:sz w:val="32"/>
          <w:szCs w:val="32"/>
          <w:highlight w:val="none"/>
        </w:rPr>
        <w:t>年度预算编制阶段，组织对</w:t>
      </w:r>
      <w:r>
        <w:rPr>
          <w:rFonts w:hint="eastAsia" w:ascii="Times New Roman" w:hAnsi="Times New Roman" w:eastAsia="仿宋_GB2312" w:cs="仿宋_GB2312"/>
          <w:bCs w:val="0"/>
          <w:color w:val="auto"/>
          <w:kern w:val="2"/>
          <w:sz w:val="32"/>
          <w:szCs w:val="32"/>
          <w:highlight w:val="none"/>
          <w:lang w:val="en-US" w:eastAsia="zh-CN" w:bidi="ar-SA"/>
        </w:rPr>
        <w:t>安居区社会福利服务中心日常运行经费</w:t>
      </w:r>
      <w:r>
        <w:rPr>
          <w:rFonts w:hint="eastAsia" w:ascii="Times New Roman" w:hAnsi="Times New Roman" w:eastAsia="仿宋_GB2312" w:cs="仿宋_GB2312"/>
          <w:color w:val="auto"/>
          <w:sz w:val="32"/>
          <w:szCs w:val="32"/>
          <w:highlight w:val="none"/>
        </w:rPr>
        <w:t>等1个项目</w:t>
      </w:r>
      <w:r>
        <w:rPr>
          <w:rFonts w:hint="eastAsia" w:ascii="Times New Roman" w:hAnsi="Times New Roman" w:eastAsia="仿宋_GB2312" w:cs="仿宋_GB2312"/>
          <w:color w:val="auto"/>
          <w:kern w:val="2"/>
          <w:sz w:val="32"/>
          <w:szCs w:val="32"/>
          <w:highlight w:val="none"/>
          <w:lang w:val="en-US" w:eastAsia="zh-CN" w:bidi="ar-SA"/>
        </w:rPr>
        <w:t>开展了预算事前绩效评估</w:t>
      </w:r>
      <w:r>
        <w:rPr>
          <w:rFonts w:hint="eastAsia" w:ascii="Times New Roman" w:hAnsi="Times New Roman" w:eastAsia="仿宋_GB2312" w:cs="仿宋_GB2312"/>
          <w:color w:val="auto"/>
          <w:sz w:val="32"/>
          <w:szCs w:val="32"/>
          <w:highlight w:val="none"/>
        </w:rPr>
        <w:t>，对1个项目编制了绩效目标，预算执行过程中，选取1个项目开展绩效监控。</w:t>
      </w:r>
    </w:p>
    <w:p w14:paraId="7800EFB8">
      <w:pPr>
        <w:widowControl/>
        <w:adjustRightInd/>
        <w:snapToGrid/>
        <w:spacing w:line="600" w:lineRule="exact"/>
        <w:ind w:firstLine="640" w:firstLineChars="0"/>
        <w:contextualSpacing w:val="0"/>
        <w:jc w:val="left"/>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组织</w:t>
      </w:r>
      <w:r>
        <w:rPr>
          <w:rFonts w:hint="eastAsia" w:ascii="Times New Roman" w:hAnsi="Times New Roman" w:eastAsia="仿宋_GB2312" w:cs="仿宋_GB2312"/>
          <w:color w:val="auto"/>
          <w:sz w:val="32"/>
          <w:szCs w:val="32"/>
          <w:highlight w:val="none"/>
        </w:rPr>
        <w:t>对</w:t>
      </w:r>
      <w:r>
        <w:rPr>
          <w:rFonts w:hint="eastAsia" w:ascii="Times New Roman" w:hAnsi="Times New Roman" w:eastAsia="仿宋_GB2312" w:cs="仿宋_GB2312"/>
          <w:color w:val="auto"/>
          <w:sz w:val="32"/>
          <w:szCs w:val="32"/>
          <w:highlight w:val="none"/>
          <w:lang w:val="en-US" w:eastAsia="zh-CN"/>
        </w:rPr>
        <w:t>2024年度一般公共预算、</w:t>
      </w:r>
      <w:r>
        <w:rPr>
          <w:rFonts w:hint="eastAsia" w:ascii="Times New Roman" w:hAnsi="Times New Roman" w:eastAsia="仿宋_GB2312" w:cs="仿宋_GB2312"/>
          <w:color w:val="auto"/>
          <w:sz w:val="32"/>
          <w:szCs w:val="32"/>
          <w:highlight w:val="none"/>
          <w:lang w:eastAsia="zh-CN"/>
        </w:rPr>
        <w:t>政府性基金预算、国有资本经营预算、社会保险基金预算以及资本资产、债券资金等</w:t>
      </w:r>
      <w:r>
        <w:rPr>
          <w:rFonts w:hint="eastAsia" w:ascii="Times New Roman" w:hAnsi="Times New Roman" w:eastAsia="仿宋_GB2312" w:cs="仿宋_GB2312"/>
          <w:color w:val="auto"/>
          <w:sz w:val="32"/>
          <w:szCs w:val="32"/>
          <w:highlight w:val="none"/>
          <w:lang w:val="en-US" w:eastAsia="zh-CN"/>
        </w:rPr>
        <w:t>全面开展绩效自评，形成</w:t>
      </w:r>
      <w:r>
        <w:rPr>
          <w:rFonts w:hint="eastAsia" w:ascii="Times New Roman" w:eastAsia="仿宋_GB2312" w:cs="仿宋_GB2312"/>
          <w:color w:val="auto"/>
          <w:sz w:val="32"/>
          <w:szCs w:val="32"/>
          <w:highlight w:val="none"/>
        </w:rPr>
        <w:t>遂宁市安居区社会福利服务中心整体（含部门预算项目）绩效自评报告</w:t>
      </w:r>
      <w:r>
        <w:rPr>
          <w:rFonts w:hint="eastAsia" w:ascii="Times New Roman" w:hAnsi="Times New Roman" w:eastAsia="仿宋_GB2312" w:cs="仿宋_GB2312"/>
          <w:color w:val="auto"/>
          <w:sz w:val="32"/>
          <w:szCs w:val="32"/>
          <w:highlight w:val="none"/>
          <w:lang w:eastAsia="zh-CN"/>
        </w:rPr>
        <w:t>、</w:t>
      </w:r>
      <w:r>
        <w:rPr>
          <w:rFonts w:hint="eastAsia" w:ascii="Times New Roman" w:eastAsia="仿宋_GB2312" w:cs="仿宋_GB2312"/>
          <w:color w:val="auto"/>
          <w:sz w:val="32"/>
          <w:szCs w:val="32"/>
          <w:highlight w:val="none"/>
        </w:rPr>
        <w:t>遂宁市安居区社会福利服务中心专项预算项目绩效自评报告</w:t>
      </w:r>
      <w:r>
        <w:rPr>
          <w:rFonts w:hint="eastAsia"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其中，</w:t>
      </w:r>
      <w:bookmarkStart w:id="9" w:name="_Hlk143251112"/>
      <w:r>
        <w:rPr>
          <w:rFonts w:hint="eastAsia" w:ascii="Times New Roman" w:eastAsia="仿宋_GB2312" w:cs="仿宋_GB2312"/>
          <w:color w:val="auto"/>
          <w:sz w:val="32"/>
          <w:szCs w:val="32"/>
          <w:highlight w:val="none"/>
        </w:rPr>
        <w:t>遂宁市安居区社会福利服务中心</w:t>
      </w:r>
      <w:bookmarkEnd w:id="9"/>
      <w:r>
        <w:rPr>
          <w:rFonts w:hint="eastAsia" w:ascii="Times New Roman" w:eastAsia="仿宋_GB2312" w:cs="仿宋_GB2312"/>
          <w:color w:val="auto"/>
          <w:sz w:val="32"/>
          <w:szCs w:val="32"/>
          <w:highlight w:val="none"/>
        </w:rPr>
        <w:t>整体（含部门预算项目）绩效自评得分为</w:t>
      </w:r>
      <w:r>
        <w:rPr>
          <w:rFonts w:hint="eastAsia" w:ascii="Times New Roman" w:eastAsia="仿宋_GB2312" w:cs="仿宋_GB2312"/>
          <w:color w:val="auto"/>
          <w:sz w:val="32"/>
          <w:szCs w:val="32"/>
          <w:highlight w:val="none"/>
          <w:lang w:val="en-US" w:eastAsia="zh-CN"/>
        </w:rPr>
        <w:t>9</w:t>
      </w:r>
      <w:r>
        <w:rPr>
          <w:rFonts w:hint="eastAsia" w:eastAsia="仿宋_GB2312" w:cs="仿宋_GB2312"/>
          <w:color w:val="auto"/>
          <w:sz w:val="32"/>
          <w:szCs w:val="32"/>
          <w:highlight w:val="none"/>
          <w:lang w:val="en-US" w:eastAsia="zh-CN"/>
        </w:rPr>
        <w:t>3.98</w:t>
      </w:r>
      <w:r>
        <w:rPr>
          <w:rFonts w:hint="eastAsia" w:ascii="Times New Roman" w:hAnsi="Times New Roman" w:eastAsia="仿宋_GB2312" w:cs="仿宋_GB2312"/>
          <w:color w:val="auto"/>
          <w:sz w:val="32"/>
          <w:szCs w:val="32"/>
          <w:highlight w:val="none"/>
          <w:lang w:val="en-US" w:eastAsia="zh-CN"/>
        </w:rPr>
        <w:t>分，</w:t>
      </w:r>
      <w:r>
        <w:rPr>
          <w:rFonts w:hint="eastAsia" w:ascii="Times New Roman" w:hAnsi="Times New Roman" w:eastAsia="仿宋_GB2312" w:cs="仿宋_GB2312"/>
          <w:b w:val="0"/>
          <w:bCs w:val="0"/>
          <w:i w:val="0"/>
          <w:iCs w:val="0"/>
          <w:color w:val="auto"/>
          <w:sz w:val="32"/>
          <w:szCs w:val="32"/>
          <w:highlight w:val="none"/>
          <w:lang w:val="en-US" w:eastAsia="zh-CN"/>
        </w:rPr>
        <w:t>绩效自</w:t>
      </w:r>
      <w:r>
        <w:rPr>
          <w:rFonts w:hint="eastAsia" w:ascii="Times New Roman" w:eastAsia="仿宋_GB2312" w:cs="仿宋_GB2312"/>
          <w:color w:val="auto"/>
          <w:sz w:val="32"/>
          <w:szCs w:val="32"/>
          <w:highlight w:val="none"/>
          <w:lang w:val="en-US" w:eastAsia="zh-CN"/>
        </w:rPr>
        <w:t>评综述</w:t>
      </w:r>
      <w:r>
        <w:rPr>
          <w:rFonts w:hint="eastAsia" w:ascii="Times New Roman" w:hAnsi="Times New Roman" w:eastAsia="仿宋_GB2312" w:cs="仿宋_GB2312"/>
          <w:b w:val="0"/>
          <w:bCs w:val="0"/>
          <w:i w:val="0"/>
          <w:iCs w:val="0"/>
          <w:color w:val="auto"/>
          <w:sz w:val="32"/>
          <w:szCs w:val="32"/>
          <w:highlight w:val="none"/>
          <w:lang w:val="en-US" w:eastAsia="zh-CN"/>
        </w:rPr>
        <w:t>：</w:t>
      </w:r>
      <w:r>
        <w:rPr>
          <w:rFonts w:hint="eastAsia" w:ascii="Times New Roman" w:hAnsi="Times New Roman" w:eastAsia="仿宋_GB2312" w:cs="仿宋_GB2312"/>
          <w:color w:val="auto"/>
          <w:kern w:val="2"/>
          <w:sz w:val="32"/>
          <w:szCs w:val="32"/>
          <w:highlight w:val="none"/>
        </w:rPr>
        <w:t>本部门202</w:t>
      </w:r>
      <w:r>
        <w:rPr>
          <w:rFonts w:hint="eastAsia" w:ascii="Times New Roman" w:hAnsi="Times New Roman" w:eastAsia="仿宋_GB2312" w:cs="仿宋_GB2312"/>
          <w:color w:val="auto"/>
          <w:kern w:val="2"/>
          <w:sz w:val="32"/>
          <w:szCs w:val="32"/>
          <w:highlight w:val="none"/>
          <w:lang w:val="en-US" w:eastAsia="zh-CN"/>
        </w:rPr>
        <w:t>4</w:t>
      </w:r>
      <w:r>
        <w:rPr>
          <w:rFonts w:hint="eastAsia" w:ascii="Times New Roman" w:hAnsi="Times New Roman" w:eastAsia="仿宋_GB2312" w:cs="仿宋_GB2312"/>
          <w:color w:val="auto"/>
          <w:kern w:val="2"/>
          <w:sz w:val="32"/>
          <w:szCs w:val="32"/>
          <w:highlight w:val="none"/>
        </w:rPr>
        <w:t>年部门整体绩效目标编制完整、合理，反映了部门年度职责履行情况，重点项目绩效目标编制明确</w:t>
      </w:r>
      <w:r>
        <w:rPr>
          <w:rFonts w:hint="eastAsia" w:ascii="Times New Roman" w:eastAsia="仿宋_GB2312" w:cs="仿宋_GB2312"/>
          <w:color w:val="auto"/>
          <w:sz w:val="32"/>
          <w:szCs w:val="32"/>
          <w:highlight w:val="none"/>
        </w:rPr>
        <w:t>，</w:t>
      </w:r>
      <w:r>
        <w:rPr>
          <w:rFonts w:hint="eastAsia" w:ascii="Times New Roman" w:hAnsi="Times New Roman" w:eastAsia="仿宋_GB2312" w:cs="仿宋_GB2312"/>
          <w:color w:val="auto"/>
          <w:kern w:val="2"/>
          <w:sz w:val="32"/>
          <w:szCs w:val="32"/>
          <w:highlight w:val="none"/>
        </w:rPr>
        <w:t>严格预算执行管理，严格三公经费预算执行，控制单位运行成本，单位预算执行率达100%，专项资金使用合规，项目建设合格率达标，受益对象满意度逐年提高，年初制定的绩效目标基本完成。</w:t>
      </w:r>
      <w:r>
        <w:rPr>
          <w:rFonts w:hint="eastAsia" w:ascii="Times New Roman" w:eastAsia="仿宋_GB2312" w:cs="仿宋_GB2312"/>
          <w:color w:val="auto"/>
          <w:sz w:val="32"/>
          <w:szCs w:val="32"/>
          <w:highlight w:val="none"/>
        </w:rPr>
        <w:t>遂宁市安居区社会福利服务中心专项预算项目绩效自评得分为</w:t>
      </w:r>
      <w:r>
        <w:rPr>
          <w:rFonts w:hint="eastAsia" w:ascii="Times New Roman" w:eastAsia="仿宋_GB2312" w:cs="仿宋_GB2312"/>
          <w:color w:val="auto"/>
          <w:sz w:val="32"/>
          <w:szCs w:val="32"/>
          <w:highlight w:val="none"/>
          <w:lang w:val="en-US" w:eastAsia="zh-CN"/>
        </w:rPr>
        <w:t>90</w:t>
      </w:r>
      <w:r>
        <w:rPr>
          <w:rFonts w:hint="eastAsia" w:ascii="Times New Roman" w:hAnsi="Times New Roman" w:eastAsia="仿宋_GB2312" w:cs="仿宋_GB2312"/>
          <w:color w:val="auto"/>
          <w:sz w:val="32"/>
          <w:szCs w:val="32"/>
          <w:highlight w:val="none"/>
          <w:lang w:val="en-US" w:eastAsia="zh-CN"/>
        </w:rPr>
        <w:t>分</w:t>
      </w:r>
      <w:r>
        <w:rPr>
          <w:rFonts w:hint="eastAsia" w:ascii="Times New Roman" w:hAnsi="Times New Roman" w:eastAsia="仿宋_GB2312" w:cs="仿宋_GB2312"/>
          <w:b w:val="0"/>
          <w:bCs w:val="0"/>
          <w:i w:val="0"/>
          <w:iCs w:val="0"/>
          <w:color w:val="auto"/>
          <w:sz w:val="32"/>
          <w:szCs w:val="32"/>
          <w:highlight w:val="none"/>
          <w:lang w:val="en-US" w:eastAsia="zh-CN"/>
        </w:rPr>
        <w:t>，绩效自</w:t>
      </w:r>
      <w:r>
        <w:rPr>
          <w:rFonts w:hint="eastAsia" w:ascii="Times New Roman" w:hAnsi="Times New Roman" w:eastAsia="仿宋_GB2312" w:cs="仿宋_GB2312"/>
          <w:color w:val="auto"/>
          <w:kern w:val="2"/>
          <w:sz w:val="32"/>
          <w:szCs w:val="32"/>
          <w:highlight w:val="none"/>
          <w:lang w:val="en-US" w:eastAsia="zh-CN"/>
        </w:rPr>
        <w:t>评综述</w:t>
      </w:r>
      <w:r>
        <w:rPr>
          <w:rFonts w:hint="eastAsia" w:ascii="Times New Roman" w:hAnsi="Times New Roman" w:eastAsia="仿宋_GB2312" w:cs="仿宋_GB2312"/>
          <w:b w:val="0"/>
          <w:bCs w:val="0"/>
          <w:i w:val="0"/>
          <w:iCs w:val="0"/>
          <w:color w:val="auto"/>
          <w:sz w:val="32"/>
          <w:szCs w:val="32"/>
          <w:highlight w:val="none"/>
          <w:lang w:val="en-US" w:eastAsia="zh-CN"/>
        </w:rPr>
        <w:t>：</w:t>
      </w:r>
      <w:r>
        <w:rPr>
          <w:rFonts w:hint="eastAsia" w:ascii="Times New Roman" w:hAnsi="Times New Roman" w:eastAsia="仿宋_GB2312" w:cs="仿宋_GB2312"/>
          <w:color w:val="auto"/>
          <w:sz w:val="32"/>
          <w:szCs w:val="32"/>
          <w:highlight w:val="none"/>
        </w:rPr>
        <w:t>总体上看，项目目标明确、资金到位率高、组织监管体系完善。</w:t>
      </w:r>
      <w:r>
        <w:rPr>
          <w:rFonts w:hint="eastAsia" w:ascii="Times New Roman" w:hAnsi="Times New Roman" w:eastAsia="仿宋_GB2312" w:cs="仿宋_GB2312"/>
          <w:bCs w:val="0"/>
          <w:color w:val="auto"/>
          <w:kern w:val="2"/>
          <w:sz w:val="32"/>
          <w:szCs w:val="32"/>
          <w:highlight w:val="none"/>
          <w:lang w:val="en-US" w:eastAsia="zh-CN" w:bidi="ar-SA"/>
        </w:rPr>
        <w:t>安居区社会福利服务中心日常运行经费项目</w:t>
      </w:r>
      <w:r>
        <w:rPr>
          <w:rFonts w:hint="eastAsia" w:ascii="Times New Roman" w:hAnsi="Times New Roman" w:eastAsia="仿宋_GB2312" w:cs="仿宋_GB2312"/>
          <w:color w:val="auto"/>
          <w:sz w:val="32"/>
          <w:szCs w:val="32"/>
          <w:highlight w:val="none"/>
        </w:rPr>
        <w:t>较好地实现了绩效目标</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bidi="ar-SA"/>
        </w:rPr>
        <w:t>绩效自评报告详见附件。</w:t>
      </w:r>
    </w:p>
    <w:p w14:paraId="23821021">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14:paraId="4BD39051">
      <w:pPr>
        <w:spacing w:line="600" w:lineRule="exact"/>
        <w:ind w:firstLine="0"/>
        <w:rPr>
          <w:rFonts w:hint="eastAsia" w:ascii="Times New Roman" w:hAnsi="Times New Roman" w:eastAsia="仿宋_GB2312" w:cs="仿宋_GB2312"/>
          <w:color w:val="auto"/>
          <w:kern w:val="2"/>
          <w:sz w:val="32"/>
          <w:szCs w:val="32"/>
          <w:highlight w:val="none"/>
          <w:lang w:val="en-US" w:eastAsia="zh-CN" w:bidi="ar-SA"/>
        </w:rPr>
      </w:pPr>
    </w:p>
    <w:p w14:paraId="23EB6406">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p>
    <w:p w14:paraId="6837AEFC">
      <w:pPr>
        <w:spacing w:line="600" w:lineRule="exact"/>
        <w:jc w:val="left"/>
        <w:rPr>
          <w:rFonts w:ascii="Times New Roman" w:hAnsi="Times New Roman"/>
          <w:b/>
          <w:color w:val="auto"/>
          <w:sz w:val="44"/>
          <w:szCs w:val="44"/>
          <w:highlight w:val="none"/>
        </w:rPr>
      </w:pPr>
    </w:p>
    <w:p w14:paraId="1463A647">
      <w:pPr>
        <w:pStyle w:val="28"/>
        <w:spacing w:line="560" w:lineRule="exact"/>
        <w:ind w:firstLine="640" w:firstLineChars="200"/>
        <w:rPr>
          <w:rFonts w:hint="eastAsia" w:ascii="Times New Roman" w:hAnsi="Times New Roman" w:eastAsia="仿宋_GB2312" w:cs="仿宋_GB2312"/>
          <w:color w:val="auto"/>
          <w:kern w:val="2"/>
          <w:sz w:val="32"/>
          <w:szCs w:val="32"/>
          <w:highlight w:val="none"/>
        </w:rPr>
      </w:pPr>
      <w:r>
        <w:rPr>
          <w:rFonts w:hint="eastAsia" w:ascii="Times New Roman" w:hAnsi="Times New Roman" w:eastAsia="仿宋_GB2312" w:cs="仿宋_GB2312"/>
          <w:color w:val="auto"/>
          <w:kern w:val="2"/>
          <w:sz w:val="32"/>
          <w:szCs w:val="32"/>
          <w:highlight w:val="none"/>
        </w:rPr>
        <w:t>1.财政拨款收入：指单位从同级财政部门取得的财政预算资金。</w:t>
      </w:r>
    </w:p>
    <w:p w14:paraId="765EC313">
      <w:pPr>
        <w:pStyle w:val="28"/>
        <w:spacing w:line="560" w:lineRule="exact"/>
        <w:ind w:firstLine="640" w:firstLineChars="200"/>
        <w:rPr>
          <w:rFonts w:hint="eastAsia" w:ascii="Times New Roman" w:hAnsi="Times New Roman" w:eastAsia="仿宋_GB2312" w:cs="仿宋_GB2312"/>
          <w:color w:val="auto"/>
          <w:kern w:val="2"/>
          <w:sz w:val="32"/>
          <w:szCs w:val="32"/>
          <w:highlight w:val="none"/>
        </w:rPr>
      </w:pPr>
      <w:r>
        <w:rPr>
          <w:rFonts w:hint="eastAsia" w:ascii="Times New Roman" w:hAnsi="Times New Roman" w:eastAsia="仿宋_GB2312" w:cs="仿宋_GB2312"/>
          <w:color w:val="auto"/>
          <w:kern w:val="2"/>
          <w:sz w:val="32"/>
          <w:szCs w:val="32"/>
          <w:highlight w:val="none"/>
        </w:rPr>
        <w:t>2.事业收入：指事业单位开展专业业务活动及辅助活动取得的收入。</w:t>
      </w:r>
    </w:p>
    <w:p w14:paraId="74537CA4">
      <w:pPr>
        <w:pStyle w:val="28"/>
        <w:spacing w:line="560" w:lineRule="exact"/>
        <w:ind w:firstLine="640" w:firstLineChars="200"/>
        <w:rPr>
          <w:rFonts w:hint="eastAsia" w:ascii="Times New Roman" w:hAnsi="Times New Roman" w:eastAsia="仿宋_GB2312" w:cs="仿宋_GB2312"/>
          <w:color w:val="auto"/>
          <w:kern w:val="2"/>
          <w:sz w:val="32"/>
          <w:szCs w:val="32"/>
          <w:highlight w:val="none"/>
        </w:rPr>
      </w:pPr>
      <w:r>
        <w:rPr>
          <w:rFonts w:hint="eastAsia" w:ascii="Times New Roman" w:hAnsi="Times New Roman" w:eastAsia="仿宋_GB2312" w:cs="仿宋_GB2312"/>
          <w:color w:val="auto"/>
          <w:kern w:val="2"/>
          <w:sz w:val="32"/>
          <w:szCs w:val="32"/>
          <w:highlight w:val="none"/>
        </w:rPr>
        <w:t>3.经营收入：指事业单位在专业业务活动及其辅助活动之外开展非独立核算经营活动取得的收入。</w:t>
      </w:r>
    </w:p>
    <w:p w14:paraId="21E937A8">
      <w:pPr>
        <w:pStyle w:val="28"/>
        <w:spacing w:line="560" w:lineRule="exact"/>
        <w:ind w:firstLine="640" w:firstLineChars="200"/>
        <w:rPr>
          <w:rFonts w:hint="eastAsia" w:ascii="Times New Roman" w:hAnsi="Times New Roman" w:eastAsia="仿宋_GB2312" w:cs="仿宋_GB2312"/>
          <w:color w:val="auto"/>
          <w:kern w:val="2"/>
          <w:sz w:val="32"/>
          <w:szCs w:val="32"/>
          <w:highlight w:val="none"/>
        </w:rPr>
      </w:pPr>
      <w:r>
        <w:rPr>
          <w:rFonts w:hint="eastAsia" w:ascii="Times New Roman" w:hAnsi="Times New Roman" w:eastAsia="仿宋_GB2312" w:cs="仿宋_GB2312"/>
          <w:color w:val="auto"/>
          <w:kern w:val="2"/>
          <w:sz w:val="32"/>
          <w:szCs w:val="32"/>
          <w:highlight w:val="none"/>
        </w:rPr>
        <w:t>4.其他收入：指单位取得的除上述收入以外的各项收入。</w:t>
      </w:r>
    </w:p>
    <w:p w14:paraId="6BDF00EF">
      <w:pPr>
        <w:pStyle w:val="28"/>
        <w:spacing w:line="560" w:lineRule="exact"/>
        <w:ind w:firstLine="640" w:firstLineChars="200"/>
        <w:rPr>
          <w:rFonts w:hint="eastAsia" w:ascii="Times New Roman" w:hAnsi="Times New Roman" w:eastAsia="仿宋_GB2312" w:cs="仿宋_GB2312"/>
          <w:color w:val="auto"/>
          <w:kern w:val="2"/>
          <w:sz w:val="32"/>
          <w:szCs w:val="32"/>
          <w:highlight w:val="none"/>
        </w:rPr>
      </w:pPr>
      <w:r>
        <w:rPr>
          <w:rFonts w:hint="eastAsia" w:ascii="Times New Roman" w:hAnsi="Times New Roman" w:eastAsia="仿宋_GB2312" w:cs="仿宋_GB2312"/>
          <w:color w:val="auto"/>
          <w:kern w:val="2"/>
          <w:sz w:val="32"/>
          <w:szCs w:val="32"/>
          <w:highlight w:val="none"/>
        </w:rPr>
        <w:t xml:space="preserve">5.使用非财政拨款结余（含专用结余）：指事业单位使用以前年度积累的非财政拨款结余弥补当年收支差额的金额。 </w:t>
      </w:r>
    </w:p>
    <w:p w14:paraId="084AA3A3">
      <w:pPr>
        <w:pStyle w:val="28"/>
        <w:spacing w:line="560" w:lineRule="exact"/>
        <w:ind w:firstLine="640" w:firstLineChars="200"/>
        <w:rPr>
          <w:rFonts w:hint="eastAsia" w:ascii="Times New Roman" w:hAnsi="Times New Roman" w:eastAsia="仿宋_GB2312" w:cs="仿宋_GB2312"/>
          <w:color w:val="auto"/>
          <w:kern w:val="2"/>
          <w:sz w:val="32"/>
          <w:szCs w:val="32"/>
          <w:highlight w:val="none"/>
        </w:rPr>
      </w:pPr>
      <w:r>
        <w:rPr>
          <w:rFonts w:hint="eastAsia" w:ascii="Times New Roman" w:hAnsi="Times New Roman" w:eastAsia="仿宋_GB2312" w:cs="仿宋_GB2312"/>
          <w:color w:val="auto"/>
          <w:kern w:val="2"/>
          <w:sz w:val="32"/>
          <w:szCs w:val="32"/>
          <w:highlight w:val="none"/>
        </w:rPr>
        <w:t xml:space="preserve">6.年初结转和结余：指以前年度尚未完成、结转到本年按有关规定继续使用的资金。 </w:t>
      </w:r>
    </w:p>
    <w:p w14:paraId="252876CA">
      <w:pPr>
        <w:pStyle w:val="28"/>
        <w:spacing w:line="560" w:lineRule="exact"/>
        <w:ind w:firstLine="640" w:firstLineChars="200"/>
        <w:rPr>
          <w:rFonts w:hint="eastAsia" w:ascii="Times New Roman" w:hAnsi="Times New Roman" w:eastAsia="仿宋_GB2312" w:cs="仿宋_GB2312"/>
          <w:color w:val="auto"/>
          <w:kern w:val="2"/>
          <w:sz w:val="32"/>
          <w:szCs w:val="32"/>
          <w:highlight w:val="none"/>
        </w:rPr>
      </w:pPr>
      <w:r>
        <w:rPr>
          <w:rFonts w:hint="eastAsia" w:ascii="Times New Roman" w:hAnsi="Times New Roman" w:eastAsia="仿宋_GB2312" w:cs="仿宋_GB2312"/>
          <w:color w:val="auto"/>
          <w:kern w:val="2"/>
          <w:sz w:val="32"/>
          <w:szCs w:val="32"/>
          <w:highlight w:val="none"/>
        </w:rPr>
        <w:t>7.结余分配：指事业单位按照会计制度规定缴纳的所得税、提取的专用结余以及转入非财政拨款结余的金额等。</w:t>
      </w:r>
    </w:p>
    <w:p w14:paraId="61AB73DD">
      <w:pPr>
        <w:pStyle w:val="28"/>
        <w:spacing w:line="560" w:lineRule="exact"/>
        <w:ind w:firstLine="640" w:firstLineChars="200"/>
        <w:rPr>
          <w:rFonts w:hint="eastAsia" w:ascii="Times New Roman" w:hAnsi="Times New Roman" w:eastAsia="仿宋_GB2312" w:cs="仿宋_GB2312"/>
          <w:color w:val="auto"/>
          <w:kern w:val="2"/>
          <w:sz w:val="32"/>
          <w:szCs w:val="32"/>
          <w:highlight w:val="none"/>
        </w:rPr>
      </w:pPr>
      <w:r>
        <w:rPr>
          <w:rFonts w:hint="eastAsia" w:ascii="Times New Roman" w:hAnsi="Times New Roman" w:eastAsia="仿宋_GB2312" w:cs="仿宋_GB2312"/>
          <w:color w:val="auto"/>
          <w:kern w:val="2"/>
          <w:sz w:val="32"/>
          <w:szCs w:val="32"/>
          <w:highlight w:val="none"/>
        </w:rPr>
        <w:t>8.年末结转和结余：指单位按有关规定结转到下年或以后年度继续使用的资金。</w:t>
      </w:r>
    </w:p>
    <w:p w14:paraId="7D7879D9">
      <w:pPr>
        <w:ind w:firstLine="640" w:firstLineChars="200"/>
        <w:rPr>
          <w:rFonts w:hint="eastAsia" w:ascii="Times New Roman" w:eastAsia="仿宋_GB2312" w:cs="仿宋_GB2312"/>
          <w:color w:val="auto"/>
          <w:kern w:val="2"/>
          <w:sz w:val="32"/>
          <w:szCs w:val="32"/>
          <w:highlight w:val="none"/>
        </w:rPr>
      </w:pPr>
      <w:r>
        <w:rPr>
          <w:rFonts w:hint="eastAsia" w:ascii="Times New Roman" w:eastAsia="仿宋_GB2312" w:cs="仿宋_GB2312"/>
          <w:color w:val="auto"/>
          <w:kern w:val="2"/>
          <w:sz w:val="32"/>
          <w:szCs w:val="32"/>
          <w:highlight w:val="none"/>
        </w:rPr>
        <w:t>9. 社会保障和就业（类）行政事业单位离退休（款）事业单位离退休（项）：指实行归口管理的事业单位离退休人员的支出。</w:t>
      </w:r>
    </w:p>
    <w:p w14:paraId="2E342634">
      <w:pPr>
        <w:ind w:firstLine="640" w:firstLineChars="200"/>
        <w:rPr>
          <w:rFonts w:hint="eastAsia" w:ascii="Times New Roman" w:eastAsia="仿宋_GB2312" w:cs="仿宋_GB2312"/>
          <w:color w:val="auto"/>
          <w:kern w:val="2"/>
          <w:sz w:val="32"/>
          <w:szCs w:val="32"/>
          <w:highlight w:val="none"/>
        </w:rPr>
      </w:pPr>
      <w:r>
        <w:rPr>
          <w:rFonts w:hint="eastAsia" w:ascii="Times New Roman" w:eastAsia="仿宋_GB2312" w:cs="仿宋_GB2312"/>
          <w:color w:val="auto"/>
          <w:kern w:val="2"/>
          <w:sz w:val="32"/>
          <w:szCs w:val="32"/>
          <w:highlight w:val="none"/>
        </w:rPr>
        <w:t>10. 社会保障和就业（类）行政事业单位离退休（款）未归口管理的行政单位离退休（项）：指未实行归口管理的行政事业单位离退休人员的支出。</w:t>
      </w:r>
    </w:p>
    <w:p w14:paraId="631E1AEA">
      <w:pPr>
        <w:ind w:firstLine="640" w:firstLineChars="200"/>
        <w:rPr>
          <w:rFonts w:hint="eastAsia" w:ascii="Times New Roman" w:eastAsia="仿宋_GB2312" w:cs="仿宋_GB2312"/>
          <w:color w:val="auto"/>
          <w:kern w:val="2"/>
          <w:sz w:val="32"/>
          <w:szCs w:val="32"/>
          <w:highlight w:val="none"/>
        </w:rPr>
      </w:pPr>
      <w:r>
        <w:rPr>
          <w:rFonts w:hint="eastAsia" w:ascii="Times New Roman" w:eastAsia="仿宋_GB2312" w:cs="仿宋_GB2312"/>
          <w:color w:val="auto"/>
          <w:kern w:val="2"/>
          <w:sz w:val="32"/>
          <w:szCs w:val="32"/>
          <w:highlight w:val="none"/>
        </w:rPr>
        <w:t>11. 社会保障和就业（类）行政事业单位离退休（款）机关事业单位基本养老保险缴费支出（项）：指部门实施养老保险制度由单位缴纳的养老保险费的支出。</w:t>
      </w:r>
    </w:p>
    <w:p w14:paraId="46F6DE7E">
      <w:pPr>
        <w:ind w:firstLine="640" w:firstLineChars="200"/>
        <w:rPr>
          <w:rFonts w:hint="eastAsia" w:ascii="Times New Roman" w:eastAsia="仿宋_GB2312" w:cs="仿宋_GB2312"/>
          <w:color w:val="auto"/>
          <w:kern w:val="2"/>
          <w:sz w:val="32"/>
          <w:szCs w:val="32"/>
          <w:highlight w:val="none"/>
        </w:rPr>
      </w:pPr>
      <w:r>
        <w:rPr>
          <w:rFonts w:hint="eastAsia" w:ascii="Times New Roman" w:eastAsia="仿宋_GB2312" w:cs="仿宋_GB2312"/>
          <w:color w:val="auto"/>
          <w:kern w:val="2"/>
          <w:sz w:val="32"/>
          <w:szCs w:val="32"/>
          <w:highlight w:val="none"/>
        </w:rPr>
        <w:t>12. 社会保障和就业（类）行政事业单位离退休（款）机关事业单位职业年金缴费支出（项）：指部门实施养老保险制度由单位缴纳的职业年金的支出。</w:t>
      </w:r>
    </w:p>
    <w:p w14:paraId="7CDB2240">
      <w:pPr>
        <w:ind w:firstLine="640" w:firstLineChars="200"/>
        <w:rPr>
          <w:rFonts w:hint="eastAsia" w:ascii="Times New Roman" w:eastAsia="仿宋_GB2312" w:cs="仿宋_GB2312"/>
          <w:color w:val="auto"/>
          <w:kern w:val="2"/>
          <w:sz w:val="32"/>
          <w:szCs w:val="32"/>
          <w:highlight w:val="none"/>
        </w:rPr>
      </w:pPr>
      <w:r>
        <w:rPr>
          <w:rFonts w:hint="eastAsia" w:ascii="Times New Roman" w:eastAsia="仿宋_GB2312" w:cs="仿宋_GB2312"/>
          <w:color w:val="auto"/>
          <w:kern w:val="2"/>
          <w:sz w:val="32"/>
          <w:szCs w:val="32"/>
          <w:highlight w:val="none"/>
        </w:rPr>
        <w:t>13. 社会保障和就业（类）其他社会保障和就业（款）其他社会保障和就业支出（项）：指除上述项目外，其他用于行政事业单位离退休方面的支出。</w:t>
      </w:r>
    </w:p>
    <w:p w14:paraId="5213228D">
      <w:pPr>
        <w:ind w:firstLine="640" w:firstLineChars="200"/>
        <w:rPr>
          <w:rFonts w:hint="eastAsia" w:ascii="Times New Roman" w:eastAsia="仿宋_GB2312" w:cs="仿宋_GB2312"/>
          <w:color w:val="auto"/>
          <w:kern w:val="2"/>
          <w:sz w:val="32"/>
          <w:szCs w:val="32"/>
          <w:highlight w:val="none"/>
        </w:rPr>
      </w:pPr>
      <w:r>
        <w:rPr>
          <w:rFonts w:hint="eastAsia" w:ascii="Times New Roman" w:eastAsia="仿宋_GB2312" w:cs="仿宋_GB2312"/>
          <w:color w:val="auto"/>
          <w:kern w:val="2"/>
          <w:sz w:val="32"/>
          <w:szCs w:val="32"/>
          <w:highlight w:val="none"/>
        </w:rPr>
        <w:t>14. 卫生健康（类）行政事业单位医疗（款）行政单位医疗（项）：指行政机关及参公管理事业单位用于缴纳单位基本医疗保险支出。</w:t>
      </w:r>
    </w:p>
    <w:p w14:paraId="1E07E622">
      <w:pPr>
        <w:ind w:firstLine="640" w:firstLineChars="200"/>
        <w:rPr>
          <w:rFonts w:hint="eastAsia" w:ascii="Times New Roman" w:eastAsia="仿宋_GB2312" w:cs="仿宋_GB2312"/>
          <w:color w:val="auto"/>
          <w:kern w:val="2"/>
          <w:sz w:val="32"/>
          <w:szCs w:val="32"/>
          <w:highlight w:val="none"/>
        </w:rPr>
      </w:pPr>
      <w:r>
        <w:rPr>
          <w:rFonts w:hint="eastAsia" w:ascii="Times New Roman" w:eastAsia="仿宋_GB2312" w:cs="仿宋_GB2312"/>
          <w:color w:val="auto"/>
          <w:kern w:val="2"/>
          <w:sz w:val="32"/>
          <w:szCs w:val="32"/>
          <w:highlight w:val="none"/>
        </w:rPr>
        <w:t>15. 卫生健康（类）行政事业单位医疗（款）事业单位医疗（项）：指事业单位用于缴纳单位基本医疗保险支出。</w:t>
      </w:r>
    </w:p>
    <w:p w14:paraId="6CB2BEA9">
      <w:pPr>
        <w:ind w:firstLine="640" w:firstLineChars="200"/>
        <w:rPr>
          <w:rFonts w:hint="eastAsia" w:ascii="Times New Roman" w:eastAsia="仿宋_GB2312" w:cs="仿宋_GB2312"/>
          <w:color w:val="auto"/>
          <w:kern w:val="2"/>
          <w:sz w:val="32"/>
          <w:szCs w:val="32"/>
          <w:highlight w:val="none"/>
        </w:rPr>
      </w:pPr>
      <w:r>
        <w:rPr>
          <w:rFonts w:hint="eastAsia" w:ascii="Times New Roman" w:eastAsia="仿宋_GB2312" w:cs="仿宋_GB2312"/>
          <w:color w:val="auto"/>
          <w:kern w:val="2"/>
          <w:sz w:val="32"/>
          <w:szCs w:val="32"/>
          <w:highlight w:val="none"/>
        </w:rPr>
        <w:t>16. 卫生健康（类）行政事业单位医疗（款）公务员医疗补助（项）：指行政机关及参公管理事业单位用于集中缴纳公务员医疗补助支出。</w:t>
      </w:r>
    </w:p>
    <w:p w14:paraId="6C844E15">
      <w:pPr>
        <w:ind w:firstLine="640" w:firstLineChars="200"/>
        <w:rPr>
          <w:rFonts w:hint="eastAsia" w:ascii="Times New Roman" w:eastAsia="仿宋_GB2312" w:cs="仿宋_GB2312"/>
          <w:color w:val="auto"/>
          <w:kern w:val="2"/>
          <w:sz w:val="32"/>
          <w:szCs w:val="32"/>
          <w:highlight w:val="none"/>
        </w:rPr>
      </w:pPr>
      <w:r>
        <w:rPr>
          <w:rFonts w:hint="eastAsia" w:ascii="Times New Roman" w:eastAsia="仿宋_GB2312" w:cs="仿宋_GB2312"/>
          <w:color w:val="auto"/>
          <w:kern w:val="2"/>
          <w:sz w:val="32"/>
          <w:szCs w:val="32"/>
          <w:highlight w:val="none"/>
        </w:rPr>
        <w:t>17. 住房保障（类）住房改革支出（款）住房公积金（项）：指按照《住房公积金管理条例》的规定，由单位及其在职职工缴存的长期住房储金。</w:t>
      </w:r>
    </w:p>
    <w:p w14:paraId="01B6C8F7">
      <w:pPr>
        <w:ind w:firstLine="640" w:firstLineChars="200"/>
        <w:rPr>
          <w:rFonts w:hint="eastAsia" w:ascii="Times New Roman" w:eastAsia="仿宋_GB2312" w:cs="仿宋_GB2312"/>
          <w:color w:val="auto"/>
          <w:sz w:val="32"/>
          <w:szCs w:val="32"/>
          <w:highlight w:val="none"/>
        </w:rPr>
      </w:pPr>
      <w:r>
        <w:rPr>
          <w:rFonts w:hint="eastAsia" w:ascii="Times New Roman" w:eastAsia="仿宋_GB2312" w:cs="仿宋_GB2312"/>
          <w:color w:val="auto"/>
          <w:sz w:val="32"/>
          <w:szCs w:val="32"/>
          <w:highlight w:val="none"/>
        </w:rPr>
        <w:t>18.基本支出：指为保障机构正常运转、完成日常工作任务而发生的人员支出和公用支出。</w:t>
      </w:r>
    </w:p>
    <w:p w14:paraId="1BF8481F">
      <w:pPr>
        <w:ind w:firstLine="640" w:firstLineChars="200"/>
        <w:rPr>
          <w:rFonts w:hint="eastAsia" w:ascii="Times New Roman" w:eastAsia="仿宋_GB2312" w:cs="仿宋_GB2312"/>
          <w:color w:val="auto"/>
          <w:sz w:val="32"/>
          <w:szCs w:val="32"/>
          <w:highlight w:val="none"/>
        </w:rPr>
      </w:pPr>
      <w:r>
        <w:rPr>
          <w:rFonts w:hint="eastAsia" w:ascii="Times New Roman" w:eastAsia="仿宋_GB2312" w:cs="仿宋_GB2312"/>
          <w:color w:val="auto"/>
          <w:sz w:val="32"/>
          <w:szCs w:val="32"/>
          <w:highlight w:val="none"/>
        </w:rPr>
        <w:t xml:space="preserve">19.项目支出：指在基本支出之外为完成特定行政任务和事业发展目标所发生的支出。 </w:t>
      </w:r>
    </w:p>
    <w:p w14:paraId="19EF830F">
      <w:pPr>
        <w:ind w:firstLine="640" w:firstLineChars="200"/>
        <w:rPr>
          <w:rFonts w:hint="eastAsia" w:ascii="Times New Roman" w:eastAsia="仿宋_GB2312" w:cs="仿宋_GB2312"/>
          <w:color w:val="auto"/>
          <w:sz w:val="32"/>
          <w:szCs w:val="32"/>
          <w:highlight w:val="none"/>
        </w:rPr>
      </w:pPr>
      <w:r>
        <w:rPr>
          <w:rFonts w:hint="eastAsia" w:ascii="Times New Roman" w:eastAsia="仿宋_GB2312" w:cs="仿宋_GB2312"/>
          <w:color w:val="auto"/>
          <w:sz w:val="32"/>
          <w:szCs w:val="32"/>
          <w:highlight w:val="none"/>
        </w:rPr>
        <w:t>20.经营支出：指事业单位在专业业务活动及其辅助活动之外开展非独立核算经营活动发生的支出。</w:t>
      </w:r>
    </w:p>
    <w:p w14:paraId="71E3C9C1">
      <w:pPr>
        <w:pStyle w:val="28"/>
        <w:spacing w:line="560" w:lineRule="exact"/>
        <w:ind w:firstLine="640" w:firstLineChars="200"/>
        <w:rPr>
          <w:rFonts w:hint="eastAsia" w:ascii="Times New Roman" w:hAnsi="Times New Roman" w:eastAsia="仿宋_GB2312" w:cs="仿宋_GB2312"/>
          <w:color w:val="auto"/>
          <w:kern w:val="2"/>
          <w:sz w:val="32"/>
          <w:szCs w:val="32"/>
          <w:highlight w:val="none"/>
        </w:rPr>
      </w:pPr>
      <w:r>
        <w:rPr>
          <w:rFonts w:hint="eastAsia" w:ascii="Times New Roman" w:hAnsi="Times New Roman" w:eastAsia="仿宋_GB2312" w:cs="仿宋_GB2312"/>
          <w:color w:val="auto"/>
          <w:kern w:val="2"/>
          <w:sz w:val="32"/>
          <w:szCs w:val="32"/>
          <w:highlight w:val="none"/>
        </w:rPr>
        <w:t>21.“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BED742D">
      <w:pPr>
        <w:pStyle w:val="28"/>
        <w:spacing w:line="560" w:lineRule="exact"/>
        <w:ind w:firstLine="640" w:firstLineChars="200"/>
        <w:rPr>
          <w:rFonts w:hint="eastAsia" w:ascii="Times New Roman" w:hAnsi="Times New Roman" w:eastAsia="仿宋_GB2312" w:cs="仿宋_GB2312"/>
          <w:color w:val="auto"/>
          <w:kern w:val="2"/>
          <w:sz w:val="32"/>
          <w:szCs w:val="32"/>
          <w:highlight w:val="none"/>
        </w:rPr>
      </w:pPr>
      <w:r>
        <w:rPr>
          <w:rFonts w:hint="eastAsia" w:ascii="Times New Roman" w:hAnsi="Times New Roman" w:eastAsia="仿宋_GB2312" w:cs="仿宋_GB2312"/>
          <w:color w:val="auto"/>
          <w:kern w:val="2"/>
          <w:sz w:val="32"/>
          <w:szCs w:val="32"/>
          <w:highlight w:val="none"/>
        </w:rPr>
        <w:t>22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8CB04A5">
      <w:pPr>
        <w:spacing w:line="600" w:lineRule="exact"/>
        <w:jc w:val="center"/>
        <w:rPr>
          <w:rStyle w:val="30"/>
          <w:rFonts w:hint="eastAsia" w:ascii="Times New Roman" w:hAnsi="Times New Roman" w:eastAsia="黑体"/>
          <w:b w:val="0"/>
          <w:color w:val="auto"/>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br w:type="page"/>
      </w:r>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p>
    <w:p w14:paraId="562277FB">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7DB2C031">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63A051FC">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5C274DE8">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eastAsia="方正小标宋简体" w:cs="Times New Roman"/>
          <w:b w:val="0"/>
          <w:bCs/>
          <w:sz w:val="44"/>
          <w:szCs w:val="44"/>
          <w:highlight w:val="none"/>
          <w:shd w:val="clear" w:color="auto" w:fill="FFFFFF"/>
          <w:lang w:val="en-US" w:eastAsia="zh-CN"/>
        </w:rPr>
      </w:pPr>
      <w:r>
        <w:rPr>
          <w:rFonts w:hint="eastAsia" w:eastAsia="方正小标宋简体" w:cs="Times New Roman"/>
          <w:b w:val="0"/>
          <w:bCs/>
          <w:sz w:val="44"/>
          <w:szCs w:val="44"/>
          <w:highlight w:val="none"/>
          <w:shd w:val="clear" w:color="auto" w:fill="FFFFFF"/>
          <w:lang w:val="en-US" w:eastAsia="zh-CN"/>
        </w:rPr>
        <w:t>2025年遂宁市安居区社会福利服务中心</w:t>
      </w:r>
    </w:p>
    <w:p w14:paraId="2A511E25">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cs="Times New Roman"/>
          <w:szCs w:val="32"/>
          <w:highlight w:val="none"/>
          <w:shd w:val="clear" w:color="auto" w:fill="FFFFFF"/>
        </w:rPr>
      </w:pPr>
      <w:r>
        <w:rPr>
          <w:rFonts w:hint="eastAsia" w:eastAsia="方正小标宋简体" w:cs="Times New Roman"/>
          <w:b w:val="0"/>
          <w:bCs/>
          <w:sz w:val="44"/>
          <w:szCs w:val="44"/>
          <w:highlight w:val="none"/>
          <w:shd w:val="clear" w:color="auto" w:fill="FFFFFF"/>
          <w:lang w:val="en-US" w:eastAsia="zh-CN"/>
        </w:rPr>
        <w:t>部门</w:t>
      </w:r>
      <w:r>
        <w:rPr>
          <w:rFonts w:hint="default" w:ascii="Times New Roman" w:hAnsi="Times New Roman" w:eastAsia="方正小标宋简体" w:cs="Times New Roman"/>
          <w:b w:val="0"/>
          <w:bCs/>
          <w:sz w:val="44"/>
          <w:szCs w:val="44"/>
          <w:highlight w:val="none"/>
          <w:shd w:val="clear" w:color="auto" w:fill="FFFFFF"/>
          <w:lang w:eastAsia="zh-CN"/>
        </w:rPr>
        <w:t>整体支出自评报告</w:t>
      </w:r>
    </w:p>
    <w:p w14:paraId="7B30E67A">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eastAsia="黑体" w:cs="Times New Roman"/>
          <w:color w:val="000000"/>
          <w:kern w:val="0"/>
          <w:sz w:val="33"/>
          <w:szCs w:val="33"/>
          <w:highlight w:val="none"/>
          <w:shd w:val="clear" w:color="auto" w:fill="FFFFFF"/>
        </w:rPr>
      </w:pPr>
    </w:p>
    <w:p w14:paraId="1ABC7EEF">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cs="Times New Roman"/>
          <w:sz w:val="33"/>
          <w:szCs w:val="33"/>
        </w:rPr>
      </w:pPr>
      <w:r>
        <w:rPr>
          <w:rFonts w:hint="eastAsia" w:ascii="Times New Roman" w:hAnsi="Times New Roman" w:eastAsia="黑体" w:cs="Times New Roman"/>
          <w:color w:val="000000"/>
          <w:kern w:val="0"/>
          <w:sz w:val="33"/>
          <w:szCs w:val="33"/>
          <w:highlight w:val="none"/>
          <w:shd w:val="clear" w:color="auto" w:fill="FFFFFF"/>
          <w:lang w:val="zh-CN"/>
        </w:rPr>
        <w:t>一、</w:t>
      </w:r>
      <w:r>
        <w:rPr>
          <w:rFonts w:hint="default" w:ascii="Times New Roman" w:hAnsi="Times New Roman" w:eastAsia="黑体" w:cs="Times New Roman"/>
          <w:color w:val="000000"/>
          <w:kern w:val="0"/>
          <w:sz w:val="33"/>
          <w:szCs w:val="33"/>
          <w:highlight w:val="none"/>
          <w:shd w:val="clear" w:color="auto" w:fill="FFFFFF"/>
          <w:lang w:val="zh-CN"/>
        </w:rPr>
        <w:t>部门（单位）基本情况</w:t>
      </w:r>
    </w:p>
    <w:p w14:paraId="383A6B0D">
      <w:pPr>
        <w:keepNext w:val="0"/>
        <w:keepLines w:val="0"/>
        <w:pageBreakBefore w:val="0"/>
        <w:widowControl/>
        <w:kinsoku/>
        <w:wordWrap/>
        <w:overflowPunct/>
        <w:topLinePunct w:val="0"/>
        <w:autoSpaceDE/>
        <w:autoSpaceDN/>
        <w:bidi w:val="0"/>
        <w:adjustRightInd w:val="0"/>
        <w:snapToGrid w:val="0"/>
        <w:spacing w:line="600" w:lineRule="exact"/>
        <w:ind w:firstLine="663" w:firstLineChars="200"/>
        <w:contextualSpacing/>
        <w:jc w:val="left"/>
        <w:textAlignment w:val="auto"/>
        <w:rPr>
          <w:rFonts w:hint="default" w:ascii="Times New Roman" w:hAnsi="Times New Roman" w:eastAsia="楷体_GB2312" w:cs="Times New Roman"/>
          <w:b/>
          <w:bCs/>
          <w:color w:val="000000"/>
          <w:kern w:val="0"/>
          <w:sz w:val="33"/>
          <w:szCs w:val="33"/>
          <w:highlight w:val="none"/>
          <w:shd w:val="clear" w:color="auto" w:fill="FFFFFF"/>
          <w:lang w:val="zh-CN"/>
        </w:rPr>
      </w:pPr>
      <w:r>
        <w:rPr>
          <w:rFonts w:hint="eastAsia" w:ascii="Times New Roman" w:hAnsi="Times New Roman" w:eastAsia="楷体_GB2312" w:cs="Times New Roman"/>
          <w:b/>
          <w:bCs/>
          <w:color w:val="000000"/>
          <w:kern w:val="0"/>
          <w:sz w:val="33"/>
          <w:szCs w:val="33"/>
          <w:highlight w:val="none"/>
          <w:shd w:val="clear" w:color="auto" w:fill="FFFFFF"/>
          <w:lang w:val="zh-CN"/>
        </w:rPr>
        <w:t>（一）</w:t>
      </w:r>
      <w:r>
        <w:rPr>
          <w:rFonts w:hint="default" w:ascii="Times New Roman" w:hAnsi="Times New Roman" w:eastAsia="楷体_GB2312" w:cs="Times New Roman"/>
          <w:b/>
          <w:bCs/>
          <w:color w:val="000000"/>
          <w:kern w:val="0"/>
          <w:sz w:val="33"/>
          <w:szCs w:val="33"/>
          <w:highlight w:val="none"/>
          <w:shd w:val="clear" w:color="auto" w:fill="FFFFFF"/>
          <w:lang w:val="zh-CN"/>
        </w:rPr>
        <w:t>机构组成</w:t>
      </w:r>
    </w:p>
    <w:p w14:paraId="5C65F1B7">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仿宋_GB2312" w:cs="Times New Roman"/>
          <w:b w:val="0"/>
          <w:color w:val="000000"/>
          <w:kern w:val="2"/>
          <w:sz w:val="32"/>
          <w:szCs w:val="32"/>
          <w:lang w:val="en-US" w:eastAsia="zh-CN" w:bidi="ar-SA"/>
        </w:rPr>
      </w:pPr>
      <w:r>
        <w:rPr>
          <w:rFonts w:hint="eastAsia" w:ascii="Times New Roman" w:hAnsi="Times New Roman" w:eastAsia="仿宋_GB2312" w:cs="Times New Roman"/>
          <w:b w:val="0"/>
          <w:color w:val="000000"/>
          <w:kern w:val="2"/>
          <w:sz w:val="32"/>
          <w:szCs w:val="32"/>
          <w:lang w:val="en-US" w:eastAsia="zh-CN" w:bidi="ar-SA"/>
        </w:rPr>
        <w:t>安居区社会福利服务中心为一级预算单位，设2个内设机构，分别是办公室、财务室。设下属二级单位0个，其中行政单位0个，参照公务员法管理的事业单位0个，其他事业单位0个。</w:t>
      </w:r>
    </w:p>
    <w:p w14:paraId="3E2F5DCC">
      <w:pPr>
        <w:pStyle w:val="6"/>
        <w:keepNext w:val="0"/>
        <w:keepLines w:val="0"/>
        <w:pageBreakBefore w:val="0"/>
        <w:widowControl w:val="0"/>
        <w:numPr>
          <w:ilvl w:val="0"/>
          <w:numId w:val="0"/>
        </w:numPr>
        <w:kinsoku/>
        <w:wordWrap/>
        <w:overflowPunct/>
        <w:topLinePunct w:val="0"/>
        <w:autoSpaceDE/>
        <w:autoSpaceDN/>
        <w:bidi w:val="0"/>
        <w:adjustRightInd w:val="0"/>
        <w:snapToGrid w:val="0"/>
        <w:spacing w:before="93" w:line="560" w:lineRule="exact"/>
        <w:ind w:firstLine="663" w:firstLineChars="200"/>
        <w:textAlignment w:val="auto"/>
        <w:rPr>
          <w:rFonts w:hint="eastAsia" w:ascii="Times New Roman" w:hAnsi="Times New Roman" w:eastAsia="楷体_GB2312" w:cs="Times New Roman"/>
          <w:b/>
          <w:bCs/>
          <w:color w:val="000000"/>
          <w:kern w:val="0"/>
          <w:sz w:val="33"/>
          <w:szCs w:val="33"/>
          <w:highlight w:val="none"/>
          <w:shd w:val="clear" w:color="auto" w:fill="FFFFFF"/>
          <w:lang w:val="zh-CN"/>
        </w:rPr>
      </w:pPr>
      <w:r>
        <w:rPr>
          <w:rFonts w:hint="eastAsia" w:eastAsia="楷体_GB2312" w:cs="Times New Roman"/>
          <w:b/>
          <w:bCs/>
          <w:color w:val="000000"/>
          <w:kern w:val="0"/>
          <w:sz w:val="33"/>
          <w:szCs w:val="33"/>
          <w:highlight w:val="none"/>
          <w:shd w:val="clear" w:color="auto" w:fill="FFFFFF"/>
          <w:lang w:val="zh-CN"/>
        </w:rPr>
        <w:t>（</w:t>
      </w:r>
      <w:r>
        <w:rPr>
          <w:rFonts w:hint="eastAsia" w:eastAsia="楷体_GB2312" w:cs="Times New Roman"/>
          <w:b/>
          <w:bCs/>
          <w:color w:val="000000"/>
          <w:kern w:val="0"/>
          <w:sz w:val="33"/>
          <w:szCs w:val="33"/>
          <w:highlight w:val="none"/>
          <w:shd w:val="clear" w:color="auto" w:fill="FFFFFF"/>
          <w:lang w:val="en-US" w:eastAsia="zh-CN"/>
        </w:rPr>
        <w:t>二</w:t>
      </w:r>
      <w:r>
        <w:rPr>
          <w:rFonts w:hint="eastAsia" w:eastAsia="楷体_GB2312" w:cs="Times New Roman"/>
          <w:b/>
          <w:bCs/>
          <w:color w:val="000000"/>
          <w:kern w:val="0"/>
          <w:sz w:val="33"/>
          <w:szCs w:val="33"/>
          <w:highlight w:val="none"/>
          <w:shd w:val="clear" w:color="auto" w:fill="FFFFFF"/>
          <w:lang w:val="zh-CN"/>
        </w:rPr>
        <w:t>）</w:t>
      </w:r>
      <w:r>
        <w:rPr>
          <w:rFonts w:hint="default" w:ascii="Times New Roman" w:hAnsi="Times New Roman" w:eastAsia="楷体_GB2312" w:cs="Times New Roman"/>
          <w:b/>
          <w:bCs/>
          <w:color w:val="000000"/>
          <w:kern w:val="0"/>
          <w:sz w:val="33"/>
          <w:szCs w:val="33"/>
          <w:highlight w:val="none"/>
          <w:shd w:val="clear" w:color="auto" w:fill="FFFFFF"/>
          <w:lang w:val="zh-CN"/>
        </w:rPr>
        <w:t>机构职能</w:t>
      </w:r>
    </w:p>
    <w:p w14:paraId="7E62968D">
      <w:pPr>
        <w:pStyle w:val="6"/>
        <w:keepNext w:val="0"/>
        <w:keepLines w:val="0"/>
        <w:pageBreakBefore w:val="0"/>
        <w:widowControl w:val="0"/>
        <w:numPr>
          <w:ilvl w:val="0"/>
          <w:numId w:val="0"/>
        </w:numPr>
        <w:kinsoku/>
        <w:wordWrap/>
        <w:overflowPunct/>
        <w:topLinePunct w:val="0"/>
        <w:autoSpaceDE/>
        <w:autoSpaceDN/>
        <w:bidi w:val="0"/>
        <w:adjustRightInd w:val="0"/>
        <w:snapToGrid w:val="0"/>
        <w:spacing w:before="93" w:line="560" w:lineRule="exact"/>
        <w:ind w:firstLine="640" w:firstLineChars="200"/>
        <w:textAlignment w:val="auto"/>
        <w:rPr>
          <w:rFonts w:hint="eastAsia" w:ascii="Times New Roman" w:hAnsi="Times New Roman" w:eastAsia="仿宋_GB2312" w:cs="Times New Roman"/>
          <w:b w:val="0"/>
          <w:color w:val="000000"/>
          <w:kern w:val="2"/>
          <w:sz w:val="32"/>
          <w:szCs w:val="32"/>
          <w:lang w:val="en-US" w:eastAsia="zh-CN" w:bidi="ar-SA"/>
        </w:rPr>
      </w:pPr>
      <w:r>
        <w:rPr>
          <w:rFonts w:hint="eastAsia" w:ascii="Times New Roman" w:hAnsi="Times New Roman" w:eastAsia="仿宋_GB2312" w:cs="Times New Roman"/>
          <w:b w:val="0"/>
          <w:color w:val="000000"/>
          <w:kern w:val="2"/>
          <w:sz w:val="32"/>
          <w:szCs w:val="32"/>
          <w:lang w:val="en-US" w:eastAsia="zh-CN" w:bidi="ar-SA"/>
        </w:rPr>
        <w:t>1.改善特困对象的生活条件，提高生活质量。</w:t>
      </w:r>
    </w:p>
    <w:p w14:paraId="19D63F78">
      <w:pPr>
        <w:pStyle w:val="6"/>
        <w:keepNext w:val="0"/>
        <w:keepLines w:val="0"/>
        <w:pageBreakBefore w:val="0"/>
        <w:widowControl w:val="0"/>
        <w:kinsoku/>
        <w:wordWrap/>
        <w:overflowPunct/>
        <w:topLinePunct w:val="0"/>
        <w:autoSpaceDE/>
        <w:autoSpaceDN/>
        <w:bidi w:val="0"/>
        <w:adjustRightInd w:val="0"/>
        <w:snapToGrid w:val="0"/>
        <w:spacing w:before="93" w:line="560" w:lineRule="exact"/>
        <w:ind w:firstLine="640" w:firstLineChars="200"/>
        <w:textAlignment w:val="auto"/>
        <w:rPr>
          <w:rFonts w:hint="eastAsia" w:ascii="Times New Roman" w:hAnsi="Times New Roman" w:eastAsia="仿宋_GB2312" w:cs="Times New Roman"/>
          <w:b w:val="0"/>
          <w:color w:val="000000"/>
          <w:kern w:val="2"/>
          <w:sz w:val="32"/>
          <w:szCs w:val="32"/>
          <w:lang w:val="zh-CN" w:eastAsia="zh-CN" w:bidi="ar-SA"/>
        </w:rPr>
      </w:pPr>
      <w:r>
        <w:rPr>
          <w:rFonts w:hint="eastAsia" w:ascii="Times New Roman" w:hAnsi="Times New Roman" w:eastAsia="仿宋_GB2312" w:cs="Times New Roman"/>
          <w:b w:val="0"/>
          <w:color w:val="000000"/>
          <w:kern w:val="2"/>
          <w:sz w:val="32"/>
          <w:szCs w:val="32"/>
          <w:lang w:val="en-US" w:eastAsia="zh-CN" w:bidi="ar-SA"/>
        </w:rPr>
        <w:t>2.保障特困对象在居住生活过程中的人身安全和财产安全。</w:t>
      </w:r>
    </w:p>
    <w:p w14:paraId="657D51D9">
      <w:pPr>
        <w:pStyle w:val="6"/>
        <w:keepNext w:val="0"/>
        <w:keepLines w:val="0"/>
        <w:pageBreakBefore w:val="0"/>
        <w:widowControl w:val="0"/>
        <w:kinsoku/>
        <w:wordWrap/>
        <w:overflowPunct/>
        <w:topLinePunct w:val="0"/>
        <w:autoSpaceDE/>
        <w:autoSpaceDN/>
        <w:bidi w:val="0"/>
        <w:adjustRightInd w:val="0"/>
        <w:snapToGrid w:val="0"/>
        <w:spacing w:before="93" w:line="560" w:lineRule="exact"/>
        <w:ind w:firstLine="640" w:firstLineChars="200"/>
        <w:textAlignment w:val="auto"/>
        <w:rPr>
          <w:rFonts w:hint="default" w:ascii="Times New Roman" w:hAnsi="Times New Roman" w:eastAsia="楷体_GB2312" w:cs="Times New Roman"/>
          <w:b/>
          <w:bCs/>
          <w:color w:val="000000"/>
          <w:kern w:val="0"/>
          <w:sz w:val="33"/>
          <w:szCs w:val="33"/>
          <w:highlight w:val="none"/>
          <w:shd w:val="clear" w:color="auto" w:fill="FFFFFF"/>
          <w:lang w:val="zh-CN"/>
        </w:rPr>
      </w:pPr>
      <w:r>
        <w:rPr>
          <w:rFonts w:hint="eastAsia" w:ascii="Times New Roman" w:hAnsi="Times New Roman" w:eastAsia="仿宋_GB2312" w:cs="Times New Roman"/>
          <w:b w:val="0"/>
          <w:color w:val="000000"/>
          <w:kern w:val="2"/>
          <w:sz w:val="32"/>
          <w:szCs w:val="32"/>
          <w:lang w:val="en-US" w:eastAsia="zh-CN" w:bidi="ar-SA"/>
        </w:rPr>
        <w:t>3.为特困对象提供一个老有所养、老有所乐、老有所学的生活平台。</w:t>
      </w:r>
    </w:p>
    <w:p w14:paraId="6344E18E">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63" w:firstLineChars="200"/>
        <w:jc w:val="both"/>
        <w:textAlignment w:val="auto"/>
        <w:rPr>
          <w:rFonts w:hint="eastAsia" w:ascii="Times New Roman" w:hAnsi="Times New Roman" w:eastAsia="楷体_GB2312" w:cs="Times New Roman"/>
          <w:b/>
          <w:bCs/>
          <w:color w:val="000000"/>
          <w:kern w:val="0"/>
          <w:sz w:val="33"/>
          <w:szCs w:val="33"/>
          <w:highlight w:val="none"/>
          <w:shd w:val="clear" w:color="auto" w:fill="FFFFFF"/>
          <w:lang w:val="zh-CN"/>
        </w:rPr>
      </w:pP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ascii="Times New Roman" w:hAnsi="Times New Roman" w:eastAsia="楷体_GB2312" w:cs="Times New Roman"/>
          <w:b/>
          <w:bCs/>
          <w:color w:val="000000"/>
          <w:kern w:val="0"/>
          <w:sz w:val="33"/>
          <w:szCs w:val="33"/>
          <w:highlight w:val="none"/>
          <w:shd w:val="clear" w:color="auto" w:fill="FFFFFF"/>
          <w:lang w:val="zh-CN"/>
        </w:rPr>
        <w:t>三</w:t>
      </w:r>
      <w:r>
        <w:rPr>
          <w:rFonts w:hint="default" w:ascii="Times New Roman" w:hAnsi="Times New Roman" w:eastAsia="楷体_GB2312" w:cs="Times New Roman"/>
          <w:b/>
          <w:bCs/>
          <w:color w:val="000000"/>
          <w:kern w:val="0"/>
          <w:sz w:val="33"/>
          <w:szCs w:val="33"/>
          <w:highlight w:val="none"/>
          <w:shd w:val="clear" w:color="auto" w:fill="FFFFFF"/>
          <w:lang w:val="zh-CN"/>
        </w:rPr>
        <w:t>）人员概况</w:t>
      </w:r>
    </w:p>
    <w:p w14:paraId="24DC3893">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cs="Times New Roman"/>
          <w:sz w:val="33"/>
          <w:szCs w:val="33"/>
          <w:lang w:val="en-US"/>
        </w:rPr>
      </w:pPr>
      <w:r>
        <w:rPr>
          <w:rFonts w:hint="default" w:ascii="Times New Roman" w:hAnsi="Times New Roman" w:eastAsia="仿宋_GB2312" w:cs="Times New Roman"/>
          <w:b w:val="0"/>
          <w:color w:val="000000"/>
          <w:kern w:val="2"/>
          <w:sz w:val="32"/>
          <w:szCs w:val="32"/>
          <w:lang w:val="en-US" w:eastAsia="zh-CN" w:bidi="ar-SA"/>
        </w:rPr>
        <w:t>截至202</w:t>
      </w:r>
      <w:r>
        <w:rPr>
          <w:rFonts w:hint="eastAsia" w:ascii="Times New Roman" w:hAnsi="Times New Roman" w:eastAsia="仿宋_GB2312" w:cs="Times New Roman"/>
          <w:b w:val="0"/>
          <w:color w:val="000000"/>
          <w:kern w:val="2"/>
          <w:sz w:val="32"/>
          <w:szCs w:val="32"/>
          <w:lang w:val="en-US" w:eastAsia="zh-CN" w:bidi="ar-SA"/>
        </w:rPr>
        <w:t>4</w:t>
      </w:r>
      <w:r>
        <w:rPr>
          <w:rFonts w:hint="default" w:ascii="Times New Roman" w:hAnsi="Times New Roman" w:eastAsia="仿宋_GB2312" w:cs="Times New Roman"/>
          <w:b w:val="0"/>
          <w:color w:val="000000"/>
          <w:kern w:val="2"/>
          <w:sz w:val="32"/>
          <w:szCs w:val="32"/>
          <w:lang w:val="en-US" w:eastAsia="zh-CN" w:bidi="ar-SA"/>
        </w:rPr>
        <w:t>年末，</w:t>
      </w:r>
      <w:r>
        <w:rPr>
          <w:rFonts w:hint="eastAsia" w:ascii="Times New Roman" w:hAnsi="Times New Roman" w:eastAsia="仿宋_GB2312" w:cs="Times New Roman"/>
          <w:b w:val="0"/>
          <w:color w:val="000000"/>
          <w:kern w:val="2"/>
          <w:sz w:val="32"/>
          <w:szCs w:val="32"/>
          <w:lang w:val="en-US" w:eastAsia="zh-CN" w:bidi="ar-SA"/>
        </w:rPr>
        <w:t>实有在职人员</w:t>
      </w:r>
      <w:r>
        <w:rPr>
          <w:rFonts w:hint="eastAsia" w:cs="Times New Roman"/>
          <w:b w:val="0"/>
          <w:color w:val="000000"/>
          <w:kern w:val="2"/>
          <w:sz w:val="32"/>
          <w:szCs w:val="32"/>
          <w:lang w:val="en-US" w:eastAsia="zh-CN" w:bidi="ar-SA"/>
        </w:rPr>
        <w:t>9</w:t>
      </w:r>
      <w:r>
        <w:rPr>
          <w:rFonts w:hint="eastAsia" w:ascii="Times New Roman" w:hAnsi="Times New Roman" w:eastAsia="仿宋_GB2312" w:cs="Times New Roman"/>
          <w:b w:val="0"/>
          <w:color w:val="000000"/>
          <w:kern w:val="2"/>
          <w:sz w:val="32"/>
          <w:szCs w:val="32"/>
          <w:lang w:val="en-US" w:eastAsia="zh-CN" w:bidi="ar-SA"/>
        </w:rPr>
        <w:t>人，其中</w:t>
      </w:r>
      <w:r>
        <w:rPr>
          <w:rFonts w:hint="default" w:ascii="Times New Roman" w:hAnsi="Times New Roman" w:eastAsia="仿宋_GB2312" w:cs="Times New Roman"/>
          <w:b w:val="0"/>
          <w:color w:val="000000"/>
          <w:kern w:val="2"/>
          <w:sz w:val="32"/>
          <w:szCs w:val="32"/>
          <w:lang w:val="en-US" w:eastAsia="zh-CN" w:bidi="ar-SA"/>
        </w:rPr>
        <w:t>事业编制</w:t>
      </w:r>
      <w:r>
        <w:rPr>
          <w:rFonts w:hint="eastAsia" w:ascii="Times New Roman" w:hAnsi="Times New Roman" w:eastAsia="仿宋_GB2312" w:cs="Times New Roman"/>
          <w:b w:val="0"/>
          <w:color w:val="000000"/>
          <w:kern w:val="2"/>
          <w:sz w:val="32"/>
          <w:szCs w:val="32"/>
          <w:lang w:val="en-US" w:eastAsia="zh-CN" w:bidi="ar-SA"/>
        </w:rPr>
        <w:t>4</w:t>
      </w:r>
      <w:r>
        <w:rPr>
          <w:rFonts w:hint="default" w:ascii="Times New Roman" w:hAnsi="Times New Roman" w:eastAsia="仿宋_GB2312" w:cs="Times New Roman"/>
          <w:b w:val="0"/>
          <w:color w:val="000000"/>
          <w:kern w:val="2"/>
          <w:sz w:val="32"/>
          <w:szCs w:val="32"/>
          <w:lang w:val="en-US" w:eastAsia="zh-CN" w:bidi="ar-SA"/>
        </w:rPr>
        <w:t>人</w:t>
      </w:r>
      <w:r>
        <w:rPr>
          <w:rFonts w:hint="eastAsia" w:eastAsia="仿宋_GB2312" w:cs="Times New Roman"/>
          <w:b w:val="0"/>
          <w:color w:val="000000"/>
          <w:kern w:val="2"/>
          <w:sz w:val="32"/>
          <w:szCs w:val="32"/>
          <w:lang w:val="en-US" w:eastAsia="zh-CN" w:bidi="ar-SA"/>
        </w:rPr>
        <w:t>，临聘人员5人</w:t>
      </w:r>
      <w:r>
        <w:rPr>
          <w:rFonts w:hint="eastAsia" w:cs="Times New Roman"/>
          <w:b w:val="0"/>
          <w:color w:val="000000"/>
          <w:kern w:val="2"/>
          <w:sz w:val="32"/>
          <w:szCs w:val="32"/>
          <w:lang w:val="en-US" w:eastAsia="zh-CN" w:bidi="ar-SA"/>
        </w:rPr>
        <w:t>。</w:t>
      </w:r>
    </w:p>
    <w:p w14:paraId="61C5E190">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eastAsia="黑体" w:cs="Times New Roman"/>
          <w:color w:val="000000"/>
          <w:kern w:val="0"/>
          <w:sz w:val="33"/>
          <w:szCs w:val="33"/>
          <w:highlight w:val="none"/>
          <w:shd w:val="clear" w:color="auto" w:fill="FFFFFF"/>
        </w:rPr>
      </w:pPr>
      <w:r>
        <w:rPr>
          <w:rFonts w:hint="default" w:ascii="Times New Roman" w:hAnsi="Times New Roman" w:eastAsia="黑体" w:cs="Times New Roman"/>
          <w:color w:val="000000"/>
          <w:kern w:val="0"/>
          <w:sz w:val="33"/>
          <w:szCs w:val="33"/>
          <w:highlight w:val="none"/>
          <w:shd w:val="clear" w:color="auto" w:fill="FFFFFF"/>
        </w:rPr>
        <w:t>二、</w:t>
      </w:r>
      <w:r>
        <w:rPr>
          <w:rFonts w:hint="default" w:ascii="Times New Roman" w:hAnsi="Times New Roman" w:eastAsia="黑体" w:cs="Times New Roman"/>
          <w:color w:val="000000"/>
          <w:kern w:val="0"/>
          <w:sz w:val="33"/>
          <w:szCs w:val="33"/>
          <w:highlight w:val="none"/>
          <w:shd w:val="clear" w:color="auto" w:fill="FFFFFF"/>
          <w:lang w:eastAsia="zh-CN"/>
        </w:rPr>
        <w:t>部门</w:t>
      </w:r>
      <w:r>
        <w:rPr>
          <w:rFonts w:hint="default" w:ascii="Times New Roman" w:hAnsi="Times New Roman" w:eastAsia="黑体" w:cs="Times New Roman"/>
          <w:color w:val="000000"/>
          <w:kern w:val="0"/>
          <w:sz w:val="33"/>
          <w:szCs w:val="33"/>
          <w:highlight w:val="none"/>
          <w:shd w:val="clear" w:color="auto" w:fill="FFFFFF"/>
        </w:rPr>
        <w:t>资金收支情况</w:t>
      </w:r>
    </w:p>
    <w:p w14:paraId="14D45CCD">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3" w:firstLineChars="200"/>
        <w:contextualSpacing/>
        <w:jc w:val="both"/>
        <w:textAlignment w:val="auto"/>
        <w:outlineLvl w:val="9"/>
        <w:rPr>
          <w:rFonts w:hint="default" w:ascii="Times New Roman" w:hAnsi="Times New Roman" w:eastAsia="楷体_GB2312" w:cs="Times New Roman"/>
          <w:b/>
          <w:bCs/>
          <w:color w:val="000000"/>
          <w:kern w:val="0"/>
          <w:sz w:val="33"/>
          <w:szCs w:val="33"/>
          <w:highlight w:val="none"/>
          <w:shd w:val="clear" w:color="auto" w:fill="FFFFFF"/>
          <w:lang w:val="zh-CN"/>
        </w:rPr>
      </w:pPr>
      <w:r>
        <w:rPr>
          <w:rFonts w:hint="default" w:ascii="Times New Roman" w:hAnsi="Times New Roman" w:eastAsia="楷体_GB2312" w:cs="Times New Roman"/>
          <w:b/>
          <w:bCs/>
          <w:color w:val="000000"/>
          <w:kern w:val="0"/>
          <w:sz w:val="33"/>
          <w:szCs w:val="33"/>
          <w:highlight w:val="none"/>
          <w:shd w:val="clear" w:color="auto" w:fill="FFFFFF"/>
          <w:lang w:val="zh-CN"/>
        </w:rPr>
        <w:t>（一）</w:t>
      </w:r>
      <w:r>
        <w:rPr>
          <w:rFonts w:hint="eastAsia" w:ascii="Times New Roman" w:hAnsi="Times New Roman" w:eastAsia="楷体_GB2312" w:cs="Times New Roman"/>
          <w:b/>
          <w:bCs/>
          <w:color w:val="000000"/>
          <w:kern w:val="0"/>
          <w:sz w:val="33"/>
          <w:szCs w:val="33"/>
          <w:highlight w:val="none"/>
          <w:shd w:val="clear" w:color="auto" w:fill="FFFFFF"/>
          <w:lang w:val="zh-CN"/>
        </w:rPr>
        <w:t>收入情况</w:t>
      </w:r>
    </w:p>
    <w:p w14:paraId="1CDCD86C">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rPr>
          <w:rFonts w:hint="eastAsia" w:ascii="Times New Roman" w:hAnsi="Times New Roman" w:eastAsia="仿宋_GB2312" w:cs="Times New Roman"/>
          <w:b w:val="0"/>
          <w:color w:val="000000"/>
          <w:kern w:val="2"/>
          <w:sz w:val="32"/>
          <w:szCs w:val="32"/>
          <w:lang w:val="en-US" w:eastAsia="zh-CN" w:bidi="ar-SA"/>
        </w:rPr>
      </w:pPr>
      <w:r>
        <w:rPr>
          <w:rFonts w:hint="default" w:ascii="Times New Roman" w:hAnsi="Times New Roman" w:eastAsia="仿宋_GB2312" w:cs="Times New Roman"/>
          <w:b w:val="0"/>
          <w:color w:val="000000"/>
          <w:kern w:val="2"/>
          <w:sz w:val="32"/>
          <w:szCs w:val="32"/>
          <w:lang w:val="en-US" w:eastAsia="zh-CN" w:bidi="ar-SA"/>
        </w:rPr>
        <w:t>202</w:t>
      </w:r>
      <w:r>
        <w:rPr>
          <w:rFonts w:hint="eastAsia" w:ascii="Times New Roman" w:hAnsi="Times New Roman" w:eastAsia="仿宋_GB2312" w:cs="Times New Roman"/>
          <w:b w:val="0"/>
          <w:color w:val="000000"/>
          <w:kern w:val="2"/>
          <w:sz w:val="32"/>
          <w:szCs w:val="32"/>
          <w:lang w:val="en-US" w:eastAsia="zh-CN" w:bidi="ar-SA"/>
        </w:rPr>
        <w:t>4年，我单位预算总收入</w:t>
      </w:r>
      <w:r>
        <w:rPr>
          <w:rFonts w:hint="default" w:ascii="Times New Roman" w:hAnsi="Times New Roman" w:eastAsia="仿宋_GB2312" w:cs="Times New Roman"/>
          <w:b w:val="0"/>
          <w:color w:val="000000"/>
          <w:kern w:val="2"/>
          <w:sz w:val="32"/>
          <w:szCs w:val="32"/>
          <w:lang w:val="en-US" w:eastAsia="zh-CN" w:bidi="ar-SA"/>
        </w:rPr>
        <w:t>146.55</w:t>
      </w:r>
      <w:r>
        <w:rPr>
          <w:rFonts w:hint="eastAsia" w:ascii="Times New Roman" w:hAnsi="Times New Roman" w:eastAsia="仿宋_GB2312" w:cs="Times New Roman"/>
          <w:b w:val="0"/>
          <w:color w:val="000000"/>
          <w:kern w:val="2"/>
          <w:sz w:val="32"/>
          <w:szCs w:val="32"/>
          <w:lang w:val="en-US" w:eastAsia="zh-CN" w:bidi="ar-SA"/>
        </w:rPr>
        <w:t>万元，其中：年初预算收入数145.78万元，预算执行中期调增预算数0.77万元，调整后全年预算收入数</w:t>
      </w:r>
      <w:r>
        <w:rPr>
          <w:rFonts w:hint="default" w:ascii="Times New Roman" w:hAnsi="Times New Roman" w:eastAsia="仿宋_GB2312" w:cs="Times New Roman"/>
          <w:b w:val="0"/>
          <w:color w:val="000000"/>
          <w:kern w:val="2"/>
          <w:sz w:val="32"/>
          <w:szCs w:val="32"/>
          <w:lang w:val="en-US" w:eastAsia="zh-CN" w:bidi="ar-SA"/>
        </w:rPr>
        <w:t>146.55</w:t>
      </w:r>
      <w:r>
        <w:rPr>
          <w:rFonts w:hint="eastAsia" w:ascii="Times New Roman" w:hAnsi="Times New Roman" w:eastAsia="仿宋_GB2312" w:cs="Times New Roman"/>
          <w:b w:val="0"/>
          <w:color w:val="000000"/>
          <w:kern w:val="2"/>
          <w:sz w:val="32"/>
          <w:szCs w:val="32"/>
          <w:lang w:val="en-US" w:eastAsia="zh-CN" w:bidi="ar-SA"/>
        </w:rPr>
        <w:t>万元，其中：一般公共预算财政拨款收入</w:t>
      </w:r>
      <w:r>
        <w:rPr>
          <w:rFonts w:hint="default" w:ascii="Times New Roman" w:hAnsi="Times New Roman" w:eastAsia="仿宋_GB2312" w:cs="Times New Roman"/>
          <w:b w:val="0"/>
          <w:color w:val="000000"/>
          <w:kern w:val="2"/>
          <w:sz w:val="32"/>
          <w:szCs w:val="32"/>
          <w:lang w:val="en-US" w:eastAsia="zh-CN" w:bidi="ar-SA"/>
        </w:rPr>
        <w:t>146.55</w:t>
      </w:r>
      <w:r>
        <w:rPr>
          <w:rFonts w:hint="eastAsia" w:ascii="Times New Roman" w:hAnsi="Times New Roman" w:eastAsia="仿宋_GB2312" w:cs="Times New Roman"/>
          <w:b w:val="0"/>
          <w:color w:val="000000"/>
          <w:kern w:val="2"/>
          <w:sz w:val="32"/>
          <w:szCs w:val="32"/>
          <w:lang w:val="en-US" w:eastAsia="zh-CN" w:bidi="ar-SA"/>
        </w:rPr>
        <w:t>万元，其他收入来源0万元。部门收入情况详见表</w:t>
      </w:r>
      <w:r>
        <w:rPr>
          <w:rFonts w:hint="default" w:ascii="Times New Roman" w:hAnsi="Times New Roman" w:eastAsia="仿宋_GB2312" w:cs="Times New Roman"/>
          <w:b w:val="0"/>
          <w:color w:val="000000"/>
          <w:kern w:val="2"/>
          <w:sz w:val="32"/>
          <w:szCs w:val="32"/>
          <w:lang w:val="en-US" w:eastAsia="zh-CN" w:bidi="ar-SA"/>
        </w:rPr>
        <w:t>2</w:t>
      </w:r>
      <w:r>
        <w:rPr>
          <w:rFonts w:hint="eastAsia" w:ascii="Times New Roman" w:hAnsi="Times New Roman" w:eastAsia="仿宋_GB2312" w:cs="Times New Roman"/>
          <w:b w:val="0"/>
          <w:color w:val="000000"/>
          <w:kern w:val="2"/>
          <w:sz w:val="32"/>
          <w:szCs w:val="32"/>
          <w:lang w:val="en-US" w:eastAsia="zh-CN" w:bidi="ar-SA"/>
        </w:rPr>
        <w:t>-</w:t>
      </w:r>
      <w:r>
        <w:rPr>
          <w:rFonts w:hint="default" w:ascii="Times New Roman" w:hAnsi="Times New Roman" w:eastAsia="仿宋_GB2312" w:cs="Times New Roman"/>
          <w:b w:val="0"/>
          <w:color w:val="000000"/>
          <w:kern w:val="2"/>
          <w:sz w:val="32"/>
          <w:szCs w:val="32"/>
          <w:lang w:val="en-US" w:eastAsia="zh-CN" w:bidi="ar-SA"/>
        </w:rPr>
        <w:t>1</w:t>
      </w:r>
      <w:r>
        <w:rPr>
          <w:rFonts w:hint="eastAsia" w:cs="Times New Roman"/>
          <w:b w:val="0"/>
          <w:color w:val="000000"/>
          <w:kern w:val="2"/>
          <w:sz w:val="32"/>
          <w:szCs w:val="32"/>
          <w:lang w:val="en-US" w:eastAsia="zh-CN" w:bidi="ar-SA"/>
        </w:rPr>
        <w:t>：</w:t>
      </w:r>
    </w:p>
    <w:p w14:paraId="3616C0AC">
      <w:pPr>
        <w:snapToGrid w:val="0"/>
        <w:spacing w:line="600" w:lineRule="exact"/>
        <w:jc w:val="center"/>
        <w:rPr>
          <w:rFonts w:hint="eastAsia" w:ascii="仿宋" w:hAnsi="仿宋" w:eastAsia="仿宋" w:cs="仿宋"/>
          <w:b/>
          <w:bCs/>
          <w:sz w:val="28"/>
          <w:szCs w:val="28"/>
        </w:rPr>
      </w:pPr>
      <w:r>
        <w:rPr>
          <w:rFonts w:hint="eastAsia" w:ascii="Times New Roman" w:hAnsi="Times New Roman" w:eastAsia="仿宋" w:cs="仿宋"/>
          <w:b/>
          <w:bCs/>
          <w:sz w:val="28"/>
          <w:szCs w:val="28"/>
        </w:rPr>
        <w:t>表</w:t>
      </w:r>
      <w:r>
        <w:rPr>
          <w:rFonts w:hint="eastAsia" w:ascii="Times New Roman" w:hAnsi="Times New Roman" w:eastAsia="仿宋" w:cs="仿宋"/>
          <w:b w:val="0"/>
          <w:bCs w:val="0"/>
          <w:sz w:val="28"/>
          <w:szCs w:val="28"/>
        </w:rPr>
        <w:t>2</w:t>
      </w:r>
      <w:r>
        <w:rPr>
          <w:rFonts w:hint="eastAsia" w:ascii="Times New Roman" w:hAnsi="Times New Roman" w:eastAsia="仿宋" w:cs="仿宋"/>
          <w:b/>
          <w:bCs/>
          <w:sz w:val="28"/>
          <w:szCs w:val="28"/>
        </w:rPr>
        <w:t>-</w:t>
      </w:r>
      <w:r>
        <w:rPr>
          <w:rFonts w:hint="eastAsia" w:ascii="Times New Roman" w:hAnsi="Times New Roman" w:eastAsia="仿宋" w:cs="仿宋"/>
          <w:b w:val="0"/>
          <w:bCs w:val="0"/>
          <w:sz w:val="28"/>
          <w:szCs w:val="28"/>
        </w:rPr>
        <w:t>1</w:t>
      </w:r>
      <w:r>
        <w:rPr>
          <w:rFonts w:hint="eastAsia" w:ascii="仿宋" w:hAnsi="仿宋" w:eastAsia="仿宋" w:cs="仿宋"/>
          <w:b/>
          <w:bCs/>
          <w:sz w:val="28"/>
          <w:szCs w:val="28"/>
        </w:rPr>
        <w:t xml:space="preserve"> 部门收入情况表</w:t>
      </w:r>
    </w:p>
    <w:p w14:paraId="0A4A38FF">
      <w:pPr>
        <w:snapToGrid w:val="0"/>
        <w:spacing w:line="600" w:lineRule="exact"/>
        <w:jc w:val="right"/>
        <w:rPr>
          <w:rFonts w:hint="eastAsia" w:ascii="仿宋" w:hAnsi="仿宋" w:eastAsia="仿宋" w:cs="仿宋"/>
          <w:b/>
          <w:bCs/>
          <w:sz w:val="15"/>
          <w:szCs w:val="15"/>
        </w:rPr>
      </w:pPr>
      <w:r>
        <w:rPr>
          <w:rFonts w:hint="eastAsia" w:ascii="仿宋" w:hAnsi="仿宋" w:eastAsia="仿宋" w:cs="仿宋"/>
          <w:b/>
          <w:bCs/>
          <w:sz w:val="24"/>
          <w:szCs w:val="24"/>
        </w:rPr>
        <w:t>单位：万元</w:t>
      </w:r>
    </w:p>
    <w:tbl>
      <w:tblPr>
        <w:tblStyle w:val="1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83"/>
        <w:gridCol w:w="1741"/>
        <w:gridCol w:w="1425"/>
        <w:gridCol w:w="1568"/>
      </w:tblGrid>
      <w:tr w14:paraId="23CA0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7" w:hRule="atLeast"/>
        </w:trPr>
        <w:tc>
          <w:tcPr>
            <w:tcW w:w="2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03F54">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资金类型</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6992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年初预算数</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CE7B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全年预算数</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2B98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占比</w:t>
            </w:r>
          </w:p>
        </w:tc>
      </w:tr>
      <w:tr w14:paraId="1D3A0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7" w:hRule="atLeast"/>
        </w:trPr>
        <w:tc>
          <w:tcPr>
            <w:tcW w:w="2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7998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一、一般公共预算财政拨款收入</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07B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145.78</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A1C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146.55</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7D6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100.00%</w:t>
            </w:r>
          </w:p>
        </w:tc>
      </w:tr>
      <w:tr w14:paraId="2E2FB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7" w:hRule="atLeast"/>
        </w:trPr>
        <w:tc>
          <w:tcPr>
            <w:tcW w:w="2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4068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二、政府性基金预算财政拨款收入</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91B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071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1ED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14:paraId="679D1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7" w:hRule="atLeast"/>
        </w:trPr>
        <w:tc>
          <w:tcPr>
            <w:tcW w:w="2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E42F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三、国有资本经营预算财政拨款收入</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4D2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CAE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106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14:paraId="11989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7" w:hRule="atLeast"/>
        </w:trPr>
        <w:tc>
          <w:tcPr>
            <w:tcW w:w="2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03BB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四、其他收入</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122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054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71F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14:paraId="44C0B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7" w:hRule="atLeast"/>
        </w:trPr>
        <w:tc>
          <w:tcPr>
            <w:tcW w:w="2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0FF7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合计</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1767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145.78</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DA6E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146.55</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F354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100.00%</w:t>
            </w:r>
          </w:p>
        </w:tc>
      </w:tr>
    </w:tbl>
    <w:p w14:paraId="334523A2">
      <w:pPr>
        <w:pStyle w:val="20"/>
        <w:rPr>
          <w:rFonts w:hint="default"/>
          <w:lang w:val="en-US" w:eastAsia="zh-CN"/>
        </w:rPr>
      </w:pPr>
    </w:p>
    <w:p w14:paraId="6424951C">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3" w:firstLineChars="200"/>
        <w:contextualSpacing/>
        <w:jc w:val="both"/>
        <w:textAlignment w:val="auto"/>
        <w:outlineLvl w:val="9"/>
        <w:rPr>
          <w:rFonts w:hint="default" w:ascii="Times New Roman" w:hAnsi="Times New Roman" w:eastAsia="楷体_GB2312" w:cs="Times New Roman"/>
          <w:b/>
          <w:bCs/>
          <w:color w:val="000000"/>
          <w:kern w:val="0"/>
          <w:sz w:val="33"/>
          <w:szCs w:val="33"/>
          <w:highlight w:val="none"/>
          <w:shd w:val="clear" w:color="auto" w:fill="FFFFFF"/>
          <w:lang w:val="zh-CN"/>
        </w:rPr>
      </w:pP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ascii="Times New Roman" w:hAnsi="Times New Roman" w:eastAsia="楷体_GB2312" w:cs="Times New Roman"/>
          <w:b/>
          <w:bCs/>
          <w:color w:val="000000"/>
          <w:kern w:val="0"/>
          <w:sz w:val="33"/>
          <w:szCs w:val="33"/>
          <w:highlight w:val="none"/>
          <w:shd w:val="clear" w:color="auto" w:fill="FFFFFF"/>
          <w:lang w:val="zh-CN"/>
        </w:rPr>
        <w:t>二</w:t>
      </w: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ascii="Times New Roman" w:hAnsi="Times New Roman" w:eastAsia="楷体_GB2312" w:cs="Times New Roman"/>
          <w:b/>
          <w:bCs/>
          <w:color w:val="000000"/>
          <w:kern w:val="0"/>
          <w:sz w:val="33"/>
          <w:szCs w:val="33"/>
          <w:highlight w:val="none"/>
          <w:shd w:val="clear" w:color="auto" w:fill="FFFFFF"/>
          <w:lang w:val="zh-CN"/>
        </w:rPr>
        <w:t>支出情况</w:t>
      </w:r>
    </w:p>
    <w:p w14:paraId="2F28A52B">
      <w:pPr>
        <w:keepNext w:val="0"/>
        <w:keepLines w:val="0"/>
        <w:pageBreakBefore w:val="0"/>
        <w:widowControl/>
        <w:kinsoku/>
        <w:wordWrap/>
        <w:overflowPunct/>
        <w:topLinePunct w:val="0"/>
        <w:autoSpaceDE/>
        <w:autoSpaceDN/>
        <w:bidi w:val="0"/>
        <w:adjustRightInd/>
        <w:snapToGrid/>
        <w:spacing w:line="590" w:lineRule="exact"/>
        <w:ind w:right="0" w:rightChars="0" w:firstLine="640" w:firstLineChars="200"/>
        <w:contextualSpacing/>
        <w:jc w:val="both"/>
        <w:textAlignment w:val="auto"/>
        <w:outlineLvl w:val="9"/>
        <w:rPr>
          <w:rFonts w:hint="eastAsia" w:eastAsia="方正仿宋_GBK" w:cs="Times New Roman"/>
          <w:b w:val="0"/>
          <w:bCs w:val="0"/>
          <w:lang w:val="en-US" w:eastAsia="zh-CN"/>
        </w:rPr>
      </w:pPr>
      <w:r>
        <w:rPr>
          <w:rFonts w:hint="default" w:ascii="Times New Roman" w:hAnsi="Times New Roman" w:eastAsia="仿宋_GB2312" w:cs="Times New Roman"/>
          <w:b w:val="0"/>
          <w:color w:val="000000"/>
          <w:kern w:val="2"/>
          <w:sz w:val="32"/>
          <w:szCs w:val="32"/>
          <w:lang w:val="en-US" w:eastAsia="zh-CN" w:bidi="ar-SA"/>
        </w:rPr>
        <w:t>202</w:t>
      </w:r>
      <w:r>
        <w:rPr>
          <w:rFonts w:hint="eastAsia" w:ascii="Times New Roman" w:hAnsi="Times New Roman" w:eastAsia="仿宋_GB2312" w:cs="Times New Roman"/>
          <w:b w:val="0"/>
          <w:color w:val="000000"/>
          <w:kern w:val="2"/>
          <w:sz w:val="32"/>
          <w:szCs w:val="32"/>
          <w:lang w:val="en-US" w:eastAsia="zh-CN" w:bidi="ar-SA"/>
        </w:rPr>
        <w:t>4年，我单位全年支出预算、决算报表支出总额均为</w:t>
      </w:r>
      <w:r>
        <w:rPr>
          <w:rFonts w:hint="default" w:ascii="Times New Roman" w:hAnsi="Times New Roman" w:eastAsia="仿宋_GB2312" w:cs="Times New Roman"/>
          <w:b w:val="0"/>
          <w:color w:val="000000"/>
          <w:kern w:val="2"/>
          <w:sz w:val="32"/>
          <w:szCs w:val="32"/>
          <w:lang w:val="en-US" w:eastAsia="zh-CN" w:bidi="ar-SA"/>
        </w:rPr>
        <w:t>146.55</w:t>
      </w:r>
      <w:r>
        <w:rPr>
          <w:rFonts w:hint="eastAsia" w:ascii="Times New Roman" w:hAnsi="Times New Roman" w:eastAsia="仿宋_GB2312" w:cs="Times New Roman"/>
          <w:b w:val="0"/>
          <w:color w:val="000000"/>
          <w:kern w:val="2"/>
          <w:sz w:val="32"/>
          <w:szCs w:val="32"/>
          <w:lang w:val="en-US" w:eastAsia="zh-CN" w:bidi="ar-SA"/>
        </w:rPr>
        <w:t>万元，其中：基本支出决算数96</w:t>
      </w:r>
      <w:r>
        <w:rPr>
          <w:rFonts w:hint="default" w:ascii="Times New Roman" w:hAnsi="Times New Roman" w:eastAsia="仿宋_GB2312" w:cs="Times New Roman"/>
          <w:b w:val="0"/>
          <w:color w:val="000000"/>
          <w:kern w:val="2"/>
          <w:sz w:val="32"/>
          <w:szCs w:val="32"/>
          <w:lang w:val="en-US" w:eastAsia="zh-CN" w:bidi="ar-SA"/>
        </w:rPr>
        <w:t>.55</w:t>
      </w:r>
      <w:r>
        <w:rPr>
          <w:rFonts w:hint="eastAsia" w:ascii="Times New Roman" w:hAnsi="Times New Roman" w:eastAsia="仿宋_GB2312" w:cs="Times New Roman"/>
          <w:b w:val="0"/>
          <w:color w:val="000000"/>
          <w:kern w:val="2"/>
          <w:sz w:val="32"/>
          <w:szCs w:val="32"/>
          <w:lang w:val="en-US" w:eastAsia="zh-CN" w:bidi="ar-SA"/>
        </w:rPr>
        <w:t>万元（其中：人员经费支出89.63万元，公用经费支出6.92万元），项目支出决算数50万元。部门支出情况详见表</w:t>
      </w:r>
      <w:r>
        <w:rPr>
          <w:rFonts w:hint="default" w:ascii="Times New Roman" w:hAnsi="Times New Roman" w:eastAsia="仿宋_GB2312" w:cs="Times New Roman"/>
          <w:b w:val="0"/>
          <w:color w:val="000000"/>
          <w:kern w:val="2"/>
          <w:sz w:val="32"/>
          <w:szCs w:val="32"/>
          <w:lang w:val="en-US" w:eastAsia="zh-CN" w:bidi="ar-SA"/>
        </w:rPr>
        <w:t>2</w:t>
      </w:r>
      <w:r>
        <w:rPr>
          <w:rFonts w:hint="eastAsia" w:ascii="Times New Roman" w:hAnsi="Times New Roman" w:eastAsia="仿宋_GB2312" w:cs="Times New Roman"/>
          <w:b w:val="0"/>
          <w:color w:val="000000"/>
          <w:kern w:val="2"/>
          <w:sz w:val="32"/>
          <w:szCs w:val="32"/>
          <w:lang w:val="en-US" w:eastAsia="zh-CN" w:bidi="ar-SA"/>
        </w:rPr>
        <w:t>-</w:t>
      </w:r>
      <w:r>
        <w:rPr>
          <w:rFonts w:hint="default" w:ascii="Times New Roman" w:hAnsi="Times New Roman" w:eastAsia="仿宋_GB2312" w:cs="Times New Roman"/>
          <w:b w:val="0"/>
          <w:color w:val="000000"/>
          <w:kern w:val="2"/>
          <w:sz w:val="32"/>
          <w:szCs w:val="32"/>
          <w:lang w:val="en-US" w:eastAsia="zh-CN" w:bidi="ar-SA"/>
        </w:rPr>
        <w:t>2</w:t>
      </w:r>
      <w:r>
        <w:rPr>
          <w:rFonts w:hint="eastAsia" w:ascii="Times New Roman" w:hAnsi="Times New Roman" w:eastAsia="仿宋_GB2312" w:cs="Times New Roman"/>
          <w:b w:val="0"/>
          <w:color w:val="000000"/>
          <w:kern w:val="2"/>
          <w:sz w:val="32"/>
          <w:szCs w:val="32"/>
          <w:lang w:val="en-US" w:eastAsia="zh-CN" w:bidi="ar-SA"/>
        </w:rPr>
        <w:t>：</w:t>
      </w:r>
    </w:p>
    <w:p w14:paraId="6BBC4F0B">
      <w:pPr>
        <w:snapToGrid w:val="0"/>
        <w:spacing w:line="600" w:lineRule="exact"/>
        <w:jc w:val="center"/>
        <w:rPr>
          <w:rFonts w:hint="eastAsia" w:ascii="方正仿宋_GBK" w:hAnsi="方正仿宋_GBK" w:eastAsia="方正仿宋_GBK" w:cs="方正仿宋_GBK"/>
          <w:b/>
          <w:bCs/>
          <w:sz w:val="28"/>
          <w:szCs w:val="28"/>
        </w:rPr>
      </w:pPr>
      <w:r>
        <w:rPr>
          <w:rFonts w:hint="eastAsia" w:ascii="仿宋" w:hAnsi="仿宋" w:eastAsia="仿宋" w:cs="仿宋"/>
          <w:b/>
          <w:bCs/>
          <w:sz w:val="28"/>
          <w:szCs w:val="28"/>
        </w:rPr>
        <w:t>表</w:t>
      </w:r>
      <w:r>
        <w:rPr>
          <w:rFonts w:hint="default" w:ascii="仿宋" w:hAnsi="仿宋" w:eastAsia="仿宋" w:cs="仿宋"/>
          <w:b/>
          <w:bCs/>
          <w:sz w:val="28"/>
          <w:szCs w:val="28"/>
        </w:rPr>
        <w:t>2</w:t>
      </w:r>
      <w:r>
        <w:rPr>
          <w:rFonts w:hint="eastAsia" w:ascii="仿宋" w:hAnsi="仿宋" w:eastAsia="仿宋" w:cs="仿宋"/>
          <w:b/>
          <w:bCs/>
          <w:sz w:val="28"/>
          <w:szCs w:val="28"/>
        </w:rPr>
        <w:t>-</w:t>
      </w:r>
      <w:r>
        <w:rPr>
          <w:rFonts w:hint="default" w:ascii="仿宋" w:hAnsi="仿宋" w:eastAsia="仿宋" w:cs="仿宋"/>
          <w:b/>
          <w:bCs/>
          <w:sz w:val="28"/>
          <w:szCs w:val="28"/>
        </w:rPr>
        <w:t>2</w:t>
      </w:r>
      <w:r>
        <w:rPr>
          <w:rFonts w:hint="eastAsia" w:ascii="仿宋" w:hAnsi="仿宋" w:eastAsia="仿宋" w:cs="仿宋"/>
          <w:b/>
          <w:bCs/>
          <w:sz w:val="28"/>
          <w:szCs w:val="28"/>
        </w:rPr>
        <w:t xml:space="preserve"> 部门支出情况表</w:t>
      </w:r>
    </w:p>
    <w:p w14:paraId="048DA544">
      <w:pPr>
        <w:snapToGrid w:val="0"/>
        <w:spacing w:line="600" w:lineRule="exact"/>
        <w:ind w:firstLine="631"/>
        <w:jc w:val="right"/>
        <w:rPr>
          <w:rFonts w:hint="eastAsia" w:ascii="方正仿宋_GBK" w:hAnsi="方正仿宋_GBK" w:eastAsia="方正仿宋_GBK" w:cs="方正仿宋_GBK"/>
          <w:b/>
          <w:bCs/>
          <w:sz w:val="24"/>
          <w:szCs w:val="24"/>
        </w:rPr>
      </w:pPr>
      <w:r>
        <w:rPr>
          <w:rFonts w:hint="eastAsia" w:ascii="仿宋" w:hAnsi="仿宋" w:eastAsia="仿宋" w:cs="仿宋"/>
          <w:b/>
          <w:bCs/>
          <w:sz w:val="24"/>
          <w:szCs w:val="24"/>
        </w:rPr>
        <w:t>单位：万元</w:t>
      </w:r>
    </w:p>
    <w:tbl>
      <w:tblPr>
        <w:tblStyle w:val="1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59"/>
        <w:gridCol w:w="1569"/>
        <w:gridCol w:w="1794"/>
        <w:gridCol w:w="1494"/>
        <w:gridCol w:w="1501"/>
      </w:tblGrid>
      <w:tr w14:paraId="6A90B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3F33B">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类型</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B4D6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年初预算数</w:t>
            </w:r>
          </w:p>
        </w:tc>
        <w:tc>
          <w:tcPr>
            <w:tcW w:w="10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7369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调整预算数</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48B6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决算数</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0589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预算执行率</w:t>
            </w:r>
          </w:p>
        </w:tc>
      </w:tr>
      <w:tr w14:paraId="796BC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450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一、基本支出</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BE1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95.78 </w:t>
            </w:r>
          </w:p>
        </w:tc>
        <w:tc>
          <w:tcPr>
            <w:tcW w:w="10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075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96.55 </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597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96.55 </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5BE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100.00%</w:t>
            </w:r>
          </w:p>
        </w:tc>
      </w:tr>
      <w:tr w14:paraId="39113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113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人员经费</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8C1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89.15 </w:t>
            </w:r>
          </w:p>
        </w:tc>
        <w:tc>
          <w:tcPr>
            <w:tcW w:w="10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1F9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89.63 </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7B1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89.63 </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236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100.00%</w:t>
            </w:r>
          </w:p>
        </w:tc>
      </w:tr>
      <w:tr w14:paraId="1BCC7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A0F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公用经费</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0F6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6.63 </w:t>
            </w:r>
          </w:p>
        </w:tc>
        <w:tc>
          <w:tcPr>
            <w:tcW w:w="10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9AE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6.92 </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104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6.92 </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C83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100.00%</w:t>
            </w:r>
          </w:p>
        </w:tc>
      </w:tr>
      <w:tr w14:paraId="35F4A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C5C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二、项目支出</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0F3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50.00 </w:t>
            </w:r>
          </w:p>
        </w:tc>
        <w:tc>
          <w:tcPr>
            <w:tcW w:w="10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49C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50.00 </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B53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50.00 </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E7A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100.00%</w:t>
            </w:r>
          </w:p>
        </w:tc>
      </w:tr>
      <w:tr w14:paraId="74735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4B46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合计</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CE5E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 xml:space="preserve">145.78 </w:t>
            </w:r>
          </w:p>
        </w:tc>
        <w:tc>
          <w:tcPr>
            <w:tcW w:w="10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8714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 xml:space="preserve">146.55 </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9D52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 xml:space="preserve">146.55 </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D2CD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100.00%</w:t>
            </w:r>
          </w:p>
        </w:tc>
      </w:tr>
    </w:tbl>
    <w:p w14:paraId="54C2EBC6">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3" w:firstLineChars="200"/>
        <w:contextualSpacing/>
        <w:jc w:val="both"/>
        <w:textAlignment w:val="auto"/>
        <w:outlineLvl w:val="9"/>
        <w:rPr>
          <w:rFonts w:hint="eastAsia" w:ascii="Times New Roman" w:hAnsi="Times New Roman" w:eastAsia="楷体_GB2312" w:cs="Times New Roman"/>
          <w:b/>
          <w:sz w:val="33"/>
          <w:szCs w:val="33"/>
          <w:lang w:eastAsia="zh-CN"/>
        </w:rPr>
      </w:pP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ascii="Times New Roman" w:hAnsi="Times New Roman" w:eastAsia="楷体_GB2312" w:cs="Times New Roman"/>
          <w:b/>
          <w:bCs/>
          <w:color w:val="000000"/>
          <w:kern w:val="0"/>
          <w:sz w:val="33"/>
          <w:szCs w:val="33"/>
          <w:highlight w:val="none"/>
          <w:shd w:val="clear" w:color="auto" w:fill="FFFFFF"/>
          <w:lang w:val="zh-CN"/>
        </w:rPr>
        <w:t>三</w:t>
      </w: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default" w:ascii="Times New Roman" w:hAnsi="Times New Roman" w:eastAsia="楷体_GB2312" w:cs="Times New Roman"/>
          <w:b/>
          <w:sz w:val="33"/>
          <w:szCs w:val="33"/>
        </w:rPr>
        <w:t>结余分配和结转结余情况</w:t>
      </w:r>
    </w:p>
    <w:p w14:paraId="5CB733B8">
      <w:pPr>
        <w:keepNext w:val="0"/>
        <w:keepLines w:val="0"/>
        <w:pageBreakBefore w:val="0"/>
        <w:widowControl/>
        <w:kinsoku/>
        <w:wordWrap/>
        <w:overflowPunct/>
        <w:topLinePunct w:val="0"/>
        <w:autoSpaceDE/>
        <w:autoSpaceDN/>
        <w:bidi w:val="0"/>
        <w:adjustRightInd/>
        <w:snapToGrid/>
        <w:spacing w:line="590" w:lineRule="exact"/>
        <w:ind w:right="0" w:rightChars="0" w:firstLine="640" w:firstLineChars="200"/>
        <w:contextualSpacing/>
        <w:jc w:val="both"/>
        <w:textAlignment w:val="auto"/>
        <w:outlineLvl w:val="9"/>
        <w:rPr>
          <w:rFonts w:hint="default" w:ascii="Times New Roman" w:hAnsi="Times New Roman" w:eastAsia="仿宋_GB2312" w:cs="Times New Roman"/>
          <w:b w:val="0"/>
          <w:bCs w:val="0"/>
          <w:color w:val="000000"/>
          <w:kern w:val="0"/>
          <w:sz w:val="33"/>
          <w:szCs w:val="33"/>
          <w:highlight w:val="none"/>
          <w:shd w:val="clear" w:color="auto" w:fill="FFFFFF"/>
          <w:lang w:val="zh-CN" w:eastAsia="zh-CN"/>
        </w:rPr>
      </w:pPr>
      <w:r>
        <w:rPr>
          <w:rFonts w:hint="eastAsia" w:ascii="Times New Roman" w:hAnsi="Times New Roman" w:eastAsia="仿宋_GB2312" w:cs="Times New Roman"/>
          <w:b w:val="0"/>
          <w:color w:val="000000"/>
          <w:kern w:val="2"/>
          <w:sz w:val="32"/>
          <w:szCs w:val="32"/>
          <w:lang w:val="en-US" w:eastAsia="zh-CN" w:bidi="ar-SA"/>
        </w:rPr>
        <w:t>2024年决算报表无</w:t>
      </w:r>
      <w:r>
        <w:rPr>
          <w:rFonts w:hint="default" w:ascii="Times New Roman" w:hAnsi="Times New Roman" w:eastAsia="仿宋_GB2312" w:cs="Times New Roman"/>
          <w:b w:val="0"/>
          <w:color w:val="000000"/>
          <w:kern w:val="2"/>
          <w:sz w:val="32"/>
          <w:szCs w:val="32"/>
          <w:lang w:val="en-US" w:eastAsia="zh-CN" w:bidi="ar-SA"/>
        </w:rPr>
        <w:t>结转结余。</w:t>
      </w:r>
    </w:p>
    <w:p w14:paraId="3E84BE32">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eastAsia="黑体" w:cs="Times New Roman"/>
          <w:color w:val="000000" w:themeColor="text1"/>
          <w:kern w:val="0"/>
          <w:sz w:val="33"/>
          <w:szCs w:val="33"/>
          <w:highlight w:val="none"/>
          <w:shd w:val="clear" w:color="auto" w:fill="FFFFFF"/>
          <w14:textFill>
            <w14:solidFill>
              <w14:schemeClr w14:val="tx1"/>
            </w14:solidFill>
          </w14:textFill>
        </w:rPr>
      </w:pPr>
      <w:r>
        <w:rPr>
          <w:rFonts w:hint="default" w:ascii="Times New Roman" w:hAnsi="Times New Roman" w:eastAsia="黑体" w:cs="Times New Roman"/>
          <w:color w:val="000000"/>
          <w:kern w:val="0"/>
          <w:sz w:val="33"/>
          <w:szCs w:val="33"/>
          <w:highlight w:val="none"/>
          <w:shd w:val="clear" w:color="auto" w:fill="FFFFFF"/>
        </w:rPr>
        <w:t>三、</w:t>
      </w:r>
      <w:r>
        <w:rPr>
          <w:rFonts w:hint="default" w:ascii="Times New Roman" w:hAnsi="Times New Roman" w:eastAsia="黑体" w:cs="Times New Roman"/>
          <w:color w:val="000000"/>
          <w:kern w:val="0"/>
          <w:sz w:val="33"/>
          <w:szCs w:val="33"/>
          <w:highlight w:val="none"/>
          <w:u w:val="none"/>
          <w:shd w:val="clear" w:color="auto" w:fill="FFFFFF"/>
        </w:rPr>
        <w:t>部门</w:t>
      </w:r>
      <w:r>
        <w:rPr>
          <w:rFonts w:hint="default" w:ascii="Times New Roman" w:hAnsi="Times New Roman" w:eastAsia="黑体" w:cs="Times New Roman"/>
          <w:color w:val="000000"/>
          <w:kern w:val="0"/>
          <w:sz w:val="33"/>
          <w:szCs w:val="33"/>
          <w:highlight w:val="none"/>
          <w:u w:val="none"/>
          <w:shd w:val="clear" w:color="auto" w:fill="FFFFFF"/>
          <w:lang w:eastAsia="zh-CN"/>
        </w:rPr>
        <w:t>预算</w:t>
      </w:r>
      <w:r>
        <w:rPr>
          <w:rFonts w:hint="default" w:ascii="Times New Roman" w:hAnsi="Times New Roman" w:eastAsia="黑体" w:cs="Times New Roman"/>
          <w:color w:val="000000"/>
          <w:kern w:val="0"/>
          <w:sz w:val="33"/>
          <w:szCs w:val="33"/>
          <w:highlight w:val="none"/>
          <w:u w:val="none"/>
          <w:shd w:val="clear" w:color="auto" w:fill="FFFFFF"/>
        </w:rPr>
        <w:t>绩效</w:t>
      </w:r>
      <w:r>
        <w:rPr>
          <w:rFonts w:hint="default" w:ascii="Times New Roman" w:hAnsi="Times New Roman" w:eastAsia="黑体" w:cs="Times New Roman"/>
          <w:color w:val="000000"/>
          <w:kern w:val="0"/>
          <w:sz w:val="33"/>
          <w:szCs w:val="33"/>
          <w:highlight w:val="none"/>
          <w:u w:val="none"/>
          <w:shd w:val="clear" w:color="auto" w:fill="FFFFFF"/>
          <w:lang w:eastAsia="zh-CN"/>
        </w:rPr>
        <w:t>分析</w:t>
      </w:r>
    </w:p>
    <w:p w14:paraId="4CFFB653">
      <w:pPr>
        <w:pStyle w:val="4"/>
        <w:numPr>
          <w:ilvl w:val="2"/>
          <w:numId w:val="0"/>
        </w:numPr>
        <w:ind w:left="0" w:leftChars="0" w:firstLine="663" w:firstLineChars="200"/>
        <w:rPr>
          <w:rFonts w:hint="eastAsia" w:cs="Times New Roman"/>
          <w:color w:val="000000"/>
          <w:kern w:val="0"/>
          <w:sz w:val="33"/>
          <w:szCs w:val="33"/>
          <w:highlight w:val="none"/>
          <w:shd w:val="clear" w:color="auto" w:fill="FFFFFF"/>
          <w:lang w:val="zh-CN"/>
        </w:rPr>
      </w:pPr>
      <w:r>
        <w:rPr>
          <w:rFonts w:hint="default" w:ascii="Times New Roman" w:hAnsi="Times New Roman" w:eastAsia="楷体_GB2312" w:cs="Times New Roman"/>
          <w:b/>
          <w:bCs/>
          <w:color w:val="000000"/>
          <w:kern w:val="0"/>
          <w:sz w:val="33"/>
          <w:szCs w:val="33"/>
          <w:highlight w:val="none"/>
          <w:shd w:val="clear" w:color="auto" w:fill="FFFFFF"/>
          <w:lang w:val="zh-CN"/>
        </w:rPr>
        <w:t>（一）</w:t>
      </w:r>
      <w:r>
        <w:rPr>
          <w:rFonts w:hint="eastAsia" w:ascii="Times New Roman" w:hAnsi="Times New Roman" w:eastAsia="楷体_GB2312" w:cs="Times New Roman"/>
          <w:b/>
          <w:bCs/>
          <w:color w:val="000000"/>
          <w:kern w:val="0"/>
          <w:sz w:val="33"/>
          <w:szCs w:val="33"/>
          <w:highlight w:val="none"/>
          <w:shd w:val="clear" w:color="auto" w:fill="FFFFFF"/>
          <w:lang w:val="zh-CN"/>
        </w:rPr>
        <w:t>部门预算</w:t>
      </w:r>
      <w:r>
        <w:rPr>
          <w:rFonts w:hint="default" w:ascii="Times New Roman" w:hAnsi="Times New Roman" w:eastAsia="楷体_GB2312" w:cs="Times New Roman"/>
          <w:b/>
          <w:bCs/>
          <w:color w:val="000000"/>
          <w:kern w:val="0"/>
          <w:sz w:val="33"/>
          <w:szCs w:val="33"/>
          <w:highlight w:val="none"/>
          <w:shd w:val="clear" w:color="auto" w:fill="FFFFFF"/>
          <w:lang w:val="zh-CN"/>
        </w:rPr>
        <w:t>总体绩效分析</w:t>
      </w:r>
    </w:p>
    <w:p w14:paraId="661130CE">
      <w:pPr>
        <w:pStyle w:val="4"/>
        <w:numPr>
          <w:ilvl w:val="2"/>
          <w:numId w:val="0"/>
        </w:numPr>
        <w:ind w:firstLine="643" w:firstLineChars="200"/>
        <w:rPr>
          <w:rFonts w:hint="eastAsia" w:cs="Times New Roman"/>
          <w:bCs/>
          <w:kern w:val="0"/>
          <w:sz w:val="32"/>
          <w:szCs w:val="32"/>
          <w:lang w:val="zh-CN" w:eastAsia="zh-CN" w:bidi="ar-SA"/>
        </w:rPr>
      </w:pPr>
      <w:r>
        <w:rPr>
          <w:rFonts w:hint="eastAsia" w:cs="Times New Roman"/>
          <w:bCs/>
          <w:kern w:val="0"/>
          <w:sz w:val="32"/>
          <w:szCs w:val="32"/>
          <w:lang w:val="en-US" w:eastAsia="zh-CN" w:bidi="ar-SA"/>
        </w:rPr>
        <w:t>1.</w:t>
      </w:r>
      <w:r>
        <w:rPr>
          <w:rFonts w:hint="eastAsia" w:cs="Times New Roman"/>
          <w:bCs/>
          <w:kern w:val="0"/>
          <w:sz w:val="32"/>
          <w:szCs w:val="32"/>
          <w:lang w:val="zh-CN" w:eastAsia="zh-CN" w:bidi="ar-SA"/>
        </w:rPr>
        <w:t>履职效能</w:t>
      </w:r>
    </w:p>
    <w:p w14:paraId="0C669D19">
      <w:pPr>
        <w:pStyle w:val="6"/>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eastAsia" w:ascii="Times New Roman" w:hAnsi="Times New Roman" w:eastAsia="仿宋_GB2312" w:cs="Times New Roman"/>
          <w:bCs/>
          <w:kern w:val="0"/>
          <w:sz w:val="32"/>
          <w:szCs w:val="32"/>
          <w:lang w:val="zh-CN" w:eastAsia="zh-CN" w:bidi="ar-SA"/>
        </w:rPr>
      </w:pPr>
      <w:r>
        <w:rPr>
          <w:rFonts w:hint="eastAsia" w:ascii="Times New Roman" w:hAnsi="Times New Roman" w:eastAsia="仿宋_GB2312" w:cs="Times New Roman"/>
          <w:bCs/>
          <w:kern w:val="0"/>
          <w:sz w:val="32"/>
          <w:szCs w:val="32"/>
          <w:lang w:val="zh-CN" w:eastAsia="zh-CN" w:bidi="ar-SA"/>
        </w:rPr>
        <w:t>（</w:t>
      </w:r>
      <w:r>
        <w:rPr>
          <w:rFonts w:hint="eastAsia" w:ascii="Times New Roman" w:hAnsi="Times New Roman" w:eastAsia="仿宋_GB2312" w:cs="Times New Roman"/>
          <w:bCs/>
          <w:kern w:val="0"/>
          <w:sz w:val="32"/>
          <w:szCs w:val="32"/>
          <w:lang w:val="en-US" w:eastAsia="zh-CN" w:bidi="ar-SA"/>
        </w:rPr>
        <w:t>1</w:t>
      </w:r>
      <w:r>
        <w:rPr>
          <w:rFonts w:hint="eastAsia" w:ascii="Times New Roman" w:hAnsi="Times New Roman" w:eastAsia="仿宋_GB2312" w:cs="Times New Roman"/>
          <w:bCs/>
          <w:kern w:val="0"/>
          <w:sz w:val="32"/>
          <w:szCs w:val="32"/>
          <w:lang w:val="zh-CN" w:eastAsia="zh-CN" w:bidi="ar-SA"/>
        </w:rPr>
        <w:t>）基本运转保障率</w:t>
      </w:r>
    </w:p>
    <w:p w14:paraId="70EDFE0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contextualSpacing/>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截至2024年12月31日，我单位人员经费共计支出96.55，保障单位工作人员基本工资的支出，推动日常办公业务项目，用于保障中心日常办公业务和后勤保障工作，物业管理费包括安全护卫、公共次序管理及消防值班和临时水电维修，全年支出8万元，单位电费全年支出9万元等，积极保障区社会福利服务中心正常运行。</w:t>
      </w:r>
    </w:p>
    <w:p w14:paraId="4173F9D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（2）养老护理服务完成率</w:t>
      </w:r>
    </w:p>
    <w:p w14:paraId="783AA1E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我单位认真履行职能职责，认真贯彻落实养老服务相关政策要求，始终坚持以老人需求为导向，全面履行养老服务职责。在生活照料方面，为入住老人提供全天候的规范化护理服务，重点关注失能失智老人的特殊需求，确保每位老人都能得到周到细致的生活照顾；在健康管理方面，配备专业医护团队，建立完善的健康监测体系，与医疗机构保持紧密合作，为老人提供及时有效的医疗保障；在精神慰藉方面，积极开展丰富多彩的文娱活动，注力营造温馨和睦的院舍氛围；在安全管理方面，严格执行各项安全管理制度，定期开展心理疏导和情感关怀，开展隐患排查和应急演练，切实保障老人生命财产安全。同时，我单位持续加强服务队伍建设，不断提升专业化服务水平，通过定期听取老人及家属意见，及时改进服务中的不足之处，努力为入住老人创造安全、舒适有尊严的晚年生活环境。截至2024年12月31日，我单位保障了区社会福利院20名、区社会福利服务中心60名，区光荣院7名老人健康幸福安度晚年。</w:t>
      </w:r>
    </w:p>
    <w:p w14:paraId="5CAFC8C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（3）资金使用合规率</w:t>
      </w:r>
    </w:p>
    <w:p w14:paraId="37606AE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我单位严格执行国家财经法规和福利机构资金管理制度，建立健全内部财务控制体系，确保各项资金使用合法合规。财务管理工作实行专人专岗负责制，严格规范资金审批流程，对专项资金实行专账管理、专款专用，确保资金使用方向符合政策规定。定期开展财务收支内部检查，强化资金使用全过程监督，对发现的问题及时整改落实。同时加强财务人员业务培训，不断提升资金管理专业化水平，切实保障福利资金使用的安全性、规范性和有效性，为养老服务开展提供坚实的资金保障。</w:t>
      </w:r>
    </w:p>
    <w:p w14:paraId="006D9E5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（4）弱势群体生活质量提升率</w:t>
      </w:r>
    </w:p>
    <w:p w14:paraId="21F21DF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contextualSpacing/>
        <w:jc w:val="both"/>
        <w:textAlignment w:val="auto"/>
        <w:outlineLvl w:val="9"/>
        <w:rPr>
          <w:rFonts w:hint="default" w:ascii="Times New Roman" w:hAnsi="Times New Roman" w:eastAsia="仿宋_GB2312" w:cs="Times New Roman"/>
          <w:bCs/>
          <w:kern w:val="0"/>
          <w:sz w:val="32"/>
          <w:szCs w:val="32"/>
          <w:lang w:val="en-US" w:eastAsia="zh-CN" w:bidi="ar-SA"/>
        </w:rPr>
      </w:pPr>
      <w:r>
        <w:rPr>
          <w:rFonts w:hint="default" w:ascii="Times New Roman" w:hAnsi="Times New Roman" w:eastAsia="仿宋_GB2312" w:cs="Times New Roman"/>
          <w:bCs/>
          <w:kern w:val="0"/>
          <w:sz w:val="32"/>
          <w:szCs w:val="32"/>
          <w:lang w:val="en-US" w:eastAsia="zh-CN" w:bidi="ar-SA"/>
        </w:rPr>
        <w:t>我院始终秉持</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以人为本、精准帮扶</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的服务理念，通过系统化、个性化的服务措施，切实改善服务对象的生活状况。我们注重从基本生活保障、健康维护、心理疏导、社会融入等多个维度开展帮扶工作，为不同类型的弱势群体量身定制服务方案。通过持续提供生活照料、医疗护理、精神慰藉等综合性服务，帮助服务对象逐步改善生活条件，增强自理能力，提升社会适应水平。确保服务质量不断提升，让每一位服务对象都能真切感受到生活质量的改善和进步。</w:t>
      </w:r>
    </w:p>
    <w:p w14:paraId="0964796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（5）福利服务对象精准性</w:t>
      </w:r>
    </w:p>
    <w:p w14:paraId="66739E2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我单位</w:t>
      </w:r>
      <w:r>
        <w:rPr>
          <w:rFonts w:hint="default" w:ascii="Times New Roman" w:hAnsi="Times New Roman" w:eastAsia="仿宋_GB2312" w:cs="Times New Roman"/>
          <w:bCs/>
          <w:kern w:val="0"/>
          <w:sz w:val="32"/>
          <w:szCs w:val="32"/>
          <w:lang w:val="en-US" w:eastAsia="zh-CN" w:bidi="ar-SA"/>
        </w:rPr>
        <w:t>通过入户调查、邻里访问、信息比对等多种方式，全面掌握申请对象的实际生活状况和真实需求。我们严格遵循政策标准，组建</w:t>
      </w:r>
      <w:r>
        <w:rPr>
          <w:rFonts w:hint="eastAsia" w:ascii="Times New Roman" w:hAnsi="Times New Roman" w:eastAsia="仿宋_GB2312" w:cs="Times New Roman"/>
          <w:bCs/>
          <w:kern w:val="0"/>
          <w:sz w:val="32"/>
          <w:szCs w:val="32"/>
          <w:lang w:val="en-US" w:eastAsia="zh-CN" w:bidi="ar-SA"/>
        </w:rPr>
        <w:t>工作小组</w:t>
      </w:r>
      <w:r>
        <w:rPr>
          <w:rFonts w:hint="default" w:ascii="Times New Roman" w:hAnsi="Times New Roman" w:eastAsia="仿宋_GB2312" w:cs="Times New Roman"/>
          <w:bCs/>
          <w:kern w:val="0"/>
          <w:sz w:val="32"/>
          <w:szCs w:val="32"/>
          <w:lang w:val="en-US" w:eastAsia="zh-CN" w:bidi="ar-SA"/>
        </w:rPr>
        <w:t>，采用多维度的评估指标体系，确保服务对象认定的客观性和公正性。针对不同类型的福利服务需求，我们制定了差异化的准入标准和分级分类服务方案，实现服务供给与个体需求的精准匹配。通过不断完善精准识别工作机制，切实提升福利服务的针对性和有效性。</w:t>
      </w:r>
    </w:p>
    <w:p w14:paraId="06175F3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综上，履职效能指标权重10分，根据评分规则，得10分，得分率100%。</w:t>
      </w:r>
    </w:p>
    <w:p w14:paraId="04E7E144">
      <w:pPr>
        <w:pStyle w:val="4"/>
        <w:numPr>
          <w:ilvl w:val="2"/>
          <w:numId w:val="0"/>
        </w:numPr>
        <w:ind w:firstLine="643" w:firstLineChars="200"/>
        <w:rPr>
          <w:rFonts w:hint="default" w:ascii="Times New Roman" w:hAnsi="Times New Roman" w:eastAsia="仿宋_GB2312" w:cs="Times New Roman"/>
          <w:bCs/>
          <w:kern w:val="0"/>
          <w:sz w:val="32"/>
          <w:szCs w:val="32"/>
          <w:lang w:val="zh-CN" w:eastAsia="zh-CN" w:bidi="ar-SA"/>
        </w:rPr>
      </w:pPr>
      <w:r>
        <w:rPr>
          <w:rFonts w:hint="default" w:ascii="Times New Roman" w:hAnsi="Times New Roman" w:eastAsia="仿宋_GB2312" w:cs="Times New Roman"/>
          <w:bCs/>
          <w:kern w:val="0"/>
          <w:sz w:val="32"/>
          <w:szCs w:val="32"/>
          <w:lang w:val="zh-CN" w:eastAsia="zh-CN" w:bidi="ar-SA"/>
        </w:rPr>
        <w:t>2.预算管理</w:t>
      </w:r>
    </w:p>
    <w:p w14:paraId="68B5C46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eastAsia" w:ascii="Times New Roman" w:hAnsi="Times New Roman" w:eastAsia="仿宋_GB2312" w:cs="Times New Roman"/>
          <w:bCs/>
          <w:kern w:val="0"/>
          <w:sz w:val="32"/>
          <w:szCs w:val="32"/>
          <w:lang w:val="zh-CN" w:eastAsia="zh-CN" w:bidi="ar-SA"/>
        </w:rPr>
      </w:pPr>
      <w:r>
        <w:rPr>
          <w:rFonts w:hint="eastAsia" w:ascii="Times New Roman" w:hAnsi="Times New Roman" w:eastAsia="仿宋_GB2312" w:cs="Times New Roman"/>
          <w:bCs/>
          <w:kern w:val="0"/>
          <w:sz w:val="32"/>
          <w:szCs w:val="32"/>
          <w:lang w:val="zh-CN" w:eastAsia="zh-CN" w:bidi="ar-SA"/>
        </w:rPr>
        <w:t>（</w:t>
      </w:r>
      <w:r>
        <w:rPr>
          <w:rFonts w:hint="eastAsia" w:ascii="Times New Roman" w:hAnsi="Times New Roman" w:eastAsia="仿宋_GB2312" w:cs="Times New Roman"/>
          <w:bCs/>
          <w:kern w:val="0"/>
          <w:sz w:val="32"/>
          <w:szCs w:val="32"/>
          <w:lang w:val="en-US" w:eastAsia="zh-CN" w:bidi="ar-SA"/>
        </w:rPr>
        <w:t>1</w:t>
      </w:r>
      <w:r>
        <w:rPr>
          <w:rFonts w:hint="eastAsia" w:ascii="Times New Roman" w:hAnsi="Times New Roman" w:eastAsia="仿宋_GB2312" w:cs="Times New Roman"/>
          <w:bCs/>
          <w:kern w:val="0"/>
          <w:sz w:val="32"/>
          <w:szCs w:val="32"/>
          <w:lang w:val="zh-CN" w:eastAsia="zh-CN" w:bidi="ar-SA"/>
        </w:rPr>
        <w:t>）预算编制质量</w:t>
      </w:r>
    </w:p>
    <w:p w14:paraId="385F43E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根据2024年决算报表，我单位财政拨款年初预算数为145.78万元，财政拨款预算执行数为146.55万元，财政拨款预算偏离度为0.53%，因2024年本单位无新购资产、政府采购，故资产配置预算偏离度、政府采购预算偏离度均为0。</w:t>
      </w:r>
    </w:p>
    <w:p w14:paraId="3451044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contextualSpacing/>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zh-CN" w:eastAsia="zh-CN" w:bidi="ar-SA"/>
        </w:rPr>
        <w:t>（2）</w:t>
      </w:r>
      <w:r>
        <w:rPr>
          <w:rFonts w:hint="eastAsia" w:ascii="Times New Roman" w:hAnsi="Times New Roman" w:eastAsia="仿宋_GB2312" w:cs="Times New Roman"/>
          <w:bCs/>
          <w:kern w:val="0"/>
          <w:sz w:val="32"/>
          <w:szCs w:val="32"/>
          <w:lang w:val="en-US" w:eastAsia="zh-CN" w:bidi="ar-SA"/>
        </w:rPr>
        <w:t>预算执行</w:t>
      </w:r>
    </w:p>
    <w:p w14:paraId="154B262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根据2024年决算报表、可执行情况表，我单位部门预算数146.55万元，预算执行数146.55万元，预算执行率100%。</w:t>
      </w:r>
    </w:p>
    <w:p w14:paraId="6C22CF8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根据资产支出查询表，我单位2024年度无支出违规金额、支出预警金额。</w:t>
      </w:r>
    </w:p>
    <w:p w14:paraId="7F4E824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（3）预算年终结余</w:t>
      </w:r>
    </w:p>
    <w:p w14:paraId="0D1409F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根据2024年决算报表、可执行情况表，我单位部门预算数146.55万元，预算执行数146.55万元，预算执行率100%。不存在年终结余金额。</w:t>
      </w:r>
    </w:p>
    <w:p w14:paraId="5C13EDE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（4）严控一般性支出</w:t>
      </w:r>
    </w:p>
    <w:p w14:paraId="4F01A2A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eastAsia"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根据2024年、2023年决算报表、可执行情况表对比分析，我单位“三公”经费、会议、培训、差旅、办节办展、办公设备购置、信息网络及软件购置更新、课题经费等8项一般性支出变化率0%，未实现一般性支出压减，一般性支出情况详见下表</w:t>
      </w:r>
      <w:r>
        <w:rPr>
          <w:rFonts w:hint="eastAsia" w:cs="Times New Roman"/>
          <w:bCs/>
          <w:kern w:val="0"/>
          <w:sz w:val="32"/>
          <w:szCs w:val="32"/>
          <w:lang w:val="en-US" w:eastAsia="zh-CN" w:bidi="ar-SA"/>
        </w:rPr>
        <w:t>：</w:t>
      </w:r>
    </w:p>
    <w:p w14:paraId="332A474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eastAsia" w:cs="Times New Roman"/>
          <w:bCs/>
          <w:kern w:val="0"/>
          <w:sz w:val="32"/>
          <w:szCs w:val="32"/>
          <w:lang w:val="en-US" w:eastAsia="zh-CN" w:bidi="ar-SA"/>
        </w:rPr>
      </w:pPr>
    </w:p>
    <w:p w14:paraId="2BF212BB">
      <w:pPr>
        <w:snapToGrid w:val="0"/>
        <w:spacing w:line="600" w:lineRule="exact"/>
        <w:jc w:val="center"/>
        <w:rPr>
          <w:rFonts w:hint="eastAsia" w:ascii="Times New Roman" w:hAnsi="Times New Roman" w:eastAsia="仿宋" w:cs="仿宋"/>
          <w:b/>
          <w:bCs/>
          <w:sz w:val="28"/>
          <w:szCs w:val="28"/>
          <w:lang w:val="en-US" w:eastAsia="zh-CN"/>
        </w:rPr>
      </w:pPr>
      <w:r>
        <w:rPr>
          <w:rFonts w:hint="eastAsia" w:ascii="Times New Roman" w:hAnsi="Times New Roman" w:eastAsia="仿宋" w:cs="仿宋"/>
          <w:b/>
          <w:bCs/>
          <w:sz w:val="28"/>
          <w:szCs w:val="28"/>
          <w:lang w:val="en-US" w:eastAsia="zh-CN"/>
        </w:rPr>
        <w:t>表3-1  一般性支出控制表</w:t>
      </w:r>
    </w:p>
    <w:p w14:paraId="6C4772BB">
      <w:pPr>
        <w:snapToGrid w:val="0"/>
        <w:spacing w:line="600" w:lineRule="exact"/>
        <w:ind w:firstLine="631"/>
        <w:jc w:val="right"/>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单位：万元</w:t>
      </w:r>
    </w:p>
    <w:tbl>
      <w:tblPr>
        <w:tblStyle w:val="1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09"/>
        <w:gridCol w:w="898"/>
        <w:gridCol w:w="1131"/>
        <w:gridCol w:w="980"/>
        <w:gridCol w:w="978"/>
        <w:gridCol w:w="871"/>
        <w:gridCol w:w="777"/>
        <w:gridCol w:w="873"/>
      </w:tblGrid>
      <w:tr w14:paraId="23AC8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1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8B60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一般性支出指标</w:t>
            </w:r>
          </w:p>
        </w:tc>
        <w:tc>
          <w:tcPr>
            <w:tcW w:w="17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CEFD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2023年</w:t>
            </w:r>
          </w:p>
        </w:tc>
        <w:tc>
          <w:tcPr>
            <w:tcW w:w="15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57FD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2024年</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BD89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较上年增减变化</w:t>
            </w:r>
          </w:p>
        </w:tc>
      </w:tr>
      <w:tr w14:paraId="21A90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F37B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2"/>
                <w:szCs w:val="22"/>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834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年初预算</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557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调整预算数</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74E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决算数</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117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年初预算</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D64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调整预算数</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1A6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预算执行</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04282">
            <w:pPr>
              <w:jc w:val="center"/>
              <w:rPr>
                <w:rFonts w:hint="eastAsia" w:ascii="仿宋" w:hAnsi="仿宋" w:eastAsia="仿宋" w:cs="仿宋"/>
                <w:i w:val="0"/>
                <w:iCs w:val="0"/>
                <w:color w:val="000000"/>
                <w:sz w:val="22"/>
                <w:szCs w:val="22"/>
                <w:u w:val="none"/>
              </w:rPr>
            </w:pPr>
          </w:p>
        </w:tc>
      </w:tr>
      <w:tr w14:paraId="003BA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06F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一、“三公”经费</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A64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0.40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635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710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756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0.40 </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50B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A16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547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14:paraId="64FC5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75D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（一）公务接待费</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443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0.40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560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B9F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D13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0.40 </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42F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EFC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E4F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14:paraId="217EA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64F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（二）因公出国（境）</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3A0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54A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4BA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917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1A3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23B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DF9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14:paraId="1ECE0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179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（三）公务用车购置及运行维护费</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41F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72B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1F5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8E2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454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442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665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14:paraId="06860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84D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其中：1.公务用车购置费</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290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0BC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268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875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FF9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032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324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14:paraId="3F4B6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3B0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2.公务用车维护费</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186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49C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9DF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1DA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A20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5A1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D9C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14:paraId="497BC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744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二、会议费</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48B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48A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4CA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FC3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A18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820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D3B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14:paraId="374C5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698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三、培训费</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F05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DAF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600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4BE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CD9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89E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52D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14:paraId="26E48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172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四、差旅费</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694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1.80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967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1.80 </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9B2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1.80 </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685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1.80 </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A07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1.80 </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E16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1.80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BED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14:paraId="71CFE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646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五、办节办展费</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833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E2B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927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A06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F66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942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CAE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14:paraId="5094B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552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六、办公设备购置费</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EB2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63C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345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FA7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014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B97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7CD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14:paraId="48D77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402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七、信息网络及软件购置更新</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C57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0E5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41A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6B3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9FB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206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E4D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14:paraId="33B38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92DB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八、课题经费</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7D5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6CA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4E5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82A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F79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04A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CF7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bl>
    <w:p w14:paraId="59C5088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contextualSpacing/>
        <w:jc w:val="both"/>
        <w:textAlignment w:val="auto"/>
        <w:outlineLvl w:val="9"/>
        <w:rPr>
          <w:rFonts w:hint="eastAsia"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综上，预算管理指标权重31分，根据评分规则，得24.98分，得分率80.58%</w:t>
      </w:r>
      <w:r>
        <w:rPr>
          <w:rFonts w:hint="eastAsia" w:cs="Times New Roman"/>
          <w:bCs/>
          <w:kern w:val="0"/>
          <w:sz w:val="32"/>
          <w:szCs w:val="32"/>
          <w:lang w:val="en-US" w:eastAsia="zh-CN" w:bidi="ar-SA"/>
        </w:rPr>
        <w:t>。</w:t>
      </w:r>
    </w:p>
    <w:p w14:paraId="290C55B1">
      <w:pPr>
        <w:pStyle w:val="4"/>
        <w:numPr>
          <w:ilvl w:val="2"/>
          <w:numId w:val="0"/>
        </w:numPr>
        <w:ind w:left="0" w:leftChars="0" w:firstLine="643" w:firstLineChars="200"/>
        <w:rPr>
          <w:rFonts w:hint="eastAsia" w:ascii="Times New Roman" w:hAnsi="Times New Roman" w:eastAsia="仿宋_GB2312" w:cs="Times New Roman"/>
          <w:bCs/>
          <w:kern w:val="0"/>
          <w:sz w:val="32"/>
          <w:szCs w:val="32"/>
          <w:lang w:val="zh-CN" w:eastAsia="zh-CN" w:bidi="ar-SA"/>
        </w:rPr>
      </w:pPr>
      <w:r>
        <w:rPr>
          <w:rFonts w:hint="eastAsia" w:ascii="Times New Roman" w:hAnsi="Times New Roman" w:eastAsia="仿宋_GB2312" w:cs="Times New Roman"/>
          <w:bCs/>
          <w:kern w:val="0"/>
          <w:sz w:val="32"/>
          <w:szCs w:val="32"/>
          <w:lang w:val="en-US" w:eastAsia="zh-CN" w:bidi="ar-SA"/>
        </w:rPr>
        <w:t>3.</w:t>
      </w:r>
      <w:r>
        <w:rPr>
          <w:rFonts w:hint="default" w:ascii="Times New Roman" w:hAnsi="Times New Roman" w:eastAsia="仿宋_GB2312" w:cs="Times New Roman"/>
          <w:bCs/>
          <w:kern w:val="0"/>
          <w:sz w:val="32"/>
          <w:szCs w:val="32"/>
          <w:lang w:val="zh-CN" w:eastAsia="zh-CN" w:bidi="ar-SA"/>
        </w:rPr>
        <w:t>资产管理</w:t>
      </w:r>
    </w:p>
    <w:p w14:paraId="7CF779C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eastAsia" w:ascii="Times New Roman" w:hAnsi="Times New Roman" w:eastAsia="仿宋_GB2312" w:cs="Times New Roman"/>
          <w:bCs/>
          <w:kern w:val="0"/>
          <w:sz w:val="32"/>
          <w:szCs w:val="32"/>
          <w:lang w:val="zh-CN" w:eastAsia="zh-CN" w:bidi="ar-SA"/>
        </w:rPr>
      </w:pPr>
      <w:r>
        <w:rPr>
          <w:rFonts w:hint="eastAsia" w:ascii="Times New Roman" w:hAnsi="Times New Roman" w:eastAsia="仿宋_GB2312" w:cs="Times New Roman"/>
          <w:bCs/>
          <w:kern w:val="0"/>
          <w:sz w:val="32"/>
          <w:szCs w:val="32"/>
          <w:lang w:val="zh-CN" w:eastAsia="zh-CN" w:bidi="ar-SA"/>
        </w:rPr>
        <w:t>（</w:t>
      </w:r>
      <w:r>
        <w:rPr>
          <w:rFonts w:hint="eastAsia" w:ascii="Times New Roman" w:hAnsi="Times New Roman" w:eastAsia="仿宋_GB2312" w:cs="Times New Roman"/>
          <w:bCs/>
          <w:kern w:val="0"/>
          <w:sz w:val="32"/>
          <w:szCs w:val="32"/>
          <w:lang w:val="en-US" w:eastAsia="zh-CN" w:bidi="ar-SA"/>
        </w:rPr>
        <w:t>1</w:t>
      </w:r>
      <w:r>
        <w:rPr>
          <w:rFonts w:hint="eastAsia" w:ascii="Times New Roman" w:hAnsi="Times New Roman" w:eastAsia="仿宋_GB2312" w:cs="Times New Roman"/>
          <w:bCs/>
          <w:kern w:val="0"/>
          <w:sz w:val="32"/>
          <w:szCs w:val="32"/>
          <w:lang w:val="zh-CN" w:eastAsia="zh-CN" w:bidi="ar-SA"/>
        </w:rPr>
        <w:t>）人均资产变化率</w:t>
      </w:r>
    </w:p>
    <w:p w14:paraId="6EA0D3F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根据2024年、2023年决算报表，我单位人均资产变化率0%，人均资产详见下表：</w:t>
      </w:r>
    </w:p>
    <w:p w14:paraId="056D1AAD">
      <w:pPr>
        <w:pStyle w:val="20"/>
        <w:rPr>
          <w:rFonts w:hint="eastAsia" w:ascii="Times New Roman" w:hAnsi="Times New Roman" w:eastAsia="仿宋_GB2312" w:cs="Times New Roman"/>
          <w:bCs/>
          <w:kern w:val="0"/>
          <w:sz w:val="32"/>
          <w:szCs w:val="32"/>
          <w:lang w:val="en-US" w:eastAsia="zh-CN" w:bidi="ar-SA"/>
        </w:rPr>
      </w:pPr>
    </w:p>
    <w:p w14:paraId="2D92762C">
      <w:pPr>
        <w:rPr>
          <w:rFonts w:hint="eastAsia" w:ascii="Times New Roman" w:hAnsi="Times New Roman" w:eastAsia="仿宋_GB2312" w:cs="Times New Roman"/>
          <w:bCs/>
          <w:kern w:val="0"/>
          <w:sz w:val="32"/>
          <w:szCs w:val="32"/>
          <w:lang w:val="en-US" w:eastAsia="zh-CN" w:bidi="ar-SA"/>
        </w:rPr>
      </w:pPr>
    </w:p>
    <w:p w14:paraId="54F6562E">
      <w:pPr>
        <w:rPr>
          <w:rFonts w:hint="default"/>
          <w:lang w:val="en-US" w:eastAsia="zh-CN"/>
        </w:rPr>
      </w:pPr>
    </w:p>
    <w:p w14:paraId="5126BDB5">
      <w:pPr>
        <w:snapToGrid w:val="0"/>
        <w:spacing w:line="600" w:lineRule="exact"/>
        <w:jc w:val="center"/>
        <w:rPr>
          <w:rFonts w:hint="default" w:ascii="Times New Roman" w:hAnsi="Times New Roman" w:eastAsia="仿宋" w:cs="仿宋"/>
          <w:b/>
          <w:bCs/>
          <w:sz w:val="28"/>
          <w:szCs w:val="28"/>
          <w:lang w:val="en-US" w:eastAsia="zh-CN"/>
        </w:rPr>
      </w:pPr>
      <w:r>
        <w:rPr>
          <w:rFonts w:hint="eastAsia" w:ascii="Times New Roman" w:hAnsi="Times New Roman" w:eastAsia="仿宋" w:cs="仿宋"/>
          <w:b/>
          <w:bCs/>
          <w:sz w:val="28"/>
          <w:szCs w:val="28"/>
          <w:lang w:val="en-US" w:eastAsia="zh-CN"/>
        </w:rPr>
        <w:t>表3-2 人均资产情况</w:t>
      </w:r>
    </w:p>
    <w:p w14:paraId="2CEE2CB0">
      <w:pPr>
        <w:snapToGrid w:val="0"/>
        <w:spacing w:line="600" w:lineRule="exact"/>
        <w:jc w:val="right"/>
        <w:rPr>
          <w:rFonts w:hint="default" w:ascii="Times New Roman" w:hAnsi="Times New Roman" w:eastAsia="仿宋" w:cs="仿宋"/>
          <w:b/>
          <w:bCs/>
          <w:sz w:val="28"/>
          <w:szCs w:val="28"/>
          <w:lang w:val="en-US" w:eastAsia="zh-CN"/>
        </w:rPr>
      </w:pPr>
      <w:r>
        <w:rPr>
          <w:rFonts w:hint="eastAsia" w:ascii="仿宋" w:hAnsi="仿宋" w:eastAsia="仿宋" w:cs="仿宋"/>
          <w:b/>
          <w:bCs/>
          <w:sz w:val="24"/>
          <w:szCs w:val="24"/>
          <w:lang w:val="en-US" w:eastAsia="zh-CN"/>
        </w:rPr>
        <w:t>单位：万元</w:t>
      </w:r>
    </w:p>
    <w:tbl>
      <w:tblPr>
        <w:tblStyle w:val="1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93"/>
        <w:gridCol w:w="2667"/>
        <w:gridCol w:w="2130"/>
        <w:gridCol w:w="2130"/>
      </w:tblGrid>
      <w:tr w14:paraId="38FC2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49F68">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类型</w:t>
            </w:r>
          </w:p>
        </w:tc>
        <w:tc>
          <w:tcPr>
            <w:tcW w:w="1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A068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2023年</w:t>
            </w:r>
          </w:p>
        </w:tc>
        <w:tc>
          <w:tcPr>
            <w:tcW w:w="1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9B03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2024年</w:t>
            </w:r>
          </w:p>
        </w:tc>
      </w:tr>
      <w:tr w14:paraId="3BFFB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46B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原值</w:t>
            </w:r>
          </w:p>
        </w:tc>
        <w:tc>
          <w:tcPr>
            <w:tcW w:w="1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E5E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固定资产</w:t>
            </w:r>
          </w:p>
        </w:tc>
        <w:tc>
          <w:tcPr>
            <w:tcW w:w="1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F9F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1,961.50 </w:t>
            </w:r>
          </w:p>
        </w:tc>
        <w:tc>
          <w:tcPr>
            <w:tcW w:w="1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A52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1,961.50 </w:t>
            </w:r>
          </w:p>
        </w:tc>
      </w:tr>
      <w:tr w14:paraId="79B71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DFCA4">
            <w:pPr>
              <w:jc w:val="center"/>
              <w:rPr>
                <w:rFonts w:hint="eastAsia" w:ascii="仿宋" w:hAnsi="仿宋" w:eastAsia="仿宋" w:cs="仿宋"/>
                <w:i w:val="0"/>
                <w:iCs w:val="0"/>
                <w:color w:val="000000"/>
                <w:sz w:val="22"/>
                <w:szCs w:val="22"/>
                <w:u w:val="none"/>
              </w:rPr>
            </w:pPr>
          </w:p>
        </w:tc>
        <w:tc>
          <w:tcPr>
            <w:tcW w:w="1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353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无形资产</w:t>
            </w:r>
          </w:p>
        </w:tc>
        <w:tc>
          <w:tcPr>
            <w:tcW w:w="1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C50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c>
          <w:tcPr>
            <w:tcW w:w="1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282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0.00 </w:t>
            </w:r>
          </w:p>
        </w:tc>
      </w:tr>
      <w:tr w14:paraId="54F4C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CE13C">
            <w:pPr>
              <w:jc w:val="center"/>
              <w:rPr>
                <w:rFonts w:hint="eastAsia" w:ascii="仿宋" w:hAnsi="仿宋" w:eastAsia="仿宋" w:cs="仿宋"/>
                <w:i w:val="0"/>
                <w:iCs w:val="0"/>
                <w:color w:val="000000"/>
                <w:sz w:val="22"/>
                <w:szCs w:val="22"/>
                <w:u w:val="none"/>
              </w:rPr>
            </w:pPr>
          </w:p>
        </w:tc>
        <w:tc>
          <w:tcPr>
            <w:tcW w:w="1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750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小计</w:t>
            </w:r>
          </w:p>
        </w:tc>
        <w:tc>
          <w:tcPr>
            <w:tcW w:w="1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E0A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1,961.50 </w:t>
            </w:r>
          </w:p>
        </w:tc>
        <w:tc>
          <w:tcPr>
            <w:tcW w:w="1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178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1,961.50 </w:t>
            </w:r>
          </w:p>
        </w:tc>
      </w:tr>
      <w:tr w14:paraId="31667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D9D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人数</w:t>
            </w:r>
          </w:p>
        </w:tc>
        <w:tc>
          <w:tcPr>
            <w:tcW w:w="1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627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9.00 </w:t>
            </w:r>
          </w:p>
        </w:tc>
        <w:tc>
          <w:tcPr>
            <w:tcW w:w="1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968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9.00 </w:t>
            </w:r>
          </w:p>
        </w:tc>
      </w:tr>
      <w:tr w14:paraId="2BF0F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11D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人均资产</w:t>
            </w:r>
          </w:p>
        </w:tc>
        <w:tc>
          <w:tcPr>
            <w:tcW w:w="1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97E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217.94 </w:t>
            </w:r>
          </w:p>
        </w:tc>
        <w:tc>
          <w:tcPr>
            <w:tcW w:w="1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4E0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217.94 </w:t>
            </w:r>
          </w:p>
        </w:tc>
      </w:tr>
      <w:tr w14:paraId="55029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4DC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资产变化率</w:t>
            </w:r>
          </w:p>
        </w:tc>
        <w:tc>
          <w:tcPr>
            <w:tcW w:w="2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876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bl>
    <w:p w14:paraId="25C545A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eastAsia" w:ascii="Times New Roman" w:hAnsi="Times New Roman" w:eastAsia="仿宋_GB2312" w:cs="Times New Roman"/>
          <w:bCs/>
          <w:kern w:val="0"/>
          <w:sz w:val="32"/>
          <w:szCs w:val="32"/>
          <w:lang w:val="zh-CN" w:eastAsia="zh-CN" w:bidi="ar-SA"/>
        </w:rPr>
      </w:pPr>
      <w:r>
        <w:rPr>
          <w:rFonts w:hint="eastAsia" w:ascii="Times New Roman" w:hAnsi="Times New Roman" w:eastAsia="仿宋_GB2312" w:cs="Times New Roman"/>
          <w:bCs/>
          <w:kern w:val="0"/>
          <w:sz w:val="32"/>
          <w:szCs w:val="32"/>
          <w:lang w:val="zh-CN" w:eastAsia="zh-CN" w:bidi="ar-SA"/>
        </w:rPr>
        <w:t>（</w:t>
      </w:r>
      <w:r>
        <w:rPr>
          <w:rFonts w:hint="eastAsia" w:ascii="Times New Roman" w:hAnsi="Times New Roman" w:eastAsia="仿宋_GB2312" w:cs="Times New Roman"/>
          <w:bCs/>
          <w:kern w:val="0"/>
          <w:sz w:val="32"/>
          <w:szCs w:val="32"/>
          <w:lang w:val="en-US" w:eastAsia="zh-CN" w:bidi="ar-SA"/>
        </w:rPr>
        <w:t>2</w:t>
      </w:r>
      <w:r>
        <w:rPr>
          <w:rFonts w:hint="eastAsia" w:ascii="Times New Roman" w:hAnsi="Times New Roman" w:eastAsia="仿宋_GB2312" w:cs="Times New Roman"/>
          <w:bCs/>
          <w:kern w:val="0"/>
          <w:sz w:val="32"/>
          <w:szCs w:val="32"/>
          <w:lang w:val="zh-CN" w:eastAsia="zh-CN" w:bidi="ar-SA"/>
        </w:rPr>
        <w:t>）资产利用率</w:t>
      </w:r>
    </w:p>
    <w:p w14:paraId="5CC2D98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根据2024年资产卡片，我单位办公家具原值共计为182.73万元，超最低使用年限的办公家具原值为42.94万元，办公家具超最低使用年限使用率23.50%；</w:t>
      </w:r>
    </w:p>
    <w:p w14:paraId="4593B21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我单位办公设备共计91.17万元，超最低使用年限的办公设备为60.51万元，办公设备超最低使用年限使用率66.37%。</w:t>
      </w:r>
    </w:p>
    <w:p w14:paraId="61ECA0E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（3）资产盘活率</w:t>
      </w:r>
    </w:p>
    <w:p w14:paraId="2FBA6D3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我单位2024年、2023年均无闲置资产，闲置资产变化率0%。</w:t>
      </w:r>
    </w:p>
    <w:p w14:paraId="4F3CE2B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综上，资产管理指标权重9分，根据评分规则，得9分，得分率100%。</w:t>
      </w:r>
    </w:p>
    <w:p w14:paraId="319F29E7">
      <w:pPr>
        <w:pStyle w:val="4"/>
        <w:numPr>
          <w:ilvl w:val="2"/>
          <w:numId w:val="0"/>
        </w:numPr>
        <w:ind w:left="0" w:leftChars="0" w:firstLine="643" w:firstLineChars="200"/>
        <w:rPr>
          <w:rFonts w:hint="eastAsia" w:ascii="Times New Roman" w:hAnsi="Times New Roman" w:eastAsia="仿宋_GB2312" w:cs="Times New Roman"/>
          <w:bCs/>
          <w:kern w:val="0"/>
          <w:sz w:val="32"/>
          <w:szCs w:val="32"/>
          <w:lang w:val="zh-CN" w:eastAsia="zh-CN" w:bidi="ar-SA"/>
        </w:rPr>
      </w:pPr>
      <w:r>
        <w:rPr>
          <w:rFonts w:hint="eastAsia" w:ascii="Times New Roman" w:hAnsi="Times New Roman" w:eastAsia="仿宋_GB2312" w:cs="Times New Roman"/>
          <w:bCs/>
          <w:kern w:val="0"/>
          <w:sz w:val="32"/>
          <w:szCs w:val="32"/>
          <w:lang w:val="en-US" w:eastAsia="zh-CN" w:bidi="ar-SA"/>
        </w:rPr>
        <w:t>4.</w:t>
      </w:r>
      <w:r>
        <w:rPr>
          <w:rFonts w:hint="default" w:ascii="Times New Roman" w:hAnsi="Times New Roman" w:eastAsia="仿宋_GB2312" w:cs="Times New Roman"/>
          <w:bCs/>
          <w:kern w:val="0"/>
          <w:sz w:val="32"/>
          <w:szCs w:val="32"/>
          <w:lang w:val="zh-CN" w:eastAsia="zh-CN" w:bidi="ar-SA"/>
        </w:rPr>
        <w:t>采购管理</w:t>
      </w:r>
    </w:p>
    <w:p w14:paraId="4DD5FAF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eastAsia" w:ascii="Times New Roman" w:hAnsi="Times New Roman" w:eastAsia="仿宋_GB2312" w:cs="Times New Roman"/>
          <w:bCs/>
          <w:kern w:val="0"/>
          <w:sz w:val="32"/>
          <w:szCs w:val="32"/>
          <w:lang w:val="zh-CN" w:eastAsia="zh-CN" w:bidi="ar-SA"/>
        </w:rPr>
      </w:pPr>
      <w:r>
        <w:rPr>
          <w:rFonts w:hint="eastAsia" w:ascii="Times New Roman" w:hAnsi="Times New Roman" w:eastAsia="仿宋_GB2312" w:cs="Times New Roman"/>
          <w:bCs/>
          <w:kern w:val="0"/>
          <w:sz w:val="32"/>
          <w:szCs w:val="32"/>
          <w:lang w:val="zh-CN" w:eastAsia="zh-CN" w:bidi="ar-SA"/>
        </w:rPr>
        <w:t>（</w:t>
      </w:r>
      <w:r>
        <w:rPr>
          <w:rFonts w:hint="eastAsia" w:ascii="Times New Roman" w:hAnsi="Times New Roman" w:eastAsia="仿宋_GB2312" w:cs="Times New Roman"/>
          <w:bCs/>
          <w:kern w:val="0"/>
          <w:sz w:val="32"/>
          <w:szCs w:val="32"/>
          <w:lang w:val="en-US" w:eastAsia="zh-CN" w:bidi="ar-SA"/>
        </w:rPr>
        <w:t>1</w:t>
      </w:r>
      <w:r>
        <w:rPr>
          <w:rFonts w:hint="eastAsia" w:ascii="Times New Roman" w:hAnsi="Times New Roman" w:eastAsia="仿宋_GB2312" w:cs="Times New Roman"/>
          <w:bCs/>
          <w:kern w:val="0"/>
          <w:sz w:val="32"/>
          <w:szCs w:val="32"/>
          <w:lang w:val="zh-CN" w:eastAsia="zh-CN" w:bidi="ar-SA"/>
        </w:rPr>
        <w:t>）支持中小企业发展</w:t>
      </w:r>
    </w:p>
    <w:p w14:paraId="72BF23F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我单位严格遵守单位内控制度，实施采购项目时，均向中小企业预留采购份额。</w:t>
      </w:r>
    </w:p>
    <w:p w14:paraId="567F6FA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（2）采购执行率</w:t>
      </w:r>
    </w:p>
    <w:p w14:paraId="751C7DF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我单位2024年不涉及政府采购项目。</w:t>
      </w:r>
    </w:p>
    <w:p w14:paraId="1D32843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综上，采购管理指标权重6分，根据评分规则，得6分，得分率100%。</w:t>
      </w:r>
    </w:p>
    <w:p w14:paraId="576E6CAC">
      <w:pPr>
        <w:pStyle w:val="4"/>
        <w:numPr>
          <w:ilvl w:val="2"/>
          <w:numId w:val="0"/>
        </w:numPr>
        <w:ind w:left="0" w:leftChars="0" w:firstLine="643" w:firstLineChars="200"/>
        <w:rPr>
          <w:rFonts w:hint="eastAsia" w:ascii="Times New Roman" w:hAnsi="Times New Roman" w:eastAsia="仿宋_GB2312" w:cs="Times New Roman"/>
          <w:bCs/>
          <w:kern w:val="0"/>
          <w:sz w:val="32"/>
          <w:szCs w:val="32"/>
          <w:lang w:val="zh-CN" w:eastAsia="zh-CN" w:bidi="ar-SA"/>
        </w:rPr>
      </w:pPr>
      <w:r>
        <w:rPr>
          <w:rFonts w:hint="eastAsia" w:ascii="Times New Roman" w:hAnsi="Times New Roman" w:eastAsia="仿宋_GB2312" w:cs="Times New Roman"/>
          <w:bCs/>
          <w:kern w:val="0"/>
          <w:sz w:val="32"/>
          <w:szCs w:val="32"/>
          <w:lang w:val="zh-CN" w:eastAsia="zh-CN" w:bidi="ar-SA"/>
        </w:rPr>
        <w:t>5.</w:t>
      </w:r>
      <w:r>
        <w:rPr>
          <w:rFonts w:hint="default" w:ascii="Times New Roman" w:hAnsi="Times New Roman" w:eastAsia="仿宋_GB2312" w:cs="Times New Roman"/>
          <w:bCs/>
          <w:kern w:val="0"/>
          <w:sz w:val="32"/>
          <w:szCs w:val="32"/>
          <w:lang w:val="zh-CN" w:eastAsia="zh-CN" w:bidi="ar-SA"/>
        </w:rPr>
        <w:t>财务管理</w:t>
      </w:r>
    </w:p>
    <w:p w14:paraId="3C2C5E8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eastAsia" w:ascii="Times New Roman" w:hAnsi="Times New Roman" w:eastAsia="仿宋_GB2312" w:cs="Times New Roman"/>
          <w:bCs/>
          <w:kern w:val="0"/>
          <w:sz w:val="32"/>
          <w:szCs w:val="32"/>
          <w:lang w:val="zh-CN" w:eastAsia="zh-CN" w:bidi="ar-SA"/>
        </w:rPr>
      </w:pPr>
      <w:r>
        <w:rPr>
          <w:rFonts w:hint="eastAsia" w:ascii="Times New Roman" w:hAnsi="Times New Roman" w:eastAsia="仿宋_GB2312" w:cs="Times New Roman"/>
          <w:bCs/>
          <w:kern w:val="0"/>
          <w:sz w:val="32"/>
          <w:szCs w:val="32"/>
          <w:lang w:val="zh-CN" w:eastAsia="zh-CN" w:bidi="ar-SA"/>
        </w:rPr>
        <w:t>（</w:t>
      </w:r>
      <w:r>
        <w:rPr>
          <w:rFonts w:hint="eastAsia" w:ascii="Times New Roman" w:hAnsi="Times New Roman" w:eastAsia="仿宋_GB2312" w:cs="Times New Roman"/>
          <w:bCs/>
          <w:kern w:val="0"/>
          <w:sz w:val="32"/>
          <w:szCs w:val="32"/>
          <w:lang w:val="en-US" w:eastAsia="zh-CN" w:bidi="ar-SA"/>
        </w:rPr>
        <w:t>1</w:t>
      </w:r>
      <w:r>
        <w:rPr>
          <w:rFonts w:hint="eastAsia" w:ascii="Times New Roman" w:hAnsi="Times New Roman" w:eastAsia="仿宋_GB2312" w:cs="Times New Roman"/>
          <w:bCs/>
          <w:kern w:val="0"/>
          <w:sz w:val="32"/>
          <w:szCs w:val="32"/>
          <w:lang w:val="zh-CN" w:eastAsia="zh-CN" w:bidi="ar-SA"/>
        </w:rPr>
        <w:t>）财务管理制度</w:t>
      </w:r>
    </w:p>
    <w:p w14:paraId="04C50CD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eastAsia" w:ascii="Times New Roman" w:hAnsi="Times New Roman" w:eastAsia="仿宋_GB2312" w:cs="Times New Roman"/>
          <w:bCs/>
          <w:kern w:val="0"/>
          <w:sz w:val="32"/>
          <w:szCs w:val="32"/>
          <w:lang w:val="zh-CN" w:eastAsia="zh-CN" w:bidi="ar-SA"/>
        </w:rPr>
      </w:pPr>
      <w:r>
        <w:rPr>
          <w:rFonts w:hint="eastAsia" w:ascii="Times New Roman" w:hAnsi="Times New Roman" w:eastAsia="仿宋_GB2312" w:cs="Times New Roman"/>
          <w:bCs/>
          <w:kern w:val="0"/>
          <w:sz w:val="32"/>
          <w:szCs w:val="32"/>
          <w:lang w:val="en-US" w:eastAsia="zh-CN" w:bidi="ar-SA"/>
        </w:rPr>
        <w:t>我单位制定有内部控制规范建设工作手册、财务管理制度，其中包含收支业务控制建设、预算资金管理办法、厉行节约管理制度、内部财务管理制度、会计核算制度等，财务管理制度建设规范、完整。在资金支付、会计核算及财务处理过程中，能严格执行核算办法、款项支付流程、款项签批审核程序及货币资金管理办法，全年预算资金用途与批复一致，不存在截留、挤占、挪用等情况</w:t>
      </w:r>
      <w:r>
        <w:rPr>
          <w:rFonts w:hint="eastAsia" w:cs="Times New Roman"/>
          <w:bCs/>
          <w:kern w:val="0"/>
          <w:sz w:val="32"/>
          <w:szCs w:val="32"/>
          <w:lang w:val="en-US" w:eastAsia="zh-CN" w:bidi="ar-SA"/>
        </w:rPr>
        <w:t>。</w:t>
      </w:r>
    </w:p>
    <w:p w14:paraId="52FDE84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eastAsia" w:ascii="Times New Roman" w:hAnsi="Times New Roman" w:eastAsia="仿宋_GB2312" w:cs="Times New Roman"/>
          <w:bCs/>
          <w:kern w:val="0"/>
          <w:sz w:val="32"/>
          <w:szCs w:val="32"/>
          <w:lang w:val="zh-CN" w:eastAsia="zh-CN" w:bidi="ar-SA"/>
        </w:rPr>
      </w:pPr>
      <w:r>
        <w:rPr>
          <w:rFonts w:hint="eastAsia" w:ascii="Times New Roman" w:hAnsi="Times New Roman" w:eastAsia="仿宋_GB2312" w:cs="Times New Roman"/>
          <w:bCs/>
          <w:kern w:val="0"/>
          <w:sz w:val="32"/>
          <w:szCs w:val="32"/>
          <w:lang w:val="zh-CN" w:eastAsia="zh-CN" w:bidi="ar-SA"/>
        </w:rPr>
        <w:t>（</w:t>
      </w:r>
      <w:r>
        <w:rPr>
          <w:rFonts w:hint="eastAsia" w:ascii="Times New Roman" w:hAnsi="Times New Roman" w:eastAsia="仿宋_GB2312" w:cs="Times New Roman"/>
          <w:bCs/>
          <w:kern w:val="0"/>
          <w:sz w:val="32"/>
          <w:szCs w:val="32"/>
          <w:lang w:val="en-US" w:eastAsia="zh-CN" w:bidi="ar-SA"/>
        </w:rPr>
        <w:t>2</w:t>
      </w:r>
      <w:r>
        <w:rPr>
          <w:rFonts w:hint="eastAsia" w:ascii="Times New Roman" w:hAnsi="Times New Roman" w:eastAsia="仿宋_GB2312" w:cs="Times New Roman"/>
          <w:bCs/>
          <w:kern w:val="0"/>
          <w:sz w:val="32"/>
          <w:szCs w:val="32"/>
          <w:lang w:val="zh-CN" w:eastAsia="zh-CN" w:bidi="ar-SA"/>
        </w:rPr>
        <w:t>）财务岗位设置</w:t>
      </w:r>
    </w:p>
    <w:p w14:paraId="0014E1E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eastAsia" w:ascii="Times New Roman" w:hAnsi="Times New Roman" w:eastAsia="仿宋_GB2312" w:cs="Times New Roman"/>
          <w:bCs/>
          <w:kern w:val="0"/>
          <w:sz w:val="32"/>
          <w:szCs w:val="32"/>
          <w:lang w:val="zh-CN" w:eastAsia="zh-CN" w:bidi="ar-SA"/>
        </w:rPr>
      </w:pPr>
      <w:r>
        <w:rPr>
          <w:rFonts w:hint="eastAsia" w:ascii="Times New Roman" w:hAnsi="Times New Roman" w:eastAsia="仿宋_GB2312" w:cs="Times New Roman"/>
          <w:bCs/>
          <w:kern w:val="0"/>
          <w:sz w:val="32"/>
          <w:szCs w:val="32"/>
          <w:lang w:val="en-US" w:eastAsia="zh-CN" w:bidi="ar-SA"/>
        </w:rPr>
        <w:t>我单位在“</w:t>
      </w:r>
      <w:bookmarkStart w:id="10" w:name="_Toc466632479"/>
      <w:r>
        <w:rPr>
          <w:rFonts w:hint="eastAsia" w:ascii="Times New Roman" w:hAnsi="Times New Roman" w:eastAsia="仿宋_GB2312" w:cs="Times New Roman"/>
          <w:bCs/>
          <w:kern w:val="0"/>
          <w:sz w:val="32"/>
          <w:szCs w:val="32"/>
          <w:lang w:val="en-US" w:eastAsia="zh-CN" w:bidi="ar-SA"/>
        </w:rPr>
        <w:t>内控关键岗位与职责</w:t>
      </w:r>
      <w:bookmarkEnd w:id="10"/>
      <w:r>
        <w:rPr>
          <w:rFonts w:hint="eastAsia" w:ascii="Times New Roman" w:hAnsi="Times New Roman" w:eastAsia="仿宋_GB2312" w:cs="Times New Roman"/>
          <w:bCs/>
          <w:kern w:val="0"/>
          <w:sz w:val="32"/>
          <w:szCs w:val="32"/>
          <w:lang w:val="en-US" w:eastAsia="zh-CN" w:bidi="ar-SA"/>
        </w:rPr>
        <w:t>”板块，</w:t>
      </w:r>
      <w:r>
        <w:rPr>
          <w:rFonts w:hint="default" w:ascii="Times New Roman" w:hAnsi="Times New Roman" w:eastAsia="仿宋_GB2312" w:cs="Times New Roman"/>
          <w:bCs/>
          <w:kern w:val="0"/>
          <w:sz w:val="32"/>
          <w:szCs w:val="32"/>
          <w:lang w:val="en-US" w:eastAsia="zh-CN" w:bidi="ar-SA"/>
        </w:rPr>
        <w:t>明确</w:t>
      </w:r>
      <w:r>
        <w:rPr>
          <w:rFonts w:hint="eastAsia" w:ascii="Times New Roman" w:hAnsi="Times New Roman" w:eastAsia="仿宋_GB2312" w:cs="Times New Roman"/>
          <w:bCs/>
          <w:kern w:val="0"/>
          <w:sz w:val="32"/>
          <w:szCs w:val="32"/>
          <w:lang w:val="en-US" w:eastAsia="zh-CN" w:bidi="ar-SA"/>
        </w:rPr>
        <w:t>了</w:t>
      </w:r>
      <w:r>
        <w:rPr>
          <w:rFonts w:hint="default" w:ascii="Times New Roman" w:hAnsi="Times New Roman" w:eastAsia="仿宋_GB2312" w:cs="Times New Roman"/>
          <w:bCs/>
          <w:kern w:val="0"/>
          <w:sz w:val="32"/>
          <w:szCs w:val="32"/>
          <w:lang w:val="en-US" w:eastAsia="zh-CN" w:bidi="ar-SA"/>
        </w:rPr>
        <w:t>岗位的职责与权限，将权力适当分散</w:t>
      </w:r>
      <w:r>
        <w:rPr>
          <w:rFonts w:hint="eastAsia" w:ascii="Times New Roman" w:hAnsi="Times New Roman" w:eastAsia="仿宋_GB2312" w:cs="Times New Roman"/>
          <w:bCs/>
          <w:kern w:val="0"/>
          <w:sz w:val="32"/>
          <w:szCs w:val="32"/>
          <w:lang w:val="en-US" w:eastAsia="zh-CN" w:bidi="ar-SA"/>
        </w:rPr>
        <w:t>，制定相关不相容岗位要求，合理划分和安排岗位职责，确保单位内部财务业务的正常运行和风险防范。将容易产生利益冲突、容易引发舞弊或错误的关键岗位进行分离，</w:t>
      </w:r>
      <w:r>
        <w:rPr>
          <w:rFonts w:hint="default" w:ascii="Times New Roman" w:hAnsi="Times New Roman" w:eastAsia="仿宋_GB2312" w:cs="Times New Roman"/>
          <w:bCs/>
          <w:kern w:val="0"/>
          <w:sz w:val="32"/>
          <w:szCs w:val="32"/>
          <w:lang w:val="en-US" w:eastAsia="zh-CN" w:bidi="ar-SA"/>
        </w:rPr>
        <w:t>防止某个岗位过度集中权力，从源头上防范腐败现象的发生。</w:t>
      </w:r>
    </w:p>
    <w:p w14:paraId="5919135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eastAsia" w:ascii="Times New Roman" w:hAnsi="Times New Roman" w:eastAsia="仿宋_GB2312" w:cs="Times New Roman"/>
          <w:bCs/>
          <w:kern w:val="0"/>
          <w:sz w:val="32"/>
          <w:szCs w:val="32"/>
          <w:lang w:val="zh-CN" w:eastAsia="zh-CN" w:bidi="ar-SA"/>
        </w:rPr>
      </w:pPr>
      <w:r>
        <w:rPr>
          <w:rFonts w:hint="eastAsia" w:ascii="Times New Roman" w:hAnsi="Times New Roman" w:eastAsia="仿宋_GB2312" w:cs="Times New Roman"/>
          <w:bCs/>
          <w:kern w:val="0"/>
          <w:sz w:val="32"/>
          <w:szCs w:val="32"/>
          <w:lang w:val="zh-CN" w:eastAsia="zh-CN" w:bidi="ar-SA"/>
        </w:rPr>
        <w:t>（</w:t>
      </w:r>
      <w:r>
        <w:rPr>
          <w:rFonts w:hint="eastAsia" w:ascii="Times New Roman" w:hAnsi="Times New Roman" w:eastAsia="仿宋_GB2312" w:cs="Times New Roman"/>
          <w:bCs/>
          <w:kern w:val="0"/>
          <w:sz w:val="32"/>
          <w:szCs w:val="32"/>
          <w:lang w:val="en-US" w:eastAsia="zh-CN" w:bidi="ar-SA"/>
        </w:rPr>
        <w:t>3</w:t>
      </w:r>
      <w:r>
        <w:rPr>
          <w:rFonts w:hint="eastAsia" w:ascii="Times New Roman" w:hAnsi="Times New Roman" w:eastAsia="仿宋_GB2312" w:cs="Times New Roman"/>
          <w:bCs/>
          <w:kern w:val="0"/>
          <w:sz w:val="32"/>
          <w:szCs w:val="32"/>
          <w:lang w:val="zh-CN" w:eastAsia="zh-CN" w:bidi="ar-SA"/>
        </w:rPr>
        <w:t>）资金使用规范</w:t>
      </w:r>
    </w:p>
    <w:p w14:paraId="786B778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default"/>
          <w:lang w:val="en-US" w:eastAsia="zh-CN"/>
        </w:rPr>
      </w:pPr>
      <w:r>
        <w:rPr>
          <w:rFonts w:hint="eastAsia" w:ascii="Times New Roman" w:hAnsi="Times New Roman" w:eastAsia="仿宋_GB2312" w:cs="Times New Roman"/>
          <w:bCs/>
          <w:kern w:val="0"/>
          <w:sz w:val="32"/>
          <w:szCs w:val="32"/>
          <w:lang w:val="en-US" w:eastAsia="zh-CN" w:bidi="ar-SA"/>
        </w:rPr>
        <w:t>我单位</w:t>
      </w:r>
      <w:r>
        <w:rPr>
          <w:rFonts w:hint="eastAsia" w:ascii="Times New Roman" w:hAnsi="Times New Roman" w:eastAsia="仿宋_GB2312" w:cs="Times New Roman"/>
          <w:bCs/>
          <w:kern w:val="0"/>
          <w:sz w:val="32"/>
          <w:szCs w:val="32"/>
          <w:lang w:val="zh-CN" w:eastAsia="zh-CN" w:bidi="ar-SA"/>
        </w:rPr>
        <w:t>资金使用符合国家财经法规和财务管理制度规定以及有关专项资金管理办法的规定；资金的拨付有完整的审批程序和手续；项目的重大开支经过评估论证；符合部门预算批复的用途；</w:t>
      </w:r>
      <w:r>
        <w:rPr>
          <w:rFonts w:hint="eastAsia" w:ascii="Times New Roman" w:hAnsi="Times New Roman" w:eastAsia="仿宋_GB2312" w:cs="Times New Roman"/>
          <w:bCs/>
          <w:kern w:val="0"/>
          <w:sz w:val="32"/>
          <w:szCs w:val="32"/>
          <w:lang w:val="en-US" w:eastAsia="zh-CN" w:bidi="ar-SA"/>
        </w:rPr>
        <w:t>不</w:t>
      </w:r>
      <w:r>
        <w:rPr>
          <w:rFonts w:hint="eastAsia" w:ascii="Times New Roman" w:hAnsi="Times New Roman" w:eastAsia="仿宋_GB2312" w:cs="Times New Roman"/>
          <w:bCs/>
          <w:kern w:val="0"/>
          <w:sz w:val="32"/>
          <w:szCs w:val="32"/>
          <w:lang w:val="zh-CN" w:eastAsia="zh-CN" w:bidi="ar-SA"/>
        </w:rPr>
        <w:t>存在截留、挤占、挪用、虚列支出等情况。</w:t>
      </w:r>
    </w:p>
    <w:p w14:paraId="0A811F9B">
      <w:pPr>
        <w:keepNext w:val="0"/>
        <w:keepLines w:val="0"/>
        <w:pageBreakBefore w:val="0"/>
        <w:widowControl/>
        <w:numPr>
          <w:ilvl w:val="0"/>
          <w:numId w:val="1"/>
        </w:numPr>
        <w:kinsoku/>
        <w:wordWrap/>
        <w:overflowPunct/>
        <w:topLinePunct w:val="0"/>
        <w:autoSpaceDE/>
        <w:autoSpaceDN/>
        <w:bidi w:val="0"/>
        <w:adjustRightInd/>
        <w:snapToGrid/>
        <w:spacing w:line="590" w:lineRule="exact"/>
        <w:ind w:right="0" w:rightChars="0" w:firstLine="663" w:firstLineChars="200"/>
        <w:contextualSpacing/>
        <w:jc w:val="both"/>
        <w:textAlignment w:val="auto"/>
        <w:outlineLvl w:val="9"/>
        <w:rPr>
          <w:rFonts w:hint="default" w:ascii="Times New Roman" w:hAnsi="Times New Roman" w:eastAsia="楷体_GB2312" w:cs="Times New Roman"/>
          <w:b/>
          <w:bCs/>
          <w:color w:val="000000"/>
          <w:kern w:val="0"/>
          <w:sz w:val="33"/>
          <w:szCs w:val="33"/>
          <w:highlight w:val="none"/>
          <w:shd w:val="clear" w:color="auto" w:fill="FFFFFF"/>
          <w:lang w:val="zh-CN"/>
        </w:rPr>
      </w:pPr>
      <w:r>
        <w:rPr>
          <w:rFonts w:hint="default" w:ascii="Times New Roman" w:hAnsi="Times New Roman" w:eastAsia="楷体_GB2312" w:cs="Times New Roman"/>
          <w:b/>
          <w:bCs/>
          <w:color w:val="000000"/>
          <w:kern w:val="0"/>
          <w:sz w:val="33"/>
          <w:szCs w:val="33"/>
          <w:highlight w:val="none"/>
          <w:shd w:val="clear" w:color="auto" w:fill="FFFFFF"/>
          <w:lang w:val="zh-CN"/>
        </w:rPr>
        <w:t>部门预算项目绩效分析</w:t>
      </w:r>
    </w:p>
    <w:p w14:paraId="5D763D8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bCs/>
          <w:kern w:val="0"/>
          <w:sz w:val="32"/>
          <w:szCs w:val="32"/>
          <w:lang w:val="zh-CN" w:eastAsia="zh-CN" w:bidi="ar-SA"/>
        </w:rPr>
      </w:pPr>
      <w:r>
        <w:rPr>
          <w:rFonts w:hint="default" w:ascii="Times New Roman" w:hAnsi="Times New Roman" w:eastAsia="仿宋_GB2312" w:cs="Times New Roman"/>
          <w:bCs/>
          <w:kern w:val="0"/>
          <w:sz w:val="32"/>
          <w:szCs w:val="32"/>
          <w:lang w:val="en-US" w:eastAsia="zh-CN" w:bidi="ar-SA"/>
        </w:rPr>
        <w:t>常年项目绩效分析。</w:t>
      </w:r>
      <w:r>
        <w:rPr>
          <w:rFonts w:hint="default" w:ascii="Times New Roman" w:hAnsi="Times New Roman" w:eastAsia="仿宋_GB2312" w:cs="Times New Roman"/>
          <w:bCs/>
          <w:kern w:val="0"/>
          <w:sz w:val="32"/>
          <w:szCs w:val="32"/>
          <w:lang w:val="zh-CN" w:eastAsia="zh-CN" w:bidi="ar-SA"/>
        </w:rPr>
        <w:t>该类项目总数</w:t>
      </w:r>
      <w:r>
        <w:rPr>
          <w:rFonts w:hint="eastAsia" w:ascii="Times New Roman" w:hAnsi="Times New Roman" w:eastAsia="仿宋_GB2312" w:cs="Times New Roman"/>
          <w:bCs/>
          <w:kern w:val="0"/>
          <w:sz w:val="32"/>
          <w:szCs w:val="32"/>
          <w:lang w:val="en-US" w:eastAsia="zh-CN" w:bidi="ar-SA"/>
        </w:rPr>
        <w:t>0</w:t>
      </w:r>
      <w:r>
        <w:rPr>
          <w:rFonts w:hint="default" w:ascii="Times New Roman" w:hAnsi="Times New Roman" w:eastAsia="仿宋_GB2312" w:cs="Times New Roman"/>
          <w:bCs/>
          <w:kern w:val="0"/>
          <w:sz w:val="32"/>
          <w:szCs w:val="32"/>
          <w:lang w:val="zh-CN" w:eastAsia="zh-CN" w:bidi="ar-SA"/>
        </w:rPr>
        <w:t>个，涉及预算总金额</w:t>
      </w:r>
      <w:r>
        <w:rPr>
          <w:rFonts w:hint="eastAsia" w:ascii="Times New Roman" w:hAnsi="Times New Roman" w:eastAsia="仿宋_GB2312" w:cs="Times New Roman"/>
          <w:bCs/>
          <w:kern w:val="0"/>
          <w:sz w:val="32"/>
          <w:szCs w:val="32"/>
          <w:lang w:val="en-US" w:eastAsia="zh-CN" w:bidi="ar-SA"/>
        </w:rPr>
        <w:t>0</w:t>
      </w:r>
      <w:r>
        <w:rPr>
          <w:rFonts w:hint="default" w:ascii="Times New Roman" w:hAnsi="Times New Roman" w:eastAsia="仿宋_GB2312" w:cs="Times New Roman"/>
          <w:bCs/>
          <w:kern w:val="0"/>
          <w:sz w:val="32"/>
          <w:szCs w:val="32"/>
          <w:lang w:val="zh-CN" w:eastAsia="zh-CN" w:bidi="ar-SA"/>
        </w:rPr>
        <w:t>万元。</w:t>
      </w:r>
    </w:p>
    <w:p w14:paraId="3F9E981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default" w:ascii="Times New Roman" w:hAnsi="Times New Roman" w:cs="Times New Roman"/>
          <w:color w:val="000000"/>
          <w:kern w:val="0"/>
          <w:sz w:val="33"/>
          <w:szCs w:val="33"/>
          <w:highlight w:val="none"/>
          <w:shd w:val="clear" w:color="auto" w:fill="FFFFFF"/>
          <w:lang w:val="zh-CN" w:eastAsia="zh-CN"/>
        </w:rPr>
      </w:pPr>
      <w:r>
        <w:rPr>
          <w:rFonts w:hint="default" w:ascii="Times New Roman" w:hAnsi="Times New Roman" w:eastAsia="仿宋_GB2312" w:cs="Times New Roman"/>
          <w:bCs/>
          <w:kern w:val="0"/>
          <w:sz w:val="32"/>
          <w:szCs w:val="32"/>
          <w:lang w:val="en-US" w:eastAsia="zh-CN" w:bidi="ar-SA"/>
        </w:rPr>
        <w:t>阶段</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一次性</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项目绩效分析。</w:t>
      </w:r>
      <w:r>
        <w:rPr>
          <w:rFonts w:hint="default" w:ascii="Times New Roman" w:hAnsi="Times New Roman" w:eastAsia="仿宋_GB2312" w:cs="Times New Roman"/>
          <w:bCs/>
          <w:kern w:val="0"/>
          <w:sz w:val="32"/>
          <w:szCs w:val="32"/>
          <w:lang w:val="zh-CN" w:eastAsia="zh-CN" w:bidi="ar-SA"/>
        </w:rPr>
        <w:t>该类项目总数</w:t>
      </w:r>
      <w:r>
        <w:rPr>
          <w:rFonts w:hint="eastAsia" w:ascii="Times New Roman" w:hAnsi="Times New Roman" w:eastAsia="仿宋_GB2312" w:cs="Times New Roman"/>
          <w:bCs/>
          <w:kern w:val="0"/>
          <w:sz w:val="32"/>
          <w:szCs w:val="32"/>
          <w:lang w:val="en-US" w:eastAsia="zh-CN" w:bidi="ar-SA"/>
        </w:rPr>
        <w:t>1</w:t>
      </w:r>
      <w:r>
        <w:rPr>
          <w:rFonts w:hint="default" w:ascii="Times New Roman" w:hAnsi="Times New Roman" w:eastAsia="仿宋_GB2312" w:cs="Times New Roman"/>
          <w:bCs/>
          <w:kern w:val="0"/>
          <w:sz w:val="32"/>
          <w:szCs w:val="32"/>
          <w:lang w:val="zh-CN" w:eastAsia="zh-CN" w:bidi="ar-SA"/>
        </w:rPr>
        <w:t>个，涉及预算总金额</w:t>
      </w:r>
      <w:r>
        <w:rPr>
          <w:rFonts w:hint="eastAsia" w:ascii="Times New Roman" w:hAnsi="Times New Roman" w:eastAsia="仿宋_GB2312" w:cs="Times New Roman"/>
          <w:bCs/>
          <w:kern w:val="0"/>
          <w:sz w:val="32"/>
          <w:szCs w:val="32"/>
          <w:lang w:val="en-US" w:eastAsia="zh-CN" w:bidi="ar-SA"/>
        </w:rPr>
        <w:t>50</w:t>
      </w:r>
      <w:r>
        <w:rPr>
          <w:rFonts w:hint="default" w:ascii="Times New Roman" w:hAnsi="Times New Roman" w:eastAsia="仿宋_GB2312" w:cs="Times New Roman"/>
          <w:bCs/>
          <w:kern w:val="0"/>
          <w:sz w:val="32"/>
          <w:szCs w:val="32"/>
          <w:lang w:val="zh-CN" w:eastAsia="zh-CN" w:bidi="ar-SA"/>
        </w:rPr>
        <w:t>万元，1</w:t>
      </w:r>
      <w:r>
        <w:rPr>
          <w:rFonts w:hint="eastAsia" w:ascii="Times New Roman" w:hAnsi="Times New Roman" w:eastAsia="仿宋_GB2312" w:cs="Times New Roman"/>
          <w:bCs/>
          <w:kern w:val="0"/>
          <w:sz w:val="32"/>
          <w:szCs w:val="32"/>
          <w:lang w:val="zh-CN" w:eastAsia="zh-CN" w:bidi="ar-SA"/>
        </w:rPr>
        <w:t>—</w:t>
      </w:r>
      <w:r>
        <w:rPr>
          <w:rFonts w:hint="default" w:ascii="Times New Roman" w:hAnsi="Times New Roman" w:eastAsia="仿宋_GB2312" w:cs="Times New Roman"/>
          <w:bCs/>
          <w:kern w:val="0"/>
          <w:sz w:val="32"/>
          <w:szCs w:val="32"/>
          <w:lang w:val="zh-CN" w:eastAsia="zh-CN" w:bidi="ar-SA"/>
        </w:rPr>
        <w:t>1</w:t>
      </w:r>
      <w:r>
        <w:rPr>
          <w:rFonts w:hint="default" w:ascii="Times New Roman" w:hAnsi="Times New Roman" w:eastAsia="仿宋_GB2312" w:cs="Times New Roman"/>
          <w:bCs/>
          <w:kern w:val="0"/>
          <w:sz w:val="32"/>
          <w:szCs w:val="32"/>
          <w:lang w:val="en-US" w:eastAsia="zh-CN" w:bidi="ar-SA"/>
        </w:rPr>
        <w:t>2</w:t>
      </w:r>
      <w:r>
        <w:rPr>
          <w:rFonts w:hint="default" w:ascii="Times New Roman" w:hAnsi="Times New Roman" w:eastAsia="仿宋_GB2312" w:cs="Times New Roman"/>
          <w:bCs/>
          <w:kern w:val="0"/>
          <w:sz w:val="32"/>
          <w:szCs w:val="32"/>
          <w:lang w:val="zh-CN" w:eastAsia="zh-CN" w:bidi="ar-SA"/>
        </w:rPr>
        <w:t>月预算执行总体进度为</w:t>
      </w:r>
      <w:r>
        <w:rPr>
          <w:rFonts w:hint="eastAsia" w:ascii="Times New Roman" w:hAnsi="Times New Roman" w:eastAsia="仿宋_GB2312" w:cs="Times New Roman"/>
          <w:bCs/>
          <w:kern w:val="0"/>
          <w:sz w:val="32"/>
          <w:szCs w:val="32"/>
          <w:lang w:val="en-US" w:eastAsia="zh-CN" w:bidi="ar-SA"/>
        </w:rPr>
        <w:t>100</w:t>
      </w:r>
      <w:r>
        <w:rPr>
          <w:rFonts w:hint="default" w:ascii="Times New Roman" w:hAnsi="Times New Roman" w:eastAsia="仿宋_GB2312" w:cs="Times New Roman"/>
          <w:bCs/>
          <w:kern w:val="0"/>
          <w:sz w:val="32"/>
          <w:szCs w:val="32"/>
          <w:lang w:val="zh-CN" w:eastAsia="zh-CN" w:bidi="ar-SA"/>
        </w:rPr>
        <w:t>%，其中：预算结余率大于</w:t>
      </w:r>
      <w:r>
        <w:rPr>
          <w:rFonts w:hint="default" w:ascii="Times New Roman" w:hAnsi="Times New Roman" w:eastAsia="仿宋_GB2312" w:cs="Times New Roman"/>
          <w:bCs/>
          <w:kern w:val="0"/>
          <w:sz w:val="32"/>
          <w:szCs w:val="32"/>
          <w:lang w:val="en-US" w:eastAsia="zh-CN" w:bidi="ar-SA"/>
        </w:rPr>
        <w:t>10%</w:t>
      </w:r>
      <w:r>
        <w:rPr>
          <w:rFonts w:hint="default" w:ascii="Times New Roman" w:hAnsi="Times New Roman" w:eastAsia="仿宋_GB2312" w:cs="Times New Roman"/>
          <w:bCs/>
          <w:kern w:val="0"/>
          <w:sz w:val="32"/>
          <w:szCs w:val="32"/>
          <w:lang w:val="zh-CN" w:eastAsia="zh-CN" w:bidi="ar-SA"/>
        </w:rPr>
        <w:t>的项目共计</w:t>
      </w:r>
      <w:r>
        <w:rPr>
          <w:rFonts w:hint="eastAsia" w:ascii="Times New Roman" w:hAnsi="Times New Roman" w:eastAsia="仿宋_GB2312" w:cs="Times New Roman"/>
          <w:bCs/>
          <w:kern w:val="0"/>
          <w:sz w:val="32"/>
          <w:szCs w:val="32"/>
          <w:lang w:val="en-US" w:eastAsia="zh-CN" w:bidi="ar-SA"/>
        </w:rPr>
        <w:t>0</w:t>
      </w:r>
      <w:r>
        <w:rPr>
          <w:rFonts w:hint="default" w:ascii="Times New Roman" w:hAnsi="Times New Roman" w:eastAsia="仿宋_GB2312" w:cs="Times New Roman"/>
          <w:bCs/>
          <w:kern w:val="0"/>
          <w:sz w:val="32"/>
          <w:szCs w:val="32"/>
          <w:lang w:val="zh-CN" w:eastAsia="zh-CN" w:bidi="ar-SA"/>
        </w:rPr>
        <w:t>个。</w:t>
      </w:r>
    </w:p>
    <w:p w14:paraId="69097688">
      <w:pPr>
        <w:pStyle w:val="4"/>
        <w:numPr>
          <w:ilvl w:val="2"/>
          <w:numId w:val="0"/>
        </w:numPr>
        <w:ind w:left="0" w:leftChars="0" w:firstLine="643" w:firstLineChars="200"/>
        <w:rPr>
          <w:rFonts w:hint="eastAsia" w:ascii="Times New Roman" w:hAnsi="Times New Roman" w:eastAsia="仿宋_GB2312" w:cs="Times New Roman"/>
          <w:bCs/>
          <w:kern w:val="0"/>
          <w:sz w:val="32"/>
          <w:szCs w:val="32"/>
          <w:lang w:val="zh-CN" w:eastAsia="zh-CN" w:bidi="ar-SA"/>
        </w:rPr>
      </w:pPr>
      <w:r>
        <w:rPr>
          <w:rFonts w:hint="eastAsia" w:ascii="Times New Roman" w:hAnsi="Times New Roman" w:eastAsia="仿宋_GB2312" w:cs="Times New Roman"/>
          <w:bCs/>
          <w:kern w:val="0"/>
          <w:sz w:val="32"/>
          <w:szCs w:val="32"/>
          <w:lang w:val="zh-CN" w:eastAsia="zh-CN" w:bidi="ar-SA"/>
        </w:rPr>
        <w:t>1.项目决策</w:t>
      </w:r>
    </w:p>
    <w:p w14:paraId="22F3944A">
      <w:pPr>
        <w:pStyle w:val="37"/>
        <w:pageBreakBefore w:val="0"/>
        <w:kinsoku/>
        <w:wordWrap/>
        <w:overflowPunct/>
        <w:topLinePunct w:val="0"/>
        <w:autoSpaceDE/>
        <w:autoSpaceDN/>
        <w:bidi w:val="0"/>
        <w:snapToGrid/>
        <w:ind w:left="0" w:leftChars="0" w:firstLine="640" w:firstLineChars="200"/>
        <w:textAlignment w:val="auto"/>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2024年，我单位仅涉及1个阶段性项目，涉及项目预算50万元，履行事前评估程序的预算阶段项目（含一次性项目）数量为1个，部门预算项目设立基本按规定履行评估论证、申报程序。</w:t>
      </w:r>
    </w:p>
    <w:p w14:paraId="0AAE7756">
      <w:pPr>
        <w:pStyle w:val="4"/>
        <w:numPr>
          <w:ilvl w:val="2"/>
          <w:numId w:val="0"/>
        </w:numPr>
        <w:ind w:left="0" w:leftChars="0" w:firstLine="643" w:firstLineChars="200"/>
        <w:rPr>
          <w:rFonts w:hint="eastAsia" w:ascii="Times New Roman" w:hAnsi="Times New Roman" w:eastAsia="仿宋_GB2312" w:cs="Times New Roman"/>
          <w:bCs/>
          <w:kern w:val="0"/>
          <w:sz w:val="32"/>
          <w:szCs w:val="32"/>
          <w:lang w:val="zh-CN" w:eastAsia="zh-CN" w:bidi="ar-SA"/>
        </w:rPr>
      </w:pPr>
      <w:r>
        <w:rPr>
          <w:rFonts w:hint="eastAsia" w:ascii="Times New Roman" w:hAnsi="Times New Roman" w:eastAsia="仿宋_GB2312" w:cs="Times New Roman"/>
          <w:bCs/>
          <w:kern w:val="0"/>
          <w:sz w:val="32"/>
          <w:szCs w:val="32"/>
          <w:lang w:val="zh-CN" w:eastAsia="zh-CN" w:bidi="ar-SA"/>
        </w:rPr>
        <w:t>2.</w:t>
      </w:r>
      <w:r>
        <w:rPr>
          <w:rFonts w:hint="eastAsia" w:ascii="Times New Roman" w:hAnsi="Times New Roman" w:eastAsia="仿宋_GB2312" w:cs="Times New Roman"/>
          <w:bCs/>
          <w:kern w:val="0"/>
          <w:sz w:val="32"/>
          <w:szCs w:val="32"/>
          <w:lang w:val="en-US" w:eastAsia="zh-CN" w:bidi="ar-SA"/>
        </w:rPr>
        <w:t>项目执行</w:t>
      </w:r>
    </w:p>
    <w:p w14:paraId="2E1E7F8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contextualSpacing/>
        <w:jc w:val="both"/>
        <w:textAlignment w:val="auto"/>
        <w:outlineLvl w:val="9"/>
        <w:rPr>
          <w:rFonts w:hint="eastAsia" w:ascii="Times New Roman" w:hAnsi="Times New Roman" w:eastAsia="仿宋_GB2312" w:cs="Times New Roman"/>
          <w:bCs/>
          <w:kern w:val="0"/>
          <w:sz w:val="32"/>
          <w:szCs w:val="32"/>
          <w:lang w:val="zh-CN" w:eastAsia="zh-CN" w:bidi="ar-SA"/>
        </w:rPr>
      </w:pPr>
      <w:r>
        <w:rPr>
          <w:rFonts w:hint="eastAsia" w:ascii="Times New Roman" w:hAnsi="Times New Roman" w:eastAsia="仿宋_GB2312" w:cs="Times New Roman"/>
          <w:bCs/>
          <w:kern w:val="0"/>
          <w:sz w:val="32"/>
          <w:szCs w:val="32"/>
          <w:lang w:val="en-US" w:eastAsia="zh-CN" w:bidi="ar-SA"/>
        </w:rPr>
        <w:t>2024年，我单位仅涉及1个阶段性项目（安居区社会福利服务中心日常运行经费项目），项目年初预算数、全年预算数、预算执行数均为50万元，项目预算执行率100%</w:t>
      </w:r>
      <w:r>
        <w:rPr>
          <w:rFonts w:hint="eastAsia" w:ascii="Times New Roman" w:hAnsi="Times New Roman" w:eastAsia="仿宋_GB2312" w:cs="Times New Roman"/>
          <w:bCs/>
          <w:kern w:val="0"/>
          <w:sz w:val="32"/>
          <w:szCs w:val="32"/>
          <w:lang w:val="zh-CN" w:eastAsia="zh-CN" w:bidi="ar-SA"/>
        </w:rPr>
        <w:t>。</w:t>
      </w:r>
    </w:p>
    <w:p w14:paraId="0759EBBB">
      <w:pPr>
        <w:pStyle w:val="4"/>
        <w:numPr>
          <w:ilvl w:val="2"/>
          <w:numId w:val="0"/>
        </w:numPr>
        <w:ind w:left="0" w:leftChars="0" w:firstLine="643" w:firstLineChars="200"/>
        <w:rPr>
          <w:rFonts w:hint="eastAsia" w:ascii="Times New Roman" w:hAnsi="Times New Roman" w:eastAsia="仿宋_GB2312" w:cs="Times New Roman"/>
          <w:bCs/>
          <w:kern w:val="0"/>
          <w:sz w:val="32"/>
          <w:szCs w:val="32"/>
          <w:lang w:val="zh-CN" w:eastAsia="zh-CN" w:bidi="ar-SA"/>
        </w:rPr>
      </w:pPr>
      <w:r>
        <w:rPr>
          <w:rFonts w:hint="eastAsia" w:ascii="Times New Roman" w:hAnsi="Times New Roman" w:eastAsia="仿宋_GB2312" w:cs="Times New Roman"/>
          <w:bCs/>
          <w:kern w:val="0"/>
          <w:sz w:val="32"/>
          <w:szCs w:val="32"/>
          <w:lang w:val="zh-CN" w:eastAsia="zh-CN" w:bidi="ar-SA"/>
        </w:rPr>
        <w:t>3.目标实现</w:t>
      </w:r>
    </w:p>
    <w:p w14:paraId="0C56301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contextualSpacing/>
        <w:jc w:val="both"/>
        <w:textAlignment w:val="auto"/>
        <w:outlineLvl w:val="9"/>
        <w:rPr>
          <w:rFonts w:hint="default" w:ascii="Times New Roman" w:hAnsi="Times New Roman" w:eastAsia="楷体_GB2312" w:cs="Times New Roman"/>
          <w:color w:val="333333"/>
          <w:sz w:val="33"/>
          <w:szCs w:val="33"/>
          <w:highlight w:val="none"/>
          <w:u w:val="none"/>
          <w:shd w:val="clear" w:color="auto" w:fill="auto"/>
          <w:lang w:bidi="ar"/>
        </w:rPr>
      </w:pPr>
      <w:r>
        <w:rPr>
          <w:rFonts w:hint="eastAsia" w:ascii="Times New Roman" w:hAnsi="Times New Roman" w:eastAsia="仿宋_GB2312" w:cs="Times New Roman"/>
          <w:bCs/>
          <w:kern w:val="0"/>
          <w:sz w:val="32"/>
          <w:szCs w:val="32"/>
          <w:lang w:val="en-US" w:eastAsia="zh-CN" w:bidi="ar-SA"/>
        </w:rPr>
        <w:t>2024年，“安居区社会福利服务中心日常运行经费”项目年度绩效目标为：保障区社会福利服务中心以及区社会福利院正常运行。截至2024年12月31日，我单位实现单位基本支出、基本运转、重点工作的正常运行。</w:t>
      </w:r>
    </w:p>
    <w:p w14:paraId="607098F7">
      <w:pPr>
        <w:keepNext w:val="0"/>
        <w:keepLines w:val="0"/>
        <w:pageBreakBefore w:val="0"/>
        <w:widowControl/>
        <w:numPr>
          <w:ilvl w:val="0"/>
          <w:numId w:val="1"/>
        </w:numPr>
        <w:kinsoku/>
        <w:wordWrap/>
        <w:overflowPunct/>
        <w:topLinePunct w:val="0"/>
        <w:autoSpaceDE/>
        <w:autoSpaceDN/>
        <w:bidi w:val="0"/>
        <w:adjustRightInd/>
        <w:snapToGrid/>
        <w:spacing w:line="590" w:lineRule="exact"/>
        <w:ind w:left="0" w:leftChars="0" w:right="0" w:rightChars="0" w:firstLine="663" w:firstLineChars="200"/>
        <w:contextualSpacing/>
        <w:jc w:val="both"/>
        <w:textAlignment w:val="auto"/>
        <w:outlineLvl w:val="9"/>
        <w:rPr>
          <w:rFonts w:hint="default" w:ascii="Times New Roman" w:hAnsi="Times New Roman" w:eastAsia="楷体_GB2312" w:cs="Times New Roman"/>
          <w:b/>
          <w:bCs/>
          <w:color w:val="000000"/>
          <w:kern w:val="0"/>
          <w:sz w:val="33"/>
          <w:szCs w:val="33"/>
          <w:highlight w:val="none"/>
          <w:shd w:val="clear" w:color="auto" w:fill="FFFFFF"/>
          <w:lang w:val="zh-CN" w:eastAsia="zh-CN"/>
        </w:rPr>
      </w:pPr>
      <w:r>
        <w:rPr>
          <w:rFonts w:hint="default" w:ascii="Times New Roman" w:hAnsi="Times New Roman" w:eastAsia="楷体_GB2312" w:cs="Times New Roman"/>
          <w:b/>
          <w:bCs/>
          <w:color w:val="000000"/>
          <w:kern w:val="0"/>
          <w:sz w:val="33"/>
          <w:szCs w:val="33"/>
          <w:highlight w:val="none"/>
          <w:shd w:val="clear" w:color="auto" w:fill="FFFFFF"/>
          <w:lang w:val="zh-CN" w:eastAsia="zh-CN"/>
        </w:rPr>
        <w:t>重点领域</w:t>
      </w:r>
      <w:r>
        <w:rPr>
          <w:rFonts w:hint="default" w:ascii="Times New Roman" w:hAnsi="Times New Roman" w:eastAsia="楷体_GB2312" w:cs="Times New Roman"/>
          <w:b/>
          <w:bCs/>
          <w:color w:val="000000"/>
          <w:kern w:val="0"/>
          <w:sz w:val="33"/>
          <w:szCs w:val="33"/>
          <w:highlight w:val="none"/>
          <w:shd w:val="clear" w:color="auto" w:fill="FFFFFF"/>
          <w:lang w:val="zh-CN"/>
        </w:rPr>
        <w:t>绩效分析</w:t>
      </w:r>
    </w:p>
    <w:p w14:paraId="3C708468">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contextualSpacing/>
        <w:jc w:val="both"/>
        <w:textAlignment w:val="auto"/>
        <w:outlineLvl w:val="9"/>
        <w:rPr>
          <w:rFonts w:hint="default" w:ascii="Times New Roman" w:hAnsi="Times New Roman" w:cs="Times New Roman"/>
          <w:color w:val="000000"/>
          <w:kern w:val="0"/>
          <w:sz w:val="33"/>
          <w:szCs w:val="33"/>
          <w:highlight w:val="none"/>
          <w:shd w:val="clear" w:color="auto" w:fill="FFFFFF"/>
          <w:lang w:val="en-US" w:eastAsia="zh-CN"/>
        </w:rPr>
      </w:pPr>
      <w:r>
        <w:rPr>
          <w:rFonts w:hint="eastAsia" w:ascii="Times New Roman" w:hAnsi="Times New Roman" w:eastAsia="仿宋_GB2312" w:cs="Times New Roman"/>
          <w:bCs/>
          <w:kern w:val="0"/>
          <w:sz w:val="32"/>
          <w:szCs w:val="32"/>
          <w:lang w:val="en-US" w:eastAsia="zh-CN" w:bidi="ar-SA"/>
        </w:rPr>
        <w:t>2024年度我单位不</w:t>
      </w:r>
      <w:r>
        <w:rPr>
          <w:rFonts w:hint="default" w:ascii="Times New Roman" w:hAnsi="Times New Roman" w:eastAsia="仿宋_GB2312" w:cs="Times New Roman"/>
          <w:bCs/>
          <w:kern w:val="0"/>
          <w:sz w:val="32"/>
          <w:szCs w:val="32"/>
          <w:lang w:val="en-US" w:eastAsia="zh-CN" w:bidi="ar-SA"/>
        </w:rPr>
        <w:t>涉及国有资本、行政事业性国有资产、债券资金、政府采购和政府购买服务等重点领域</w:t>
      </w:r>
      <w:r>
        <w:rPr>
          <w:rFonts w:hint="eastAsia" w:ascii="Times New Roman" w:hAnsi="Times New Roman" w:eastAsia="仿宋_GB2312" w:cs="Times New Roman"/>
          <w:bCs/>
          <w:kern w:val="0"/>
          <w:sz w:val="32"/>
          <w:szCs w:val="32"/>
          <w:lang w:val="en-US" w:eastAsia="zh-CN" w:bidi="ar-SA"/>
        </w:rPr>
        <w:t>。</w:t>
      </w:r>
    </w:p>
    <w:p w14:paraId="3F0CFF27">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0" w:leftChars="0" w:right="0" w:rightChars="0" w:firstLine="663" w:firstLineChars="200"/>
        <w:jc w:val="both"/>
        <w:textAlignment w:val="auto"/>
        <w:rPr>
          <w:rFonts w:hint="eastAsia" w:ascii="Times New Roman" w:hAnsi="Times New Roman" w:eastAsia="楷体_GB2312" w:cs="Times New Roman"/>
          <w:b/>
          <w:bCs/>
          <w:sz w:val="33"/>
          <w:szCs w:val="33"/>
          <w:lang w:val="zh-CN"/>
        </w:rPr>
      </w:pPr>
      <w:r>
        <w:rPr>
          <w:rFonts w:hint="default" w:ascii="Times New Roman" w:hAnsi="Times New Roman" w:eastAsia="楷体_GB2312" w:cs="Times New Roman"/>
          <w:b/>
          <w:bCs/>
          <w:sz w:val="33"/>
          <w:szCs w:val="33"/>
          <w:lang w:val="zh-CN"/>
        </w:rPr>
        <w:t>绩效结果应用情况</w:t>
      </w:r>
    </w:p>
    <w:p w14:paraId="1B837CA7">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contextualSpacing/>
        <w:jc w:val="both"/>
        <w:textAlignment w:val="auto"/>
        <w:outlineLvl w:val="9"/>
        <w:rPr>
          <w:rFonts w:hint="default"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2024年，我单位按时在官网平台公开当年预算安排以及2023年度决算报表、决算报告，根据去年各监督单位以及社会监督群体给予的问题建议，积极整改本单位工作，提高工作效率、工作质量。</w:t>
      </w:r>
    </w:p>
    <w:p w14:paraId="237D05A8">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eastAsia="黑体" w:cs="Times New Roman"/>
          <w:color w:val="000000"/>
          <w:kern w:val="0"/>
          <w:sz w:val="33"/>
          <w:szCs w:val="33"/>
          <w:highlight w:val="none"/>
          <w:shd w:val="clear" w:color="auto" w:fill="FFFFFF"/>
        </w:rPr>
      </w:pPr>
      <w:r>
        <w:rPr>
          <w:rFonts w:hint="default" w:ascii="Times New Roman" w:hAnsi="Times New Roman" w:eastAsia="黑体" w:cs="Times New Roman"/>
          <w:color w:val="000000"/>
          <w:kern w:val="0"/>
          <w:sz w:val="33"/>
          <w:szCs w:val="33"/>
          <w:highlight w:val="none"/>
          <w:shd w:val="clear" w:color="auto" w:fill="FFFFFF"/>
          <w:lang w:eastAsia="zh-CN"/>
        </w:rPr>
        <w:t>四、</w:t>
      </w:r>
      <w:r>
        <w:rPr>
          <w:rFonts w:hint="default" w:ascii="Times New Roman" w:hAnsi="Times New Roman" w:eastAsia="黑体" w:cs="Times New Roman"/>
          <w:color w:val="000000"/>
          <w:kern w:val="0"/>
          <w:sz w:val="33"/>
          <w:szCs w:val="33"/>
          <w:highlight w:val="none"/>
          <w:shd w:val="clear" w:color="auto" w:fill="FFFFFF"/>
        </w:rPr>
        <w:t>评价结论及建议</w:t>
      </w:r>
    </w:p>
    <w:p w14:paraId="37585B3C">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63" w:firstLineChars="200"/>
        <w:contextualSpacing/>
        <w:jc w:val="both"/>
        <w:textAlignment w:val="auto"/>
        <w:outlineLvl w:val="9"/>
        <w:rPr>
          <w:rFonts w:hint="default" w:ascii="Times New Roman" w:hAnsi="Times New Roman" w:eastAsia="楷体_GB2312" w:cs="Times New Roman"/>
          <w:b/>
          <w:bCs/>
          <w:color w:val="000000"/>
          <w:kern w:val="0"/>
          <w:sz w:val="33"/>
          <w:szCs w:val="33"/>
          <w:highlight w:val="none"/>
          <w:shd w:val="clear" w:color="auto" w:fill="FFFFFF"/>
          <w:lang w:val="zh-CN"/>
        </w:rPr>
      </w:pPr>
      <w:r>
        <w:rPr>
          <w:rFonts w:hint="default" w:ascii="Times New Roman" w:hAnsi="Times New Roman" w:eastAsia="楷体_GB2312" w:cs="Times New Roman"/>
          <w:b/>
          <w:bCs/>
          <w:color w:val="000000"/>
          <w:kern w:val="0"/>
          <w:sz w:val="33"/>
          <w:szCs w:val="33"/>
          <w:highlight w:val="none"/>
          <w:shd w:val="clear" w:color="auto" w:fill="FFFFFF"/>
          <w:lang w:val="zh-CN"/>
        </w:rPr>
        <w:t>（一）评价结论</w:t>
      </w:r>
    </w:p>
    <w:p w14:paraId="0E546476">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contextualSpacing/>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根据《遂宁市安居区财政局关于开展2025年部门、项目、政策支出绩效自评工作的通知》（遂安财监督〔2025〕4号），我单位高度重视，赓即成立由办公室为牵头部门、各业务处室为成员的自评工作小组开展自评工作，在自评中，我们严格按照遂宁市安居区财政局下发的《部门整体支出绩效评价指标体系》开展自评。我单位2024年重点履职情况较好，严格遵守相关制度，项目执行情况符合预期。根据指标体系自评，我院得分情况如下：总体绩效指标分值56分，得分49.98分，得分率89.25%；项目绩效指标分值44分，得分44分，得分率100%。本次评价总得分93.98分。</w:t>
      </w:r>
    </w:p>
    <w:p w14:paraId="26004CD5">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0" w:leftChars="0" w:right="0" w:rightChars="0" w:firstLine="663" w:firstLineChars="200"/>
        <w:contextualSpacing/>
        <w:jc w:val="both"/>
        <w:textAlignment w:val="auto"/>
        <w:outlineLvl w:val="9"/>
        <w:rPr>
          <w:rFonts w:hint="default" w:ascii="Times New Roman" w:hAnsi="Times New Roman" w:eastAsia="楷体_GB2312" w:cs="Times New Roman"/>
          <w:b/>
          <w:bCs/>
          <w:color w:val="000000"/>
          <w:kern w:val="0"/>
          <w:sz w:val="33"/>
          <w:szCs w:val="33"/>
          <w:highlight w:val="none"/>
          <w:shd w:val="clear" w:color="auto" w:fill="FFFFFF"/>
          <w:lang w:val="zh-CN"/>
        </w:rPr>
      </w:pPr>
      <w:r>
        <w:rPr>
          <w:rFonts w:hint="default" w:ascii="Times New Roman" w:hAnsi="Times New Roman" w:eastAsia="楷体_GB2312" w:cs="Times New Roman"/>
          <w:b/>
          <w:bCs/>
          <w:color w:val="000000"/>
          <w:kern w:val="0"/>
          <w:sz w:val="33"/>
          <w:szCs w:val="33"/>
          <w:highlight w:val="none"/>
          <w:shd w:val="clear" w:color="auto" w:fill="FFFFFF"/>
          <w:lang w:val="zh-CN"/>
        </w:rPr>
        <w:t>存在问题</w:t>
      </w:r>
    </w:p>
    <w:p w14:paraId="6860311D">
      <w:pPr>
        <w:pStyle w:val="5"/>
        <w:numPr>
          <w:ilvl w:val="-1"/>
          <w:numId w:val="0"/>
        </w:numPr>
        <w:ind w:firstLine="640" w:firstLineChars="200"/>
        <w:outlineLvl w:val="2"/>
        <w:rPr>
          <w:rFonts w:hint="default"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1.预算编制质量有待提升</w:t>
      </w:r>
    </w:p>
    <w:p w14:paraId="61F7B0E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contextualSpacing/>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根据2023年预算公开报表、决算报表、可执行情况表，我单位财政拨款年初预算数：145.78万元，财政拨款预算执行数：146.55万元，财政拨款预算偏离度0.53%。</w:t>
      </w:r>
    </w:p>
    <w:p w14:paraId="2516A162">
      <w:pPr>
        <w:pStyle w:val="4"/>
        <w:numPr>
          <w:ilvl w:val="2"/>
          <w:numId w:val="0"/>
        </w:numPr>
        <w:ind w:left="0" w:leftChars="0" w:firstLine="643" w:firstLineChars="200"/>
        <w:rPr>
          <w:rFonts w:hint="default"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2.一般性支出控制有待加强</w:t>
      </w:r>
    </w:p>
    <w:p w14:paraId="0769D86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contextualSpacing/>
        <w:jc w:val="both"/>
        <w:textAlignment w:val="auto"/>
        <w:outlineLvl w:val="9"/>
        <w:rPr>
          <w:rFonts w:hint="eastAsia"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根据2024年、2023年决算报表、可执行情况表对比分析，我单位“三公”经费、会议、培训、差旅、办节办展、办公设备购置、信息网络及软件购置更新、课题经费等8项一般性支出变化率0%，未实现一般性支出压减。</w:t>
      </w:r>
    </w:p>
    <w:p w14:paraId="166FA697">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0" w:leftChars="0" w:right="0" w:rightChars="0" w:firstLine="663" w:firstLineChars="200"/>
        <w:contextualSpacing/>
        <w:jc w:val="both"/>
        <w:textAlignment w:val="auto"/>
        <w:outlineLvl w:val="9"/>
        <w:rPr>
          <w:rFonts w:hint="default" w:ascii="Times New Roman" w:hAnsi="Times New Roman" w:eastAsia="楷体_GB2312" w:cs="Times New Roman"/>
          <w:b/>
          <w:bCs/>
          <w:color w:val="000000"/>
          <w:kern w:val="0"/>
          <w:sz w:val="33"/>
          <w:szCs w:val="33"/>
          <w:highlight w:val="none"/>
          <w:shd w:val="clear" w:color="auto" w:fill="FFFFFF"/>
          <w:lang w:val="zh-CN" w:eastAsia="zh-CN"/>
        </w:rPr>
      </w:pPr>
      <w:r>
        <w:rPr>
          <w:rFonts w:hint="default" w:ascii="Times New Roman" w:hAnsi="Times New Roman" w:eastAsia="楷体_GB2312" w:cs="Times New Roman"/>
          <w:b/>
          <w:bCs/>
          <w:color w:val="000000"/>
          <w:kern w:val="0"/>
          <w:sz w:val="33"/>
          <w:szCs w:val="33"/>
          <w:highlight w:val="none"/>
          <w:shd w:val="clear" w:color="auto" w:fill="FFFFFF"/>
          <w:lang w:val="zh-CN" w:eastAsia="zh-CN"/>
        </w:rPr>
        <w:t>改进建议</w:t>
      </w:r>
    </w:p>
    <w:p w14:paraId="2E826FFA">
      <w:pPr>
        <w:pStyle w:val="4"/>
        <w:numPr>
          <w:ilvl w:val="2"/>
          <w:numId w:val="0"/>
        </w:numPr>
        <w:ind w:left="0" w:leftChars="0" w:firstLine="643" w:firstLineChars="200"/>
        <w:rPr>
          <w:rFonts w:hint="default"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1.加强预决算偏差控制</w:t>
      </w:r>
    </w:p>
    <w:p w14:paraId="63D26E16">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bCs/>
          <w:kern w:val="0"/>
          <w:sz w:val="32"/>
          <w:szCs w:val="32"/>
          <w:lang w:val="zh-CN" w:eastAsia="zh-CN" w:bidi="ar-SA"/>
        </w:rPr>
      </w:pPr>
      <w:r>
        <w:rPr>
          <w:rFonts w:hint="eastAsia" w:ascii="Times New Roman" w:hAnsi="Times New Roman" w:eastAsia="仿宋_GB2312" w:cs="Times New Roman"/>
          <w:bCs/>
          <w:kern w:val="0"/>
          <w:sz w:val="32"/>
          <w:szCs w:val="32"/>
          <w:lang w:val="en-US" w:eastAsia="zh-CN" w:bidi="ar-SA"/>
        </w:rPr>
        <w:t>多角度提高预算编制质量，提高预算编制的科学性。根据当年项目计划，合理预算项目资金，尽量减少资金调剂，避免资金安排不足等情况，保障项目顺利实施，进一步提高财政资金使用效益。</w:t>
      </w:r>
    </w:p>
    <w:p w14:paraId="31A67229">
      <w:pPr>
        <w:pStyle w:val="4"/>
        <w:numPr>
          <w:ilvl w:val="2"/>
          <w:numId w:val="0"/>
        </w:numPr>
        <w:ind w:left="0" w:leftChars="0" w:firstLine="643" w:firstLineChars="200"/>
        <w:rPr>
          <w:rFonts w:hint="default"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2.加强一般性支出控制</w:t>
      </w:r>
    </w:p>
    <w:p w14:paraId="164B707B">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bCs/>
          <w:kern w:val="0"/>
          <w:sz w:val="32"/>
          <w:szCs w:val="32"/>
          <w:lang w:val="zh-CN" w:eastAsia="zh-CN" w:bidi="ar-SA"/>
        </w:rPr>
      </w:pPr>
      <w:r>
        <w:rPr>
          <w:rFonts w:hint="default" w:ascii="Times New Roman" w:hAnsi="Times New Roman" w:eastAsia="仿宋_GB2312" w:cs="Times New Roman"/>
          <w:bCs/>
          <w:kern w:val="0"/>
          <w:sz w:val="32"/>
          <w:szCs w:val="32"/>
          <w:lang w:val="en-US" w:eastAsia="zh-CN" w:bidi="ar-SA"/>
        </w:rPr>
        <w:t>有效降低行政运行成本，对本年度</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三公</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经费、会议、培训、差旅等8项一般性支出实施系统性压减措施</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一是建立支出压减目标责任制，按照</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总额控制、分类施策</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原则，对各项支出设定</w:t>
      </w:r>
      <w:r>
        <w:rPr>
          <w:rFonts w:hint="eastAsia" w:ascii="Times New Roman" w:hAnsi="Times New Roman" w:eastAsia="仿宋_GB2312" w:cs="Times New Roman"/>
          <w:bCs/>
          <w:kern w:val="0"/>
          <w:sz w:val="32"/>
          <w:szCs w:val="32"/>
          <w:lang w:val="en-US" w:eastAsia="zh-CN" w:bidi="ar-SA"/>
        </w:rPr>
        <w:t>相对应的</w:t>
      </w:r>
      <w:r>
        <w:rPr>
          <w:rFonts w:hint="default" w:ascii="Times New Roman" w:hAnsi="Times New Roman" w:eastAsia="仿宋_GB2312" w:cs="Times New Roman"/>
          <w:bCs/>
          <w:kern w:val="0"/>
          <w:sz w:val="32"/>
          <w:szCs w:val="32"/>
          <w:lang w:val="en-US" w:eastAsia="zh-CN" w:bidi="ar-SA"/>
        </w:rPr>
        <w:t>压减比例，并纳入部门绩效考核</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二是强化预算刚性约束，严格执行</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先审批后支出</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程序，取消无实质内容的考察调研、论坛庆典等活动，推行视频会议、线上培训等集约化办公模式;是加强资产统筹管理，建立办公设备共享调剂机制，严控非必要更新购置，优先利用现有资源</w:t>
      </w:r>
      <w:r>
        <w:rPr>
          <w:rFonts w:hint="eastAsia" w:ascii="Times New Roman" w:hAnsi="Times New Roman" w:eastAsia="仿宋_GB2312" w:cs="Times New Roman"/>
          <w:bCs/>
          <w:kern w:val="0"/>
          <w:sz w:val="32"/>
          <w:szCs w:val="32"/>
          <w:lang w:val="en-US" w:eastAsia="zh-CN" w:bidi="ar-SA"/>
        </w:rPr>
        <w:t>；</w:t>
      </w:r>
      <w:r>
        <w:rPr>
          <w:rFonts w:hint="default" w:ascii="Times New Roman" w:hAnsi="Times New Roman" w:eastAsia="仿宋_GB2312" w:cs="Times New Roman"/>
          <w:bCs/>
          <w:kern w:val="0"/>
          <w:sz w:val="32"/>
          <w:szCs w:val="32"/>
          <w:lang w:val="en-US" w:eastAsia="zh-CN" w:bidi="ar-SA"/>
        </w:rPr>
        <w:t>四是完善内控监督制度，定期开展支出分析预警，对异常支出及时纠偏，通过多措并举确保一般性</w:t>
      </w:r>
      <w:r>
        <w:rPr>
          <w:rFonts w:hint="eastAsia" w:ascii="Times New Roman" w:hAnsi="Times New Roman" w:eastAsia="仿宋_GB2312" w:cs="Times New Roman"/>
          <w:bCs/>
          <w:kern w:val="0"/>
          <w:sz w:val="32"/>
          <w:szCs w:val="32"/>
          <w:lang w:val="en-US" w:eastAsia="zh-CN" w:bidi="ar-SA"/>
        </w:rPr>
        <w:t>支出</w:t>
      </w:r>
      <w:r>
        <w:rPr>
          <w:rFonts w:hint="default" w:ascii="Times New Roman" w:hAnsi="Times New Roman" w:eastAsia="仿宋_GB2312" w:cs="Times New Roman"/>
          <w:bCs/>
          <w:kern w:val="0"/>
          <w:sz w:val="32"/>
          <w:szCs w:val="32"/>
          <w:lang w:val="en-US" w:eastAsia="zh-CN" w:bidi="ar-SA"/>
        </w:rPr>
        <w:t>实现实质性压减。</w:t>
      </w:r>
    </w:p>
    <w:p w14:paraId="39661640">
      <w:pPr>
        <w:keepNext w:val="0"/>
        <w:keepLines w:val="0"/>
        <w:pageBreakBefore w:val="0"/>
        <w:kinsoku/>
        <w:wordWrap/>
        <w:overflowPunct/>
        <w:topLinePunct w:val="0"/>
        <w:autoSpaceDE/>
        <w:autoSpaceDN/>
        <w:bidi w:val="0"/>
        <w:adjustRightInd/>
        <w:snapToGrid/>
        <w:spacing w:line="590" w:lineRule="exact"/>
        <w:ind w:left="0" w:leftChars="0" w:right="0" w:rightChars="0"/>
        <w:contextualSpacing/>
        <w:jc w:val="both"/>
        <w:textAlignment w:val="auto"/>
        <w:outlineLvl w:val="9"/>
        <w:rPr>
          <w:rFonts w:hint="default" w:ascii="Times New Roman" w:hAnsi="Times New Roman" w:eastAsia="黑体" w:cs="Times New Roman"/>
          <w:sz w:val="33"/>
          <w:szCs w:val="33"/>
          <w:highlight w:val="none"/>
          <w:lang w:val="en-US" w:eastAsia="zh-CN"/>
        </w:rPr>
      </w:pPr>
    </w:p>
    <w:p w14:paraId="7B249492">
      <w:pPr>
        <w:keepNext w:val="0"/>
        <w:keepLines w:val="0"/>
        <w:pageBreakBefore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仿宋_GB2312" w:cs="Times New Roman"/>
          <w:bCs/>
          <w:kern w:val="0"/>
          <w:sz w:val="32"/>
          <w:szCs w:val="32"/>
          <w:lang w:val="en-US" w:eastAsia="zh-CN" w:bidi="ar-SA"/>
        </w:rPr>
      </w:pPr>
      <w:r>
        <w:rPr>
          <w:rFonts w:hint="eastAsia" w:ascii="Times New Roman" w:hAnsi="Times New Roman" w:eastAsia="仿宋_GB2312" w:cs="Times New Roman"/>
          <w:bCs/>
          <w:kern w:val="0"/>
          <w:sz w:val="32"/>
          <w:szCs w:val="32"/>
          <w:lang w:val="en-US" w:eastAsia="zh-CN" w:bidi="ar-SA"/>
        </w:rPr>
        <w:t>附表：</w:t>
      </w:r>
      <w:r>
        <w:rPr>
          <w:rFonts w:hint="eastAsia" w:eastAsia="仿宋_GB2312" w:cs="Times New Roman"/>
          <w:bCs/>
          <w:kern w:val="0"/>
          <w:sz w:val="32"/>
          <w:szCs w:val="32"/>
          <w:lang w:val="en-US" w:eastAsia="zh-CN" w:bidi="ar-SA"/>
        </w:rPr>
        <w:t>1、</w:t>
      </w:r>
      <w:r>
        <w:rPr>
          <w:rFonts w:hint="default" w:ascii="Times New Roman" w:hAnsi="Times New Roman" w:eastAsia="仿宋_GB2312" w:cs="Times New Roman"/>
          <w:bCs/>
          <w:kern w:val="0"/>
          <w:sz w:val="32"/>
          <w:szCs w:val="32"/>
          <w:lang w:val="en-US" w:eastAsia="zh-CN" w:bidi="ar-SA"/>
        </w:rPr>
        <w:t>部门整体支出绩效自评表</w:t>
      </w:r>
    </w:p>
    <w:p w14:paraId="179121BF">
      <w:pPr>
        <w:keepNext w:val="0"/>
        <w:keepLines w:val="0"/>
        <w:pageBreakBefore w:val="0"/>
        <w:kinsoku/>
        <w:wordWrap/>
        <w:overflowPunct/>
        <w:topLinePunct w:val="0"/>
        <w:autoSpaceDE/>
        <w:autoSpaceDN/>
        <w:bidi w:val="0"/>
        <w:adjustRightInd/>
        <w:snapToGrid/>
        <w:spacing w:line="590" w:lineRule="exact"/>
        <w:ind w:right="0" w:rightChars="0" w:firstLine="1600" w:firstLineChars="500"/>
        <w:jc w:val="both"/>
        <w:textAlignment w:val="auto"/>
        <w:rPr>
          <w:rFonts w:hint="default" w:ascii="Times New Roman" w:hAnsi="Times New Roman" w:eastAsia="仿宋_GB2312" w:cs="Times New Roman"/>
          <w:bCs/>
          <w:kern w:val="0"/>
          <w:sz w:val="32"/>
          <w:szCs w:val="32"/>
          <w:lang w:val="en-US" w:eastAsia="zh-CN" w:bidi="ar-SA"/>
        </w:rPr>
      </w:pPr>
      <w:r>
        <w:rPr>
          <w:rFonts w:hint="eastAsia" w:eastAsia="仿宋_GB2312" w:cs="Times New Roman"/>
          <w:bCs/>
          <w:kern w:val="0"/>
          <w:sz w:val="32"/>
          <w:szCs w:val="32"/>
          <w:lang w:val="en-US" w:eastAsia="zh-CN" w:bidi="ar-SA"/>
        </w:rPr>
        <w:t>2、</w:t>
      </w:r>
      <w:r>
        <w:rPr>
          <w:rFonts w:hint="eastAsia" w:ascii="Times New Roman" w:hAnsi="Times New Roman" w:eastAsia="仿宋_GB2312" w:cs="Times New Roman"/>
          <w:kern w:val="2"/>
          <w:sz w:val="32"/>
          <w:szCs w:val="32"/>
          <w:u w:val="none"/>
          <w:lang w:val="en-US" w:eastAsia="zh-CN" w:bidi="ar"/>
        </w:rPr>
        <w:t>部门预算项目支出绩效自评表（2024年度）</w:t>
      </w:r>
    </w:p>
    <w:p w14:paraId="07053E5F">
      <w:pPr>
        <w:pStyle w:val="20"/>
        <w:rPr>
          <w:rFonts w:hint="default" w:ascii="Times New Roman" w:hAnsi="Times New Roman" w:eastAsia="仿宋_GB2312" w:cs="Times New Roman"/>
          <w:bCs/>
          <w:kern w:val="0"/>
          <w:sz w:val="32"/>
          <w:szCs w:val="32"/>
          <w:lang w:val="en-US" w:eastAsia="zh-CN" w:bidi="ar-SA"/>
        </w:rPr>
      </w:pPr>
    </w:p>
    <w:p w14:paraId="23A336A7">
      <w:pPr>
        <w:rPr>
          <w:rFonts w:hint="default" w:ascii="Times New Roman" w:hAnsi="Times New Roman" w:eastAsia="仿宋_GB2312" w:cs="Times New Roman"/>
          <w:bCs/>
          <w:kern w:val="0"/>
          <w:sz w:val="32"/>
          <w:szCs w:val="32"/>
          <w:lang w:val="en-US" w:eastAsia="zh-CN" w:bidi="ar-SA"/>
        </w:rPr>
      </w:pPr>
    </w:p>
    <w:p w14:paraId="0723500C">
      <w:pPr>
        <w:pStyle w:val="20"/>
        <w:rPr>
          <w:rFonts w:hint="default" w:ascii="Times New Roman" w:hAnsi="Times New Roman" w:eastAsia="仿宋_GB2312" w:cs="Times New Roman"/>
          <w:bCs/>
          <w:kern w:val="0"/>
          <w:sz w:val="32"/>
          <w:szCs w:val="32"/>
          <w:lang w:val="en-US" w:eastAsia="zh-CN" w:bidi="ar-SA"/>
        </w:rPr>
      </w:pPr>
    </w:p>
    <w:p w14:paraId="086F2287">
      <w:pPr>
        <w:rPr>
          <w:rFonts w:hint="default" w:ascii="Times New Roman" w:hAnsi="Times New Roman" w:eastAsia="仿宋_GB2312" w:cs="Times New Roman"/>
          <w:bCs/>
          <w:kern w:val="0"/>
          <w:sz w:val="32"/>
          <w:szCs w:val="32"/>
          <w:lang w:val="en-US" w:eastAsia="zh-CN" w:bidi="ar-SA"/>
        </w:rPr>
      </w:pPr>
    </w:p>
    <w:p w14:paraId="738AF7B1">
      <w:pPr>
        <w:rPr>
          <w:rFonts w:hint="default" w:ascii="Times New Roman" w:hAnsi="Times New Roman" w:eastAsia="仿宋_GB2312" w:cs="Times New Roman"/>
          <w:bCs/>
          <w:kern w:val="0"/>
          <w:sz w:val="32"/>
          <w:szCs w:val="32"/>
          <w:lang w:val="en-US" w:eastAsia="zh-CN" w:bidi="ar-SA"/>
        </w:rPr>
      </w:pPr>
    </w:p>
    <w:p w14:paraId="5043AECB">
      <w:pPr>
        <w:pStyle w:val="20"/>
        <w:rPr>
          <w:rFonts w:hint="default"/>
          <w:lang w:val="en-US" w:eastAsia="zh-CN"/>
        </w:rPr>
      </w:pPr>
    </w:p>
    <w:p w14:paraId="672E6917">
      <w:pPr>
        <w:pStyle w:val="20"/>
        <w:rPr>
          <w:rFonts w:hint="default"/>
          <w:lang w:val="en-US" w:eastAsia="zh-CN"/>
        </w:rPr>
      </w:pPr>
    </w:p>
    <w:p w14:paraId="59B8655A">
      <w:pPr>
        <w:keepNext w:val="0"/>
        <w:keepLines w:val="0"/>
        <w:pageBreakBefore w:val="0"/>
        <w:kinsoku/>
        <w:wordWrap/>
        <w:overflowPunct/>
        <w:topLinePunct w:val="0"/>
        <w:autoSpaceDE/>
        <w:autoSpaceDN/>
        <w:bidi w:val="0"/>
        <w:adjustRightInd/>
        <w:snapToGrid/>
        <w:spacing w:line="590" w:lineRule="exact"/>
        <w:ind w:right="0" w:rightChars="0" w:firstLine="640" w:firstLineChars="200"/>
        <w:jc w:val="both"/>
        <w:textAlignment w:val="auto"/>
        <w:rPr>
          <w:rFonts w:hint="default" w:ascii="Times New Roman" w:hAnsi="Times New Roman" w:eastAsia="仿宋_GB2312" w:cs="Times New Roman"/>
          <w:bCs/>
          <w:kern w:val="0"/>
          <w:sz w:val="32"/>
          <w:szCs w:val="32"/>
          <w:lang w:val="en-US" w:eastAsia="zh-CN" w:bidi="ar-SA"/>
        </w:rPr>
      </w:pPr>
    </w:p>
    <w:p w14:paraId="25245103">
      <w:pPr>
        <w:keepNext w:val="0"/>
        <w:keepLines w:val="0"/>
        <w:pageBreakBefore w:val="0"/>
        <w:kinsoku/>
        <w:wordWrap/>
        <w:overflowPunct/>
        <w:topLinePunct w:val="0"/>
        <w:autoSpaceDE/>
        <w:autoSpaceDN/>
        <w:bidi w:val="0"/>
        <w:adjustRightInd/>
        <w:snapToGrid/>
        <w:spacing w:line="590" w:lineRule="exact"/>
        <w:ind w:left="0" w:leftChars="0" w:right="0" w:rightChars="0" w:firstLine="0" w:firstLineChars="0"/>
        <w:jc w:val="both"/>
        <w:textAlignment w:val="auto"/>
        <w:rPr>
          <w:rFonts w:hint="default" w:ascii="Times New Roman" w:hAnsi="Times New Roman" w:eastAsia="仿宋_GB2312" w:cs="Times New Roman"/>
          <w:kern w:val="2"/>
          <w:sz w:val="32"/>
          <w:szCs w:val="24"/>
          <w:highlight w:val="none"/>
          <w:lang w:val="en-US" w:eastAsia="zh-CN" w:bidi="ar-SA"/>
        </w:rPr>
      </w:pPr>
      <w:r>
        <w:rPr>
          <w:rFonts w:hint="eastAsia" w:eastAsia="仿宋_GB2312" w:cs="Times New Roman"/>
          <w:kern w:val="2"/>
          <w:sz w:val="32"/>
          <w:szCs w:val="24"/>
          <w:highlight w:val="none"/>
          <w:lang w:val="en-US" w:eastAsia="zh-CN" w:bidi="ar-SA"/>
        </w:rPr>
        <w:t>附表1</w:t>
      </w:r>
    </w:p>
    <w:tbl>
      <w:tblPr>
        <w:tblStyle w:val="16"/>
        <w:tblpPr w:leftFromText="180" w:rightFromText="180" w:vertAnchor="text" w:horzAnchor="page" w:tblpX="917" w:tblpY="186"/>
        <w:tblOverlap w:val="never"/>
        <w:tblW w:w="10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5"/>
        <w:gridCol w:w="795"/>
        <w:gridCol w:w="1365"/>
        <w:gridCol w:w="705"/>
        <w:gridCol w:w="1710"/>
        <w:gridCol w:w="3375"/>
        <w:gridCol w:w="705"/>
        <w:gridCol w:w="960"/>
      </w:tblGrid>
      <w:tr w14:paraId="778B5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380" w:type="dxa"/>
            <w:gridSpan w:val="8"/>
            <w:tcBorders>
              <w:top w:val="nil"/>
              <w:left w:val="nil"/>
              <w:bottom w:val="nil"/>
              <w:right w:val="nil"/>
            </w:tcBorders>
            <w:shd w:val="clear" w:color="auto" w:fill="auto"/>
            <w:vAlign w:val="center"/>
          </w:tcPr>
          <w:p w14:paraId="713D0377">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8"/>
                <w:szCs w:val="48"/>
                <w:u w:val="none"/>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部门整体支出绩效自评表</w:t>
            </w:r>
          </w:p>
        </w:tc>
      </w:tr>
      <w:tr w14:paraId="3B165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3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A9DE1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绩效指标</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D4159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指标解释</w:t>
            </w:r>
          </w:p>
        </w:tc>
        <w:tc>
          <w:tcPr>
            <w:tcW w:w="3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CF04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评分说明</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D5278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自评得分</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B264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14:paraId="4D62F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765" w:type="dxa"/>
            <w:tcBorders>
              <w:top w:val="single" w:color="000000" w:sz="4" w:space="0"/>
              <w:left w:val="single" w:color="000000" w:sz="4" w:space="0"/>
              <w:bottom w:val="single" w:color="000000" w:sz="4" w:space="0"/>
              <w:right w:val="nil"/>
            </w:tcBorders>
            <w:shd w:val="clear" w:color="auto" w:fill="auto"/>
            <w:vAlign w:val="center"/>
          </w:tcPr>
          <w:p w14:paraId="2FC77EF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一级指标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28F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二级指标</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105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三级指标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E78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指标分值</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BB16F">
            <w:pPr>
              <w:jc w:val="center"/>
              <w:rPr>
                <w:rFonts w:hint="eastAsia" w:ascii="黑体" w:hAnsi="宋体" w:eastAsia="黑体" w:cs="黑体"/>
                <w:i w:val="0"/>
                <w:iCs w:val="0"/>
                <w:color w:val="000000"/>
                <w:sz w:val="24"/>
                <w:szCs w:val="24"/>
                <w:u w:val="none"/>
              </w:rPr>
            </w:pPr>
          </w:p>
        </w:tc>
        <w:tc>
          <w:tcPr>
            <w:tcW w:w="3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BA063">
            <w:pPr>
              <w:jc w:val="center"/>
              <w:rPr>
                <w:rFonts w:hint="eastAsia" w:ascii="黑体" w:hAnsi="宋体" w:eastAsia="黑体" w:cs="黑体"/>
                <w:i w:val="0"/>
                <w:iCs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8259E">
            <w:pPr>
              <w:jc w:val="center"/>
              <w:rPr>
                <w:rFonts w:hint="eastAsia" w:ascii="黑体" w:hAnsi="宋体" w:eastAsia="黑体" w:cs="黑体"/>
                <w:i w:val="0"/>
                <w:iCs w:val="0"/>
                <w:color w:val="000000"/>
                <w:sz w:val="24"/>
                <w:szCs w:val="24"/>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BC296">
            <w:pPr>
              <w:jc w:val="center"/>
              <w:rPr>
                <w:rFonts w:hint="eastAsia" w:ascii="黑体" w:hAnsi="宋体" w:eastAsia="黑体" w:cs="黑体"/>
                <w:i w:val="0"/>
                <w:iCs w:val="0"/>
                <w:color w:val="000000"/>
                <w:sz w:val="24"/>
                <w:szCs w:val="24"/>
                <w:u w:val="none"/>
              </w:rPr>
            </w:pPr>
          </w:p>
        </w:tc>
      </w:tr>
      <w:tr w14:paraId="060C8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6EBB7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总体绩效</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（56分）</w:t>
            </w:r>
          </w:p>
        </w:tc>
        <w:tc>
          <w:tcPr>
            <w:tcW w:w="795" w:type="dxa"/>
            <w:vMerge w:val="restart"/>
            <w:tcBorders>
              <w:top w:val="single" w:color="000000" w:sz="4" w:space="0"/>
              <w:left w:val="single" w:color="000000" w:sz="4" w:space="0"/>
              <w:bottom w:val="nil"/>
              <w:right w:val="single" w:color="000000" w:sz="4" w:space="0"/>
            </w:tcBorders>
            <w:shd w:val="clear" w:color="auto" w:fill="auto"/>
            <w:vAlign w:val="center"/>
          </w:tcPr>
          <w:p w14:paraId="79DB193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履职效能</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（10分）</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1453E">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基本运转保障率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32FD">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03B5">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考察基本运转保障情况</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3A26">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指标得分=实际基本运转保障/应该保障*100%*权重分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B153">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2</w:t>
            </w:r>
          </w:p>
        </w:tc>
        <w:tc>
          <w:tcPr>
            <w:tcW w:w="960" w:type="dxa"/>
            <w:vMerge w:val="restart"/>
            <w:tcBorders>
              <w:top w:val="single" w:color="000000" w:sz="4" w:space="0"/>
              <w:left w:val="single" w:color="000000" w:sz="4" w:space="0"/>
              <w:bottom w:val="nil"/>
              <w:right w:val="single" w:color="000000" w:sz="4" w:space="0"/>
            </w:tcBorders>
            <w:shd w:val="clear" w:color="auto" w:fill="auto"/>
            <w:vAlign w:val="center"/>
          </w:tcPr>
          <w:p w14:paraId="16009C59">
            <w:pPr>
              <w:jc w:val="center"/>
              <w:rPr>
                <w:rFonts w:hint="eastAsia" w:ascii="仿宋" w:hAnsi="仿宋" w:eastAsia="仿宋" w:cs="仿宋"/>
                <w:i w:val="0"/>
                <w:iCs w:val="0"/>
                <w:color w:val="000000"/>
                <w:sz w:val="24"/>
                <w:szCs w:val="24"/>
                <w:u w:val="none"/>
              </w:rPr>
            </w:pPr>
          </w:p>
        </w:tc>
      </w:tr>
      <w:tr w14:paraId="782B5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FB024">
            <w:pPr>
              <w:jc w:val="center"/>
              <w:rPr>
                <w:rFonts w:hint="eastAsia" w:ascii="宋体" w:hAnsi="宋体" w:eastAsia="宋体" w:cs="宋体"/>
                <w:b/>
                <w:bCs/>
                <w:i w:val="0"/>
                <w:iCs w:val="0"/>
                <w:color w:val="000000"/>
                <w:sz w:val="24"/>
                <w:szCs w:val="24"/>
                <w:u w:val="none"/>
              </w:rPr>
            </w:pPr>
          </w:p>
        </w:tc>
        <w:tc>
          <w:tcPr>
            <w:tcW w:w="795" w:type="dxa"/>
            <w:vMerge w:val="continue"/>
            <w:tcBorders>
              <w:top w:val="single" w:color="000000" w:sz="4" w:space="0"/>
              <w:left w:val="single" w:color="000000" w:sz="4" w:space="0"/>
              <w:bottom w:val="nil"/>
              <w:right w:val="single" w:color="000000" w:sz="4" w:space="0"/>
            </w:tcBorders>
            <w:shd w:val="clear" w:color="auto" w:fill="auto"/>
            <w:vAlign w:val="center"/>
          </w:tcPr>
          <w:p w14:paraId="7C1057C4">
            <w:pPr>
              <w:jc w:val="center"/>
              <w:rPr>
                <w:rFonts w:hint="eastAsia" w:ascii="宋体" w:hAnsi="宋体" w:eastAsia="宋体" w:cs="宋体"/>
                <w:b/>
                <w:bCs/>
                <w:i w:val="0"/>
                <w:iCs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BED0">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养老护理服务完成率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9DF4">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30F1">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考察养老护理服务完成情况</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33AC">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指标得分=养老护理服务实际人数/养老护理总人数*100%*权重分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0BF91">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2</w:t>
            </w: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7283E862">
            <w:pPr>
              <w:jc w:val="center"/>
              <w:rPr>
                <w:rFonts w:hint="eastAsia" w:ascii="仿宋" w:hAnsi="仿宋" w:eastAsia="仿宋" w:cs="仿宋"/>
                <w:i w:val="0"/>
                <w:iCs w:val="0"/>
                <w:color w:val="000000"/>
                <w:sz w:val="24"/>
                <w:szCs w:val="24"/>
                <w:u w:val="none"/>
              </w:rPr>
            </w:pPr>
          </w:p>
        </w:tc>
      </w:tr>
      <w:tr w14:paraId="43372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24850">
            <w:pPr>
              <w:jc w:val="center"/>
              <w:rPr>
                <w:rFonts w:hint="eastAsia" w:ascii="宋体" w:hAnsi="宋体" w:eastAsia="宋体" w:cs="宋体"/>
                <w:b/>
                <w:bCs/>
                <w:i w:val="0"/>
                <w:iCs w:val="0"/>
                <w:color w:val="000000"/>
                <w:sz w:val="24"/>
                <w:szCs w:val="24"/>
                <w:u w:val="none"/>
              </w:rPr>
            </w:pPr>
          </w:p>
        </w:tc>
        <w:tc>
          <w:tcPr>
            <w:tcW w:w="795" w:type="dxa"/>
            <w:vMerge w:val="continue"/>
            <w:tcBorders>
              <w:top w:val="single" w:color="000000" w:sz="4" w:space="0"/>
              <w:left w:val="single" w:color="000000" w:sz="4" w:space="0"/>
              <w:bottom w:val="nil"/>
              <w:right w:val="single" w:color="000000" w:sz="4" w:space="0"/>
            </w:tcBorders>
            <w:shd w:val="clear" w:color="auto" w:fill="auto"/>
            <w:vAlign w:val="center"/>
          </w:tcPr>
          <w:p w14:paraId="70A6B4D3">
            <w:pPr>
              <w:jc w:val="center"/>
              <w:rPr>
                <w:rFonts w:hint="eastAsia" w:ascii="宋体" w:hAnsi="宋体" w:eastAsia="宋体" w:cs="宋体"/>
                <w:b/>
                <w:bCs/>
                <w:i w:val="0"/>
                <w:iCs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3D44">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资金使用合规率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6671">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EB8E">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考察资金使用合规情况</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9DFF">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指标得分=资金使用合规金额/当年支出总金额*100%*权重分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DB83">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2</w:t>
            </w: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59670AC3">
            <w:pPr>
              <w:jc w:val="center"/>
              <w:rPr>
                <w:rFonts w:hint="eastAsia" w:ascii="仿宋" w:hAnsi="仿宋" w:eastAsia="仿宋" w:cs="仿宋"/>
                <w:i w:val="0"/>
                <w:iCs w:val="0"/>
                <w:color w:val="000000"/>
                <w:sz w:val="24"/>
                <w:szCs w:val="24"/>
                <w:u w:val="none"/>
              </w:rPr>
            </w:pPr>
          </w:p>
        </w:tc>
      </w:tr>
      <w:tr w14:paraId="46B48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277B6">
            <w:pPr>
              <w:jc w:val="center"/>
              <w:rPr>
                <w:rFonts w:hint="eastAsia" w:ascii="宋体" w:hAnsi="宋体" w:eastAsia="宋体" w:cs="宋体"/>
                <w:b/>
                <w:bCs/>
                <w:i w:val="0"/>
                <w:iCs w:val="0"/>
                <w:color w:val="000000"/>
                <w:sz w:val="24"/>
                <w:szCs w:val="24"/>
                <w:u w:val="none"/>
              </w:rPr>
            </w:pPr>
          </w:p>
        </w:tc>
        <w:tc>
          <w:tcPr>
            <w:tcW w:w="795" w:type="dxa"/>
            <w:vMerge w:val="continue"/>
            <w:tcBorders>
              <w:top w:val="single" w:color="000000" w:sz="4" w:space="0"/>
              <w:left w:val="single" w:color="000000" w:sz="4" w:space="0"/>
              <w:bottom w:val="nil"/>
              <w:right w:val="single" w:color="000000" w:sz="4" w:space="0"/>
            </w:tcBorders>
            <w:shd w:val="clear" w:color="auto" w:fill="auto"/>
            <w:vAlign w:val="center"/>
          </w:tcPr>
          <w:p w14:paraId="4D41F7E2">
            <w:pPr>
              <w:jc w:val="center"/>
              <w:rPr>
                <w:rFonts w:hint="eastAsia" w:ascii="宋体" w:hAnsi="宋体" w:eastAsia="宋体" w:cs="宋体"/>
                <w:b/>
                <w:bCs/>
                <w:i w:val="0"/>
                <w:iCs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BC1C">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弱势群体生活质量提升率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C461">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BA02">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考察弱势群体生活质量提升情况</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3E17">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指标得分=（弱势群体生活本年量化质量-上年生活质量）/上年生活质量*100%*权重分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FBE8">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2</w:t>
            </w: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4A41A2E9">
            <w:pPr>
              <w:jc w:val="center"/>
              <w:rPr>
                <w:rFonts w:hint="eastAsia" w:ascii="仿宋" w:hAnsi="仿宋" w:eastAsia="仿宋" w:cs="仿宋"/>
                <w:i w:val="0"/>
                <w:iCs w:val="0"/>
                <w:color w:val="000000"/>
                <w:sz w:val="24"/>
                <w:szCs w:val="24"/>
                <w:u w:val="none"/>
              </w:rPr>
            </w:pPr>
          </w:p>
        </w:tc>
      </w:tr>
      <w:tr w14:paraId="5E0C4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2EC64">
            <w:pPr>
              <w:jc w:val="center"/>
              <w:rPr>
                <w:rFonts w:hint="eastAsia" w:ascii="宋体" w:hAnsi="宋体" w:eastAsia="宋体" w:cs="宋体"/>
                <w:b/>
                <w:bCs/>
                <w:i w:val="0"/>
                <w:iCs w:val="0"/>
                <w:color w:val="000000"/>
                <w:sz w:val="24"/>
                <w:szCs w:val="24"/>
                <w:u w:val="none"/>
              </w:rPr>
            </w:pPr>
          </w:p>
        </w:tc>
        <w:tc>
          <w:tcPr>
            <w:tcW w:w="795" w:type="dxa"/>
            <w:vMerge w:val="continue"/>
            <w:tcBorders>
              <w:top w:val="single" w:color="000000" w:sz="4" w:space="0"/>
              <w:left w:val="single" w:color="000000" w:sz="4" w:space="0"/>
              <w:bottom w:val="nil"/>
              <w:right w:val="single" w:color="000000" w:sz="4" w:space="0"/>
            </w:tcBorders>
            <w:shd w:val="clear" w:color="auto" w:fill="auto"/>
            <w:vAlign w:val="center"/>
          </w:tcPr>
          <w:p w14:paraId="6B1957A5">
            <w:pPr>
              <w:jc w:val="center"/>
              <w:rPr>
                <w:rFonts w:hint="eastAsia" w:ascii="宋体" w:hAnsi="宋体" w:eastAsia="宋体" w:cs="宋体"/>
                <w:b/>
                <w:bCs/>
                <w:i w:val="0"/>
                <w:iCs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CFC7">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福利服务对象精准性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8B1CE">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3E59">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考察福利服务对象精准性情况</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A755">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指标得分=福利服务对象准确人数/福利服务总人数*100%*权重分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FD81">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2</w:t>
            </w: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30A056AC">
            <w:pPr>
              <w:jc w:val="center"/>
              <w:rPr>
                <w:rFonts w:hint="eastAsia" w:ascii="仿宋" w:hAnsi="仿宋" w:eastAsia="仿宋" w:cs="仿宋"/>
                <w:i w:val="0"/>
                <w:iCs w:val="0"/>
                <w:color w:val="000000"/>
                <w:sz w:val="24"/>
                <w:szCs w:val="24"/>
                <w:u w:val="none"/>
              </w:rPr>
            </w:pPr>
          </w:p>
        </w:tc>
      </w:tr>
      <w:tr w14:paraId="2ADCD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12F10">
            <w:pPr>
              <w:jc w:val="center"/>
              <w:rPr>
                <w:rFonts w:hint="eastAsia" w:ascii="宋体" w:hAnsi="宋体" w:eastAsia="宋体" w:cs="宋体"/>
                <w:b/>
                <w:bCs/>
                <w:i w:val="0"/>
                <w:iCs w:val="0"/>
                <w:color w:val="000000"/>
                <w:sz w:val="24"/>
                <w:szCs w:val="24"/>
                <w:u w:val="none"/>
              </w:rPr>
            </w:pP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6CBDC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预算管理</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（31分）</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291F">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预算编制质量</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4804">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19FB">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部门是否严格按要求编制年初部门预算，年初预算编制的科学性和准确性</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4A5C">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该项指标得分=（1-财政拨款预算偏离度）×100%×8。偏离度=|预算执行数-调整预算数|÷调整预算数。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E919">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7.98</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C7439">
            <w:pPr>
              <w:jc w:val="center"/>
              <w:rPr>
                <w:rFonts w:hint="eastAsia" w:ascii="仿宋" w:hAnsi="仿宋" w:eastAsia="仿宋" w:cs="仿宋"/>
                <w:i w:val="0"/>
                <w:iCs w:val="0"/>
                <w:color w:val="000000"/>
                <w:sz w:val="24"/>
                <w:szCs w:val="24"/>
                <w:u w:val="none"/>
              </w:rPr>
            </w:pPr>
          </w:p>
        </w:tc>
      </w:tr>
      <w:tr w14:paraId="3FF07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4"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AE700">
            <w:pPr>
              <w:jc w:val="center"/>
              <w:rPr>
                <w:rFonts w:hint="eastAsia" w:ascii="宋体" w:hAnsi="宋体" w:eastAsia="宋体" w:cs="宋体"/>
                <w:b/>
                <w:bCs/>
                <w:i w:val="0"/>
                <w:iCs w:val="0"/>
                <w:color w:val="000000"/>
                <w:sz w:val="24"/>
                <w:szCs w:val="24"/>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81E90">
            <w:pPr>
              <w:jc w:val="center"/>
              <w:rPr>
                <w:rFonts w:hint="eastAsia" w:ascii="宋体" w:hAnsi="宋体" w:eastAsia="宋体" w:cs="宋体"/>
                <w:b/>
                <w:bCs/>
                <w:i w:val="0"/>
                <w:iCs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A56F">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支出执行进度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5BE1">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F4E1">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部门1至12月预算执行情况</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186D">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该项指标得分=中省转移支付资金1至12月实际支出数÷1-12月预算数*3+专项债券资金实际支出数÷1-12月部门预算数*3+专项预算项目1至12月实际支出数÷1-12月预算数*3。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66CD">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9</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30AA9">
            <w:pPr>
              <w:jc w:val="center"/>
              <w:rPr>
                <w:rFonts w:hint="eastAsia" w:ascii="仿宋" w:hAnsi="仿宋" w:eastAsia="仿宋" w:cs="仿宋"/>
                <w:i w:val="0"/>
                <w:iCs w:val="0"/>
                <w:color w:val="000000"/>
                <w:sz w:val="24"/>
                <w:szCs w:val="24"/>
                <w:u w:val="none"/>
              </w:rPr>
            </w:pPr>
          </w:p>
        </w:tc>
      </w:tr>
      <w:tr w14:paraId="77880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9CBF2">
            <w:pPr>
              <w:jc w:val="center"/>
              <w:rPr>
                <w:rFonts w:hint="eastAsia" w:ascii="宋体" w:hAnsi="宋体" w:eastAsia="宋体" w:cs="宋体"/>
                <w:b/>
                <w:bCs/>
                <w:i w:val="0"/>
                <w:iCs w:val="0"/>
                <w:color w:val="000000"/>
                <w:sz w:val="24"/>
                <w:szCs w:val="24"/>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309A1">
            <w:pPr>
              <w:jc w:val="center"/>
              <w:rPr>
                <w:rFonts w:hint="eastAsia" w:ascii="宋体" w:hAnsi="宋体" w:eastAsia="宋体" w:cs="宋体"/>
                <w:b/>
                <w:bCs/>
                <w:i w:val="0"/>
                <w:iCs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2E12">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预算年终结余</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C960">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665C5">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部门整体年终预算结余情况</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FF5A">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该项指标得分=（1-部门整体预算结余率）×100%×8部门整体预算结余率为当年年终部门预算注销金额和结转金额占部门预算总金额的比率。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E9E1">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8</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CB2EF">
            <w:pPr>
              <w:jc w:val="center"/>
              <w:rPr>
                <w:rFonts w:hint="eastAsia" w:ascii="仿宋" w:hAnsi="仿宋" w:eastAsia="仿宋" w:cs="仿宋"/>
                <w:i w:val="0"/>
                <w:iCs w:val="0"/>
                <w:color w:val="000000"/>
                <w:sz w:val="24"/>
                <w:szCs w:val="24"/>
                <w:u w:val="none"/>
              </w:rPr>
            </w:pPr>
          </w:p>
        </w:tc>
      </w:tr>
      <w:tr w14:paraId="533DF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3"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94BA3">
            <w:pPr>
              <w:jc w:val="center"/>
              <w:rPr>
                <w:rFonts w:hint="eastAsia" w:ascii="宋体" w:hAnsi="宋体" w:eastAsia="宋体" w:cs="宋体"/>
                <w:b/>
                <w:bCs/>
                <w:i w:val="0"/>
                <w:iCs w:val="0"/>
                <w:color w:val="000000"/>
                <w:sz w:val="24"/>
                <w:szCs w:val="24"/>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FAACA">
            <w:pPr>
              <w:jc w:val="center"/>
              <w:rPr>
                <w:rFonts w:hint="eastAsia" w:ascii="宋体" w:hAnsi="宋体" w:eastAsia="宋体" w:cs="宋体"/>
                <w:b/>
                <w:bCs/>
                <w:i w:val="0"/>
                <w:iCs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21C37">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严控一般性支出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CFD8">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9B02">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部门严控“三公”经费、会议、培训、差旅、办节办展、办公设备购置、信息网络及软件购置更新、课题经费等8项一般性支出情况</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0D30">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该项指标得分=基础分值+加分值。</w:t>
            </w:r>
            <w:r>
              <w:rPr>
                <w:rFonts w:hint="default" w:ascii="宋体" w:hAnsi="宋体" w:eastAsia="宋体" w:cs="宋体"/>
                <w:i w:val="0"/>
                <w:iCs w:val="0"/>
                <w:color w:val="000000"/>
                <w:kern w:val="0"/>
                <w:sz w:val="18"/>
                <w:szCs w:val="18"/>
                <w:u w:val="none"/>
                <w:lang w:val="en-US" w:eastAsia="zh-CN" w:bidi="ar"/>
              </w:rPr>
              <w:br w:type="textWrapping"/>
            </w:r>
            <w:r>
              <w:rPr>
                <w:rFonts w:hint="default" w:ascii="宋体" w:hAnsi="宋体" w:eastAsia="宋体" w:cs="宋体"/>
                <w:i w:val="0"/>
                <w:iCs w:val="0"/>
                <w:color w:val="000000"/>
                <w:kern w:val="0"/>
                <w:sz w:val="18"/>
                <w:szCs w:val="18"/>
                <w:u w:val="none"/>
                <w:lang w:val="en-US" w:eastAsia="zh-CN" w:bidi="ar"/>
              </w:rPr>
              <w:t>1.基础分值。一般性支出财政拨款年初预算较上年实现压减得1.5分；一般性支出财政拨款预算执行较上年实现压减得1.5分。</w:t>
            </w:r>
            <w:r>
              <w:rPr>
                <w:rFonts w:hint="default" w:ascii="宋体" w:hAnsi="宋体" w:eastAsia="宋体" w:cs="宋体"/>
                <w:i w:val="0"/>
                <w:iCs w:val="0"/>
                <w:color w:val="000000"/>
                <w:kern w:val="0"/>
                <w:sz w:val="18"/>
                <w:szCs w:val="18"/>
                <w:u w:val="none"/>
                <w:lang w:val="en-US" w:eastAsia="zh-CN" w:bidi="ar"/>
              </w:rPr>
              <w:br w:type="textWrapping"/>
            </w:r>
            <w:r>
              <w:rPr>
                <w:rFonts w:hint="default" w:ascii="宋体" w:hAnsi="宋体" w:eastAsia="宋体" w:cs="宋体"/>
                <w:i w:val="0"/>
                <w:iCs w:val="0"/>
                <w:color w:val="000000"/>
                <w:kern w:val="0"/>
                <w:sz w:val="18"/>
                <w:szCs w:val="18"/>
                <w:u w:val="none"/>
                <w:lang w:val="en-US" w:eastAsia="zh-CN" w:bidi="ar"/>
              </w:rPr>
              <w:t>2.加分值。一般性支出财政拨款年初预算较上年每压减1%得0.2分，累计不超过1分；一般性支出财政拨款预算执行较上年每压减1%得0.4分，累计不超过2分。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7CDB">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0</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2FF8D">
            <w:pPr>
              <w:jc w:val="center"/>
              <w:rPr>
                <w:rFonts w:hint="eastAsia" w:ascii="仿宋" w:hAnsi="仿宋" w:eastAsia="仿宋" w:cs="仿宋"/>
                <w:i w:val="0"/>
                <w:iCs w:val="0"/>
                <w:color w:val="000000"/>
                <w:sz w:val="24"/>
                <w:szCs w:val="24"/>
                <w:u w:val="none"/>
              </w:rPr>
            </w:pPr>
          </w:p>
        </w:tc>
      </w:tr>
      <w:tr w14:paraId="7C6AA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7"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AFBC4">
            <w:pPr>
              <w:jc w:val="center"/>
              <w:rPr>
                <w:rFonts w:hint="eastAsia" w:ascii="宋体" w:hAnsi="宋体" w:eastAsia="宋体" w:cs="宋体"/>
                <w:b/>
                <w:bCs/>
                <w:i w:val="0"/>
                <w:iCs w:val="0"/>
                <w:color w:val="000000"/>
                <w:sz w:val="24"/>
                <w:szCs w:val="24"/>
                <w:u w:val="none"/>
              </w:rPr>
            </w:pP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51F6E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资产管理</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（9分）</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5DA1">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人均资产变化率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B5CE">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0775">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部门人均资产变化情况</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6491">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部门人均资产变化率Y=（2024年行政事业单位人均占有资产-2023年行政事业单位人均占有资产）÷2023年行政事业单位人均占有资产×100%。行政事业单位人均占有资产=（固定资产净值+无形资产净值）÷行政事业单位编制内实有人数。2024年区直行政事业单位人均资产变化率平均值N为-4.63%，Y≤N，得3分；N＜Y≤0.8N（即-3.704%），得2分；0.8N＜Y≤0.5N（即-2.32%），得1分；Y＞0.5N，得0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E3E5">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3</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66E5CB">
            <w:pPr>
              <w:jc w:val="center"/>
              <w:rPr>
                <w:rFonts w:hint="eastAsia" w:ascii="仿宋" w:hAnsi="仿宋" w:eastAsia="仿宋" w:cs="仿宋"/>
                <w:i w:val="0"/>
                <w:iCs w:val="0"/>
                <w:color w:val="000000"/>
                <w:sz w:val="24"/>
                <w:szCs w:val="24"/>
                <w:u w:val="none"/>
              </w:rPr>
            </w:pPr>
          </w:p>
        </w:tc>
      </w:tr>
      <w:tr w14:paraId="2A588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8D08C">
            <w:pPr>
              <w:jc w:val="center"/>
              <w:rPr>
                <w:rFonts w:hint="eastAsia" w:ascii="宋体" w:hAnsi="宋体" w:eastAsia="宋体" w:cs="宋体"/>
                <w:b/>
                <w:bCs/>
                <w:i w:val="0"/>
                <w:iCs w:val="0"/>
                <w:color w:val="000000"/>
                <w:sz w:val="24"/>
                <w:szCs w:val="24"/>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12D19">
            <w:pPr>
              <w:jc w:val="center"/>
              <w:rPr>
                <w:rFonts w:hint="eastAsia" w:ascii="宋体" w:hAnsi="宋体" w:eastAsia="宋体" w:cs="宋体"/>
                <w:b/>
                <w:bCs/>
                <w:i w:val="0"/>
                <w:iCs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F0E95">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资产利用率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9794">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6F4FD">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部门资产超最低使用年限情况</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D59F">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该项指标得分=（超最低使用年限的办公家具账面原值÷办公家具账面原值×100%×1.5）+（超最低使用年限的办公设备账面原值÷办公设备账面原值×100%×1.5）。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464F">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817D5">
            <w:pPr>
              <w:jc w:val="center"/>
              <w:rPr>
                <w:rFonts w:hint="eastAsia" w:ascii="仿宋" w:hAnsi="仿宋" w:eastAsia="仿宋" w:cs="仿宋"/>
                <w:i w:val="0"/>
                <w:iCs w:val="0"/>
                <w:color w:val="000000"/>
                <w:sz w:val="24"/>
                <w:szCs w:val="24"/>
                <w:u w:val="none"/>
              </w:rPr>
            </w:pPr>
          </w:p>
        </w:tc>
      </w:tr>
      <w:tr w14:paraId="23E48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6"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808AA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总体绩效</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（56分）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40B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资产管理</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（9分）</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C3C3">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资产盘活率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B655">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A239">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部门闲置一年以上的资产盘活情况</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4680">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部门闲置资产占比变化率=(本年闲置资产账面价值÷本年总资产账面价值)÷(上一年度闲置资产账面价值÷上一年度总资产账面价值)×100%，变化率在60%以下的得2.4分，60%-80%的得1.8分，80-100%的得1.2分，100%以上的不得分。两年均无闲置资产或上年度有闲置资产评价年度无闲置资产的，该项指标得3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ECBC">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0859">
            <w:pPr>
              <w:jc w:val="center"/>
              <w:rPr>
                <w:rFonts w:hint="eastAsia" w:ascii="仿宋" w:hAnsi="仿宋" w:eastAsia="仿宋" w:cs="仿宋"/>
                <w:i w:val="0"/>
                <w:iCs w:val="0"/>
                <w:color w:val="000000"/>
                <w:sz w:val="24"/>
                <w:szCs w:val="24"/>
                <w:u w:val="none"/>
              </w:rPr>
            </w:pPr>
          </w:p>
        </w:tc>
      </w:tr>
      <w:tr w14:paraId="6D177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3"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45E3A">
            <w:pPr>
              <w:jc w:val="center"/>
              <w:rPr>
                <w:rFonts w:hint="eastAsia" w:ascii="宋体" w:hAnsi="宋体" w:eastAsia="宋体" w:cs="宋体"/>
                <w:b/>
                <w:bCs/>
                <w:i w:val="0"/>
                <w:iCs w:val="0"/>
                <w:color w:val="000000"/>
                <w:sz w:val="24"/>
                <w:szCs w:val="24"/>
                <w:u w:val="none"/>
              </w:rPr>
            </w:pP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85D2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采购管理</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（6分）</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9384">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支持中小企业发展</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B385">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64FB">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部门是否严格执行政府采购促进中小企业发展相关管理办法</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818A2">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对适宜由中小企业提供的采购项目和采购包，预留采购份额专门面向中小企业采购，并在采购预算中单独列示，不符合要求的扣3分。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857B">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3</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135B5D">
            <w:pPr>
              <w:jc w:val="center"/>
              <w:rPr>
                <w:rFonts w:hint="eastAsia" w:ascii="仿宋" w:hAnsi="仿宋" w:eastAsia="仿宋" w:cs="仿宋"/>
                <w:i w:val="0"/>
                <w:iCs w:val="0"/>
                <w:color w:val="000000"/>
                <w:sz w:val="24"/>
                <w:szCs w:val="24"/>
                <w:u w:val="none"/>
              </w:rPr>
            </w:pPr>
          </w:p>
        </w:tc>
      </w:tr>
      <w:tr w14:paraId="7CC28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FA165">
            <w:pPr>
              <w:jc w:val="center"/>
              <w:rPr>
                <w:rFonts w:hint="eastAsia" w:ascii="宋体" w:hAnsi="宋体" w:eastAsia="宋体" w:cs="宋体"/>
                <w:b/>
                <w:bCs/>
                <w:i w:val="0"/>
                <w:iCs w:val="0"/>
                <w:color w:val="000000"/>
                <w:sz w:val="24"/>
                <w:szCs w:val="24"/>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12DE8">
            <w:pPr>
              <w:jc w:val="center"/>
              <w:rPr>
                <w:rFonts w:hint="eastAsia" w:ascii="宋体" w:hAnsi="宋体" w:eastAsia="宋体" w:cs="宋体"/>
                <w:b/>
                <w:bCs/>
                <w:i w:val="0"/>
                <w:iCs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B444">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采购执行率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4DE7">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F9F9">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部门政府采购项目资金支付比例情况</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0244">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该项指标得分=当年政府采购实际支付总金额÷（当年政府采购总预算数-当年已完成采购项目节约金额）×100%×3。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F23A">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0661F">
            <w:pPr>
              <w:jc w:val="center"/>
              <w:rPr>
                <w:rFonts w:hint="eastAsia" w:ascii="仿宋" w:hAnsi="仿宋" w:eastAsia="仿宋" w:cs="仿宋"/>
                <w:i w:val="0"/>
                <w:iCs w:val="0"/>
                <w:color w:val="000000"/>
                <w:sz w:val="24"/>
                <w:szCs w:val="24"/>
                <w:u w:val="none"/>
              </w:rPr>
            </w:pPr>
          </w:p>
        </w:tc>
      </w:tr>
      <w:tr w14:paraId="1B9D7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6"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77801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项目绩效</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（44分）</w:t>
            </w:r>
          </w:p>
        </w:tc>
        <w:tc>
          <w:tcPr>
            <w:tcW w:w="795" w:type="dxa"/>
            <w:vMerge w:val="restart"/>
            <w:tcBorders>
              <w:top w:val="single" w:color="000000" w:sz="4" w:space="0"/>
              <w:left w:val="single" w:color="000000" w:sz="4" w:space="0"/>
              <w:bottom w:val="nil"/>
              <w:right w:val="single" w:color="000000" w:sz="4" w:space="0"/>
            </w:tcBorders>
            <w:shd w:val="clear" w:color="auto" w:fill="auto"/>
            <w:vAlign w:val="center"/>
          </w:tcPr>
          <w:p w14:paraId="4F91810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项目决策</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（12分）</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1F56">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决策程序</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BC27">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D49D">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部门预算项目设立是否按规定履行评估论证、申报程序</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E48C">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该项指标得分=4-部门未履行事前评估程序的部门预算阶段项目（含一次性项目）数量÷部门预算阶段项目（含一次性项目）总数×100%×4。抽评的部门预算阶段项目（含一次性项目）总数10个以下的全部纳入，每增加5个多纳入1个，最多不超过30个，下同。若无部门预算阶段项目（含一次性项目），则主要查看部门预算项目整体决策程序。</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0ECF">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B33A">
            <w:pPr>
              <w:jc w:val="center"/>
              <w:rPr>
                <w:rFonts w:hint="eastAsia" w:ascii="仿宋" w:hAnsi="仿宋" w:eastAsia="仿宋" w:cs="仿宋"/>
                <w:i w:val="0"/>
                <w:iCs w:val="0"/>
                <w:color w:val="000000"/>
                <w:sz w:val="24"/>
                <w:szCs w:val="24"/>
                <w:u w:val="none"/>
              </w:rPr>
            </w:pPr>
          </w:p>
        </w:tc>
      </w:tr>
      <w:tr w14:paraId="62CED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1"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35992">
            <w:pPr>
              <w:jc w:val="center"/>
              <w:rPr>
                <w:rFonts w:hint="eastAsia" w:ascii="宋体" w:hAnsi="宋体" w:eastAsia="宋体" w:cs="宋体"/>
                <w:b/>
                <w:bCs/>
                <w:i w:val="0"/>
                <w:iCs w:val="0"/>
                <w:color w:val="000000"/>
                <w:sz w:val="24"/>
                <w:szCs w:val="24"/>
                <w:u w:val="none"/>
              </w:rPr>
            </w:pPr>
          </w:p>
        </w:tc>
        <w:tc>
          <w:tcPr>
            <w:tcW w:w="795" w:type="dxa"/>
            <w:vMerge w:val="continue"/>
            <w:tcBorders>
              <w:top w:val="single" w:color="000000" w:sz="4" w:space="0"/>
              <w:left w:val="single" w:color="000000" w:sz="4" w:space="0"/>
              <w:bottom w:val="nil"/>
              <w:right w:val="single" w:color="000000" w:sz="4" w:space="0"/>
            </w:tcBorders>
            <w:shd w:val="clear" w:color="auto" w:fill="auto"/>
            <w:vAlign w:val="center"/>
          </w:tcPr>
          <w:p w14:paraId="25A76C2D">
            <w:pPr>
              <w:jc w:val="center"/>
              <w:rPr>
                <w:rFonts w:hint="eastAsia" w:ascii="宋体" w:hAnsi="宋体" w:eastAsia="宋体" w:cs="宋体"/>
                <w:b/>
                <w:bCs/>
                <w:i w:val="0"/>
                <w:iCs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D43BC">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目标设置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12F1">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7BDB">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部门预算项目绩效目标与计划期内的任务量、预算安排的资金量匹配情况，绩效目标设置是否科学合理、规范完整、量化细化、预算匹配</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CC8A">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该项指标得分=4-绩效目标与计划期内的任务量、预算安排不相匹配的部门预算阶段项目（含一次性项目）数量÷部门预算阶段项目（含一次性项目）总数×100%×4。若无部门预算阶段项目（含一次性项目），则抽评涉及核心业务、资金量大的其他部门预算项目，下同。</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DC6B">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67BF">
            <w:pPr>
              <w:jc w:val="center"/>
              <w:rPr>
                <w:rFonts w:hint="eastAsia" w:ascii="仿宋" w:hAnsi="仿宋" w:eastAsia="仿宋" w:cs="仿宋"/>
                <w:i w:val="0"/>
                <w:iCs w:val="0"/>
                <w:color w:val="000000"/>
                <w:sz w:val="24"/>
                <w:szCs w:val="24"/>
                <w:u w:val="none"/>
              </w:rPr>
            </w:pPr>
          </w:p>
        </w:tc>
      </w:tr>
      <w:tr w14:paraId="6420E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D35E1">
            <w:pPr>
              <w:jc w:val="center"/>
              <w:rPr>
                <w:rFonts w:hint="eastAsia" w:ascii="宋体" w:hAnsi="宋体" w:eastAsia="宋体" w:cs="宋体"/>
                <w:b/>
                <w:bCs/>
                <w:i w:val="0"/>
                <w:iCs w:val="0"/>
                <w:color w:val="000000"/>
                <w:sz w:val="24"/>
                <w:szCs w:val="24"/>
                <w:u w:val="none"/>
              </w:rPr>
            </w:pPr>
          </w:p>
        </w:tc>
        <w:tc>
          <w:tcPr>
            <w:tcW w:w="795" w:type="dxa"/>
            <w:vMerge w:val="continue"/>
            <w:tcBorders>
              <w:top w:val="single" w:color="000000" w:sz="4" w:space="0"/>
              <w:left w:val="single" w:color="000000" w:sz="4" w:space="0"/>
              <w:bottom w:val="nil"/>
              <w:right w:val="single" w:color="000000" w:sz="4" w:space="0"/>
            </w:tcBorders>
            <w:shd w:val="clear" w:color="auto" w:fill="auto"/>
            <w:vAlign w:val="center"/>
          </w:tcPr>
          <w:p w14:paraId="4379D0A9">
            <w:pPr>
              <w:jc w:val="center"/>
              <w:rPr>
                <w:rFonts w:hint="eastAsia" w:ascii="宋体" w:hAnsi="宋体" w:eastAsia="宋体" w:cs="宋体"/>
                <w:b/>
                <w:bCs/>
                <w:i w:val="0"/>
                <w:iCs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08D4">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项目入库</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2053">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C849">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部门预算项目是否在规定时间完成项目入库</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7139">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该项指标得分=4-规定时间未入财政库部门预算阶段项目（含一次性项目）数量÷最终安排部门预算阶段项目（含一次性项目）总数×100%×4。（默认满分）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6E0E">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EEAA">
            <w:pPr>
              <w:jc w:val="center"/>
              <w:rPr>
                <w:rFonts w:hint="eastAsia" w:ascii="仿宋" w:hAnsi="仿宋" w:eastAsia="仿宋" w:cs="仿宋"/>
                <w:i w:val="0"/>
                <w:iCs w:val="0"/>
                <w:color w:val="000000"/>
                <w:sz w:val="24"/>
                <w:szCs w:val="24"/>
                <w:u w:val="none"/>
              </w:rPr>
            </w:pPr>
          </w:p>
        </w:tc>
      </w:tr>
      <w:tr w14:paraId="452B4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CDE4B">
            <w:pPr>
              <w:jc w:val="center"/>
              <w:rPr>
                <w:rFonts w:hint="eastAsia" w:ascii="宋体" w:hAnsi="宋体" w:eastAsia="宋体" w:cs="宋体"/>
                <w:b/>
                <w:bCs/>
                <w:i w:val="0"/>
                <w:iCs w:val="0"/>
                <w:color w:val="000000"/>
                <w:sz w:val="24"/>
                <w:szCs w:val="24"/>
                <w:u w:val="none"/>
              </w:rPr>
            </w:pPr>
          </w:p>
        </w:tc>
        <w:tc>
          <w:tcPr>
            <w:tcW w:w="795" w:type="dxa"/>
            <w:vMerge w:val="restart"/>
            <w:tcBorders>
              <w:top w:val="single" w:color="000000" w:sz="4" w:space="0"/>
              <w:left w:val="single" w:color="000000" w:sz="4" w:space="0"/>
              <w:bottom w:val="nil"/>
              <w:right w:val="single" w:color="000000" w:sz="4" w:space="0"/>
            </w:tcBorders>
            <w:shd w:val="clear" w:color="auto" w:fill="auto"/>
            <w:vAlign w:val="center"/>
          </w:tcPr>
          <w:p w14:paraId="31F8ED9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项目执行</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（12分）</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7AA8">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执行同向</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2E38">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5486">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部门预算项目实际列支内容是否与绩效目标设置方向相符</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7C77C">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该项指标得分=4-实际列支内容与绩效目标设置方向不相符的部门预算阶段项目（含一次性项目）数量÷部门预算阶段项目（含一次性项目）总数×100%×5。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5F46">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7C0F">
            <w:pPr>
              <w:jc w:val="center"/>
              <w:rPr>
                <w:rFonts w:hint="eastAsia" w:ascii="仿宋" w:hAnsi="仿宋" w:eastAsia="仿宋" w:cs="仿宋"/>
                <w:i w:val="0"/>
                <w:iCs w:val="0"/>
                <w:color w:val="000000"/>
                <w:sz w:val="24"/>
                <w:szCs w:val="24"/>
                <w:u w:val="none"/>
              </w:rPr>
            </w:pPr>
          </w:p>
        </w:tc>
      </w:tr>
      <w:tr w14:paraId="24D0A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CC0E0">
            <w:pPr>
              <w:jc w:val="center"/>
              <w:rPr>
                <w:rFonts w:hint="eastAsia" w:ascii="宋体" w:hAnsi="宋体" w:eastAsia="宋体" w:cs="宋体"/>
                <w:b/>
                <w:bCs/>
                <w:i w:val="0"/>
                <w:iCs w:val="0"/>
                <w:color w:val="000000"/>
                <w:sz w:val="24"/>
                <w:szCs w:val="24"/>
                <w:u w:val="none"/>
              </w:rPr>
            </w:pPr>
          </w:p>
        </w:tc>
        <w:tc>
          <w:tcPr>
            <w:tcW w:w="795" w:type="dxa"/>
            <w:vMerge w:val="continue"/>
            <w:tcBorders>
              <w:top w:val="single" w:color="000000" w:sz="4" w:space="0"/>
              <w:left w:val="single" w:color="000000" w:sz="4" w:space="0"/>
              <w:bottom w:val="nil"/>
              <w:right w:val="single" w:color="000000" w:sz="4" w:space="0"/>
            </w:tcBorders>
            <w:shd w:val="clear" w:color="auto" w:fill="auto"/>
            <w:vAlign w:val="center"/>
          </w:tcPr>
          <w:p w14:paraId="2CB302D3">
            <w:pPr>
              <w:jc w:val="center"/>
              <w:rPr>
                <w:rFonts w:hint="eastAsia" w:ascii="宋体" w:hAnsi="宋体" w:eastAsia="宋体" w:cs="宋体"/>
                <w:b/>
                <w:bCs/>
                <w:i w:val="0"/>
                <w:iCs w:val="0"/>
                <w:color w:val="000000"/>
                <w:sz w:val="24"/>
                <w:szCs w:val="24"/>
                <w:u w:val="none"/>
              </w:rPr>
            </w:pPr>
          </w:p>
        </w:tc>
        <w:tc>
          <w:tcPr>
            <w:tcW w:w="1365" w:type="dxa"/>
            <w:tcBorders>
              <w:top w:val="single" w:color="000000" w:sz="4" w:space="0"/>
              <w:left w:val="single" w:color="000000" w:sz="4" w:space="0"/>
              <w:bottom w:val="nil"/>
              <w:right w:val="single" w:color="000000" w:sz="4" w:space="0"/>
            </w:tcBorders>
            <w:shd w:val="clear" w:color="auto" w:fill="auto"/>
            <w:vAlign w:val="center"/>
          </w:tcPr>
          <w:p w14:paraId="525253FB">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项目调整</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583E">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197A">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部门预算项目是否采取对应调整措施</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0A66">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该项指标得分=4-应采取未采取收回预算、调整目标等处置措施的部门预算阶段项目（含一次性项目）数量÷应采取收回预算、调整目标等处置措施的部门预算阶段项目（含一次性项目）总数×100%×6。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D139">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F038C">
            <w:pPr>
              <w:jc w:val="center"/>
              <w:rPr>
                <w:rFonts w:hint="eastAsia" w:ascii="仿宋" w:hAnsi="仿宋" w:eastAsia="仿宋" w:cs="仿宋"/>
                <w:i w:val="0"/>
                <w:iCs w:val="0"/>
                <w:color w:val="000000"/>
                <w:sz w:val="24"/>
                <w:szCs w:val="24"/>
                <w:u w:val="none"/>
              </w:rPr>
            </w:pPr>
          </w:p>
        </w:tc>
      </w:tr>
      <w:tr w14:paraId="51592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5A74E">
            <w:pPr>
              <w:jc w:val="center"/>
              <w:rPr>
                <w:rFonts w:hint="eastAsia" w:ascii="宋体" w:hAnsi="宋体" w:eastAsia="宋体" w:cs="宋体"/>
                <w:b/>
                <w:bCs/>
                <w:i w:val="0"/>
                <w:iCs w:val="0"/>
                <w:color w:val="000000"/>
                <w:sz w:val="24"/>
                <w:szCs w:val="24"/>
                <w:u w:val="none"/>
              </w:rPr>
            </w:pPr>
          </w:p>
        </w:tc>
        <w:tc>
          <w:tcPr>
            <w:tcW w:w="795" w:type="dxa"/>
            <w:vMerge w:val="continue"/>
            <w:tcBorders>
              <w:top w:val="single" w:color="000000" w:sz="4" w:space="0"/>
              <w:left w:val="single" w:color="000000" w:sz="4" w:space="0"/>
              <w:bottom w:val="nil"/>
              <w:right w:val="single" w:color="000000" w:sz="4" w:space="0"/>
            </w:tcBorders>
            <w:shd w:val="clear" w:color="auto" w:fill="auto"/>
            <w:vAlign w:val="center"/>
          </w:tcPr>
          <w:p w14:paraId="61719946">
            <w:pPr>
              <w:jc w:val="center"/>
              <w:rPr>
                <w:rFonts w:hint="eastAsia" w:ascii="宋体" w:hAnsi="宋体" w:eastAsia="宋体" w:cs="宋体"/>
                <w:b/>
                <w:bCs/>
                <w:i w:val="0"/>
                <w:iCs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05A6">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执行结果</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B214D">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33AD">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部门预算项目预算执行情况</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D26B">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该项指标得分=预算结余率小于10%的常年项目数量÷部门预算常年项目总数×100%×2+预算结余率小于10%的一次性项目和阶段项目数量÷部门预算一次性项目和阶段项目总数×100%×2。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1B66">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7759">
            <w:pPr>
              <w:jc w:val="center"/>
              <w:rPr>
                <w:rFonts w:hint="eastAsia" w:ascii="仿宋" w:hAnsi="仿宋" w:eastAsia="仿宋" w:cs="仿宋"/>
                <w:i w:val="0"/>
                <w:iCs w:val="0"/>
                <w:color w:val="000000"/>
                <w:sz w:val="24"/>
                <w:szCs w:val="24"/>
                <w:u w:val="none"/>
              </w:rPr>
            </w:pPr>
          </w:p>
        </w:tc>
      </w:tr>
      <w:tr w14:paraId="60574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DF521">
            <w:pPr>
              <w:jc w:val="center"/>
              <w:rPr>
                <w:rFonts w:hint="eastAsia" w:ascii="宋体" w:hAnsi="宋体" w:eastAsia="宋体" w:cs="宋体"/>
                <w:b/>
                <w:bCs/>
                <w:i w:val="0"/>
                <w:iCs w:val="0"/>
                <w:color w:val="000000"/>
                <w:sz w:val="24"/>
                <w:szCs w:val="24"/>
                <w:u w:val="none"/>
              </w:rPr>
            </w:pP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4C9AE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目标实现</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（11分）</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6BA8">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目标完成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4648">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A9D56">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部门预算项目绩效目标数量指标完成情况</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541A">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该项指标得分=完成绩效目标数量指标的部门预算阶段项目（含一次性项目）数量÷部门预算阶段项目（含一次性项目）总数×100%×6。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910B">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0F52">
            <w:pPr>
              <w:jc w:val="center"/>
              <w:rPr>
                <w:rFonts w:hint="eastAsia" w:ascii="仿宋" w:hAnsi="仿宋" w:eastAsia="仿宋" w:cs="仿宋"/>
                <w:i w:val="0"/>
                <w:iCs w:val="0"/>
                <w:color w:val="000000"/>
                <w:sz w:val="24"/>
                <w:szCs w:val="24"/>
                <w:u w:val="none"/>
              </w:rPr>
            </w:pPr>
          </w:p>
        </w:tc>
      </w:tr>
      <w:tr w14:paraId="2CF6C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4"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CBDB8">
            <w:pPr>
              <w:jc w:val="center"/>
              <w:rPr>
                <w:rFonts w:hint="eastAsia" w:ascii="宋体" w:hAnsi="宋体" w:eastAsia="宋体" w:cs="宋体"/>
                <w:b/>
                <w:bCs/>
                <w:i w:val="0"/>
                <w:iCs w:val="0"/>
                <w:color w:val="000000"/>
                <w:sz w:val="24"/>
                <w:szCs w:val="24"/>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6A831">
            <w:pPr>
              <w:jc w:val="center"/>
              <w:rPr>
                <w:rFonts w:hint="eastAsia" w:ascii="宋体" w:hAnsi="宋体" w:eastAsia="宋体" w:cs="宋体"/>
                <w:b/>
                <w:bCs/>
                <w:i w:val="0"/>
                <w:iCs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EC60">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目标偏离</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03355">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7F32">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部门预算项目绩效目标数量指标实现程度与预期目标的偏离情况</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8557">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该项指标得分=已完成预期指标值的数量指标中偏离度在30%内的指标个数÷已完成预期指标值的数量指标个数×100%×6。偏离度=|（绩效指标实际完成值-设定预期指标值）÷设定预期指标值|。部门预算阶段项目（含一次性项目）绩效目标实际完成值偏离预期指标30%以上（含30%）的，不计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A3FC">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41C2">
            <w:pPr>
              <w:jc w:val="center"/>
              <w:rPr>
                <w:rFonts w:hint="eastAsia" w:ascii="仿宋" w:hAnsi="仿宋" w:eastAsia="仿宋" w:cs="仿宋"/>
                <w:i w:val="0"/>
                <w:iCs w:val="0"/>
                <w:color w:val="000000"/>
                <w:sz w:val="24"/>
                <w:szCs w:val="24"/>
                <w:u w:val="none"/>
              </w:rPr>
            </w:pPr>
          </w:p>
        </w:tc>
      </w:tr>
      <w:tr w14:paraId="6219D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3329D">
            <w:pPr>
              <w:jc w:val="center"/>
              <w:rPr>
                <w:rFonts w:hint="eastAsia" w:ascii="宋体" w:hAnsi="宋体" w:eastAsia="宋体" w:cs="宋体"/>
                <w:b/>
                <w:bCs/>
                <w:i w:val="0"/>
                <w:iCs w:val="0"/>
                <w:color w:val="000000"/>
                <w:sz w:val="24"/>
                <w:szCs w:val="24"/>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E5819">
            <w:pPr>
              <w:jc w:val="center"/>
              <w:rPr>
                <w:rFonts w:hint="eastAsia" w:ascii="宋体" w:hAnsi="宋体" w:eastAsia="宋体" w:cs="宋体"/>
                <w:b/>
                <w:bCs/>
                <w:i w:val="0"/>
                <w:iCs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3448">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实现效果</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65FB">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5084">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部门预算项目绩效目标效益指标实施效果</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A8D6">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该项指标得分=完成绩效目标效益指标的部门预算阶段项目（含一次性项目）数量÷部门预算阶段项目（含一次性项目）总数×100%×5。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D62D">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EE15">
            <w:pPr>
              <w:jc w:val="center"/>
              <w:rPr>
                <w:rFonts w:hint="eastAsia" w:ascii="仿宋" w:hAnsi="仿宋" w:eastAsia="仿宋" w:cs="仿宋"/>
                <w:i w:val="0"/>
                <w:iCs w:val="0"/>
                <w:color w:val="000000"/>
                <w:sz w:val="24"/>
                <w:szCs w:val="24"/>
                <w:u w:val="none"/>
              </w:rPr>
            </w:pPr>
          </w:p>
        </w:tc>
      </w:tr>
      <w:tr w14:paraId="1D177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26B5E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扣分项</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B8C4E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财务管理</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F501">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财务管理制度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3333">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23B4">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部门财务管理制度建立情况</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16CA">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部门未制定内部财务管理制度等制度机制的,财务管理制度未得到落实，发现一处扣1分，扣完为止。</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854D">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CBB0">
            <w:pPr>
              <w:jc w:val="center"/>
              <w:rPr>
                <w:rFonts w:hint="eastAsia" w:ascii="仿宋" w:hAnsi="仿宋" w:eastAsia="仿宋" w:cs="仿宋"/>
                <w:i w:val="0"/>
                <w:iCs w:val="0"/>
                <w:color w:val="000000"/>
                <w:sz w:val="24"/>
                <w:szCs w:val="24"/>
                <w:u w:val="none"/>
              </w:rPr>
            </w:pPr>
          </w:p>
        </w:tc>
      </w:tr>
      <w:tr w14:paraId="6BA48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3BF25">
            <w:pPr>
              <w:jc w:val="center"/>
              <w:rPr>
                <w:rFonts w:hint="eastAsia" w:ascii="宋体" w:hAnsi="宋体" w:eastAsia="宋体" w:cs="宋体"/>
                <w:b/>
                <w:bCs/>
                <w:i w:val="0"/>
                <w:iCs w:val="0"/>
                <w:color w:val="000000"/>
                <w:sz w:val="24"/>
                <w:szCs w:val="24"/>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6F31D">
            <w:pPr>
              <w:jc w:val="center"/>
              <w:rPr>
                <w:rFonts w:hint="eastAsia" w:ascii="宋体" w:hAnsi="宋体" w:eastAsia="宋体" w:cs="宋体"/>
                <w:b/>
                <w:bCs/>
                <w:i w:val="0"/>
                <w:iCs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7B76">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财务岗位设置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DD58">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39AC">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部门财务岗位设置是否符合相关财务管理制度要求</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C305">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部门未合理设置财务工作岗位，职责权限不明确，未严格实行不相容岗位分离，发现一处扣1分，扣完为止。</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BFF5">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08D4">
            <w:pPr>
              <w:jc w:val="center"/>
              <w:rPr>
                <w:rFonts w:hint="eastAsia" w:ascii="仿宋" w:hAnsi="仿宋" w:eastAsia="仿宋" w:cs="仿宋"/>
                <w:i w:val="0"/>
                <w:iCs w:val="0"/>
                <w:color w:val="000000"/>
                <w:sz w:val="24"/>
                <w:szCs w:val="24"/>
                <w:u w:val="none"/>
              </w:rPr>
            </w:pPr>
          </w:p>
        </w:tc>
      </w:tr>
      <w:tr w14:paraId="4770D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92F7E">
            <w:pPr>
              <w:jc w:val="center"/>
              <w:rPr>
                <w:rFonts w:hint="eastAsia" w:ascii="宋体" w:hAnsi="宋体" w:eastAsia="宋体" w:cs="宋体"/>
                <w:b/>
                <w:bCs/>
                <w:i w:val="0"/>
                <w:iCs w:val="0"/>
                <w:color w:val="000000"/>
                <w:sz w:val="24"/>
                <w:szCs w:val="24"/>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22C16">
            <w:pPr>
              <w:jc w:val="center"/>
              <w:rPr>
                <w:rFonts w:hint="eastAsia" w:ascii="宋体" w:hAnsi="宋体" w:eastAsia="宋体" w:cs="宋体"/>
                <w:b/>
                <w:bCs/>
                <w:i w:val="0"/>
                <w:iCs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8092F">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资金使用规范</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43CEE">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AA8C">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部门资金使用是否符合相关财务管理制度规定</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3EE6">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部门资金使用不符合相关财务管理制度规定的，发现一处扣1分，扣完为止。</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B311">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2133">
            <w:pPr>
              <w:jc w:val="center"/>
              <w:rPr>
                <w:rFonts w:hint="eastAsia" w:ascii="仿宋" w:hAnsi="仿宋" w:eastAsia="仿宋" w:cs="仿宋"/>
                <w:i w:val="0"/>
                <w:iCs w:val="0"/>
                <w:color w:val="000000"/>
                <w:sz w:val="24"/>
                <w:szCs w:val="24"/>
                <w:u w:val="none"/>
              </w:rPr>
            </w:pPr>
          </w:p>
        </w:tc>
      </w:tr>
      <w:tr w14:paraId="08434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9"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7DBC2">
            <w:pPr>
              <w:jc w:val="center"/>
              <w:rPr>
                <w:rFonts w:hint="eastAsia" w:ascii="宋体" w:hAnsi="宋体" w:eastAsia="宋体" w:cs="宋体"/>
                <w:b/>
                <w:bCs/>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5205A3">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预算绩效存在问题</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61EC">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9462">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预算管理和绩效管理工作存在问题</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DCEB">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依据评价年度人大监督、巡视巡察、审计监督、财会监督等结果以及评价指标体系涉及的履职效果、预算管理、财务管理、资产管理、采购管理、项目绩效等方面出现的问题，每有一个问题点扣1分，扣完为止。</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19C7">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1A61">
            <w:pPr>
              <w:jc w:val="center"/>
              <w:rPr>
                <w:rFonts w:hint="eastAsia" w:ascii="仿宋" w:hAnsi="仿宋" w:eastAsia="仿宋" w:cs="仿宋"/>
                <w:i w:val="0"/>
                <w:iCs w:val="0"/>
                <w:color w:val="000000"/>
                <w:sz w:val="24"/>
                <w:szCs w:val="24"/>
                <w:u w:val="none"/>
              </w:rPr>
            </w:pPr>
          </w:p>
        </w:tc>
      </w:tr>
      <w:tr w14:paraId="441F0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8"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F8AE4">
            <w:pPr>
              <w:jc w:val="center"/>
              <w:rPr>
                <w:rFonts w:hint="eastAsia" w:ascii="宋体" w:hAnsi="宋体" w:eastAsia="宋体" w:cs="宋体"/>
                <w:b/>
                <w:bCs/>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039FD">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被评价部门配合度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70D7">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492A">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被评价对象工作配合情况</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E19C">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评价工作开展过程中，被评价对象拖延推诿、提交资料不及时等拒不配合评价工作的，每发现一次扣1分，扣完为止。</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FD77">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i w:val="0"/>
                <w:iCs w:val="0"/>
                <w:color w:val="000000"/>
                <w:kern w:val="0"/>
                <w:sz w:val="18"/>
                <w:szCs w:val="18"/>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5CC7">
            <w:pPr>
              <w:jc w:val="center"/>
              <w:rPr>
                <w:rFonts w:hint="eastAsia" w:ascii="仿宋" w:hAnsi="仿宋" w:eastAsia="仿宋" w:cs="仿宋"/>
                <w:i w:val="0"/>
                <w:iCs w:val="0"/>
                <w:color w:val="000000"/>
                <w:sz w:val="24"/>
                <w:szCs w:val="24"/>
                <w:u w:val="none"/>
              </w:rPr>
            </w:pPr>
          </w:p>
        </w:tc>
      </w:tr>
      <w:tr w14:paraId="039EE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350FB">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分值</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A2D97">
            <w:pPr>
              <w:jc w:val="center"/>
              <w:rPr>
                <w:rFonts w:hint="eastAsia" w:ascii="宋体" w:hAnsi="宋体" w:eastAsia="宋体" w:cs="宋体"/>
                <w:b w:val="0"/>
                <w:bCs w:val="0"/>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7828D">
            <w:pPr>
              <w:jc w:val="center"/>
              <w:rPr>
                <w:rFonts w:hint="eastAsia" w:ascii="宋体" w:hAnsi="宋体" w:eastAsia="宋体" w:cs="宋体"/>
                <w:b w:val="0"/>
                <w:bCs w:val="0"/>
                <w:i w:val="0"/>
                <w:iCs w:val="0"/>
                <w:color w:val="000000"/>
                <w:sz w:val="18"/>
                <w:szCs w:val="18"/>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4E876">
            <w:pPr>
              <w:jc w:val="center"/>
              <w:rPr>
                <w:rFonts w:hint="eastAsia" w:ascii="宋体" w:hAnsi="宋体" w:eastAsia="宋体" w:cs="宋体"/>
                <w:b w:val="0"/>
                <w:bCs w:val="0"/>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EDBB2">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93.98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451A8">
            <w:pPr>
              <w:jc w:val="center"/>
              <w:rPr>
                <w:rFonts w:hint="eastAsia" w:ascii="仿宋" w:hAnsi="仿宋" w:eastAsia="仿宋" w:cs="仿宋"/>
                <w:i w:val="0"/>
                <w:iCs w:val="0"/>
                <w:color w:val="000000"/>
                <w:sz w:val="22"/>
                <w:szCs w:val="22"/>
                <w:u w:val="none"/>
              </w:rPr>
            </w:pPr>
          </w:p>
        </w:tc>
      </w:tr>
    </w:tbl>
    <w:p w14:paraId="0798432E">
      <w:pPr>
        <w:pStyle w:val="8"/>
        <w:keepNext w:val="0"/>
        <w:keepLines w:val="0"/>
        <w:pageBreakBefore w:val="0"/>
        <w:numPr>
          <w:ilvl w:val="0"/>
          <w:numId w:val="0"/>
        </w:numPr>
        <w:kinsoku/>
        <w:wordWrap/>
        <w:overflowPunct/>
        <w:topLinePunct w:val="0"/>
        <w:autoSpaceDE/>
        <w:autoSpaceDN/>
        <w:bidi w:val="0"/>
        <w:spacing w:line="560" w:lineRule="exact"/>
        <w:ind w:leftChars="0" w:firstLine="0" w:firstLineChars="0"/>
        <w:textAlignment w:val="auto"/>
        <w:rPr>
          <w:rFonts w:hint="eastAsia" w:ascii="Times New Roman" w:hAnsi="Times New Roman" w:eastAsia="仿宋_GB2312" w:cs="Times New Roman"/>
          <w:kern w:val="2"/>
          <w:sz w:val="32"/>
          <w:szCs w:val="32"/>
          <w:u w:val="none"/>
          <w:lang w:val="zh-CN" w:eastAsia="zh-CN" w:bidi="ar"/>
        </w:rPr>
      </w:pPr>
    </w:p>
    <w:p w14:paraId="1F09FEA8">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646F3B48">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6000EB9B">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158DFDF6">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52AC2F32">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3FA88935">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2787E65E">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4B100392">
      <w:pPr>
        <w:pStyle w:val="8"/>
        <w:keepNext w:val="0"/>
        <w:keepLines w:val="0"/>
        <w:pageBreakBefore w:val="0"/>
        <w:numPr>
          <w:ilvl w:val="0"/>
          <w:numId w:val="0"/>
        </w:numPr>
        <w:kinsoku/>
        <w:wordWrap/>
        <w:overflowPunct/>
        <w:topLinePunct w:val="0"/>
        <w:autoSpaceDE/>
        <w:autoSpaceDN/>
        <w:bidi w:val="0"/>
        <w:spacing w:line="560" w:lineRule="exact"/>
        <w:ind w:leftChars="0" w:firstLine="0" w:firstLineChars="0"/>
        <w:textAlignment w:val="auto"/>
        <w:rPr>
          <w:rFonts w:hint="eastAsia" w:ascii="Times New Roman" w:hAnsi="Times New Roman" w:eastAsia="仿宋_GB2312" w:cs="Times New Roman"/>
          <w:kern w:val="2"/>
          <w:sz w:val="32"/>
          <w:szCs w:val="32"/>
          <w:u w:val="none"/>
          <w:lang w:val="zh-CN" w:eastAsia="zh-CN" w:bidi="ar"/>
        </w:rPr>
      </w:pPr>
    </w:p>
    <w:p w14:paraId="1C86E20E">
      <w:pPr>
        <w:pStyle w:val="8"/>
        <w:keepNext w:val="0"/>
        <w:keepLines w:val="0"/>
        <w:pageBreakBefore w:val="0"/>
        <w:numPr>
          <w:ilvl w:val="0"/>
          <w:numId w:val="0"/>
        </w:numPr>
        <w:kinsoku/>
        <w:wordWrap/>
        <w:overflowPunct/>
        <w:topLinePunct w:val="0"/>
        <w:autoSpaceDE/>
        <w:autoSpaceDN/>
        <w:bidi w:val="0"/>
        <w:spacing w:line="560" w:lineRule="exact"/>
        <w:ind w:leftChars="0" w:firstLine="0" w:firstLineChars="0"/>
        <w:textAlignment w:val="auto"/>
        <w:rPr>
          <w:rFonts w:hint="eastAsia" w:ascii="Times New Roman" w:hAnsi="Times New Roman" w:eastAsia="仿宋_GB2312" w:cs="Times New Roman"/>
          <w:kern w:val="2"/>
          <w:sz w:val="32"/>
          <w:szCs w:val="32"/>
          <w:u w:val="none"/>
          <w:lang w:val="en-US"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eastAsia="仿宋_GB2312" w:cs="Times New Roman"/>
          <w:kern w:val="2"/>
          <w:sz w:val="32"/>
          <w:szCs w:val="32"/>
          <w:u w:val="none"/>
          <w:lang w:val="en-US" w:eastAsia="zh-CN" w:bidi="ar"/>
        </w:rPr>
        <w:t>2</w:t>
      </w:r>
    </w:p>
    <w:tbl>
      <w:tblPr>
        <w:tblStyle w:val="16"/>
        <w:tblW w:w="9232" w:type="dxa"/>
        <w:tblInd w:w="-23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8"/>
        <w:gridCol w:w="1119"/>
        <w:gridCol w:w="1006"/>
        <w:gridCol w:w="1242"/>
        <w:gridCol w:w="396"/>
        <w:gridCol w:w="338"/>
        <w:gridCol w:w="580"/>
        <w:gridCol w:w="396"/>
        <w:gridCol w:w="846"/>
        <w:gridCol w:w="486"/>
        <w:gridCol w:w="486"/>
        <w:gridCol w:w="1429"/>
      </w:tblGrid>
      <w:tr w14:paraId="5F37D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923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D22FE7A">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E132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CEF9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0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89CA0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51090424T000011121547-安居区社会福利服务中心日常运行经费项目</w:t>
            </w:r>
          </w:p>
        </w:tc>
      </w:tr>
      <w:tr w14:paraId="56094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E27D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95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FF4F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遂宁市安居区社会福利服务中心部门</w:t>
            </w:r>
          </w:p>
        </w:tc>
        <w:tc>
          <w:tcPr>
            <w:tcW w:w="846" w:type="dxa"/>
            <w:tcBorders>
              <w:top w:val="nil"/>
              <w:left w:val="nil"/>
              <w:bottom w:val="nil"/>
              <w:right w:val="nil"/>
            </w:tcBorders>
            <w:shd w:val="clear" w:color="auto" w:fill="auto"/>
            <w:vAlign w:val="center"/>
          </w:tcPr>
          <w:p w14:paraId="5B45D7DF">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实施单位 （盖章）</w:t>
            </w:r>
          </w:p>
        </w:tc>
        <w:tc>
          <w:tcPr>
            <w:tcW w:w="2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52B2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遂宁市安居区社会福利服务中心</w:t>
            </w:r>
          </w:p>
        </w:tc>
      </w:tr>
      <w:tr w14:paraId="75AD4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9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101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9919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95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B250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665B5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AF60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D5B9C">
            <w:pPr>
              <w:rPr>
                <w:rFonts w:hint="eastAsia" w:ascii="宋体" w:hAnsi="宋体" w:eastAsia="宋体" w:cs="宋体"/>
                <w:i w:val="0"/>
                <w:iCs w:val="0"/>
                <w:color w:val="000000"/>
                <w:sz w:val="18"/>
                <w:szCs w:val="18"/>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F0AAD">
            <w:pPr>
              <w:rPr>
                <w:rFonts w:hint="eastAsia" w:ascii="宋体" w:hAnsi="宋体" w:eastAsia="宋体" w:cs="宋体"/>
                <w:i w:val="0"/>
                <w:iCs w:val="0"/>
                <w:color w:val="000000"/>
                <w:sz w:val="18"/>
                <w:szCs w:val="18"/>
                <w:u w:val="none"/>
              </w:rPr>
            </w:pPr>
          </w:p>
        </w:tc>
        <w:tc>
          <w:tcPr>
            <w:tcW w:w="395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3386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保障区社会福利服务中心以及区社会福利院正常运行。</w:t>
            </w:r>
          </w:p>
        </w:tc>
        <w:tc>
          <w:tcPr>
            <w:tcW w:w="32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3F47A5">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bidi="ar"/>
              </w:rPr>
            </w:pPr>
            <w:r>
              <w:rPr>
                <w:rFonts w:hint="default" w:ascii="宋体" w:hAnsi="宋体" w:eastAsia="宋体" w:cs="宋体"/>
                <w:color w:val="000000"/>
                <w:kern w:val="0"/>
                <w:sz w:val="18"/>
                <w:szCs w:val="18"/>
                <w:u w:val="none"/>
                <w:lang w:val="en-US" w:eastAsia="zh-CN" w:bidi="ar"/>
              </w:rPr>
              <w:t>保障了区</w:t>
            </w:r>
            <w:r>
              <w:rPr>
                <w:rFonts w:ascii="宋体" w:hAnsi="宋体" w:eastAsia="宋体" w:cs="宋体"/>
                <w:i w:val="0"/>
                <w:iCs w:val="0"/>
                <w:color w:val="000000"/>
                <w:kern w:val="0"/>
                <w:sz w:val="18"/>
                <w:szCs w:val="18"/>
                <w:u w:val="none"/>
                <w:lang w:val="en-US" w:eastAsia="zh-CN" w:bidi="ar"/>
              </w:rPr>
              <w:t>社会</w:t>
            </w:r>
            <w:r>
              <w:rPr>
                <w:rFonts w:hint="default" w:ascii="宋体" w:hAnsi="宋体" w:eastAsia="宋体" w:cs="宋体"/>
                <w:color w:val="000000"/>
                <w:kern w:val="0"/>
                <w:sz w:val="18"/>
                <w:szCs w:val="18"/>
                <w:u w:val="none"/>
                <w:lang w:val="en-US" w:eastAsia="zh-CN" w:bidi="ar"/>
              </w:rPr>
              <w:t>福利</w:t>
            </w:r>
            <w:r>
              <w:rPr>
                <w:rFonts w:hint="eastAsia" w:ascii="宋体" w:hAnsi="宋体" w:cs="宋体"/>
                <w:color w:val="000000"/>
                <w:kern w:val="0"/>
                <w:sz w:val="18"/>
                <w:szCs w:val="18"/>
                <w:u w:val="none"/>
                <w:lang w:val="en-US" w:eastAsia="zh-CN" w:bidi="ar"/>
              </w:rPr>
              <w:t>服务</w:t>
            </w:r>
            <w:r>
              <w:rPr>
                <w:rFonts w:hint="default" w:ascii="宋体" w:hAnsi="宋体" w:eastAsia="宋体" w:cs="宋体"/>
                <w:color w:val="000000"/>
                <w:kern w:val="0"/>
                <w:sz w:val="18"/>
                <w:szCs w:val="18"/>
                <w:u w:val="none"/>
                <w:lang w:val="en-US" w:eastAsia="zh-CN" w:bidi="ar"/>
              </w:rPr>
              <w:t>中心以及区社会福利院正常运行</w:t>
            </w:r>
          </w:p>
        </w:tc>
      </w:tr>
      <w:tr w14:paraId="26D9E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4837D">
            <w:pPr>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333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0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7CAA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该项目主要由办公室负责落实并跟踪进行监管。项目实施过程中，每月按时支付水电气费用、食堂费、日常维修维保费，维修改造费用等，支付款项清晰准确，支付凭证真实齐全、支付流程高效规范。</w:t>
            </w:r>
          </w:p>
        </w:tc>
      </w:tr>
      <w:tr w14:paraId="35A05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9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69A7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C0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8B6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12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20D5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5D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5F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3D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3C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F669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5DD0F">
            <w:pPr>
              <w:jc w:val="center"/>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EB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0A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82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1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E3BE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60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0E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514D">
            <w:pPr>
              <w:jc w:val="center"/>
              <w:rPr>
                <w:rFonts w:hint="eastAsia" w:ascii="宋体" w:hAnsi="宋体" w:eastAsia="宋体" w:cs="宋体"/>
                <w:i w:val="0"/>
                <w:iCs w:val="0"/>
                <w:color w:val="000000"/>
                <w:sz w:val="18"/>
                <w:szCs w:val="18"/>
                <w:u w:val="none"/>
              </w:rPr>
            </w:pPr>
          </w:p>
        </w:tc>
        <w:tc>
          <w:tcPr>
            <w:tcW w:w="14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A5DA6B">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63AC1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A34FA">
            <w:pPr>
              <w:jc w:val="center"/>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88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9D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E0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1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39D1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EE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BD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5E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ED17E">
            <w:pPr>
              <w:rPr>
                <w:rFonts w:hint="eastAsia" w:ascii="黑体" w:hAnsi="黑体" w:eastAsia="黑体" w:cs="黑体"/>
                <w:i/>
                <w:iCs/>
                <w:color w:val="000000"/>
                <w:sz w:val="18"/>
                <w:szCs w:val="18"/>
                <w:u w:val="none"/>
              </w:rPr>
            </w:pPr>
          </w:p>
        </w:tc>
      </w:tr>
      <w:tr w14:paraId="6C7E8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1285E">
            <w:pPr>
              <w:jc w:val="center"/>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E8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35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E5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E613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E0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A3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66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1FD0E">
            <w:pPr>
              <w:rPr>
                <w:rFonts w:hint="eastAsia" w:ascii="黑体" w:hAnsi="黑体" w:eastAsia="黑体" w:cs="黑体"/>
                <w:i/>
                <w:iCs/>
                <w:color w:val="000000"/>
                <w:sz w:val="18"/>
                <w:szCs w:val="18"/>
                <w:u w:val="none"/>
              </w:rPr>
            </w:pPr>
          </w:p>
        </w:tc>
      </w:tr>
      <w:tr w14:paraId="5DF3A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272B0">
            <w:pPr>
              <w:jc w:val="center"/>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9B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CD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D3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22DB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F1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2C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CE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99936">
            <w:pPr>
              <w:rPr>
                <w:rFonts w:hint="eastAsia" w:ascii="黑体" w:hAnsi="黑体" w:eastAsia="黑体" w:cs="黑体"/>
                <w:i/>
                <w:iCs/>
                <w:color w:val="000000"/>
                <w:sz w:val="18"/>
                <w:szCs w:val="18"/>
                <w:u w:val="none"/>
              </w:rPr>
            </w:pPr>
          </w:p>
        </w:tc>
      </w:tr>
      <w:tr w14:paraId="30462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1118D">
            <w:pPr>
              <w:jc w:val="center"/>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F9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B1DD">
            <w:pPr>
              <w:jc w:val="center"/>
              <w:rPr>
                <w:rFonts w:hint="eastAsia" w:ascii="微软雅黑" w:hAnsi="微软雅黑" w:eastAsia="微软雅黑" w:cs="微软雅黑"/>
                <w:i/>
                <w:iCs/>
                <w:color w:val="000000"/>
                <w:sz w:val="16"/>
                <w:szCs w:val="16"/>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895C">
            <w:pPr>
              <w:jc w:val="center"/>
              <w:rPr>
                <w:rFonts w:hint="eastAsia" w:ascii="微软雅黑" w:hAnsi="微软雅黑" w:eastAsia="微软雅黑" w:cs="微软雅黑"/>
                <w:i/>
                <w:iCs/>
                <w:color w:val="000000"/>
                <w:sz w:val="16"/>
                <w:szCs w:val="16"/>
                <w:u w:val="none"/>
              </w:rPr>
            </w:pPr>
          </w:p>
        </w:tc>
        <w:tc>
          <w:tcPr>
            <w:tcW w:w="1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D58A94">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8827">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D2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95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FA2C1">
            <w:pPr>
              <w:rPr>
                <w:rFonts w:hint="eastAsia" w:ascii="黑体" w:hAnsi="黑体" w:eastAsia="黑体" w:cs="黑体"/>
                <w:i/>
                <w:iCs/>
                <w:color w:val="000000"/>
                <w:sz w:val="18"/>
                <w:szCs w:val="18"/>
                <w:u w:val="none"/>
              </w:rPr>
            </w:pPr>
          </w:p>
        </w:tc>
      </w:tr>
      <w:tr w14:paraId="78DD4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5" w:hRule="atLeast"/>
        </w:trPr>
        <w:tc>
          <w:tcPr>
            <w:tcW w:w="9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F59C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5F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ED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87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65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2BDF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A9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D3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D0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F7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06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1DB7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88F53">
            <w:pPr>
              <w:jc w:val="center"/>
              <w:rPr>
                <w:rFonts w:hint="eastAsia" w:ascii="宋体" w:hAnsi="宋体" w:eastAsia="宋体" w:cs="宋体"/>
                <w:i w:val="0"/>
                <w:iCs w:val="0"/>
                <w:color w:val="000000"/>
                <w:sz w:val="18"/>
                <w:szCs w:val="18"/>
                <w:u w:val="none"/>
              </w:rPr>
            </w:pP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50E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C3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26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服务对象人数</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AE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B29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6A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A3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95人次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C0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34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52D7">
            <w:pPr>
              <w:jc w:val="center"/>
              <w:rPr>
                <w:rFonts w:hint="eastAsia" w:ascii="微软雅黑" w:hAnsi="微软雅黑" w:eastAsia="微软雅黑" w:cs="微软雅黑"/>
                <w:i/>
                <w:iCs/>
                <w:color w:val="000000"/>
                <w:sz w:val="16"/>
                <w:szCs w:val="16"/>
                <w:u w:val="none"/>
              </w:rPr>
            </w:pPr>
          </w:p>
        </w:tc>
      </w:tr>
      <w:tr w14:paraId="475BEAF6">
        <w:tblPrEx>
          <w:shd w:val="clear" w:color="auto" w:fill="auto"/>
          <w:tblCellMar>
            <w:top w:w="0" w:type="dxa"/>
            <w:left w:w="108" w:type="dxa"/>
            <w:bottom w:w="0" w:type="dxa"/>
            <w:right w:w="108" w:type="dxa"/>
          </w:tblCellMar>
        </w:tblPrEx>
        <w:trPr>
          <w:trHeight w:val="945" w:hRule="atLeast"/>
        </w:trPr>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5AAD3">
            <w:pPr>
              <w:jc w:val="center"/>
              <w:rPr>
                <w:rFonts w:hint="eastAsia" w:ascii="宋体" w:hAnsi="宋体" w:eastAsia="宋体" w:cs="宋体"/>
                <w:i w:val="0"/>
                <w:iCs w:val="0"/>
                <w:color w:val="000000"/>
                <w:sz w:val="18"/>
                <w:szCs w:val="18"/>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3FC83">
            <w:pPr>
              <w:jc w:val="center"/>
              <w:rPr>
                <w:rFonts w:hint="eastAsia" w:ascii="宋体" w:hAnsi="宋体" w:eastAsia="宋体" w:cs="宋体"/>
                <w:i w:val="0"/>
                <w:iCs w:val="0"/>
                <w:color w:val="000000"/>
                <w:sz w:val="18"/>
                <w:szCs w:val="18"/>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4F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9C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保障区社会福利服务中心正常运行</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88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BACA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53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7B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D8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49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54C1">
            <w:pPr>
              <w:jc w:val="center"/>
              <w:rPr>
                <w:rFonts w:hint="eastAsia" w:ascii="微软雅黑" w:hAnsi="微软雅黑" w:eastAsia="微软雅黑" w:cs="微软雅黑"/>
                <w:i/>
                <w:iCs/>
                <w:color w:val="000000"/>
                <w:sz w:val="16"/>
                <w:szCs w:val="16"/>
                <w:u w:val="none"/>
              </w:rPr>
            </w:pPr>
          </w:p>
        </w:tc>
      </w:tr>
      <w:tr w14:paraId="6E84A73F">
        <w:tblPrEx>
          <w:shd w:val="clear" w:color="auto" w:fill="auto"/>
          <w:tblCellMar>
            <w:top w:w="0" w:type="dxa"/>
            <w:left w:w="108" w:type="dxa"/>
            <w:bottom w:w="0" w:type="dxa"/>
            <w:right w:w="108" w:type="dxa"/>
          </w:tblCellMar>
        </w:tblPrEx>
        <w:trPr>
          <w:trHeight w:val="359" w:hRule="atLeast"/>
        </w:trPr>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8E0FD">
            <w:pPr>
              <w:jc w:val="center"/>
              <w:rPr>
                <w:rFonts w:hint="eastAsia" w:ascii="宋体" w:hAnsi="宋体" w:eastAsia="宋体" w:cs="宋体"/>
                <w:i w:val="0"/>
                <w:iCs w:val="0"/>
                <w:color w:val="000000"/>
                <w:sz w:val="18"/>
                <w:szCs w:val="18"/>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78595">
            <w:pPr>
              <w:jc w:val="center"/>
              <w:rPr>
                <w:rFonts w:hint="eastAsia" w:ascii="宋体" w:hAnsi="宋体" w:eastAsia="宋体" w:cs="宋体"/>
                <w:i w:val="0"/>
                <w:iCs w:val="0"/>
                <w:color w:val="000000"/>
                <w:sz w:val="18"/>
                <w:szCs w:val="18"/>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51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03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2024年内完成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52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C602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7F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A1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9F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55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69F3">
            <w:pPr>
              <w:jc w:val="center"/>
              <w:rPr>
                <w:rFonts w:hint="eastAsia" w:ascii="微软雅黑" w:hAnsi="微软雅黑" w:eastAsia="微软雅黑" w:cs="微软雅黑"/>
                <w:i/>
                <w:iCs/>
                <w:color w:val="000000"/>
                <w:sz w:val="16"/>
                <w:szCs w:val="16"/>
                <w:u w:val="none"/>
              </w:rPr>
            </w:pPr>
          </w:p>
        </w:tc>
      </w:tr>
      <w:tr w14:paraId="0552C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trPr>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D8E9C">
            <w:pPr>
              <w:jc w:val="center"/>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6F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E8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2C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保障弱势群体生活质量，老有所养，老有所依。</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2F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F2D0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68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B7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B9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34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D1B1">
            <w:pPr>
              <w:jc w:val="center"/>
              <w:rPr>
                <w:rFonts w:hint="eastAsia" w:ascii="微软雅黑" w:hAnsi="微软雅黑" w:eastAsia="微软雅黑" w:cs="微软雅黑"/>
                <w:i/>
                <w:iCs/>
                <w:color w:val="000000"/>
                <w:sz w:val="16"/>
                <w:szCs w:val="16"/>
                <w:u w:val="none"/>
              </w:rPr>
            </w:pPr>
          </w:p>
        </w:tc>
      </w:tr>
      <w:tr w14:paraId="48246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6699A">
            <w:pPr>
              <w:jc w:val="center"/>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3A8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D1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49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区社会福利中心老人对机构的满意度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33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DD4F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DE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CD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E5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AF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97FFB">
            <w:pPr>
              <w:jc w:val="center"/>
              <w:rPr>
                <w:rFonts w:hint="eastAsia" w:ascii="微软雅黑" w:hAnsi="微软雅黑" w:eastAsia="微软雅黑" w:cs="微软雅黑"/>
                <w:i/>
                <w:iCs/>
                <w:color w:val="000000"/>
                <w:sz w:val="16"/>
                <w:szCs w:val="16"/>
                <w:u w:val="none"/>
              </w:rPr>
            </w:pPr>
          </w:p>
        </w:tc>
      </w:tr>
      <w:tr w14:paraId="5EE68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2" w:hRule="atLeast"/>
        </w:trPr>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60696">
            <w:pPr>
              <w:jc w:val="center"/>
              <w:rPr>
                <w:rFonts w:hint="eastAsia" w:ascii="宋体" w:hAnsi="宋体" w:eastAsia="宋体" w:cs="宋体"/>
                <w:i w:val="0"/>
                <w:iCs w:val="0"/>
                <w:color w:val="000000"/>
                <w:sz w:val="18"/>
                <w:szCs w:val="18"/>
                <w:u w:val="none"/>
              </w:rPr>
            </w:pP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F7FA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2C6C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CB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物业管理费包括安全护卫、公共次序管理及消防值班和临时水电维修，全年预计支出8万元</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4C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C53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02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11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8万元</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02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46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3E75F">
            <w:pPr>
              <w:jc w:val="center"/>
              <w:rPr>
                <w:rFonts w:hint="eastAsia" w:ascii="微软雅黑" w:hAnsi="微软雅黑" w:eastAsia="微软雅黑" w:cs="微软雅黑"/>
                <w:i/>
                <w:iCs/>
                <w:color w:val="000000"/>
                <w:sz w:val="16"/>
                <w:szCs w:val="16"/>
                <w:u w:val="none"/>
              </w:rPr>
            </w:pPr>
          </w:p>
        </w:tc>
      </w:tr>
      <w:tr w14:paraId="5B2BF41A">
        <w:tblPrEx>
          <w:shd w:val="clear" w:color="auto" w:fill="auto"/>
          <w:tblCellMar>
            <w:top w:w="0" w:type="dxa"/>
            <w:left w:w="108" w:type="dxa"/>
            <w:bottom w:w="0" w:type="dxa"/>
            <w:right w:w="108" w:type="dxa"/>
          </w:tblCellMar>
        </w:tblPrEx>
        <w:trPr>
          <w:trHeight w:val="945" w:hRule="atLeast"/>
        </w:trPr>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2F283">
            <w:pPr>
              <w:jc w:val="center"/>
              <w:rPr>
                <w:rFonts w:hint="eastAsia" w:ascii="宋体" w:hAnsi="宋体" w:eastAsia="宋体" w:cs="宋体"/>
                <w:i w:val="0"/>
                <w:iCs w:val="0"/>
                <w:color w:val="000000"/>
                <w:sz w:val="18"/>
                <w:szCs w:val="18"/>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C86FA">
            <w:pPr>
              <w:jc w:val="center"/>
              <w:rPr>
                <w:rFonts w:hint="eastAsia" w:ascii="宋体" w:hAnsi="宋体" w:eastAsia="宋体" w:cs="宋体"/>
                <w:i w:val="0"/>
                <w:iCs w:val="0"/>
                <w:color w:val="000000"/>
                <w:sz w:val="18"/>
                <w:szCs w:val="18"/>
                <w:u w:val="none"/>
              </w:rPr>
            </w:pP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9D058">
            <w:pPr>
              <w:jc w:val="center"/>
              <w:rPr>
                <w:rFonts w:hint="eastAsia" w:ascii="宋体" w:hAnsi="宋体" w:eastAsia="宋体" w:cs="宋体"/>
                <w:i w:val="0"/>
                <w:iCs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E2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水费单价2.2元/方，全年预计支出9万元</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DE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4BD3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94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54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9万元</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61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8F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A58A">
            <w:pPr>
              <w:jc w:val="center"/>
              <w:rPr>
                <w:rFonts w:hint="eastAsia" w:ascii="微软雅黑" w:hAnsi="微软雅黑" w:eastAsia="微软雅黑" w:cs="微软雅黑"/>
                <w:i/>
                <w:iCs/>
                <w:color w:val="000000"/>
                <w:sz w:val="16"/>
                <w:szCs w:val="16"/>
                <w:u w:val="none"/>
              </w:rPr>
            </w:pPr>
          </w:p>
        </w:tc>
      </w:tr>
      <w:tr w14:paraId="0F48F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trPr>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772B4">
            <w:pPr>
              <w:jc w:val="center"/>
              <w:rPr>
                <w:rFonts w:hint="eastAsia" w:ascii="宋体" w:hAnsi="宋体" w:eastAsia="宋体" w:cs="宋体"/>
                <w:i w:val="0"/>
                <w:iCs w:val="0"/>
                <w:color w:val="000000"/>
                <w:sz w:val="18"/>
                <w:szCs w:val="18"/>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34327">
            <w:pPr>
              <w:jc w:val="center"/>
              <w:rPr>
                <w:rFonts w:hint="eastAsia" w:ascii="宋体" w:hAnsi="宋体" w:eastAsia="宋体" w:cs="宋体"/>
                <w:i w:val="0"/>
                <w:iCs w:val="0"/>
                <w:color w:val="000000"/>
                <w:sz w:val="18"/>
                <w:szCs w:val="18"/>
                <w:u w:val="none"/>
              </w:rPr>
            </w:pP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F2120">
            <w:pPr>
              <w:jc w:val="center"/>
              <w:rPr>
                <w:rFonts w:hint="eastAsia" w:ascii="宋体" w:hAnsi="宋体" w:eastAsia="宋体" w:cs="宋体"/>
                <w:i w:val="0"/>
                <w:iCs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07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电费为浮动计价，平均1.2元/度，全年预计支出22万元</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B6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42B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7A0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39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22万元</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76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B1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8770">
            <w:pPr>
              <w:jc w:val="center"/>
              <w:rPr>
                <w:rFonts w:hint="eastAsia" w:ascii="微软雅黑" w:hAnsi="微软雅黑" w:eastAsia="微软雅黑" w:cs="微软雅黑"/>
                <w:i/>
                <w:iCs/>
                <w:color w:val="000000"/>
                <w:sz w:val="16"/>
                <w:szCs w:val="16"/>
                <w:u w:val="none"/>
              </w:rPr>
            </w:pPr>
          </w:p>
        </w:tc>
      </w:tr>
      <w:tr w14:paraId="37AE2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87CA3">
            <w:pPr>
              <w:jc w:val="center"/>
              <w:rPr>
                <w:rFonts w:hint="eastAsia" w:ascii="宋体" w:hAnsi="宋体" w:eastAsia="宋体" w:cs="宋体"/>
                <w:i w:val="0"/>
                <w:iCs w:val="0"/>
                <w:color w:val="000000"/>
                <w:sz w:val="18"/>
                <w:szCs w:val="18"/>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EE20C">
            <w:pPr>
              <w:jc w:val="center"/>
              <w:rPr>
                <w:rFonts w:hint="eastAsia" w:ascii="宋体" w:hAnsi="宋体" w:eastAsia="宋体" w:cs="宋体"/>
                <w:i w:val="0"/>
                <w:iCs w:val="0"/>
                <w:color w:val="000000"/>
                <w:sz w:val="18"/>
                <w:szCs w:val="18"/>
                <w:u w:val="none"/>
              </w:rPr>
            </w:pP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8B125">
            <w:pPr>
              <w:jc w:val="center"/>
              <w:rPr>
                <w:rFonts w:hint="eastAsia" w:ascii="宋体" w:hAnsi="宋体" w:eastAsia="宋体" w:cs="宋体"/>
                <w:i w:val="0"/>
                <w:iCs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115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气费2.4元/方，全年预计支出3.6万元</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3E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097A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10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B8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3.6万元</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DF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54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D56F">
            <w:pPr>
              <w:jc w:val="center"/>
              <w:rPr>
                <w:rFonts w:hint="eastAsia" w:ascii="微软雅黑" w:hAnsi="微软雅黑" w:eastAsia="微软雅黑" w:cs="微软雅黑"/>
                <w:i/>
                <w:iCs/>
                <w:color w:val="000000"/>
                <w:sz w:val="16"/>
                <w:szCs w:val="16"/>
                <w:u w:val="none"/>
              </w:rPr>
            </w:pPr>
          </w:p>
        </w:tc>
      </w:tr>
      <w:tr w14:paraId="15D16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68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EAC59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20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F625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DED1">
            <w:pPr>
              <w:rPr>
                <w:rFonts w:hint="eastAsia" w:ascii="宋体" w:hAnsi="宋体" w:eastAsia="宋体" w:cs="宋体"/>
                <w:i w:val="0"/>
                <w:iCs w:val="0"/>
                <w:color w:val="000000"/>
                <w:sz w:val="18"/>
                <w:szCs w:val="18"/>
                <w:u w:val="none"/>
              </w:rPr>
            </w:pPr>
          </w:p>
        </w:tc>
      </w:tr>
      <w:tr w14:paraId="30FEE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6A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2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AA7B140">
            <w:pPr>
              <w:keepNext w:val="0"/>
              <w:keepLines w:val="0"/>
              <w:widowControl/>
              <w:suppressLineNumbers w:val="0"/>
              <w:jc w:val="left"/>
              <w:textAlignment w:val="auto"/>
              <w:rPr>
                <w:rFonts w:hint="eastAsia" w:ascii="微软雅黑" w:hAnsi="微软雅黑" w:eastAsia="微软雅黑" w:cs="宋体"/>
                <w:i w:val="0"/>
                <w:iCs w:val="0"/>
                <w:color w:val="000000"/>
                <w:kern w:val="0"/>
                <w:sz w:val="16"/>
                <w:szCs w:val="16"/>
                <w:u w:val="none"/>
                <w:lang w:bidi="ar"/>
              </w:rPr>
            </w:pPr>
            <w:r>
              <w:rPr>
                <w:rFonts w:hint="eastAsia" w:ascii="微软雅黑" w:hAnsi="微软雅黑" w:eastAsia="微软雅黑" w:cs="宋体"/>
                <w:i w:val="0"/>
                <w:iCs w:val="0"/>
                <w:color w:val="000000"/>
                <w:kern w:val="0"/>
                <w:sz w:val="16"/>
                <w:szCs w:val="16"/>
                <w:u w:val="none"/>
                <w:lang w:val="en-US" w:eastAsia="zh-CN" w:bidi="ar"/>
              </w:rPr>
              <w:t>该项目严格按照年度绩效目标开展各项工作，按时按量完成各项指标，各项指标实际完成值均达到年度绩效目标值，且存在部分指标超额完成。</w:t>
            </w:r>
          </w:p>
        </w:tc>
      </w:tr>
      <w:tr w14:paraId="13BEE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F5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2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E0C5C20">
            <w:pPr>
              <w:keepNext w:val="0"/>
              <w:keepLines w:val="0"/>
              <w:widowControl/>
              <w:suppressLineNumbers w:val="0"/>
              <w:jc w:val="left"/>
              <w:textAlignment w:val="auto"/>
              <w:rPr>
                <w:rFonts w:hint="eastAsia" w:ascii="微软雅黑" w:hAnsi="微软雅黑" w:eastAsia="微软雅黑" w:cs="宋体"/>
                <w:i w:val="0"/>
                <w:iCs w:val="0"/>
                <w:color w:val="000000"/>
                <w:kern w:val="0"/>
                <w:sz w:val="16"/>
                <w:szCs w:val="16"/>
                <w:u w:val="none"/>
                <w:lang w:bidi="ar"/>
              </w:rPr>
            </w:pPr>
            <w:r>
              <w:rPr>
                <w:rFonts w:hint="eastAsia" w:ascii="微软雅黑" w:hAnsi="微软雅黑" w:eastAsia="微软雅黑" w:cs="宋体"/>
                <w:i w:val="0"/>
                <w:iCs w:val="0"/>
                <w:color w:val="000000"/>
                <w:kern w:val="0"/>
                <w:sz w:val="16"/>
                <w:szCs w:val="16"/>
                <w:u w:val="none"/>
                <w:lang w:val="en-US" w:eastAsia="zh-CN" w:bidi="ar"/>
              </w:rPr>
              <w:t>动态监督不强。</w:t>
            </w:r>
          </w:p>
        </w:tc>
      </w:tr>
      <w:tr w14:paraId="7D31E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C8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32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B7C22E4">
            <w:pPr>
              <w:keepNext w:val="0"/>
              <w:keepLines w:val="0"/>
              <w:widowControl/>
              <w:suppressLineNumbers w:val="0"/>
              <w:jc w:val="left"/>
              <w:textAlignment w:val="auto"/>
              <w:rPr>
                <w:rFonts w:hint="eastAsia" w:ascii="微软雅黑" w:hAnsi="微软雅黑" w:eastAsia="微软雅黑" w:cs="宋体"/>
                <w:i w:val="0"/>
                <w:iCs w:val="0"/>
                <w:color w:val="000000"/>
                <w:kern w:val="0"/>
                <w:sz w:val="16"/>
                <w:szCs w:val="16"/>
                <w:u w:val="none"/>
                <w:lang w:bidi="ar"/>
              </w:rPr>
            </w:pPr>
            <w:r>
              <w:rPr>
                <w:rFonts w:hint="eastAsia" w:ascii="微软雅黑" w:hAnsi="微软雅黑" w:eastAsia="微软雅黑" w:cs="宋体"/>
                <w:i w:val="0"/>
                <w:iCs w:val="0"/>
                <w:color w:val="000000"/>
                <w:kern w:val="0"/>
                <w:sz w:val="16"/>
                <w:szCs w:val="16"/>
                <w:u w:val="none"/>
                <w:lang w:val="en-US" w:eastAsia="zh-CN" w:bidi="ar"/>
              </w:rPr>
              <w:t>加强项目实施过程中的动态监督。</w:t>
            </w:r>
          </w:p>
        </w:tc>
      </w:tr>
      <w:tr w14:paraId="0555D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0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600C75">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项目负责人：张霞</w:t>
            </w:r>
          </w:p>
        </w:tc>
        <w:tc>
          <w:tcPr>
            <w:tcW w:w="42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111C80">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财务负责人：潘柯</w:t>
            </w:r>
          </w:p>
        </w:tc>
      </w:tr>
    </w:tbl>
    <w:p w14:paraId="41862CEB">
      <w:pPr>
        <w:pStyle w:val="8"/>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0CD00CBA">
      <w:pPr>
        <w:pStyle w:val="6"/>
        <w:rPr>
          <w:rFonts w:hint="eastAsia" w:ascii="Times New Roman" w:hAnsi="Times New Roman" w:cs="宋体"/>
          <w:color w:val="FF0000"/>
          <w:kern w:val="0"/>
          <w:sz w:val="32"/>
          <w:szCs w:val="32"/>
          <w:highlight w:val="yellow"/>
          <w:shd w:val="clear" w:color="auto" w:fill="FFFFFF"/>
          <w:lang w:val="zh-CN"/>
        </w:rPr>
      </w:pPr>
    </w:p>
    <w:p w14:paraId="19B0504E">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14:paraId="6C57BD3E">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0"/>
          <w:rFonts w:hint="eastAsia" w:ascii="Times New Roman" w:hAnsi="Times New Roman" w:eastAsia="黑体"/>
          <w:b w:val="0"/>
          <w:color w:val="auto"/>
          <w:highlight w:val="none"/>
        </w:rPr>
        <w:t>五部分 附表</w:t>
      </w:r>
    </w:p>
    <w:p w14:paraId="00EF00F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131F66F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14:paraId="1C54A77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p>
    <w:p w14:paraId="6A48945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14:paraId="68F9C7E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14:paraId="03199D2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14:paraId="167854B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14:paraId="76C247C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14:paraId="4E1425A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八、一般公共预算财政拨款基本支出决算表</w:t>
      </w:r>
    </w:p>
    <w:p w14:paraId="29F2BE8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14:paraId="05F3A2C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14:paraId="367C450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302B15F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eastAsia="zh-CN"/>
        </w:rPr>
        <w:t>国有资本经营预算财政拨款支出决算表</w:t>
      </w:r>
    </w:p>
    <w:p w14:paraId="7116598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十三、</w:t>
      </w:r>
      <w:r>
        <w:rPr>
          <w:rFonts w:hint="eastAsia" w:ascii="Times New Roman" w:hAnsi="Times New Roman" w:eastAsia="仿宋_GB2312" w:cs="仿宋_GB2312"/>
          <w:color w:val="auto"/>
          <w:sz w:val="32"/>
          <w:szCs w:val="32"/>
          <w:highlight w:val="none"/>
          <w:lang w:eastAsia="zh-CN"/>
        </w:rPr>
        <w:t>财政拨款“三公”经费支出决算表</w:t>
      </w:r>
    </w:p>
    <w:bookmarkEnd w:id="7"/>
    <w:bookmarkEnd w:id="8"/>
    <w:p w14:paraId="3330CBF3">
      <w:pPr>
        <w:rPr>
          <w:rFonts w:hint="eastAsia" w:ascii="Times New Roman" w:hAnsi="Times New Roman"/>
          <w:lang w:eastAsia="zh-CN"/>
        </w:rPr>
      </w:pPr>
    </w:p>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B4FE617-E094-4C69-B154-80840D9B26B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D45670DE-662E-48F9-BB97-C9537284F1D4}"/>
  </w:font>
  <w:font w:name="仿宋">
    <w:panose1 w:val="02010609060101010101"/>
    <w:charset w:val="86"/>
    <w:family w:val="modern"/>
    <w:pitch w:val="default"/>
    <w:sig w:usb0="800002BF" w:usb1="38CF7CFA" w:usb2="00000016" w:usb3="00000000" w:csb0="00040001" w:csb1="00000000"/>
    <w:embedRegular r:id="rId3" w:fontKey="{9556AA37-5B18-4FC7-ADFB-689FC88A5F1C}"/>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script"/>
    <w:pitch w:val="default"/>
    <w:sig w:usb0="00000001" w:usb1="08000000" w:usb2="00000000" w:usb3="00000000" w:csb0="00040000" w:csb1="00000000"/>
    <w:embedRegular r:id="rId4" w:fontKey="{F624DD13-D448-4A6C-A367-A55A26C2CB0A}"/>
  </w:font>
  <w:font w:name="楷体_GB2312">
    <w:panose1 w:val="02010609030101010101"/>
    <w:charset w:val="86"/>
    <w:family w:val="auto"/>
    <w:pitch w:val="default"/>
    <w:sig w:usb0="00000001" w:usb1="080E0000" w:usb2="00000000" w:usb3="00000000" w:csb0="00040000" w:csb1="00000000"/>
    <w:embedRegular r:id="rId5" w:fontKey="{77036869-8247-49B9-ACB6-9730AFD2CDF8}"/>
  </w:font>
  <w:font w:name="方正仿宋_GBK">
    <w:altName w:val="微软雅黑"/>
    <w:panose1 w:val="02000000000000000000"/>
    <w:charset w:val="86"/>
    <w:family w:val="auto"/>
    <w:pitch w:val="default"/>
    <w:sig w:usb0="00000000" w:usb1="00000000" w:usb2="00082016" w:usb3="00000000" w:csb0="00040001" w:csb1="00000000"/>
    <w:embedRegular r:id="rId6" w:fontKey="{08E998D9-BD77-415E-97EE-EC5034E85738}"/>
  </w:font>
  <w:font w:name="微软雅黑">
    <w:panose1 w:val="020B0503020204020204"/>
    <w:charset w:val="86"/>
    <w:family w:val="auto"/>
    <w:pitch w:val="default"/>
    <w:sig w:usb0="80000287" w:usb1="2ACF3C50" w:usb2="00000016" w:usb3="00000000" w:csb0="0004001F" w:csb1="00000000"/>
    <w:embedRegular r:id="rId7" w:fontKey="{27C73844-998D-4F53-88EE-373700B09439}"/>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C4417">
    <w:pPr>
      <w:pStyle w:val="11"/>
      <w:jc w:val="center"/>
    </w:pPr>
  </w:p>
  <w:p w14:paraId="1A81A0AC">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63DEF">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40B2D8">
                          <w:pPr>
                            <w:pStyle w:val="11"/>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540B2D8">
                    <w:pPr>
                      <w:pStyle w:val="11"/>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7421E">
    <w:pPr>
      <w:pStyle w:val="11"/>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8CD053">
                          <w:pPr>
                            <w:pStyle w:val="11"/>
                          </w:pPr>
                          <w:r>
                            <w:t xml:space="preserve">— </w:t>
                          </w:r>
                          <w:r>
                            <w:fldChar w:fldCharType="begin"/>
                          </w:r>
                          <w:r>
                            <w:instrText xml:space="preserve"> PAGE  \* MERGEFORMAT </w:instrText>
                          </w:r>
                          <w:r>
                            <w:fldChar w:fldCharType="separate"/>
                          </w:r>
                          <w:r>
                            <w:t>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E8CD053">
                    <w:pPr>
                      <w:pStyle w:val="11"/>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p>
  <w:p w14:paraId="7D4A1484">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3245C2"/>
    <w:multiLevelType w:val="singleLevel"/>
    <w:tmpl w:val="983245C2"/>
    <w:lvl w:ilvl="0" w:tentative="0">
      <w:start w:val="2"/>
      <w:numFmt w:val="chineseCounting"/>
      <w:suff w:val="nothing"/>
      <w:lvlText w:val="（%1）"/>
      <w:lvlJc w:val="left"/>
      <w:rPr>
        <w:rFonts w:hint="eastAsia"/>
      </w:rPr>
    </w:lvl>
  </w:abstractNum>
  <w:abstractNum w:abstractNumId="1">
    <w:nsid w:val="CF22A1E6"/>
    <w:multiLevelType w:val="singleLevel"/>
    <w:tmpl w:val="CF22A1E6"/>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FEBE30"/>
    <w:rsid w:val="03671D0E"/>
    <w:rsid w:val="061E35DE"/>
    <w:rsid w:val="066E0107"/>
    <w:rsid w:val="075329F8"/>
    <w:rsid w:val="07996F6E"/>
    <w:rsid w:val="07DFD8BA"/>
    <w:rsid w:val="09867E8F"/>
    <w:rsid w:val="0A2032A3"/>
    <w:rsid w:val="0CA8290A"/>
    <w:rsid w:val="0D35B1ED"/>
    <w:rsid w:val="0D4E1EA3"/>
    <w:rsid w:val="0D700F55"/>
    <w:rsid w:val="0DBC0780"/>
    <w:rsid w:val="0F98263C"/>
    <w:rsid w:val="101860EC"/>
    <w:rsid w:val="10C055FF"/>
    <w:rsid w:val="11772AA4"/>
    <w:rsid w:val="11786165"/>
    <w:rsid w:val="118107EC"/>
    <w:rsid w:val="128A74D9"/>
    <w:rsid w:val="12C74770"/>
    <w:rsid w:val="13D50BC4"/>
    <w:rsid w:val="13E403F1"/>
    <w:rsid w:val="149D16A7"/>
    <w:rsid w:val="14C97BFD"/>
    <w:rsid w:val="1602382A"/>
    <w:rsid w:val="165E0673"/>
    <w:rsid w:val="16BB723D"/>
    <w:rsid w:val="17F17AD4"/>
    <w:rsid w:val="186504BB"/>
    <w:rsid w:val="18945DB0"/>
    <w:rsid w:val="19A445FC"/>
    <w:rsid w:val="1AE335CC"/>
    <w:rsid w:val="1B7D7053"/>
    <w:rsid w:val="1BBC3774"/>
    <w:rsid w:val="1BCD48DA"/>
    <w:rsid w:val="1BE8440E"/>
    <w:rsid w:val="1C0E4B89"/>
    <w:rsid w:val="1C1D316C"/>
    <w:rsid w:val="1CEA288B"/>
    <w:rsid w:val="1D155CEE"/>
    <w:rsid w:val="1E4C7488"/>
    <w:rsid w:val="1E740ACF"/>
    <w:rsid w:val="1F372797"/>
    <w:rsid w:val="1FF35744"/>
    <w:rsid w:val="1FF6BC77"/>
    <w:rsid w:val="23860B96"/>
    <w:rsid w:val="23A3264F"/>
    <w:rsid w:val="23C2284B"/>
    <w:rsid w:val="240371BF"/>
    <w:rsid w:val="24341B4E"/>
    <w:rsid w:val="255B6354"/>
    <w:rsid w:val="25D10AC1"/>
    <w:rsid w:val="260F557C"/>
    <w:rsid w:val="27B64475"/>
    <w:rsid w:val="281408E2"/>
    <w:rsid w:val="29BE7DB3"/>
    <w:rsid w:val="29FD04D3"/>
    <w:rsid w:val="2BFF7BC6"/>
    <w:rsid w:val="2C1371B1"/>
    <w:rsid w:val="2C8A61B5"/>
    <w:rsid w:val="2CDA5934"/>
    <w:rsid w:val="2DF04E50"/>
    <w:rsid w:val="2F040D46"/>
    <w:rsid w:val="2F383BDA"/>
    <w:rsid w:val="2F3B1E2F"/>
    <w:rsid w:val="2FAE5751"/>
    <w:rsid w:val="2FB1A395"/>
    <w:rsid w:val="2FD9A7D8"/>
    <w:rsid w:val="2FF33C01"/>
    <w:rsid w:val="307A00C0"/>
    <w:rsid w:val="319F7F4E"/>
    <w:rsid w:val="32787286"/>
    <w:rsid w:val="32A058A2"/>
    <w:rsid w:val="3304709D"/>
    <w:rsid w:val="349D6851"/>
    <w:rsid w:val="35D02767"/>
    <w:rsid w:val="36AA5135"/>
    <w:rsid w:val="36BE0DA7"/>
    <w:rsid w:val="376B6AA6"/>
    <w:rsid w:val="376D39B2"/>
    <w:rsid w:val="37DE625B"/>
    <w:rsid w:val="37E16F03"/>
    <w:rsid w:val="37F53A3B"/>
    <w:rsid w:val="389B6C89"/>
    <w:rsid w:val="38D469F0"/>
    <w:rsid w:val="39627CCD"/>
    <w:rsid w:val="397BAF1F"/>
    <w:rsid w:val="3A4E0A72"/>
    <w:rsid w:val="3AA54601"/>
    <w:rsid w:val="3AB79AF3"/>
    <w:rsid w:val="3B7EF35A"/>
    <w:rsid w:val="3B9FDB6C"/>
    <w:rsid w:val="3BC9431F"/>
    <w:rsid w:val="3BF5BC2F"/>
    <w:rsid w:val="3C9C7C85"/>
    <w:rsid w:val="3CEBA265"/>
    <w:rsid w:val="3D542FFD"/>
    <w:rsid w:val="3D98207C"/>
    <w:rsid w:val="3DEE7CF3"/>
    <w:rsid w:val="3E78745D"/>
    <w:rsid w:val="3F9904AC"/>
    <w:rsid w:val="3FA550A3"/>
    <w:rsid w:val="3FF4CAE0"/>
    <w:rsid w:val="3FF7B227"/>
    <w:rsid w:val="41115F4D"/>
    <w:rsid w:val="41E40EAE"/>
    <w:rsid w:val="43EA1FB7"/>
    <w:rsid w:val="44E268DA"/>
    <w:rsid w:val="47954404"/>
    <w:rsid w:val="486A6C7A"/>
    <w:rsid w:val="49676684"/>
    <w:rsid w:val="49FA5FEB"/>
    <w:rsid w:val="4A627F82"/>
    <w:rsid w:val="4AAE0D8B"/>
    <w:rsid w:val="4B0E749A"/>
    <w:rsid w:val="4B4F25DA"/>
    <w:rsid w:val="4B9A030C"/>
    <w:rsid w:val="4BE068DB"/>
    <w:rsid w:val="4C306562"/>
    <w:rsid w:val="4C4D68A6"/>
    <w:rsid w:val="4CFD207A"/>
    <w:rsid w:val="4D577224"/>
    <w:rsid w:val="4DBF1CEB"/>
    <w:rsid w:val="4DF25957"/>
    <w:rsid w:val="4E95707A"/>
    <w:rsid w:val="4EAB630A"/>
    <w:rsid w:val="4ECE2238"/>
    <w:rsid w:val="4EE66696"/>
    <w:rsid w:val="4F833267"/>
    <w:rsid w:val="4FE9BD67"/>
    <w:rsid w:val="4FFB052F"/>
    <w:rsid w:val="52D65E5F"/>
    <w:rsid w:val="537E6D0A"/>
    <w:rsid w:val="53807561"/>
    <w:rsid w:val="53D55AFF"/>
    <w:rsid w:val="53F74C96"/>
    <w:rsid w:val="540C03BB"/>
    <w:rsid w:val="550E2B65"/>
    <w:rsid w:val="56E47B74"/>
    <w:rsid w:val="57B719BC"/>
    <w:rsid w:val="57BD3DD4"/>
    <w:rsid w:val="58B33511"/>
    <w:rsid w:val="5A7A7119"/>
    <w:rsid w:val="5AF92295"/>
    <w:rsid w:val="5BDD79E6"/>
    <w:rsid w:val="5BF561CA"/>
    <w:rsid w:val="5BFF5DFC"/>
    <w:rsid w:val="5C7B745F"/>
    <w:rsid w:val="5CD71FC4"/>
    <w:rsid w:val="5D1F11B5"/>
    <w:rsid w:val="5DAE1B18"/>
    <w:rsid w:val="5DE7D9E5"/>
    <w:rsid w:val="5E053485"/>
    <w:rsid w:val="5EC7698C"/>
    <w:rsid w:val="5ECEC941"/>
    <w:rsid w:val="5FBF9FF3"/>
    <w:rsid w:val="5FCD4E2C"/>
    <w:rsid w:val="5FDF46A2"/>
    <w:rsid w:val="5FEF394A"/>
    <w:rsid w:val="5FF67715"/>
    <w:rsid w:val="62BF3928"/>
    <w:rsid w:val="62C51434"/>
    <w:rsid w:val="62F7456C"/>
    <w:rsid w:val="646335F1"/>
    <w:rsid w:val="647F5392"/>
    <w:rsid w:val="664B1D71"/>
    <w:rsid w:val="672F4716"/>
    <w:rsid w:val="67AA3209"/>
    <w:rsid w:val="698D0931"/>
    <w:rsid w:val="6B053271"/>
    <w:rsid w:val="6B4849B1"/>
    <w:rsid w:val="6C4A05C8"/>
    <w:rsid w:val="6C5F687F"/>
    <w:rsid w:val="6C8742B8"/>
    <w:rsid w:val="6DBF5E93"/>
    <w:rsid w:val="6DCC114D"/>
    <w:rsid w:val="6DFF077E"/>
    <w:rsid w:val="6E7E3605"/>
    <w:rsid w:val="6E7FDCC7"/>
    <w:rsid w:val="6ED6A62E"/>
    <w:rsid w:val="6EE00B15"/>
    <w:rsid w:val="6EFA0298"/>
    <w:rsid w:val="6F6FB3EB"/>
    <w:rsid w:val="6F8731EA"/>
    <w:rsid w:val="6FCE6052"/>
    <w:rsid w:val="6FD57C00"/>
    <w:rsid w:val="6FEFFFD8"/>
    <w:rsid w:val="6FF5CC65"/>
    <w:rsid w:val="6FFB47EC"/>
    <w:rsid w:val="6FFF034A"/>
    <w:rsid w:val="70FC24C5"/>
    <w:rsid w:val="712A28F1"/>
    <w:rsid w:val="715C0E4B"/>
    <w:rsid w:val="72233669"/>
    <w:rsid w:val="72734D90"/>
    <w:rsid w:val="7332FE48"/>
    <w:rsid w:val="73AB61DA"/>
    <w:rsid w:val="73AD73D5"/>
    <w:rsid w:val="73B6EB34"/>
    <w:rsid w:val="73FA497D"/>
    <w:rsid w:val="74011985"/>
    <w:rsid w:val="7405084C"/>
    <w:rsid w:val="741004A3"/>
    <w:rsid w:val="744731E5"/>
    <w:rsid w:val="74BBD01D"/>
    <w:rsid w:val="74DB7FC2"/>
    <w:rsid w:val="74ED5379"/>
    <w:rsid w:val="74F84571"/>
    <w:rsid w:val="75DEEEC2"/>
    <w:rsid w:val="75E34125"/>
    <w:rsid w:val="75F65E47"/>
    <w:rsid w:val="76E3355F"/>
    <w:rsid w:val="76FF5125"/>
    <w:rsid w:val="776F6FFA"/>
    <w:rsid w:val="778769C8"/>
    <w:rsid w:val="77DC22F5"/>
    <w:rsid w:val="79086DAD"/>
    <w:rsid w:val="79273E57"/>
    <w:rsid w:val="79D7FD79"/>
    <w:rsid w:val="79EE5BA4"/>
    <w:rsid w:val="7A4C787E"/>
    <w:rsid w:val="7A7B26AD"/>
    <w:rsid w:val="7A894339"/>
    <w:rsid w:val="7AFF7572"/>
    <w:rsid w:val="7B42141C"/>
    <w:rsid w:val="7B6C7DFB"/>
    <w:rsid w:val="7B783C41"/>
    <w:rsid w:val="7B876E2F"/>
    <w:rsid w:val="7BBFBED0"/>
    <w:rsid w:val="7BC3E394"/>
    <w:rsid w:val="7BE9291F"/>
    <w:rsid w:val="7C1F3737"/>
    <w:rsid w:val="7CBFC87B"/>
    <w:rsid w:val="7CFE0F48"/>
    <w:rsid w:val="7D7EC23E"/>
    <w:rsid w:val="7E8ADEBF"/>
    <w:rsid w:val="7EEF11D3"/>
    <w:rsid w:val="7F0971A6"/>
    <w:rsid w:val="7F363994"/>
    <w:rsid w:val="7F3F679B"/>
    <w:rsid w:val="7F4FC4EF"/>
    <w:rsid w:val="7F536403"/>
    <w:rsid w:val="7F5E4D54"/>
    <w:rsid w:val="7F6E0135"/>
    <w:rsid w:val="7FA30C79"/>
    <w:rsid w:val="7FAF8ABF"/>
    <w:rsid w:val="7FB7269E"/>
    <w:rsid w:val="7FC96657"/>
    <w:rsid w:val="7FDA9588"/>
    <w:rsid w:val="7FDF220F"/>
    <w:rsid w:val="7FEDC5F7"/>
    <w:rsid w:val="7FEDD9DE"/>
    <w:rsid w:val="7FF5890D"/>
    <w:rsid w:val="7FF93490"/>
    <w:rsid w:val="99FF2014"/>
    <w:rsid w:val="A6DD0D7F"/>
    <w:rsid w:val="ADC6F725"/>
    <w:rsid w:val="B7CF06AB"/>
    <w:rsid w:val="B7CFA926"/>
    <w:rsid w:val="B7F8786B"/>
    <w:rsid w:val="BABB6AA1"/>
    <w:rsid w:val="BB2F4199"/>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FFA9E8"/>
    <w:rsid w:val="E5F4E9DC"/>
    <w:rsid w:val="E70FE695"/>
    <w:rsid w:val="ECFED1BC"/>
    <w:rsid w:val="ED1D69BB"/>
    <w:rsid w:val="ED7FD312"/>
    <w:rsid w:val="EF53993F"/>
    <w:rsid w:val="EF6FD633"/>
    <w:rsid w:val="EFBFB2F4"/>
    <w:rsid w:val="EFBFFA21"/>
    <w:rsid w:val="F2BEBCB8"/>
    <w:rsid w:val="F36FB518"/>
    <w:rsid w:val="F3DE1A04"/>
    <w:rsid w:val="F3F722E5"/>
    <w:rsid w:val="FA5F1E70"/>
    <w:rsid w:val="FA5FDB97"/>
    <w:rsid w:val="FB7F486A"/>
    <w:rsid w:val="FBFF5B2E"/>
    <w:rsid w:val="FD7FFE2B"/>
    <w:rsid w:val="FDEE196B"/>
    <w:rsid w:val="FDFE6575"/>
    <w:rsid w:val="FEDFDDC2"/>
    <w:rsid w:val="FEED32F6"/>
    <w:rsid w:val="FEF781DD"/>
    <w:rsid w:val="FF3F7E3F"/>
    <w:rsid w:val="FFBA12D7"/>
    <w:rsid w:val="FFDFFAEE"/>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5"/>
    <w:next w:val="5"/>
    <w:link w:val="34"/>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5">
    <w:name w:val="汇政正文"/>
    <w:basedOn w:val="1"/>
    <w:qFormat/>
    <w:uiPriority w:val="3"/>
    <w:pPr>
      <w:spacing w:line="600" w:lineRule="exact"/>
      <w:ind w:firstLine="640" w:firstLineChars="200"/>
    </w:pPr>
    <w:rPr>
      <w:rFonts w:ascii="Times New Roman" w:hAnsi="Times New Roman" w:eastAsia="仿宋_GB2312" w:cs="Times New Roman"/>
      <w:kern w:val="0"/>
      <w:sz w:val="32"/>
      <w:szCs w:val="28"/>
      <w:lang w:val="zh-CN"/>
    </w:rPr>
  </w:style>
  <w:style w:type="paragraph" w:styleId="6">
    <w:name w:val="Body Text"/>
    <w:basedOn w:val="1"/>
    <w:link w:val="27"/>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图表目录1"/>
    <w:next w:val="1"/>
    <w:qFormat/>
    <w:uiPriority w:val="0"/>
    <w:pPr>
      <w:widowControl w:val="0"/>
      <w:ind w:left="200" w:leftChars="200" w:hanging="200" w:hangingChars="200"/>
      <w:jc w:val="both"/>
    </w:pPr>
    <w:rPr>
      <w:rFonts w:ascii="Times New Roman" w:hAnsi="Times New Roman" w:eastAsia="宋体" w:cs="Times New Roman"/>
      <w:kern w:val="2"/>
      <w:sz w:val="21"/>
      <w:szCs w:val="22"/>
      <w:lang w:val="en-US" w:eastAsia="zh-CN" w:bidi="ar-SA"/>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7"/>
    <w:semiHidden/>
    <w:qFormat/>
    <w:uiPriority w:val="99"/>
    <w:rPr>
      <w:rFonts w:ascii="Times New Roman" w:hAnsi="Times New Roman"/>
      <w:sz w:val="18"/>
      <w:szCs w:val="18"/>
    </w:rPr>
  </w:style>
  <w:style w:type="character" w:customStyle="1" w:styleId="23">
    <w:name w:val="页眉 Char"/>
    <w:link w:val="12"/>
    <w:semiHidden/>
    <w:qFormat/>
    <w:locked/>
    <w:uiPriority w:val="99"/>
    <w:rPr>
      <w:sz w:val="18"/>
    </w:rPr>
  </w:style>
  <w:style w:type="character" w:customStyle="1" w:styleId="24">
    <w:name w:val="Footer Char"/>
    <w:basedOn w:val="17"/>
    <w:semiHidden/>
    <w:qFormat/>
    <w:uiPriority w:val="99"/>
    <w:rPr>
      <w:rFonts w:ascii="Times New Roman" w:hAnsi="Times New Roman"/>
      <w:sz w:val="18"/>
      <w:szCs w:val="18"/>
    </w:rPr>
  </w:style>
  <w:style w:type="character" w:customStyle="1" w:styleId="25">
    <w:name w:val="页脚 Char"/>
    <w:link w:val="11"/>
    <w:qFormat/>
    <w:locked/>
    <w:uiPriority w:val="99"/>
    <w:rPr>
      <w:sz w:val="18"/>
    </w:rPr>
  </w:style>
  <w:style w:type="character" w:customStyle="1" w:styleId="26">
    <w:name w:val="Body Text Char"/>
    <w:basedOn w:val="17"/>
    <w:semiHidden/>
    <w:qFormat/>
    <w:uiPriority w:val="99"/>
    <w:rPr>
      <w:rFonts w:ascii="Times New Roman" w:hAnsi="Times New Roman"/>
      <w:szCs w:val="24"/>
    </w:rPr>
  </w:style>
  <w:style w:type="character" w:customStyle="1" w:styleId="27">
    <w:name w:val="正文文本 Char"/>
    <w:link w:val="6"/>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7"/>
    <w:link w:val="2"/>
    <w:qFormat/>
    <w:uiPriority w:val="9"/>
    <w:rPr>
      <w:rFonts w:ascii="Times New Roman" w:hAnsi="Times New Roman"/>
      <w:b/>
      <w:bCs/>
      <w:kern w:val="44"/>
      <w:sz w:val="44"/>
      <w:szCs w:val="44"/>
    </w:rPr>
  </w:style>
  <w:style w:type="character" w:customStyle="1" w:styleId="31">
    <w:name w:val="标题 2 Char"/>
    <w:basedOn w:val="17"/>
    <w:link w:val="3"/>
    <w:qFormat/>
    <w:uiPriority w:val="9"/>
    <w:rPr>
      <w:rFonts w:asciiTheme="majorHAnsi" w:hAnsiTheme="majorHAnsi" w:eastAsiaTheme="majorEastAsia" w:cstheme="majorBidi"/>
      <w:b/>
      <w:bCs/>
      <w:kern w:val="2"/>
      <w:sz w:val="32"/>
      <w:szCs w:val="32"/>
    </w:rPr>
  </w:style>
  <w:style w:type="paragraph" w:customStyle="1" w:styleId="32">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7"/>
    <w:link w:val="10"/>
    <w:semiHidden/>
    <w:qFormat/>
    <w:uiPriority w:val="99"/>
    <w:rPr>
      <w:rFonts w:ascii="Times New Roman" w:hAnsi="Times New Roman"/>
      <w:kern w:val="2"/>
      <w:sz w:val="18"/>
      <w:szCs w:val="18"/>
    </w:rPr>
  </w:style>
  <w:style w:type="character" w:customStyle="1" w:styleId="34">
    <w:name w:val="标题 3 Char"/>
    <w:basedOn w:val="17"/>
    <w:link w:val="4"/>
    <w:qFormat/>
    <w:uiPriority w:val="9"/>
    <w:rPr>
      <w:rFonts w:ascii="Times New Roman" w:hAnsi="Times New Roman"/>
      <w:b/>
      <w:bCs/>
      <w:kern w:val="2"/>
      <w:sz w:val="32"/>
      <w:szCs w:val="32"/>
    </w:rPr>
  </w:style>
  <w:style w:type="paragraph" w:customStyle="1" w:styleId="35">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7">
    <w:name w:val="质联正文"/>
    <w:basedOn w:val="1"/>
    <w:qFormat/>
    <w:uiPriority w:val="3"/>
    <w:pPr>
      <w:spacing w:line="600" w:lineRule="exact"/>
      <w:ind w:firstLine="640" w:firstLineChars="200"/>
    </w:pPr>
    <w:rPr>
      <w:rFonts w:ascii="Times New Roman" w:hAnsi="Times New Roman" w:eastAsia="仿宋_GB2312" w:cs="Times New Roman"/>
      <w:kern w:val="0"/>
      <w:sz w:val="32"/>
      <w:szCs w:val="28"/>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C:\Users\&#20309;&#24503;&#31077;\Desktop\2024&#20915;&#31639;\2024&#32477;&#31639;&#20844;&#24320;\&#2227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20309;&#24503;&#31077;\Desktop\2024&#20915;&#31639;\2024&#32477;&#31639;&#20844;&#24320;\&#2227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20309;&#24503;&#31077;\Desktop\2024&#20915;&#31639;\2024&#32477;&#31639;&#20844;&#24320;\&#2227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20309;&#24503;&#31077;\Desktop\2024&#20915;&#31639;\2024&#32477;&#31639;&#20844;&#24320;\&#2227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20309;&#24503;&#31077;\Desktop\2024&#20915;&#31639;\2024&#32477;&#31639;&#20844;&#24320;\&#2227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20309;&#24503;&#31077;\Desktop\2024&#20915;&#31639;\2024&#32477;&#31639;&#20844;&#24320;\&#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[图.xlsx]福利中心!$A$3</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[图.xlsx]福利中心!$B$2:$C$2</c:f>
              <c:strCache>
                <c:ptCount val="2"/>
                <c:pt idx="0">
                  <c:v>收入</c:v>
                </c:pt>
                <c:pt idx="1">
                  <c:v>支出</c:v>
                </c:pt>
              </c:strCache>
            </c:strRef>
          </c:cat>
          <c:val>
            <c:numRef>
              <c:f>[图.xlsx]福利中心!$B$3:$C$3</c:f>
              <c:numCache>
                <c:formatCode>#,##0.00</c:formatCode>
                <c:ptCount val="2"/>
                <c:pt idx="0">
                  <c:v>143.87</c:v>
                </c:pt>
                <c:pt idx="1">
                  <c:v>143.87</c:v>
                </c:pt>
              </c:numCache>
            </c:numRef>
          </c:val>
        </c:ser>
        <c:ser>
          <c:idx val="1"/>
          <c:order val="1"/>
          <c:tx>
            <c:strRef>
              <c:f>[图.xlsx]福利中心!$A$4</c:f>
              <c:strCache>
                <c:ptCount val="1"/>
                <c:pt idx="0">
                  <c:v>2024年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[图.xlsx]福利中心!$B$2:$C$2</c:f>
              <c:strCache>
                <c:ptCount val="2"/>
                <c:pt idx="0">
                  <c:v>收入</c:v>
                </c:pt>
                <c:pt idx="1">
                  <c:v>支出</c:v>
                </c:pt>
              </c:strCache>
            </c:strRef>
          </c:cat>
          <c:val>
            <c:numRef>
              <c:f>[图.xlsx]福利中心!$B$4:$C$4</c:f>
              <c:numCache>
                <c:formatCode>#,##0.00</c:formatCode>
                <c:ptCount val="2"/>
                <c:pt idx="0">
                  <c:v>146.55</c:v>
                </c:pt>
                <c:pt idx="1">
                  <c:v>146.55</c:v>
                </c:pt>
              </c:numCache>
            </c:numRef>
          </c:val>
        </c:ser>
        <c:dLbls>
          <c:showLegendKey val="0"/>
          <c:showVal val="1"/>
          <c:showCatName val="0"/>
          <c:showSerName val="0"/>
          <c:showPercent val="0"/>
          <c:showBubbleSize val="0"/>
        </c:dLbls>
        <c:gapWidth val="150"/>
        <c:axId val="176975232"/>
        <c:axId val="176981120"/>
      </c:barChart>
      <c:catAx>
        <c:axId val="17697523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mn-lt"/>
                <a:ea typeface="+mn-ea"/>
                <a:cs typeface="+mn-cs"/>
              </a:defRPr>
            </a:pPr>
          </a:p>
        </c:txPr>
        <c:crossAx val="176981120"/>
        <c:crosses val="autoZero"/>
        <c:auto val="1"/>
        <c:lblAlgn val="ctr"/>
        <c:lblOffset val="100"/>
        <c:noMultiLvlLbl val="0"/>
      </c:catAx>
      <c:valAx>
        <c:axId val="176981120"/>
        <c:scaling>
          <c:orientation val="minMax"/>
          <c:min val="0"/>
        </c:scaling>
        <c:delete val="0"/>
        <c:axPos val="l"/>
        <c:majorGridlines/>
        <c:numFmt formatCode="#,##0.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mn-lt"/>
                <a:ea typeface="+mn-ea"/>
                <a:cs typeface="+mn-cs"/>
              </a:defRPr>
            </a:pPr>
          </a:p>
        </c:txPr>
        <c:crossAx val="17697523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rgbClr val="000000"/>
              </a:solidFill>
              <a:latin typeface="+mn-lt"/>
              <a:ea typeface="+mn-ea"/>
              <a:cs typeface="+mn-cs"/>
            </a:defRPr>
          </a:pPr>
        </a:p>
      </c:txPr>
    </c:legend>
    <c:plotVisOnly val="1"/>
    <c:dispBlanksAs val="gap"/>
    <c:showDLblsOverMax val="0"/>
    <c:extLst>
      <c:ext uri="{0b15fc19-7d7d-44ad-8c2d-2c3a37ce22c3}">
        <chartProps xmlns="https://web.wps.cn/et/2018/main" chartId="{32ff0fd6-9424-4180-a52d-763c0314fa3a}"/>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291881014873142"/>
          <c:y val="0.101851851851852"/>
          <c:w val="0.53888888888889"/>
          <c:h val="0.898148148148148"/>
        </c:manualLayout>
      </c:layout>
      <c:pieChart>
        <c:varyColors val="1"/>
        <c:ser>
          <c:idx val="0"/>
          <c:order val="0"/>
          <c:explosion val="0"/>
          <c:dPt>
            <c:idx val="0"/>
            <c:bubble3D val="0"/>
          </c:dPt>
          <c:dLbls>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[图.xlsx]福利中心!$A$31</c:f>
              <c:strCache>
                <c:ptCount val="1"/>
                <c:pt idx="0">
                  <c:v>一般公共预算财政拨款收入</c:v>
                </c:pt>
              </c:strCache>
            </c:strRef>
          </c:cat>
          <c:val>
            <c:numRef>
              <c:f>[图.xlsx]福利中心!$B$31</c:f>
              <c:numCache>
                <c:formatCode>#,##0.00</c:formatCode>
                <c:ptCount val="1"/>
                <c:pt idx="0">
                  <c:v>146.55</c:v>
                </c:pt>
              </c:numCache>
            </c:numRef>
          </c:val>
        </c:ser>
        <c:dLbls>
          <c:showLegendKey val="0"/>
          <c:showVal val="1"/>
          <c:showCatName val="0"/>
          <c:showSerName val="0"/>
          <c:showPercent val="1"/>
          <c:showBubbleSize val="0"/>
          <c:showLeaderLines val="1"/>
        </c:dLbls>
        <c:firstSliceAng val="0"/>
      </c:pieChart>
    </c:plotArea>
    <c:legend>
      <c:legendPos val="r"/>
      <c:layout>
        <c:manualLayout>
          <c:xMode val="edge"/>
          <c:yMode val="edge"/>
          <c:x val="0.613931977252844"/>
          <c:y val="0.159733887430738"/>
          <c:w val="0.324956911636047"/>
          <c:h val="0.837939632545934"/>
        </c:manualLayout>
      </c:layout>
      <c:overlay val="0"/>
      <c:txPr>
        <a:bodyPr rot="0" spcFirstLastPara="0" vertOverflow="ellipsis" vert="horz" wrap="square" anchor="ctr" anchorCtr="1"/>
        <a:lstStyle/>
        <a:p>
          <a:pPr>
            <a:defRPr lang="zh-CN" sz="1000" b="0" i="0" u="none" strike="noStrike" kern="1200" baseline="0">
              <a:solidFill>
                <a:srgbClr val="000000"/>
              </a:solidFill>
              <a:latin typeface="+mn-lt"/>
              <a:ea typeface="+mn-ea"/>
              <a:cs typeface="+mn-cs"/>
            </a:defRPr>
          </a:pPr>
        </a:p>
      </c:txPr>
    </c:legend>
    <c:plotVisOnly val="1"/>
    <c:dispBlanksAs val="gap"/>
    <c:showDLblsOverMax val="0"/>
    <c:extLst>
      <c:ext uri="{0b15fc19-7d7d-44ad-8c2d-2c3a37ce22c3}">
        <chartProps xmlns="https://web.wps.cn/et/2018/main" chartId="{32b3fec7-5879-4912-8b4e-7ef0fff4f9cb}"/>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[图.xlsx]福利中心!$A$43:$A$44</c:f>
              <c:strCache>
                <c:ptCount val="2"/>
                <c:pt idx="0">
                  <c:v>基本支出</c:v>
                </c:pt>
                <c:pt idx="1">
                  <c:v>项目支出</c:v>
                </c:pt>
              </c:strCache>
            </c:strRef>
          </c:cat>
          <c:val>
            <c:numRef>
              <c:f>[图.xlsx]福利中心!$B$43:$B$44</c:f>
              <c:numCache>
                <c:formatCode>#,##0.00_ </c:formatCode>
                <c:ptCount val="2"/>
                <c:pt idx="0">
                  <c:v>96.55</c:v>
                </c:pt>
                <c:pt idx="1" c:formatCode="General">
                  <c:v>50</c:v>
                </c:pt>
              </c:numCache>
            </c:numRef>
          </c:val>
        </c:ser>
        <c:dLbls>
          <c:showLegendKey val="0"/>
          <c:showVal val="1"/>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rgbClr val="000000"/>
              </a:solidFill>
              <a:latin typeface="+mn-lt"/>
              <a:ea typeface="+mn-ea"/>
              <a:cs typeface="+mn-cs"/>
            </a:defRPr>
          </a:pPr>
        </a:p>
      </c:txPr>
    </c:legend>
    <c:plotVisOnly val="1"/>
    <c:dispBlanksAs val="gap"/>
    <c:showDLblsOverMax val="0"/>
    <c:extLst>
      <c:ext uri="{0b15fc19-7d7d-44ad-8c2d-2c3a37ce22c3}">
        <chartProps xmlns="https://web.wps.cn/et/2018/main" chartId="{4572122d-2cbe-408d-b3fe-dc25ea8fd689}"/>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[图.xlsx]福利中心!$A$65</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[图.xlsx]福利中心!$B$64:$C$64</c:f>
              <c:strCache>
                <c:ptCount val="2"/>
                <c:pt idx="0">
                  <c:v>财政拨款收入</c:v>
                </c:pt>
                <c:pt idx="1">
                  <c:v>财政拨款支出</c:v>
                </c:pt>
              </c:strCache>
            </c:strRef>
          </c:cat>
          <c:val>
            <c:numRef>
              <c:f>[图.xlsx]福利中心!$B$65:$C$65</c:f>
              <c:numCache>
                <c:formatCode>#,##0.00</c:formatCode>
                <c:ptCount val="2"/>
                <c:pt idx="0">
                  <c:v>143.87</c:v>
                </c:pt>
                <c:pt idx="1">
                  <c:v>143.87</c:v>
                </c:pt>
              </c:numCache>
            </c:numRef>
          </c:val>
        </c:ser>
        <c:ser>
          <c:idx val="1"/>
          <c:order val="1"/>
          <c:tx>
            <c:strRef>
              <c:f>[图.xlsx]福利中心!$A$66</c:f>
              <c:strCache>
                <c:ptCount val="1"/>
                <c:pt idx="0">
                  <c:v>2024年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[图.xlsx]福利中心!$B$64:$C$64</c:f>
              <c:strCache>
                <c:ptCount val="2"/>
                <c:pt idx="0">
                  <c:v>财政拨款收入</c:v>
                </c:pt>
                <c:pt idx="1">
                  <c:v>财政拨款支出</c:v>
                </c:pt>
              </c:strCache>
            </c:strRef>
          </c:cat>
          <c:val>
            <c:numRef>
              <c:f>[图.xlsx]福利中心!$B$66:$C$66</c:f>
              <c:numCache>
                <c:formatCode>#,##0.00</c:formatCode>
                <c:ptCount val="2"/>
                <c:pt idx="0">
                  <c:v>146.55</c:v>
                </c:pt>
                <c:pt idx="1">
                  <c:v>146.55</c:v>
                </c:pt>
              </c:numCache>
            </c:numRef>
          </c:val>
        </c:ser>
        <c:dLbls>
          <c:showLegendKey val="0"/>
          <c:showVal val="1"/>
          <c:showCatName val="0"/>
          <c:showSerName val="0"/>
          <c:showPercent val="0"/>
          <c:showBubbleSize val="0"/>
        </c:dLbls>
        <c:gapWidth val="150"/>
        <c:axId val="177067904"/>
        <c:axId val="177069440"/>
      </c:barChart>
      <c:catAx>
        <c:axId val="17706790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mn-lt"/>
                <a:ea typeface="+mn-ea"/>
                <a:cs typeface="+mn-cs"/>
              </a:defRPr>
            </a:pPr>
          </a:p>
        </c:txPr>
        <c:crossAx val="177069440"/>
        <c:crosses val="autoZero"/>
        <c:auto val="1"/>
        <c:lblAlgn val="ctr"/>
        <c:lblOffset val="100"/>
        <c:noMultiLvlLbl val="0"/>
      </c:catAx>
      <c:valAx>
        <c:axId val="177069440"/>
        <c:scaling>
          <c:orientation val="minMax"/>
          <c:min val="0"/>
        </c:scaling>
        <c:delete val="0"/>
        <c:axPos val="l"/>
        <c:majorGridlines/>
        <c:numFmt formatCode="#,##0.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mn-lt"/>
                <a:ea typeface="+mn-ea"/>
                <a:cs typeface="+mn-cs"/>
              </a:defRPr>
            </a:pPr>
          </a:p>
        </c:txPr>
        <c:crossAx val="17706790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rgbClr val="000000"/>
              </a:solidFill>
              <a:latin typeface="+mn-lt"/>
              <a:ea typeface="+mn-ea"/>
              <a:cs typeface="+mn-cs"/>
            </a:defRPr>
          </a:pPr>
        </a:p>
      </c:txPr>
    </c:legend>
    <c:plotVisOnly val="1"/>
    <c:dispBlanksAs val="gap"/>
    <c:showDLblsOverMax val="0"/>
    <c:extLst>
      <c:ext uri="{0b15fc19-7d7d-44ad-8c2d-2c3a37ce22c3}">
        <chartProps xmlns="https://web.wps.cn/et/2018/main" chartId="{a9b4d48f-ac79-4221-a51b-39341693a3aa}"/>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rgbClr val="000000"/>
              </a:solidFill>
              <a:latin typeface="+mn-lt"/>
              <a:ea typeface="+mn-ea"/>
              <a:cs typeface="+mn-cs"/>
            </a:defRPr>
          </a:pPr>
        </a:p>
      </c:txPr>
    </c:title>
    <c:autoTitleDeleted val="0"/>
    <c:plotArea>
      <c:layout/>
      <c:barChart>
        <c:barDir val="col"/>
        <c:grouping val="clustered"/>
        <c:varyColors val="0"/>
        <c:ser>
          <c:idx val="0"/>
          <c:order val="0"/>
          <c:tx>
            <c:strRef>
              <c:f>[图.xlsx]福利中心!$B$83</c:f>
              <c:strCache>
                <c:ptCount val="1"/>
                <c:pt idx="0">
                  <c:v>财政拨款支出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[图.xlsx]福利中心!$A$84:$A$85</c:f>
              <c:strCache>
                <c:ptCount val="2"/>
                <c:pt idx="0">
                  <c:v>2023年</c:v>
                </c:pt>
                <c:pt idx="1">
                  <c:v>2024年</c:v>
                </c:pt>
              </c:strCache>
            </c:strRef>
          </c:cat>
          <c:val>
            <c:numRef>
              <c:f>[图.xlsx]福利中心!$B$84:$B$85</c:f>
              <c:numCache>
                <c:formatCode>#,##0.00</c:formatCode>
                <c:ptCount val="2"/>
                <c:pt idx="0">
                  <c:v>143.87</c:v>
                </c:pt>
                <c:pt idx="1">
                  <c:v>146.55</c:v>
                </c:pt>
              </c:numCache>
            </c:numRef>
          </c:val>
        </c:ser>
        <c:dLbls>
          <c:showLegendKey val="0"/>
          <c:showVal val="1"/>
          <c:showCatName val="0"/>
          <c:showSerName val="0"/>
          <c:showPercent val="0"/>
          <c:showBubbleSize val="0"/>
        </c:dLbls>
        <c:gapWidth val="150"/>
        <c:axId val="177303552"/>
        <c:axId val="177305088"/>
      </c:barChart>
      <c:catAx>
        <c:axId val="17730355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mn-lt"/>
                <a:ea typeface="+mn-ea"/>
                <a:cs typeface="+mn-cs"/>
              </a:defRPr>
            </a:pPr>
          </a:p>
        </c:txPr>
        <c:crossAx val="177305088"/>
        <c:crosses val="autoZero"/>
        <c:auto val="1"/>
        <c:lblAlgn val="ctr"/>
        <c:lblOffset val="100"/>
        <c:noMultiLvlLbl val="0"/>
      </c:catAx>
      <c:valAx>
        <c:axId val="177305088"/>
        <c:scaling>
          <c:orientation val="minMax"/>
          <c:min val="0"/>
        </c:scaling>
        <c:delete val="0"/>
        <c:axPos val="l"/>
        <c:majorGridlines/>
        <c:numFmt formatCode="#,##0.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mn-lt"/>
                <a:ea typeface="+mn-ea"/>
                <a:cs typeface="+mn-cs"/>
              </a:defRPr>
            </a:pPr>
          </a:p>
        </c:txPr>
        <c:crossAx val="17730355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rgbClr val="000000"/>
              </a:solidFill>
              <a:latin typeface="+mn-lt"/>
              <a:ea typeface="+mn-ea"/>
              <a:cs typeface="+mn-cs"/>
            </a:defRPr>
          </a:pPr>
        </a:p>
      </c:txPr>
    </c:legend>
    <c:plotVisOnly val="1"/>
    <c:dispBlanksAs val="gap"/>
    <c:showDLblsOverMax val="0"/>
    <c:extLst>
      <c:ext uri="{0b15fc19-7d7d-44ad-8c2d-2c3a37ce22c3}">
        <chartProps xmlns="https://web.wps.cn/et/2018/main" chartId="{e44db720-9a60-4690-8008-f4e710c809e1}"/>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458547681539808"/>
          <c:y val="0.101851851851852"/>
          <c:w val="0.53888888888889"/>
          <c:h val="0.898148148148148"/>
        </c:manualLayout>
      </c:layout>
      <c:pieChart>
        <c:varyColors val="1"/>
        <c:ser>
          <c:idx val="0"/>
          <c:order val="0"/>
          <c:explosion val="0"/>
          <c:dPt>
            <c:idx val="0"/>
            <c:bubble3D val="0"/>
          </c:dPt>
          <c:dPt>
            <c:idx val="1"/>
            <c:bubble3D val="0"/>
          </c:dPt>
          <c:dPt>
            <c:idx val="2"/>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[图.xlsx]福利中心!$A$105:$A$107</c:f>
              <c:strCache>
                <c:ptCount val="3"/>
                <c:pt idx="0">
                  <c:v>社会保障和就业支出</c:v>
                </c:pt>
                <c:pt idx="1">
                  <c:v>卫生健康支出</c:v>
                </c:pt>
                <c:pt idx="2">
                  <c:v>住房保障支出</c:v>
                </c:pt>
              </c:strCache>
            </c:strRef>
          </c:cat>
          <c:val>
            <c:numRef>
              <c:f>[图.xlsx]福利中心!$B$105:$B$107</c:f>
              <c:numCache>
                <c:formatCode>General</c:formatCode>
                <c:ptCount val="3"/>
                <c:pt idx="0">
                  <c:v>136.73</c:v>
                </c:pt>
                <c:pt idx="1">
                  <c:v>4.13</c:v>
                </c:pt>
                <c:pt idx="2" c:formatCode="#,##0.00_ ">
                  <c:v>5.69</c:v>
                </c:pt>
              </c:numCache>
            </c:numRef>
          </c:val>
        </c:ser>
        <c:ser>
          <c:idx val="1"/>
          <c:order val="1"/>
          <c:explosion val="0"/>
          <c:dPt>
            <c:idx val="0"/>
            <c:bubble3D val="0"/>
          </c:dPt>
          <c:dPt>
            <c:idx val="1"/>
            <c:bubble3D val="0"/>
          </c:dPt>
          <c:dPt>
            <c:idx val="2"/>
            <c:bubble3D val="0"/>
          </c:dPt>
          <c:dLbls>
            <c:delete val="1"/>
          </c:dLbls>
          <c:cat>
            <c:strRef>
              <c:f>[图.xlsx]福利中心!$A$105:$A$107</c:f>
              <c:strCache>
                <c:ptCount val="3"/>
                <c:pt idx="0">
                  <c:v>社会保障和就业支出</c:v>
                </c:pt>
                <c:pt idx="1">
                  <c:v>卫生健康支出</c:v>
                </c:pt>
                <c:pt idx="2">
                  <c:v>住房保障支出</c:v>
                </c:pt>
              </c:strCache>
            </c:strRef>
          </c:cat>
          <c:val>
            <c:numRef>
              <c:f>[图.xlsx]福利中心!$C$105:$C$107</c:f>
              <c:numCache>
                <c:formatCode>General</c:formatCode>
                <c:ptCount val="3"/>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rgbClr val="000000"/>
              </a:solidFill>
              <a:latin typeface="+mn-lt"/>
              <a:ea typeface="+mn-ea"/>
              <a:cs typeface="+mn-cs"/>
            </a:defRPr>
          </a:pPr>
        </a:p>
      </c:txPr>
    </c:legend>
    <c:plotVisOnly val="1"/>
    <c:dispBlanksAs val="gap"/>
    <c:showDLblsOverMax val="0"/>
    <c:extLst>
      <c:ext uri="{0b15fc19-7d7d-44ad-8c2d-2c3a37ce22c3}">
        <chartProps xmlns="https://web.wps.cn/et/2018/main" chartId="{bdf94802-5174-43e0-bb2e-6c80ab598a99}"/>
      </c:ext>
    </c:extLst>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36</Pages>
  <Words>298</Words>
  <Characters>314</Characters>
  <Lines>61</Lines>
  <Paragraphs>17</Paragraphs>
  <TotalTime>0</TotalTime>
  <ScaleCrop>false</ScaleCrop>
  <LinksUpToDate>false</LinksUpToDate>
  <CharactersWithSpaces>339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2020-08-08T17:49:00Z</dcterms:created>
  <dc:creator>曹颖</dc:creator>
  <cp:lastModifiedBy>自由</cp:lastModifiedBy>
  <cp:lastPrinted>2025-08-20T18:53:00Z</cp:lastPrinted>
  <dcterms:modified xsi:type="dcterms:W3CDTF">2025-08-26T01:38:23Z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3E542244F11D4B3B90C91A3EC832FE7D_13</vt:lpwstr>
  </property>
  <property fmtid="{D5CDD505-2E9C-101B-9397-08002B2CF9AE}" pid="4" name="KSOTemplateDocerSaveRecord">
    <vt:lpwstr>eyJoZGlkIjoiMjQ5ZjQ1MmIyNDM2OWQxMzJjMTgyNjZhYjVhZjk1MGQiLCJ1c2VySWQiOiIyNTE0MTk3NjEifQ==</vt:lpwstr>
  </property>
</Properties>
</file>